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E40CC2" w:rsidRPr="00207677" w14:paraId="6063C797" w14:textId="77777777" w:rsidTr="00DE3D9F">
        <w:trPr>
          <w:trHeight w:hRule="exact" w:val="851"/>
        </w:trPr>
        <w:tc>
          <w:tcPr>
            <w:tcW w:w="1274" w:type="dxa"/>
            <w:tcBorders>
              <w:bottom w:val="single" w:sz="4" w:space="0" w:color="auto"/>
            </w:tcBorders>
            <w:shd w:val="clear" w:color="auto" w:fill="auto"/>
          </w:tcPr>
          <w:p w14:paraId="6154C604" w14:textId="77777777" w:rsidR="00E40CC2" w:rsidRPr="00BE5849" w:rsidRDefault="00E40CC2" w:rsidP="00A175F0">
            <w:pPr>
              <w:kinsoku w:val="0"/>
              <w:overflowPunct w:val="0"/>
              <w:autoSpaceDE w:val="0"/>
              <w:autoSpaceDN w:val="0"/>
              <w:adjustRightInd w:val="0"/>
              <w:snapToGrid w:val="0"/>
              <w:spacing w:after="80" w:line="480" w:lineRule="exact"/>
              <w:rPr>
                <w:sz w:val="40"/>
                <w:szCs w:val="40"/>
                <w:rtl/>
                <w:lang w:eastAsia="zh-TW"/>
              </w:rPr>
            </w:pPr>
          </w:p>
        </w:tc>
        <w:tc>
          <w:tcPr>
            <w:tcW w:w="4963" w:type="dxa"/>
            <w:tcBorders>
              <w:bottom w:val="single" w:sz="4" w:space="0" w:color="auto"/>
            </w:tcBorders>
            <w:shd w:val="clear" w:color="auto" w:fill="auto"/>
            <w:vAlign w:val="bottom"/>
          </w:tcPr>
          <w:p w14:paraId="0C3D6844" w14:textId="77777777" w:rsidR="00E40CC2" w:rsidRPr="00AC03B4" w:rsidRDefault="00E40CC2" w:rsidP="00B452DB">
            <w:pPr>
              <w:spacing w:after="80" w:line="480" w:lineRule="exact"/>
              <w:ind w:left="57"/>
              <w:rPr>
                <w:sz w:val="30"/>
                <w:szCs w:val="30"/>
                <w:rtl/>
              </w:rPr>
            </w:pPr>
            <w:r w:rsidRPr="00AC03B4">
              <w:rPr>
                <w:rFonts w:hint="cs"/>
                <w:sz w:val="30"/>
                <w:szCs w:val="30"/>
                <w:rtl/>
              </w:rPr>
              <w:t>الأمم المتحدة</w:t>
            </w:r>
          </w:p>
        </w:tc>
        <w:tc>
          <w:tcPr>
            <w:tcW w:w="3402" w:type="dxa"/>
            <w:tcBorders>
              <w:bottom w:val="single" w:sz="4" w:space="0" w:color="auto"/>
            </w:tcBorders>
            <w:shd w:val="clear" w:color="auto" w:fill="auto"/>
            <w:vAlign w:val="bottom"/>
          </w:tcPr>
          <w:p w14:paraId="2AD59FE4" w14:textId="3ABCBE1D" w:rsidR="00E40CC2" w:rsidRPr="009D7EDF" w:rsidRDefault="009D7EDF" w:rsidP="009D7EDF">
            <w:pPr>
              <w:bidi w:val="0"/>
              <w:rPr>
                <w:szCs w:val="20"/>
                <w:lang w:eastAsia="zh-TW"/>
              </w:rPr>
            </w:pPr>
            <w:r w:rsidRPr="009D7EDF">
              <w:rPr>
                <w:sz w:val="40"/>
                <w:szCs w:val="20"/>
                <w:lang w:eastAsia="zh-TW"/>
              </w:rPr>
              <w:t>HRI</w:t>
            </w:r>
            <w:r>
              <w:rPr>
                <w:szCs w:val="20"/>
                <w:lang w:eastAsia="zh-TW"/>
              </w:rPr>
              <w:t>/CORE/THA/</w:t>
            </w:r>
            <w:r w:rsidRPr="00AF3116">
              <w:rPr>
                <w:szCs w:val="20"/>
                <w:lang w:eastAsia="zh-TW"/>
              </w:rPr>
              <w:t>2021</w:t>
            </w:r>
          </w:p>
        </w:tc>
      </w:tr>
      <w:tr w:rsidR="00E40CC2" w:rsidRPr="00207677" w14:paraId="435F46EF" w14:textId="77777777" w:rsidTr="00DE3D9F">
        <w:trPr>
          <w:trHeight w:hRule="exact" w:val="2835"/>
        </w:trPr>
        <w:tc>
          <w:tcPr>
            <w:tcW w:w="1274" w:type="dxa"/>
            <w:tcBorders>
              <w:top w:val="single" w:sz="4" w:space="0" w:color="auto"/>
              <w:bottom w:val="single" w:sz="12" w:space="0" w:color="auto"/>
            </w:tcBorders>
            <w:shd w:val="clear" w:color="auto" w:fill="auto"/>
          </w:tcPr>
          <w:p w14:paraId="6EECDCEB" w14:textId="77777777" w:rsidR="00E40CC2" w:rsidRPr="00D00159" w:rsidRDefault="00E40CC2" w:rsidP="00DE3D9F">
            <w:pPr>
              <w:jc w:val="center"/>
              <w:rPr>
                <w:sz w:val="56"/>
                <w:szCs w:val="56"/>
                <w:lang w:val="es-ES_tradnl"/>
              </w:rPr>
            </w:pPr>
            <w:r w:rsidRPr="00AC03B4">
              <w:rPr>
                <w:noProof/>
                <w:sz w:val="56"/>
                <w:szCs w:val="56"/>
              </w:rPr>
              <w:drawing>
                <wp:inline distT="0" distB="0" distL="0" distR="0" wp14:anchorId="2C8EB7CB" wp14:editId="7A2DA682">
                  <wp:extent cx="628015" cy="614045"/>
                  <wp:effectExtent l="0" t="0" r="0" b="0"/>
                  <wp:docPr id="28" name="Picture 28"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شعار_الأمم_المتحدة"/>
                          <pic:cNvPicPr>
                            <a:picLocks noChangeAspect="1" noChangeArrowheads="1"/>
                          </pic:cNvPicPr>
                        </pic:nvPicPr>
                        <pic:blipFill>
                          <a:blip r:embed="rId8">
                            <a:extLst>
                              <a:ext uri="{28A0092B-C50C-407E-A947-70E740481C1C}">
                                <a14:useLocalDpi xmlns:a14="http://schemas.microsoft.com/office/drawing/2010/main" val="0"/>
                              </a:ext>
                            </a:extLst>
                          </a:blip>
                          <a:srcRect t="-1270" b="-1270"/>
                          <a:stretch>
                            <a:fillRect/>
                          </a:stretch>
                        </pic:blipFill>
                        <pic:spPr bwMode="auto">
                          <a:xfrm>
                            <a:off x="0" y="0"/>
                            <a:ext cx="628015" cy="61404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0FE42740" w14:textId="77777777" w:rsidR="00E40CC2" w:rsidRPr="00AF3116" w:rsidRDefault="00E40CC2" w:rsidP="00B452DB">
            <w:pPr>
              <w:spacing w:before="120" w:after="40" w:line="640" w:lineRule="exact"/>
              <w:ind w:left="57"/>
              <w:rPr>
                <w:rFonts w:ascii="Times New Roman Bold" w:hAnsi="Times New Roman Bold" w:hint="eastAsia"/>
                <w:b/>
                <w:bCs/>
                <w:sz w:val="46"/>
                <w:szCs w:val="46"/>
              </w:rPr>
            </w:pPr>
            <w:r w:rsidRPr="00AF3116">
              <w:rPr>
                <w:rFonts w:ascii="Times New Roman Bold" w:hAnsi="Times New Roman Bold"/>
                <w:b/>
                <w:bCs/>
                <w:sz w:val="46"/>
                <w:szCs w:val="46"/>
                <w:rtl/>
              </w:rPr>
              <w:t>الصكوك الدولية لحقوق الإنسان</w:t>
            </w:r>
          </w:p>
        </w:tc>
        <w:tc>
          <w:tcPr>
            <w:tcW w:w="3402" w:type="dxa"/>
            <w:tcBorders>
              <w:top w:val="single" w:sz="4" w:space="0" w:color="auto"/>
              <w:bottom w:val="single" w:sz="12" w:space="0" w:color="auto"/>
            </w:tcBorders>
            <w:shd w:val="clear" w:color="auto" w:fill="auto"/>
          </w:tcPr>
          <w:p w14:paraId="28F6B1C1" w14:textId="77777777" w:rsidR="00E40CC2" w:rsidRDefault="009D7EDF" w:rsidP="00DE3D9F">
            <w:pPr>
              <w:bidi w:val="0"/>
              <w:spacing w:before="240"/>
              <w:rPr>
                <w:szCs w:val="20"/>
              </w:rPr>
            </w:pPr>
            <w:r>
              <w:rPr>
                <w:szCs w:val="20"/>
              </w:rPr>
              <w:t>Distr.: General</w:t>
            </w:r>
          </w:p>
          <w:p w14:paraId="7059D607" w14:textId="6EBDE764" w:rsidR="009D7EDF" w:rsidRDefault="00DE3D9F" w:rsidP="009D7EDF">
            <w:pPr>
              <w:bidi w:val="0"/>
              <w:spacing w:line="240" w:lineRule="exact"/>
              <w:jc w:val="left"/>
              <w:rPr>
                <w:szCs w:val="20"/>
              </w:rPr>
            </w:pPr>
            <w:r w:rsidRPr="00AF3116">
              <w:rPr>
                <w:szCs w:val="20"/>
              </w:rPr>
              <w:t>7</w:t>
            </w:r>
            <w:r>
              <w:rPr>
                <w:szCs w:val="20"/>
              </w:rPr>
              <w:t xml:space="preserve"> December </w:t>
            </w:r>
            <w:r w:rsidR="009D7EDF" w:rsidRPr="00AF3116">
              <w:rPr>
                <w:szCs w:val="20"/>
              </w:rPr>
              <w:t>2021</w:t>
            </w:r>
          </w:p>
          <w:p w14:paraId="38016CEF" w14:textId="77777777" w:rsidR="009D7EDF" w:rsidRDefault="009D7EDF" w:rsidP="009D7EDF">
            <w:pPr>
              <w:bidi w:val="0"/>
              <w:spacing w:line="240" w:lineRule="exact"/>
              <w:jc w:val="left"/>
              <w:rPr>
                <w:szCs w:val="20"/>
              </w:rPr>
            </w:pPr>
            <w:r>
              <w:rPr>
                <w:szCs w:val="20"/>
              </w:rPr>
              <w:t>Arabic</w:t>
            </w:r>
          </w:p>
          <w:p w14:paraId="3EC269BD" w14:textId="4B96FFB6" w:rsidR="009D7EDF" w:rsidRPr="009D7EDF" w:rsidRDefault="009D7EDF" w:rsidP="009D7EDF">
            <w:pPr>
              <w:bidi w:val="0"/>
              <w:spacing w:line="240" w:lineRule="exact"/>
              <w:jc w:val="left"/>
              <w:rPr>
                <w:szCs w:val="20"/>
              </w:rPr>
            </w:pPr>
            <w:r>
              <w:rPr>
                <w:szCs w:val="20"/>
              </w:rPr>
              <w:t>Original: English</w:t>
            </w:r>
          </w:p>
        </w:tc>
      </w:tr>
    </w:tbl>
    <w:p w14:paraId="4FB40726" w14:textId="77777777" w:rsidR="00DE3D9F" w:rsidRPr="00AF3116" w:rsidRDefault="00DE3D9F" w:rsidP="00DE3D9F">
      <w:pPr>
        <w:pStyle w:val="HMGA"/>
        <w:rPr>
          <w:lang w:val="ar-SA" w:eastAsia="zh-TW" w:bidi="en-GB"/>
        </w:rPr>
      </w:pPr>
      <w:r w:rsidRPr="00AF3116">
        <w:rPr>
          <w:rtl/>
        </w:rPr>
        <w:tab/>
      </w:r>
      <w:r w:rsidRPr="00AF3116">
        <w:rPr>
          <w:rtl/>
        </w:rPr>
        <w:tab/>
      </w:r>
      <w:bookmarkStart w:id="0" w:name="_Toc92899411"/>
      <w:r w:rsidRPr="00AF3116">
        <w:rPr>
          <w:rtl/>
        </w:rPr>
        <w:t>وثيقة أساسية موحَّدة تشكل جزءاً من تقارير الدول الأطراف</w:t>
      </w:r>
      <w:bookmarkEnd w:id="0"/>
    </w:p>
    <w:p w14:paraId="48832EFF" w14:textId="48C74E7B" w:rsidR="00DE3D9F" w:rsidRPr="00AF3116" w:rsidRDefault="00DE3D9F" w:rsidP="00DE3D9F">
      <w:pPr>
        <w:pStyle w:val="HMGA"/>
        <w:rPr>
          <w:sz w:val="40"/>
          <w:szCs w:val="40"/>
          <w:lang w:val="en-US" w:eastAsia="zh-TW" w:bidi="en-GB"/>
        </w:rPr>
      </w:pPr>
      <w:r w:rsidRPr="00AF3116">
        <w:rPr>
          <w:rtl/>
        </w:rPr>
        <w:tab/>
      </w:r>
      <w:r w:rsidRPr="00AF3116">
        <w:rPr>
          <w:rtl/>
        </w:rPr>
        <w:tab/>
      </w:r>
      <w:bookmarkStart w:id="1" w:name="_Toc92899412"/>
      <w:r w:rsidRPr="00AF3116">
        <w:rPr>
          <w:rtl/>
        </w:rPr>
        <w:t>تايلند</w:t>
      </w:r>
      <w:r w:rsidRPr="00AF3116">
        <w:rPr>
          <w:rStyle w:val="FootnoteReference"/>
          <w:sz w:val="26"/>
          <w:szCs w:val="26"/>
          <w:vertAlign w:val="baseline"/>
          <w:rtl/>
          <w:lang w:val="en-US" w:eastAsia="zh-TW"/>
        </w:rPr>
        <w:footnoteReference w:customMarkFollows="1" w:id="1"/>
        <w:t>*</w:t>
      </w:r>
      <w:bookmarkEnd w:id="1"/>
    </w:p>
    <w:p w14:paraId="6BAEBF94" w14:textId="77777777" w:rsidR="00DE3D9F" w:rsidRPr="001B6C67" w:rsidRDefault="00DE3D9F" w:rsidP="00DE3D9F">
      <w:pPr>
        <w:pStyle w:val="SingleTxtG"/>
        <w:bidi/>
        <w:jc w:val="right"/>
        <w:textDirection w:val="tbRlV"/>
        <w:rPr>
          <w:rFonts w:ascii="Simplified Arabic" w:hAnsi="Simplified Arabic"/>
          <w:sz w:val="22"/>
          <w:szCs w:val="22"/>
          <w:lang w:val="ar-SA" w:eastAsia="zh-TW" w:bidi="en-GB"/>
        </w:rPr>
      </w:pPr>
      <w:r w:rsidRPr="001B6C67">
        <w:rPr>
          <w:rFonts w:ascii="Simplified Arabic" w:hAnsi="Simplified Arabic"/>
          <w:sz w:val="22"/>
          <w:szCs w:val="22"/>
          <w:rtl/>
        </w:rPr>
        <w:t>[تاريخ الاستلام</w:t>
      </w:r>
      <w:r w:rsidRPr="001B6C67">
        <w:rPr>
          <w:rFonts w:ascii="Simplified Arabic" w:hAnsi="Simplified Arabic"/>
          <w:sz w:val="22"/>
          <w:szCs w:val="22"/>
        </w:rPr>
        <w:t>:</w:t>
      </w:r>
      <w:r w:rsidRPr="001B6C67">
        <w:rPr>
          <w:rFonts w:ascii="Simplified Arabic" w:hAnsi="Simplified Arabic"/>
          <w:sz w:val="22"/>
          <w:szCs w:val="22"/>
          <w:rtl/>
        </w:rPr>
        <w:t xml:space="preserve"> </w:t>
      </w:r>
      <w:r w:rsidRPr="00AF3116">
        <w:rPr>
          <w:rFonts w:ascii="Simplified Arabic" w:hAnsi="Simplified Arabic"/>
          <w:sz w:val="22"/>
          <w:szCs w:val="22"/>
          <w:rtl/>
        </w:rPr>
        <w:t>15</w:t>
      </w:r>
      <w:r w:rsidRPr="001B6C67">
        <w:rPr>
          <w:rFonts w:ascii="Simplified Arabic" w:hAnsi="Simplified Arabic"/>
          <w:sz w:val="22"/>
          <w:szCs w:val="22"/>
          <w:rtl/>
        </w:rPr>
        <w:t xml:space="preserve"> تشرين الثاني/نوفمبر </w:t>
      </w:r>
      <w:r w:rsidRPr="00AF3116">
        <w:rPr>
          <w:rFonts w:ascii="Simplified Arabic" w:hAnsi="Simplified Arabic"/>
          <w:sz w:val="22"/>
          <w:szCs w:val="22"/>
          <w:rtl/>
        </w:rPr>
        <w:t>2021</w:t>
      </w:r>
      <w:r w:rsidRPr="001B6C67">
        <w:rPr>
          <w:rFonts w:ascii="Simplified Arabic" w:hAnsi="Simplified Arabic"/>
          <w:sz w:val="22"/>
          <w:szCs w:val="22"/>
          <w:rtl/>
        </w:rPr>
        <w:t>]</w:t>
      </w:r>
    </w:p>
    <w:p w14:paraId="29F893E4" w14:textId="77777777" w:rsidR="00DE3D9F" w:rsidRPr="001B6C67" w:rsidRDefault="00DE3D9F" w:rsidP="00DE3D9F">
      <w:pPr>
        <w:spacing w:line="240" w:lineRule="auto"/>
        <w:rPr>
          <w:rFonts w:ascii="Simplified Arabic" w:hAnsi="Simplified Arabic"/>
          <w:sz w:val="22"/>
        </w:rPr>
      </w:pPr>
      <w:r w:rsidRPr="001B6C67">
        <w:rPr>
          <w:rFonts w:ascii="Simplified Arabic" w:hAnsi="Simplified Arabic"/>
          <w:sz w:val="22"/>
        </w:rPr>
        <w:br w:type="page"/>
      </w:r>
    </w:p>
    <w:p w14:paraId="5505D5A6" w14:textId="77777777" w:rsidR="001A356A" w:rsidRPr="00E9251F" w:rsidRDefault="001A356A" w:rsidP="004D0C38">
      <w:pPr>
        <w:keepNext/>
        <w:spacing w:line="360" w:lineRule="exact"/>
        <w:rPr>
          <w:sz w:val="26"/>
          <w:szCs w:val="26"/>
          <w:rtl/>
        </w:rPr>
      </w:pPr>
      <w:r w:rsidRPr="00E9251F">
        <w:rPr>
          <w:rFonts w:hint="cs"/>
          <w:sz w:val="26"/>
          <w:szCs w:val="26"/>
          <w:rtl/>
        </w:rPr>
        <w:lastRenderedPageBreak/>
        <w:t>المحتويات</w:t>
      </w:r>
    </w:p>
    <w:p w14:paraId="5BE2264F" w14:textId="77777777" w:rsidR="001A356A" w:rsidRPr="00E64ED3" w:rsidRDefault="001A356A" w:rsidP="004D0C38">
      <w:pPr>
        <w:keepNext/>
        <w:tabs>
          <w:tab w:val="left" w:pos="7917"/>
          <w:tab w:val="right" w:pos="9638"/>
        </w:tabs>
        <w:spacing w:before="120" w:after="120" w:line="240" w:lineRule="exact"/>
        <w:ind w:left="284"/>
        <w:rPr>
          <w:iCs/>
          <w:rtl/>
        </w:rPr>
      </w:pPr>
      <w:r w:rsidRPr="00E64ED3">
        <w:rPr>
          <w:i/>
        </w:rPr>
        <w:tab/>
      </w:r>
      <w:r w:rsidRPr="00E64ED3">
        <w:rPr>
          <w:i/>
        </w:rPr>
        <w:tab/>
      </w:r>
      <w:r w:rsidRPr="00E64ED3">
        <w:rPr>
          <w:rFonts w:hint="cs"/>
          <w:iCs/>
          <w:rtl/>
        </w:rPr>
        <w:t>الصفحة</w:t>
      </w:r>
    </w:p>
    <w:p w14:paraId="06973B67" w14:textId="7E214952" w:rsidR="001A356A" w:rsidRDefault="001A356A" w:rsidP="001A356A">
      <w:pPr>
        <w:pStyle w:val="TOC4"/>
        <w:rPr>
          <w:rFonts w:asciiTheme="minorHAnsi" w:hAnsiTheme="minorHAnsi" w:cstheme="minorBidi"/>
          <w:sz w:val="22"/>
          <w:szCs w:val="22"/>
          <w:rtl/>
          <w:lang w:val="en-US" w:eastAsia="zh-CN"/>
        </w:rPr>
      </w:pPr>
      <w:r w:rsidRPr="00EB65FD">
        <w:fldChar w:fldCharType="begin"/>
      </w:r>
      <w:r w:rsidRPr="00EB65FD">
        <w:instrText xml:space="preserve"> TOC \o "1-3" \h \z \t "_ H _Ch_GA;4;_ H_1_GA;5" </w:instrText>
      </w:r>
      <w:r w:rsidRPr="00EB65FD">
        <w:fldChar w:fldCharType="separate"/>
      </w:r>
      <w:hyperlink w:anchor="_Toc92899413" w:history="1">
        <w:r w:rsidRPr="00AF3116">
          <w:rPr>
            <w:rStyle w:val="Hyperlink"/>
            <w:rtl/>
          </w:rPr>
          <w:tab/>
          <w:t>أولاً</w:t>
        </w:r>
        <w:r w:rsidRPr="00AF3116">
          <w:rPr>
            <w:rStyle w:val="Hyperlink"/>
            <w:rtl/>
          </w:rPr>
          <w:tab/>
          <w:t>-</w:t>
        </w:r>
        <w:r w:rsidRPr="00AF3116">
          <w:rPr>
            <w:rStyle w:val="Hyperlink"/>
            <w:rtl/>
          </w:rPr>
          <w:tab/>
        </w:r>
        <w:r w:rsidRPr="001A356A">
          <w:rPr>
            <w:rStyle w:val="Hyperlink"/>
            <w:rtl/>
          </w:rPr>
          <w:t>معلومات</w:t>
        </w:r>
        <w:r w:rsidRPr="00AF3116">
          <w:rPr>
            <w:rStyle w:val="Hyperlink"/>
            <w:rtl/>
          </w:rPr>
          <w:t xml:space="preserve"> عامة</w:t>
        </w:r>
        <w:r>
          <w:rPr>
            <w:webHidden/>
            <w:rtl/>
          </w:rPr>
          <w:tab/>
        </w:r>
        <w:r w:rsidRPr="00AF3116">
          <w:rPr>
            <w:rStyle w:val="Hyperlink"/>
            <w:rtl/>
          </w:rPr>
          <w:tab/>
        </w:r>
        <w:r>
          <w:rPr>
            <w:rStyle w:val="Hyperlink"/>
          </w:rPr>
          <w:fldChar w:fldCharType="begin"/>
        </w:r>
        <w:r>
          <w:rPr>
            <w:webHidden/>
            <w:rtl/>
          </w:rPr>
          <w:instrText xml:space="preserve"> </w:instrText>
        </w:r>
        <w:r>
          <w:rPr>
            <w:webHidden/>
          </w:rPr>
          <w:instrText>PAGEREF</w:instrText>
        </w:r>
        <w:r>
          <w:rPr>
            <w:webHidden/>
            <w:rtl/>
          </w:rPr>
          <w:instrText xml:space="preserve"> _</w:instrText>
        </w:r>
        <w:r>
          <w:rPr>
            <w:webHidden/>
          </w:rPr>
          <w:instrText>Toc92899413 \h</w:instrText>
        </w:r>
        <w:r>
          <w:rPr>
            <w:webHidden/>
            <w:rtl/>
          </w:rPr>
          <w:instrText xml:space="preserve"> </w:instrText>
        </w:r>
        <w:r>
          <w:rPr>
            <w:rStyle w:val="Hyperlink"/>
          </w:rPr>
        </w:r>
        <w:r>
          <w:rPr>
            <w:rStyle w:val="Hyperlink"/>
          </w:rPr>
          <w:fldChar w:fldCharType="separate"/>
        </w:r>
        <w:r w:rsidR="00146491">
          <w:rPr>
            <w:webHidden/>
            <w:rtl/>
          </w:rPr>
          <w:t>3</w:t>
        </w:r>
        <w:r>
          <w:rPr>
            <w:rStyle w:val="Hyperlink"/>
          </w:rPr>
          <w:fldChar w:fldCharType="end"/>
        </w:r>
      </w:hyperlink>
    </w:p>
    <w:p w14:paraId="72CE92CA" w14:textId="34C8A513" w:rsidR="001A356A" w:rsidRDefault="00F50514">
      <w:pPr>
        <w:pStyle w:val="TOC5"/>
        <w:rPr>
          <w:rFonts w:asciiTheme="minorHAnsi" w:hAnsiTheme="minorHAnsi" w:cstheme="minorBidi"/>
          <w:sz w:val="22"/>
          <w:szCs w:val="22"/>
          <w:rtl/>
          <w:lang w:val="en-US" w:eastAsia="zh-CN"/>
        </w:rPr>
      </w:pPr>
      <w:hyperlink w:anchor="_Toc92899414" w:history="1">
        <w:r w:rsidR="001A356A" w:rsidRPr="00AF3116">
          <w:rPr>
            <w:rStyle w:val="Hyperlink"/>
            <w:rtl/>
          </w:rPr>
          <w:t>ألف</w:t>
        </w:r>
        <w:r w:rsidR="001A356A" w:rsidRPr="00AF3116">
          <w:rPr>
            <w:rStyle w:val="Hyperlink"/>
            <w:rtl/>
          </w:rPr>
          <w:tab/>
          <w:t>-</w:t>
        </w:r>
        <w:r w:rsidR="001A356A">
          <w:rPr>
            <w:rFonts w:asciiTheme="minorHAnsi" w:hAnsiTheme="minorHAnsi"/>
            <w:sz w:val="22"/>
            <w:szCs w:val="22"/>
            <w:rtl/>
            <w:lang w:val="en-US" w:eastAsia="zh-CN"/>
          </w:rPr>
          <w:tab/>
        </w:r>
        <w:r w:rsidR="001A356A" w:rsidRPr="00AF3116">
          <w:rPr>
            <w:rStyle w:val="Hyperlink"/>
            <w:rtl/>
          </w:rPr>
          <w:t>الخصائص الديمغرافية والاقتصادية والاجتماعية والثقافية</w:t>
        </w:r>
        <w:r w:rsidR="001A356A">
          <w:rPr>
            <w:webHidden/>
            <w:rtl/>
          </w:rPr>
          <w:tab/>
        </w:r>
        <w:r w:rsidR="001A356A" w:rsidRPr="00AF3116">
          <w:rPr>
            <w:rStyle w:val="Hyperlink"/>
            <w:rtl/>
          </w:rPr>
          <w:tab/>
        </w:r>
        <w:r w:rsidR="001A356A">
          <w:rPr>
            <w:rStyle w:val="Hyperlink"/>
          </w:rPr>
          <w:fldChar w:fldCharType="begin"/>
        </w:r>
        <w:r w:rsidR="001A356A">
          <w:rPr>
            <w:webHidden/>
            <w:rtl/>
          </w:rPr>
          <w:instrText xml:space="preserve"> </w:instrText>
        </w:r>
        <w:r w:rsidR="001A356A">
          <w:rPr>
            <w:webHidden/>
          </w:rPr>
          <w:instrText>PAGEREF</w:instrText>
        </w:r>
        <w:r w:rsidR="001A356A">
          <w:rPr>
            <w:webHidden/>
            <w:rtl/>
          </w:rPr>
          <w:instrText xml:space="preserve"> _</w:instrText>
        </w:r>
        <w:r w:rsidR="001A356A">
          <w:rPr>
            <w:webHidden/>
          </w:rPr>
          <w:instrText>Toc92899414 \h</w:instrText>
        </w:r>
        <w:r w:rsidR="001A356A">
          <w:rPr>
            <w:webHidden/>
            <w:rtl/>
          </w:rPr>
          <w:instrText xml:space="preserve"> </w:instrText>
        </w:r>
        <w:r w:rsidR="001A356A">
          <w:rPr>
            <w:rStyle w:val="Hyperlink"/>
          </w:rPr>
        </w:r>
        <w:r w:rsidR="001A356A">
          <w:rPr>
            <w:rStyle w:val="Hyperlink"/>
          </w:rPr>
          <w:fldChar w:fldCharType="separate"/>
        </w:r>
        <w:r w:rsidR="00146491">
          <w:rPr>
            <w:webHidden/>
            <w:rtl/>
          </w:rPr>
          <w:t>3</w:t>
        </w:r>
        <w:r w:rsidR="001A356A">
          <w:rPr>
            <w:rStyle w:val="Hyperlink"/>
          </w:rPr>
          <w:fldChar w:fldCharType="end"/>
        </w:r>
      </w:hyperlink>
    </w:p>
    <w:p w14:paraId="79E24E4F" w14:textId="50A5BDD5" w:rsidR="001A356A" w:rsidRDefault="00F50514">
      <w:pPr>
        <w:pStyle w:val="TOC5"/>
        <w:rPr>
          <w:rFonts w:asciiTheme="minorHAnsi" w:hAnsiTheme="minorHAnsi" w:cstheme="minorBidi"/>
          <w:sz w:val="22"/>
          <w:szCs w:val="22"/>
          <w:rtl/>
          <w:lang w:val="en-US" w:eastAsia="zh-CN"/>
        </w:rPr>
      </w:pPr>
      <w:hyperlink w:anchor="_Toc92899415" w:history="1">
        <w:r w:rsidR="001A356A" w:rsidRPr="00AF3116">
          <w:rPr>
            <w:rStyle w:val="Hyperlink"/>
            <w:rtl/>
          </w:rPr>
          <w:t>باء</w:t>
        </w:r>
        <w:r w:rsidR="001A356A" w:rsidRPr="00AF3116">
          <w:rPr>
            <w:rStyle w:val="Hyperlink"/>
            <w:rtl/>
          </w:rPr>
          <w:tab/>
          <w:t>-</w:t>
        </w:r>
        <w:r w:rsidR="001A356A">
          <w:rPr>
            <w:rFonts w:asciiTheme="minorHAnsi" w:hAnsiTheme="minorHAnsi"/>
            <w:sz w:val="22"/>
            <w:szCs w:val="22"/>
            <w:rtl/>
            <w:lang w:val="en-US" w:eastAsia="zh-CN"/>
          </w:rPr>
          <w:tab/>
        </w:r>
        <w:r w:rsidR="001A356A" w:rsidRPr="00AF3116">
          <w:rPr>
            <w:rStyle w:val="Hyperlink"/>
            <w:rtl/>
          </w:rPr>
          <w:t>الهيكل الدستوري والسياسي والقانوني</w:t>
        </w:r>
        <w:r w:rsidR="001A356A">
          <w:rPr>
            <w:webHidden/>
            <w:rtl/>
          </w:rPr>
          <w:tab/>
        </w:r>
        <w:r w:rsidR="001A356A" w:rsidRPr="00AF3116">
          <w:rPr>
            <w:rStyle w:val="Hyperlink"/>
            <w:rtl/>
          </w:rPr>
          <w:tab/>
        </w:r>
        <w:r w:rsidR="001A356A">
          <w:rPr>
            <w:rStyle w:val="Hyperlink"/>
          </w:rPr>
          <w:fldChar w:fldCharType="begin"/>
        </w:r>
        <w:r w:rsidR="001A356A">
          <w:rPr>
            <w:webHidden/>
            <w:rtl/>
          </w:rPr>
          <w:instrText xml:space="preserve"> </w:instrText>
        </w:r>
        <w:r w:rsidR="001A356A">
          <w:rPr>
            <w:webHidden/>
          </w:rPr>
          <w:instrText>PAGEREF</w:instrText>
        </w:r>
        <w:r w:rsidR="001A356A">
          <w:rPr>
            <w:webHidden/>
            <w:rtl/>
          </w:rPr>
          <w:instrText xml:space="preserve"> _</w:instrText>
        </w:r>
        <w:r w:rsidR="001A356A">
          <w:rPr>
            <w:webHidden/>
          </w:rPr>
          <w:instrText>Toc92899415 \h</w:instrText>
        </w:r>
        <w:r w:rsidR="001A356A">
          <w:rPr>
            <w:webHidden/>
            <w:rtl/>
          </w:rPr>
          <w:instrText xml:space="preserve"> </w:instrText>
        </w:r>
        <w:r w:rsidR="001A356A">
          <w:rPr>
            <w:rStyle w:val="Hyperlink"/>
          </w:rPr>
        </w:r>
        <w:r w:rsidR="001A356A">
          <w:rPr>
            <w:rStyle w:val="Hyperlink"/>
          </w:rPr>
          <w:fldChar w:fldCharType="separate"/>
        </w:r>
        <w:r w:rsidR="00146491">
          <w:rPr>
            <w:webHidden/>
            <w:rtl/>
          </w:rPr>
          <w:t>9</w:t>
        </w:r>
        <w:r w:rsidR="001A356A">
          <w:rPr>
            <w:rStyle w:val="Hyperlink"/>
          </w:rPr>
          <w:fldChar w:fldCharType="end"/>
        </w:r>
      </w:hyperlink>
    </w:p>
    <w:p w14:paraId="79E32182" w14:textId="79764998" w:rsidR="001A356A" w:rsidRDefault="00F50514">
      <w:pPr>
        <w:pStyle w:val="TOC4"/>
        <w:rPr>
          <w:rFonts w:asciiTheme="minorHAnsi" w:hAnsiTheme="minorHAnsi" w:cstheme="minorBidi"/>
          <w:sz w:val="22"/>
          <w:szCs w:val="22"/>
          <w:rtl/>
          <w:lang w:val="en-US" w:eastAsia="zh-CN"/>
        </w:rPr>
      </w:pPr>
      <w:hyperlink w:anchor="_Toc92899416" w:history="1">
        <w:r w:rsidR="001A356A">
          <w:rPr>
            <w:rStyle w:val="Hyperlink"/>
            <w:rtl/>
          </w:rPr>
          <w:tab/>
        </w:r>
        <w:r w:rsidR="001A356A" w:rsidRPr="00B936AA">
          <w:rPr>
            <w:rStyle w:val="Hyperlink"/>
            <w:rtl/>
          </w:rPr>
          <w:t>ثانياً</w:t>
        </w:r>
        <w:r w:rsidR="001A356A">
          <w:rPr>
            <w:rStyle w:val="Hyperlink"/>
            <w:rtl/>
          </w:rPr>
          <w:tab/>
          <w:t>-</w:t>
        </w:r>
        <w:r w:rsidR="001A356A">
          <w:rPr>
            <w:rStyle w:val="Hyperlink"/>
            <w:rtl/>
          </w:rPr>
          <w:tab/>
        </w:r>
        <w:r w:rsidR="001A356A" w:rsidRPr="00AF3116">
          <w:rPr>
            <w:rStyle w:val="Hyperlink"/>
            <w:rtl/>
          </w:rPr>
          <w:t>الإطار العام لحماية حقوق الإنسان وتعزيزها</w:t>
        </w:r>
        <w:r w:rsidR="001A356A">
          <w:rPr>
            <w:webHidden/>
            <w:rtl/>
          </w:rPr>
          <w:tab/>
        </w:r>
        <w:r w:rsidR="001A356A" w:rsidRPr="00AF3116">
          <w:rPr>
            <w:rStyle w:val="Hyperlink"/>
            <w:rtl/>
          </w:rPr>
          <w:tab/>
        </w:r>
        <w:r w:rsidR="001A356A">
          <w:rPr>
            <w:rStyle w:val="Hyperlink"/>
          </w:rPr>
          <w:fldChar w:fldCharType="begin"/>
        </w:r>
        <w:r w:rsidR="001A356A">
          <w:rPr>
            <w:webHidden/>
            <w:rtl/>
          </w:rPr>
          <w:instrText xml:space="preserve"> </w:instrText>
        </w:r>
        <w:r w:rsidR="001A356A">
          <w:rPr>
            <w:webHidden/>
          </w:rPr>
          <w:instrText>PAGEREF</w:instrText>
        </w:r>
        <w:r w:rsidR="001A356A">
          <w:rPr>
            <w:webHidden/>
            <w:rtl/>
          </w:rPr>
          <w:instrText xml:space="preserve"> _</w:instrText>
        </w:r>
        <w:r w:rsidR="001A356A">
          <w:rPr>
            <w:webHidden/>
          </w:rPr>
          <w:instrText>Toc92899416 \h</w:instrText>
        </w:r>
        <w:r w:rsidR="001A356A">
          <w:rPr>
            <w:webHidden/>
            <w:rtl/>
          </w:rPr>
          <w:instrText xml:space="preserve"> </w:instrText>
        </w:r>
        <w:r w:rsidR="001A356A">
          <w:rPr>
            <w:rStyle w:val="Hyperlink"/>
          </w:rPr>
        </w:r>
        <w:r w:rsidR="001A356A">
          <w:rPr>
            <w:rStyle w:val="Hyperlink"/>
          </w:rPr>
          <w:fldChar w:fldCharType="separate"/>
        </w:r>
        <w:r w:rsidR="00146491">
          <w:rPr>
            <w:webHidden/>
            <w:rtl/>
          </w:rPr>
          <w:t>16</w:t>
        </w:r>
        <w:r w:rsidR="001A356A">
          <w:rPr>
            <w:rStyle w:val="Hyperlink"/>
          </w:rPr>
          <w:fldChar w:fldCharType="end"/>
        </w:r>
      </w:hyperlink>
    </w:p>
    <w:p w14:paraId="19897F53" w14:textId="60B7D37F" w:rsidR="001A356A" w:rsidRDefault="00F50514">
      <w:pPr>
        <w:pStyle w:val="TOC5"/>
        <w:rPr>
          <w:rFonts w:asciiTheme="minorHAnsi" w:hAnsiTheme="minorHAnsi" w:cstheme="minorBidi"/>
          <w:sz w:val="22"/>
          <w:szCs w:val="22"/>
          <w:rtl/>
          <w:lang w:val="en-US" w:eastAsia="zh-CN"/>
        </w:rPr>
      </w:pPr>
      <w:hyperlink w:anchor="_Toc92899417" w:history="1">
        <w:r w:rsidR="001A356A" w:rsidRPr="00B936AA">
          <w:rPr>
            <w:rStyle w:val="Hyperlink"/>
            <w:rtl/>
          </w:rPr>
          <w:t>ألف</w:t>
        </w:r>
        <w:r w:rsidR="001A356A">
          <w:rPr>
            <w:rStyle w:val="Hyperlink"/>
            <w:rtl/>
          </w:rPr>
          <w:tab/>
        </w:r>
        <w:r w:rsidR="001A356A" w:rsidRPr="00B936AA">
          <w:rPr>
            <w:rStyle w:val="Hyperlink"/>
            <w:rtl/>
          </w:rPr>
          <w:t>-</w:t>
        </w:r>
        <w:r w:rsidR="001A356A">
          <w:rPr>
            <w:rFonts w:asciiTheme="minorHAnsi" w:hAnsiTheme="minorHAnsi"/>
            <w:sz w:val="22"/>
            <w:szCs w:val="22"/>
            <w:rtl/>
            <w:lang w:val="en-US" w:eastAsia="zh-CN"/>
          </w:rPr>
          <w:tab/>
        </w:r>
        <w:r w:rsidR="001A356A" w:rsidRPr="00AF3116">
          <w:rPr>
            <w:rStyle w:val="Hyperlink"/>
            <w:rtl/>
          </w:rPr>
          <w:t>قبول القواعد الدولية المتعلقة بحقوق الإنسان</w:t>
        </w:r>
        <w:r w:rsidR="001A356A">
          <w:rPr>
            <w:webHidden/>
            <w:rtl/>
          </w:rPr>
          <w:tab/>
        </w:r>
        <w:r w:rsidR="001A356A" w:rsidRPr="00AF3116">
          <w:rPr>
            <w:rStyle w:val="Hyperlink"/>
            <w:rtl/>
          </w:rPr>
          <w:tab/>
        </w:r>
        <w:r w:rsidR="001A356A">
          <w:rPr>
            <w:rStyle w:val="Hyperlink"/>
          </w:rPr>
          <w:fldChar w:fldCharType="begin"/>
        </w:r>
        <w:r w:rsidR="001A356A">
          <w:rPr>
            <w:webHidden/>
            <w:rtl/>
          </w:rPr>
          <w:instrText xml:space="preserve"> </w:instrText>
        </w:r>
        <w:r w:rsidR="001A356A">
          <w:rPr>
            <w:webHidden/>
          </w:rPr>
          <w:instrText>PAGEREF</w:instrText>
        </w:r>
        <w:r w:rsidR="001A356A">
          <w:rPr>
            <w:webHidden/>
            <w:rtl/>
          </w:rPr>
          <w:instrText xml:space="preserve"> _</w:instrText>
        </w:r>
        <w:r w:rsidR="001A356A">
          <w:rPr>
            <w:webHidden/>
          </w:rPr>
          <w:instrText>Toc92899417 \h</w:instrText>
        </w:r>
        <w:r w:rsidR="001A356A">
          <w:rPr>
            <w:webHidden/>
            <w:rtl/>
          </w:rPr>
          <w:instrText xml:space="preserve"> </w:instrText>
        </w:r>
        <w:r w:rsidR="001A356A">
          <w:rPr>
            <w:rStyle w:val="Hyperlink"/>
          </w:rPr>
        </w:r>
        <w:r w:rsidR="001A356A">
          <w:rPr>
            <w:rStyle w:val="Hyperlink"/>
          </w:rPr>
          <w:fldChar w:fldCharType="separate"/>
        </w:r>
        <w:r w:rsidR="00146491">
          <w:rPr>
            <w:webHidden/>
            <w:rtl/>
          </w:rPr>
          <w:t>16</w:t>
        </w:r>
        <w:r w:rsidR="001A356A">
          <w:rPr>
            <w:rStyle w:val="Hyperlink"/>
          </w:rPr>
          <w:fldChar w:fldCharType="end"/>
        </w:r>
      </w:hyperlink>
    </w:p>
    <w:p w14:paraId="4AE659CF" w14:textId="29613FFF" w:rsidR="001A356A" w:rsidRDefault="00F50514">
      <w:pPr>
        <w:pStyle w:val="TOC5"/>
        <w:rPr>
          <w:rFonts w:asciiTheme="minorHAnsi" w:hAnsiTheme="minorHAnsi" w:cstheme="minorBidi"/>
          <w:sz w:val="22"/>
          <w:szCs w:val="22"/>
          <w:rtl/>
          <w:lang w:val="en-US" w:eastAsia="zh-CN"/>
        </w:rPr>
      </w:pPr>
      <w:hyperlink w:anchor="_Toc92899418" w:history="1">
        <w:r w:rsidR="001A356A" w:rsidRPr="00B936AA">
          <w:rPr>
            <w:rStyle w:val="Hyperlink"/>
            <w:rtl/>
          </w:rPr>
          <w:t>باء</w:t>
        </w:r>
        <w:r w:rsidR="001A356A">
          <w:rPr>
            <w:rStyle w:val="Hyperlink"/>
            <w:rtl/>
          </w:rPr>
          <w:tab/>
        </w:r>
        <w:r w:rsidR="001A356A" w:rsidRPr="00B936AA">
          <w:rPr>
            <w:rStyle w:val="Hyperlink"/>
            <w:rtl/>
          </w:rPr>
          <w:t>-</w:t>
        </w:r>
        <w:r w:rsidR="001A356A">
          <w:rPr>
            <w:rFonts w:asciiTheme="minorHAnsi" w:hAnsiTheme="minorHAnsi"/>
            <w:sz w:val="22"/>
            <w:szCs w:val="22"/>
            <w:rtl/>
            <w:lang w:val="en-US" w:eastAsia="zh-CN"/>
          </w:rPr>
          <w:tab/>
        </w:r>
        <w:r w:rsidR="001A356A" w:rsidRPr="00AF3116">
          <w:rPr>
            <w:rStyle w:val="Hyperlink"/>
            <w:rtl/>
          </w:rPr>
          <w:t>الإطار القانوني لحماية حقوق الإنسان على الصعيد الوطني</w:t>
        </w:r>
        <w:r w:rsidR="001A356A">
          <w:rPr>
            <w:webHidden/>
            <w:rtl/>
          </w:rPr>
          <w:tab/>
        </w:r>
        <w:r w:rsidR="001A356A" w:rsidRPr="00AF3116">
          <w:rPr>
            <w:rStyle w:val="Hyperlink"/>
            <w:rtl/>
          </w:rPr>
          <w:tab/>
        </w:r>
        <w:r w:rsidR="001A356A">
          <w:rPr>
            <w:rStyle w:val="Hyperlink"/>
          </w:rPr>
          <w:fldChar w:fldCharType="begin"/>
        </w:r>
        <w:r w:rsidR="001A356A">
          <w:rPr>
            <w:webHidden/>
            <w:rtl/>
          </w:rPr>
          <w:instrText xml:space="preserve"> </w:instrText>
        </w:r>
        <w:r w:rsidR="001A356A">
          <w:rPr>
            <w:webHidden/>
          </w:rPr>
          <w:instrText>PAGEREF</w:instrText>
        </w:r>
        <w:r w:rsidR="001A356A">
          <w:rPr>
            <w:webHidden/>
            <w:rtl/>
          </w:rPr>
          <w:instrText xml:space="preserve"> _</w:instrText>
        </w:r>
        <w:r w:rsidR="001A356A">
          <w:rPr>
            <w:webHidden/>
          </w:rPr>
          <w:instrText>Toc92899418 \h</w:instrText>
        </w:r>
        <w:r w:rsidR="001A356A">
          <w:rPr>
            <w:webHidden/>
            <w:rtl/>
          </w:rPr>
          <w:instrText xml:space="preserve"> </w:instrText>
        </w:r>
        <w:r w:rsidR="001A356A">
          <w:rPr>
            <w:rStyle w:val="Hyperlink"/>
          </w:rPr>
        </w:r>
        <w:r w:rsidR="001A356A">
          <w:rPr>
            <w:rStyle w:val="Hyperlink"/>
          </w:rPr>
          <w:fldChar w:fldCharType="separate"/>
        </w:r>
        <w:r w:rsidR="00146491">
          <w:rPr>
            <w:webHidden/>
            <w:rtl/>
          </w:rPr>
          <w:t>20</w:t>
        </w:r>
        <w:r w:rsidR="001A356A">
          <w:rPr>
            <w:rStyle w:val="Hyperlink"/>
          </w:rPr>
          <w:fldChar w:fldCharType="end"/>
        </w:r>
      </w:hyperlink>
    </w:p>
    <w:p w14:paraId="02103F0F" w14:textId="3D15ACAA" w:rsidR="001A356A" w:rsidRDefault="00F50514">
      <w:pPr>
        <w:pStyle w:val="TOC5"/>
        <w:rPr>
          <w:rFonts w:asciiTheme="minorHAnsi" w:hAnsiTheme="minorHAnsi" w:cstheme="minorBidi"/>
          <w:sz w:val="22"/>
          <w:szCs w:val="22"/>
          <w:rtl/>
          <w:lang w:val="en-US" w:eastAsia="zh-CN"/>
        </w:rPr>
      </w:pPr>
      <w:hyperlink w:anchor="_Toc92899419" w:history="1">
        <w:r w:rsidR="001A356A" w:rsidRPr="00B936AA">
          <w:rPr>
            <w:rStyle w:val="Hyperlink"/>
            <w:rtl/>
          </w:rPr>
          <w:t>جيم</w:t>
        </w:r>
        <w:r w:rsidR="001A356A">
          <w:rPr>
            <w:rStyle w:val="Hyperlink"/>
            <w:rtl/>
          </w:rPr>
          <w:tab/>
        </w:r>
        <w:r w:rsidR="001A356A" w:rsidRPr="00B936AA">
          <w:rPr>
            <w:rStyle w:val="Hyperlink"/>
            <w:rtl/>
          </w:rPr>
          <w:t>-</w:t>
        </w:r>
        <w:r w:rsidR="001A356A">
          <w:rPr>
            <w:rFonts w:asciiTheme="minorHAnsi" w:hAnsiTheme="minorHAnsi"/>
            <w:sz w:val="22"/>
            <w:szCs w:val="22"/>
            <w:rtl/>
            <w:lang w:val="en-US" w:eastAsia="zh-CN"/>
          </w:rPr>
          <w:tab/>
        </w:r>
        <w:r w:rsidR="001A356A" w:rsidRPr="00AF3116">
          <w:rPr>
            <w:rStyle w:val="Hyperlink"/>
            <w:rtl/>
          </w:rPr>
          <w:t>إطار تعزيز حقوق الإنسان على الصعيد الوطني</w:t>
        </w:r>
        <w:r w:rsidR="001A356A">
          <w:rPr>
            <w:webHidden/>
            <w:rtl/>
          </w:rPr>
          <w:tab/>
        </w:r>
        <w:r w:rsidR="001A356A" w:rsidRPr="00AF3116">
          <w:rPr>
            <w:rStyle w:val="Hyperlink"/>
            <w:rtl/>
          </w:rPr>
          <w:tab/>
        </w:r>
        <w:r w:rsidR="001A356A">
          <w:rPr>
            <w:rStyle w:val="Hyperlink"/>
          </w:rPr>
          <w:fldChar w:fldCharType="begin"/>
        </w:r>
        <w:r w:rsidR="001A356A">
          <w:rPr>
            <w:webHidden/>
            <w:rtl/>
          </w:rPr>
          <w:instrText xml:space="preserve"> </w:instrText>
        </w:r>
        <w:r w:rsidR="001A356A">
          <w:rPr>
            <w:webHidden/>
          </w:rPr>
          <w:instrText>PAGEREF</w:instrText>
        </w:r>
        <w:r w:rsidR="001A356A">
          <w:rPr>
            <w:webHidden/>
            <w:rtl/>
          </w:rPr>
          <w:instrText xml:space="preserve"> _</w:instrText>
        </w:r>
        <w:r w:rsidR="001A356A">
          <w:rPr>
            <w:webHidden/>
          </w:rPr>
          <w:instrText>Toc92899419 \h</w:instrText>
        </w:r>
        <w:r w:rsidR="001A356A">
          <w:rPr>
            <w:webHidden/>
            <w:rtl/>
          </w:rPr>
          <w:instrText xml:space="preserve"> </w:instrText>
        </w:r>
        <w:r w:rsidR="001A356A">
          <w:rPr>
            <w:rStyle w:val="Hyperlink"/>
          </w:rPr>
        </w:r>
        <w:r w:rsidR="001A356A">
          <w:rPr>
            <w:rStyle w:val="Hyperlink"/>
          </w:rPr>
          <w:fldChar w:fldCharType="separate"/>
        </w:r>
        <w:r w:rsidR="00146491">
          <w:rPr>
            <w:webHidden/>
            <w:rtl/>
          </w:rPr>
          <w:t>30</w:t>
        </w:r>
        <w:r w:rsidR="001A356A">
          <w:rPr>
            <w:rStyle w:val="Hyperlink"/>
          </w:rPr>
          <w:fldChar w:fldCharType="end"/>
        </w:r>
      </w:hyperlink>
    </w:p>
    <w:p w14:paraId="444FC24B" w14:textId="738AF308" w:rsidR="001A356A" w:rsidRDefault="00F50514">
      <w:pPr>
        <w:pStyle w:val="TOC5"/>
        <w:rPr>
          <w:rFonts w:asciiTheme="minorHAnsi" w:hAnsiTheme="minorHAnsi" w:cstheme="minorBidi"/>
          <w:sz w:val="22"/>
          <w:szCs w:val="22"/>
          <w:rtl/>
          <w:lang w:val="en-US" w:eastAsia="zh-CN"/>
        </w:rPr>
      </w:pPr>
      <w:hyperlink w:anchor="_Toc92899420" w:history="1">
        <w:r w:rsidR="001A356A" w:rsidRPr="00B936AA">
          <w:rPr>
            <w:rStyle w:val="Hyperlink"/>
            <w:rtl/>
          </w:rPr>
          <w:t>دال</w:t>
        </w:r>
        <w:r w:rsidR="001A356A">
          <w:rPr>
            <w:rStyle w:val="Hyperlink"/>
            <w:rtl/>
          </w:rPr>
          <w:tab/>
        </w:r>
        <w:r w:rsidR="001A356A" w:rsidRPr="00B936AA">
          <w:rPr>
            <w:rStyle w:val="Hyperlink"/>
            <w:rtl/>
          </w:rPr>
          <w:t>-</w:t>
        </w:r>
        <w:r w:rsidR="001A356A">
          <w:rPr>
            <w:rFonts w:asciiTheme="minorHAnsi" w:hAnsiTheme="minorHAnsi"/>
            <w:sz w:val="22"/>
            <w:szCs w:val="22"/>
            <w:rtl/>
            <w:lang w:val="en-US" w:eastAsia="zh-CN"/>
          </w:rPr>
          <w:tab/>
        </w:r>
        <w:r w:rsidR="001A356A" w:rsidRPr="00AF3116">
          <w:rPr>
            <w:rStyle w:val="Hyperlink"/>
            <w:rtl/>
          </w:rPr>
          <w:t>عملية تقديم التقارير إلى الأمم المتحدة على الصعيد الوطني</w:t>
        </w:r>
        <w:r w:rsidR="001A356A">
          <w:rPr>
            <w:webHidden/>
            <w:rtl/>
          </w:rPr>
          <w:tab/>
        </w:r>
        <w:r w:rsidR="001A356A" w:rsidRPr="00AF3116">
          <w:rPr>
            <w:rStyle w:val="Hyperlink"/>
            <w:rtl/>
          </w:rPr>
          <w:tab/>
        </w:r>
        <w:r w:rsidR="001A356A">
          <w:rPr>
            <w:rStyle w:val="Hyperlink"/>
          </w:rPr>
          <w:fldChar w:fldCharType="begin"/>
        </w:r>
        <w:r w:rsidR="001A356A">
          <w:rPr>
            <w:webHidden/>
            <w:rtl/>
          </w:rPr>
          <w:instrText xml:space="preserve"> </w:instrText>
        </w:r>
        <w:r w:rsidR="001A356A">
          <w:rPr>
            <w:webHidden/>
          </w:rPr>
          <w:instrText>PAGEREF</w:instrText>
        </w:r>
        <w:r w:rsidR="001A356A">
          <w:rPr>
            <w:webHidden/>
            <w:rtl/>
          </w:rPr>
          <w:instrText xml:space="preserve"> _</w:instrText>
        </w:r>
        <w:r w:rsidR="001A356A">
          <w:rPr>
            <w:webHidden/>
          </w:rPr>
          <w:instrText>Toc92899420 \h</w:instrText>
        </w:r>
        <w:r w:rsidR="001A356A">
          <w:rPr>
            <w:webHidden/>
            <w:rtl/>
          </w:rPr>
          <w:instrText xml:space="preserve"> </w:instrText>
        </w:r>
        <w:r w:rsidR="001A356A">
          <w:rPr>
            <w:rStyle w:val="Hyperlink"/>
          </w:rPr>
        </w:r>
        <w:r w:rsidR="001A356A">
          <w:rPr>
            <w:rStyle w:val="Hyperlink"/>
          </w:rPr>
          <w:fldChar w:fldCharType="separate"/>
        </w:r>
        <w:r w:rsidR="00146491">
          <w:rPr>
            <w:webHidden/>
            <w:rtl/>
          </w:rPr>
          <w:t>35</w:t>
        </w:r>
        <w:r w:rsidR="001A356A">
          <w:rPr>
            <w:rStyle w:val="Hyperlink"/>
          </w:rPr>
          <w:fldChar w:fldCharType="end"/>
        </w:r>
      </w:hyperlink>
    </w:p>
    <w:p w14:paraId="42DD98A8" w14:textId="44917FBA" w:rsidR="001A356A" w:rsidRDefault="00F50514">
      <w:pPr>
        <w:pStyle w:val="TOC4"/>
        <w:rPr>
          <w:rFonts w:asciiTheme="minorHAnsi" w:hAnsiTheme="minorHAnsi" w:cstheme="minorBidi"/>
          <w:sz w:val="22"/>
          <w:szCs w:val="22"/>
          <w:rtl/>
          <w:lang w:val="en-US" w:eastAsia="zh-CN"/>
        </w:rPr>
      </w:pPr>
      <w:hyperlink w:anchor="_Toc92899421" w:history="1">
        <w:r w:rsidR="001A356A">
          <w:rPr>
            <w:rStyle w:val="Hyperlink"/>
            <w:rtl/>
          </w:rPr>
          <w:tab/>
        </w:r>
        <w:r w:rsidR="001A356A" w:rsidRPr="00B936AA">
          <w:rPr>
            <w:rStyle w:val="Hyperlink"/>
            <w:rtl/>
          </w:rPr>
          <w:t>ثالثاً</w:t>
        </w:r>
        <w:r w:rsidR="001A356A">
          <w:rPr>
            <w:rStyle w:val="Hyperlink"/>
            <w:rtl/>
          </w:rPr>
          <w:tab/>
          <w:t>-</w:t>
        </w:r>
        <w:r w:rsidR="001A356A">
          <w:rPr>
            <w:rStyle w:val="Hyperlink"/>
            <w:rtl/>
          </w:rPr>
          <w:tab/>
        </w:r>
        <w:r w:rsidR="001A356A" w:rsidRPr="00B936AA">
          <w:rPr>
            <w:rStyle w:val="Hyperlink"/>
            <w:rtl/>
          </w:rPr>
          <w:t>تنفيذ أحكام حقوق الإنسان الموضوعية</w:t>
        </w:r>
        <w:r w:rsidR="001A356A">
          <w:rPr>
            <w:webHidden/>
            <w:rtl/>
          </w:rPr>
          <w:tab/>
        </w:r>
        <w:r w:rsidR="001A356A">
          <w:rPr>
            <w:rStyle w:val="Hyperlink"/>
            <w:rtl/>
          </w:rPr>
          <w:tab/>
        </w:r>
        <w:r w:rsidR="001A356A">
          <w:rPr>
            <w:rStyle w:val="Hyperlink"/>
          </w:rPr>
          <w:fldChar w:fldCharType="begin"/>
        </w:r>
        <w:r w:rsidR="001A356A">
          <w:rPr>
            <w:webHidden/>
            <w:rtl/>
          </w:rPr>
          <w:instrText xml:space="preserve"> </w:instrText>
        </w:r>
        <w:r w:rsidR="001A356A">
          <w:rPr>
            <w:webHidden/>
          </w:rPr>
          <w:instrText>PAGEREF</w:instrText>
        </w:r>
        <w:r w:rsidR="001A356A">
          <w:rPr>
            <w:webHidden/>
            <w:rtl/>
          </w:rPr>
          <w:instrText xml:space="preserve"> _</w:instrText>
        </w:r>
        <w:r w:rsidR="001A356A">
          <w:rPr>
            <w:webHidden/>
          </w:rPr>
          <w:instrText>Toc92899421 \h</w:instrText>
        </w:r>
        <w:r w:rsidR="001A356A">
          <w:rPr>
            <w:webHidden/>
            <w:rtl/>
          </w:rPr>
          <w:instrText xml:space="preserve"> </w:instrText>
        </w:r>
        <w:r w:rsidR="001A356A">
          <w:rPr>
            <w:rStyle w:val="Hyperlink"/>
          </w:rPr>
        </w:r>
        <w:r w:rsidR="001A356A">
          <w:rPr>
            <w:rStyle w:val="Hyperlink"/>
          </w:rPr>
          <w:fldChar w:fldCharType="separate"/>
        </w:r>
        <w:r w:rsidR="00146491">
          <w:rPr>
            <w:webHidden/>
            <w:rtl/>
          </w:rPr>
          <w:t>36</w:t>
        </w:r>
        <w:r w:rsidR="001A356A">
          <w:rPr>
            <w:rStyle w:val="Hyperlink"/>
          </w:rPr>
          <w:fldChar w:fldCharType="end"/>
        </w:r>
      </w:hyperlink>
    </w:p>
    <w:p w14:paraId="4A36349B" w14:textId="0A23AE49" w:rsidR="001A356A" w:rsidRDefault="00F50514">
      <w:pPr>
        <w:pStyle w:val="TOC5"/>
        <w:rPr>
          <w:rFonts w:asciiTheme="minorHAnsi" w:hAnsiTheme="minorHAnsi" w:cstheme="minorBidi"/>
          <w:sz w:val="22"/>
          <w:szCs w:val="22"/>
          <w:rtl/>
          <w:lang w:val="en-US" w:eastAsia="zh-CN"/>
        </w:rPr>
      </w:pPr>
      <w:hyperlink w:anchor="_Toc92899422" w:history="1">
        <w:r w:rsidR="001A356A" w:rsidRPr="00B936AA">
          <w:rPr>
            <w:rStyle w:val="Hyperlink"/>
            <w:rtl/>
          </w:rPr>
          <w:t>ألف</w:t>
        </w:r>
        <w:r w:rsidR="001A356A">
          <w:rPr>
            <w:rStyle w:val="Hyperlink"/>
            <w:rtl/>
          </w:rPr>
          <w:tab/>
        </w:r>
        <w:r w:rsidR="001A356A" w:rsidRPr="00B936AA">
          <w:rPr>
            <w:rStyle w:val="Hyperlink"/>
            <w:rtl/>
          </w:rPr>
          <w:t>-</w:t>
        </w:r>
        <w:r w:rsidR="001A356A">
          <w:rPr>
            <w:rFonts w:asciiTheme="minorHAnsi" w:hAnsiTheme="minorHAnsi"/>
            <w:sz w:val="22"/>
            <w:szCs w:val="22"/>
            <w:rtl/>
            <w:lang w:val="en-US" w:eastAsia="zh-CN"/>
          </w:rPr>
          <w:tab/>
        </w:r>
        <w:r w:rsidR="001A356A" w:rsidRPr="00B936AA">
          <w:rPr>
            <w:rStyle w:val="Hyperlink"/>
            <w:rtl/>
          </w:rPr>
          <w:t>عدم التمييز والمساواة</w:t>
        </w:r>
        <w:r w:rsidR="001A356A">
          <w:rPr>
            <w:webHidden/>
            <w:rtl/>
          </w:rPr>
          <w:tab/>
        </w:r>
        <w:r w:rsidR="001A356A">
          <w:rPr>
            <w:rStyle w:val="Hyperlink"/>
            <w:rtl/>
          </w:rPr>
          <w:tab/>
        </w:r>
        <w:r w:rsidR="001A356A">
          <w:rPr>
            <w:rStyle w:val="Hyperlink"/>
          </w:rPr>
          <w:fldChar w:fldCharType="begin"/>
        </w:r>
        <w:r w:rsidR="001A356A">
          <w:rPr>
            <w:webHidden/>
            <w:rtl/>
          </w:rPr>
          <w:instrText xml:space="preserve"> </w:instrText>
        </w:r>
        <w:r w:rsidR="001A356A">
          <w:rPr>
            <w:webHidden/>
          </w:rPr>
          <w:instrText>PAGEREF</w:instrText>
        </w:r>
        <w:r w:rsidR="001A356A">
          <w:rPr>
            <w:webHidden/>
            <w:rtl/>
          </w:rPr>
          <w:instrText xml:space="preserve"> _</w:instrText>
        </w:r>
        <w:r w:rsidR="001A356A">
          <w:rPr>
            <w:webHidden/>
          </w:rPr>
          <w:instrText>Toc92899422 \h</w:instrText>
        </w:r>
        <w:r w:rsidR="001A356A">
          <w:rPr>
            <w:webHidden/>
            <w:rtl/>
          </w:rPr>
          <w:instrText xml:space="preserve"> </w:instrText>
        </w:r>
        <w:r w:rsidR="001A356A">
          <w:rPr>
            <w:rStyle w:val="Hyperlink"/>
          </w:rPr>
        </w:r>
        <w:r w:rsidR="001A356A">
          <w:rPr>
            <w:rStyle w:val="Hyperlink"/>
          </w:rPr>
          <w:fldChar w:fldCharType="separate"/>
        </w:r>
        <w:r w:rsidR="00146491">
          <w:rPr>
            <w:webHidden/>
            <w:rtl/>
          </w:rPr>
          <w:t>36</w:t>
        </w:r>
        <w:r w:rsidR="001A356A">
          <w:rPr>
            <w:rStyle w:val="Hyperlink"/>
          </w:rPr>
          <w:fldChar w:fldCharType="end"/>
        </w:r>
      </w:hyperlink>
    </w:p>
    <w:p w14:paraId="1C8CF467" w14:textId="65CB69E5" w:rsidR="001A356A" w:rsidRDefault="00F50514">
      <w:pPr>
        <w:pStyle w:val="TOC5"/>
        <w:rPr>
          <w:rFonts w:asciiTheme="minorHAnsi" w:hAnsiTheme="minorHAnsi" w:cstheme="minorBidi"/>
          <w:sz w:val="22"/>
          <w:szCs w:val="22"/>
          <w:rtl/>
          <w:lang w:val="en-US" w:eastAsia="zh-CN"/>
        </w:rPr>
      </w:pPr>
      <w:hyperlink w:anchor="_Toc92899423" w:history="1">
        <w:r w:rsidR="001A356A" w:rsidRPr="00B936AA">
          <w:rPr>
            <w:rStyle w:val="Hyperlink"/>
            <w:rtl/>
          </w:rPr>
          <w:t>باء</w:t>
        </w:r>
        <w:r w:rsidR="001A356A">
          <w:rPr>
            <w:rStyle w:val="Hyperlink"/>
            <w:rtl/>
          </w:rPr>
          <w:tab/>
        </w:r>
        <w:r w:rsidR="001A356A" w:rsidRPr="00B936AA">
          <w:rPr>
            <w:rStyle w:val="Hyperlink"/>
            <w:rtl/>
          </w:rPr>
          <w:t>-</w:t>
        </w:r>
        <w:r w:rsidR="001A356A">
          <w:rPr>
            <w:rFonts w:asciiTheme="minorHAnsi" w:hAnsiTheme="minorHAnsi"/>
            <w:sz w:val="22"/>
            <w:szCs w:val="22"/>
            <w:rtl/>
            <w:lang w:val="en-US" w:eastAsia="zh-CN"/>
          </w:rPr>
          <w:tab/>
        </w:r>
        <w:r w:rsidR="001A356A" w:rsidRPr="00B936AA">
          <w:rPr>
            <w:rStyle w:val="Hyperlink"/>
            <w:rtl/>
          </w:rPr>
          <w:t>سبل الانتصاف الفعالة</w:t>
        </w:r>
        <w:r w:rsidR="001A356A">
          <w:rPr>
            <w:webHidden/>
            <w:rtl/>
          </w:rPr>
          <w:tab/>
        </w:r>
        <w:r w:rsidR="001A356A">
          <w:rPr>
            <w:rStyle w:val="Hyperlink"/>
            <w:rtl/>
          </w:rPr>
          <w:tab/>
        </w:r>
        <w:r w:rsidR="001A356A">
          <w:rPr>
            <w:rStyle w:val="Hyperlink"/>
          </w:rPr>
          <w:fldChar w:fldCharType="begin"/>
        </w:r>
        <w:r w:rsidR="001A356A">
          <w:rPr>
            <w:webHidden/>
            <w:rtl/>
          </w:rPr>
          <w:instrText xml:space="preserve"> </w:instrText>
        </w:r>
        <w:r w:rsidR="001A356A">
          <w:rPr>
            <w:webHidden/>
          </w:rPr>
          <w:instrText>PAGEREF</w:instrText>
        </w:r>
        <w:r w:rsidR="001A356A">
          <w:rPr>
            <w:webHidden/>
            <w:rtl/>
          </w:rPr>
          <w:instrText xml:space="preserve"> _</w:instrText>
        </w:r>
        <w:r w:rsidR="001A356A">
          <w:rPr>
            <w:webHidden/>
          </w:rPr>
          <w:instrText>Toc92899423 \h</w:instrText>
        </w:r>
        <w:r w:rsidR="001A356A">
          <w:rPr>
            <w:webHidden/>
            <w:rtl/>
          </w:rPr>
          <w:instrText xml:space="preserve"> </w:instrText>
        </w:r>
        <w:r w:rsidR="001A356A">
          <w:rPr>
            <w:rStyle w:val="Hyperlink"/>
          </w:rPr>
        </w:r>
        <w:r w:rsidR="001A356A">
          <w:rPr>
            <w:rStyle w:val="Hyperlink"/>
          </w:rPr>
          <w:fldChar w:fldCharType="separate"/>
        </w:r>
        <w:r w:rsidR="00146491">
          <w:rPr>
            <w:webHidden/>
            <w:rtl/>
          </w:rPr>
          <w:t>38</w:t>
        </w:r>
        <w:r w:rsidR="001A356A">
          <w:rPr>
            <w:rStyle w:val="Hyperlink"/>
          </w:rPr>
          <w:fldChar w:fldCharType="end"/>
        </w:r>
      </w:hyperlink>
    </w:p>
    <w:p w14:paraId="6688E1F1" w14:textId="6883D219" w:rsidR="001A356A" w:rsidRDefault="00F50514">
      <w:pPr>
        <w:pStyle w:val="TOC5"/>
        <w:rPr>
          <w:rFonts w:asciiTheme="minorHAnsi" w:hAnsiTheme="minorHAnsi" w:cstheme="minorBidi"/>
          <w:sz w:val="22"/>
          <w:szCs w:val="22"/>
          <w:rtl/>
          <w:lang w:val="en-US" w:eastAsia="zh-CN"/>
        </w:rPr>
      </w:pPr>
      <w:hyperlink w:anchor="_Toc92899424" w:history="1">
        <w:r w:rsidR="001A356A" w:rsidRPr="00B936AA">
          <w:rPr>
            <w:rStyle w:val="Hyperlink"/>
            <w:rtl/>
          </w:rPr>
          <w:t>جيم</w:t>
        </w:r>
        <w:r w:rsidR="001A356A">
          <w:rPr>
            <w:rStyle w:val="Hyperlink"/>
            <w:rtl/>
          </w:rPr>
          <w:tab/>
        </w:r>
        <w:r w:rsidR="001A356A" w:rsidRPr="00B936AA">
          <w:rPr>
            <w:rStyle w:val="Hyperlink"/>
            <w:rtl/>
          </w:rPr>
          <w:t>-</w:t>
        </w:r>
        <w:r w:rsidR="001A356A">
          <w:rPr>
            <w:rFonts w:asciiTheme="minorHAnsi" w:hAnsiTheme="minorHAnsi"/>
            <w:sz w:val="22"/>
            <w:szCs w:val="22"/>
            <w:rtl/>
            <w:lang w:val="en-US" w:eastAsia="zh-CN"/>
          </w:rPr>
          <w:tab/>
        </w:r>
        <w:r w:rsidR="001A356A" w:rsidRPr="00B936AA">
          <w:rPr>
            <w:rStyle w:val="Hyperlink"/>
            <w:rtl/>
          </w:rPr>
          <w:t>الضمانات الإجرائية</w:t>
        </w:r>
        <w:r w:rsidR="001A356A">
          <w:rPr>
            <w:webHidden/>
            <w:rtl/>
          </w:rPr>
          <w:tab/>
        </w:r>
        <w:r w:rsidR="001A356A">
          <w:rPr>
            <w:rStyle w:val="Hyperlink"/>
            <w:rtl/>
          </w:rPr>
          <w:tab/>
        </w:r>
        <w:r w:rsidR="001A356A">
          <w:rPr>
            <w:rStyle w:val="Hyperlink"/>
          </w:rPr>
          <w:fldChar w:fldCharType="begin"/>
        </w:r>
        <w:r w:rsidR="001A356A">
          <w:rPr>
            <w:webHidden/>
            <w:rtl/>
          </w:rPr>
          <w:instrText xml:space="preserve"> </w:instrText>
        </w:r>
        <w:r w:rsidR="001A356A">
          <w:rPr>
            <w:webHidden/>
          </w:rPr>
          <w:instrText>PAGEREF</w:instrText>
        </w:r>
        <w:r w:rsidR="001A356A">
          <w:rPr>
            <w:webHidden/>
            <w:rtl/>
          </w:rPr>
          <w:instrText xml:space="preserve"> _</w:instrText>
        </w:r>
        <w:r w:rsidR="001A356A">
          <w:rPr>
            <w:webHidden/>
          </w:rPr>
          <w:instrText>Toc92899424 \h</w:instrText>
        </w:r>
        <w:r w:rsidR="001A356A">
          <w:rPr>
            <w:webHidden/>
            <w:rtl/>
          </w:rPr>
          <w:instrText xml:space="preserve"> </w:instrText>
        </w:r>
        <w:r w:rsidR="001A356A">
          <w:rPr>
            <w:rStyle w:val="Hyperlink"/>
          </w:rPr>
        </w:r>
        <w:r w:rsidR="001A356A">
          <w:rPr>
            <w:rStyle w:val="Hyperlink"/>
          </w:rPr>
          <w:fldChar w:fldCharType="separate"/>
        </w:r>
        <w:r w:rsidR="00146491">
          <w:rPr>
            <w:webHidden/>
            <w:rtl/>
          </w:rPr>
          <w:t>38</w:t>
        </w:r>
        <w:r w:rsidR="001A356A">
          <w:rPr>
            <w:rStyle w:val="Hyperlink"/>
          </w:rPr>
          <w:fldChar w:fldCharType="end"/>
        </w:r>
      </w:hyperlink>
    </w:p>
    <w:p w14:paraId="2C50C22E" w14:textId="42D51BB5" w:rsidR="001A356A" w:rsidRDefault="00F50514">
      <w:pPr>
        <w:pStyle w:val="TOC5"/>
        <w:rPr>
          <w:rFonts w:asciiTheme="minorHAnsi" w:hAnsiTheme="minorHAnsi" w:cstheme="minorBidi"/>
          <w:sz w:val="22"/>
          <w:szCs w:val="22"/>
          <w:rtl/>
          <w:lang w:val="en-US" w:eastAsia="zh-CN"/>
        </w:rPr>
      </w:pPr>
      <w:hyperlink w:anchor="_Toc92899425" w:history="1">
        <w:r w:rsidR="001A356A" w:rsidRPr="00B936AA">
          <w:rPr>
            <w:rStyle w:val="Hyperlink"/>
            <w:rtl/>
          </w:rPr>
          <w:t>دال</w:t>
        </w:r>
        <w:r w:rsidR="001A356A">
          <w:rPr>
            <w:rStyle w:val="Hyperlink"/>
            <w:rtl/>
          </w:rPr>
          <w:tab/>
        </w:r>
        <w:r w:rsidR="001A356A" w:rsidRPr="00B936AA">
          <w:rPr>
            <w:rStyle w:val="Hyperlink"/>
            <w:rtl/>
          </w:rPr>
          <w:t>-</w:t>
        </w:r>
        <w:r w:rsidR="001A356A">
          <w:rPr>
            <w:rFonts w:asciiTheme="minorHAnsi" w:hAnsiTheme="minorHAnsi"/>
            <w:sz w:val="22"/>
            <w:szCs w:val="22"/>
            <w:rtl/>
            <w:lang w:val="en-US" w:eastAsia="zh-CN"/>
          </w:rPr>
          <w:tab/>
        </w:r>
        <w:r w:rsidR="001A356A" w:rsidRPr="00B936AA">
          <w:rPr>
            <w:rStyle w:val="Hyperlink"/>
            <w:rtl/>
          </w:rPr>
          <w:t>المشاركة في الحياة العامة</w:t>
        </w:r>
        <w:r w:rsidR="001A356A">
          <w:rPr>
            <w:webHidden/>
            <w:rtl/>
          </w:rPr>
          <w:tab/>
        </w:r>
        <w:r w:rsidR="001A356A">
          <w:rPr>
            <w:rStyle w:val="Hyperlink"/>
            <w:rtl/>
          </w:rPr>
          <w:tab/>
        </w:r>
        <w:r w:rsidR="001A356A">
          <w:rPr>
            <w:rStyle w:val="Hyperlink"/>
          </w:rPr>
          <w:fldChar w:fldCharType="begin"/>
        </w:r>
        <w:r w:rsidR="001A356A">
          <w:rPr>
            <w:webHidden/>
            <w:rtl/>
          </w:rPr>
          <w:instrText xml:space="preserve"> </w:instrText>
        </w:r>
        <w:r w:rsidR="001A356A">
          <w:rPr>
            <w:webHidden/>
          </w:rPr>
          <w:instrText>PAGEREF</w:instrText>
        </w:r>
        <w:r w:rsidR="001A356A">
          <w:rPr>
            <w:webHidden/>
            <w:rtl/>
          </w:rPr>
          <w:instrText xml:space="preserve"> _</w:instrText>
        </w:r>
        <w:r w:rsidR="001A356A">
          <w:rPr>
            <w:webHidden/>
          </w:rPr>
          <w:instrText>Toc92899425 \h</w:instrText>
        </w:r>
        <w:r w:rsidR="001A356A">
          <w:rPr>
            <w:webHidden/>
            <w:rtl/>
          </w:rPr>
          <w:instrText xml:space="preserve"> </w:instrText>
        </w:r>
        <w:r w:rsidR="001A356A">
          <w:rPr>
            <w:rStyle w:val="Hyperlink"/>
          </w:rPr>
        </w:r>
        <w:r w:rsidR="001A356A">
          <w:rPr>
            <w:rStyle w:val="Hyperlink"/>
          </w:rPr>
          <w:fldChar w:fldCharType="separate"/>
        </w:r>
        <w:r w:rsidR="00146491">
          <w:rPr>
            <w:webHidden/>
            <w:rtl/>
          </w:rPr>
          <w:t>38</w:t>
        </w:r>
        <w:r w:rsidR="001A356A">
          <w:rPr>
            <w:rStyle w:val="Hyperlink"/>
          </w:rPr>
          <w:fldChar w:fldCharType="end"/>
        </w:r>
      </w:hyperlink>
    </w:p>
    <w:p w14:paraId="76839F86" w14:textId="31361A35" w:rsidR="001A356A" w:rsidRPr="00EB65FD" w:rsidRDefault="001A356A" w:rsidP="004D0C38">
      <w:pPr>
        <w:pStyle w:val="TOC4"/>
        <w:rPr>
          <w:rtl/>
        </w:rPr>
      </w:pPr>
      <w:r w:rsidRPr="00EB65FD">
        <w:fldChar w:fldCharType="end"/>
      </w:r>
    </w:p>
    <w:p w14:paraId="2C1823B4" w14:textId="423A26C5" w:rsidR="00DE3D9F" w:rsidRPr="00AF3116" w:rsidRDefault="00DE3D9F" w:rsidP="001C785F">
      <w:pPr>
        <w:pStyle w:val="HChGA"/>
        <w:spacing w:before="120"/>
        <w:ind w:hanging="680"/>
        <w:rPr>
          <w:lang w:val="ar-SA" w:eastAsia="zh-TW" w:bidi="en-GB"/>
        </w:rPr>
      </w:pPr>
      <w:r w:rsidRPr="00AF3116">
        <w:rPr>
          <w:rtl/>
          <w:lang w:val="en-US"/>
        </w:rPr>
        <w:br w:type="page"/>
      </w:r>
      <w:bookmarkStart w:id="2" w:name="_Toc92899413"/>
      <w:r w:rsidRPr="00AF3116">
        <w:rPr>
          <w:rtl/>
        </w:rPr>
        <w:lastRenderedPageBreak/>
        <w:t>أولا</w:t>
      </w:r>
      <w:r w:rsidRPr="00AF3116">
        <w:rPr>
          <w:rFonts w:hint="cs"/>
          <w:rtl/>
        </w:rPr>
        <w:t>ً</w:t>
      </w:r>
      <w:r w:rsidRPr="00AF3116">
        <w:rPr>
          <w:rtl/>
        </w:rPr>
        <w:t>-</w:t>
      </w:r>
      <w:r w:rsidR="00AD7242" w:rsidRPr="00AF3116">
        <w:rPr>
          <w:rtl/>
        </w:rPr>
        <w:tab/>
      </w:r>
      <w:r w:rsidRPr="00AF3116">
        <w:rPr>
          <w:rtl/>
        </w:rPr>
        <w:t>معلومات عامة</w:t>
      </w:r>
      <w:bookmarkStart w:id="3" w:name="_Toc89701532"/>
      <w:bookmarkEnd w:id="3"/>
      <w:bookmarkEnd w:id="2"/>
    </w:p>
    <w:p w14:paraId="351E75ED" w14:textId="77777777" w:rsidR="00DE3D9F" w:rsidRPr="001B6C67" w:rsidRDefault="00DE3D9F" w:rsidP="00DE3D9F">
      <w:pPr>
        <w:pStyle w:val="SingleTxtGA"/>
        <w:rPr>
          <w:lang w:val="ar-SA" w:eastAsia="zh-TW" w:bidi="en-GB"/>
        </w:rPr>
      </w:pPr>
      <w:r w:rsidRPr="00AF3116">
        <w:rPr>
          <w:rtl/>
        </w:rPr>
        <w:t>1</w:t>
      </w:r>
      <w:r w:rsidRPr="001B6C67">
        <w:rPr>
          <w:rtl/>
        </w:rPr>
        <w:t>-</w:t>
      </w:r>
      <w:r w:rsidRPr="001B6C67">
        <w:rPr>
          <w:rtl/>
        </w:rPr>
        <w:tab/>
        <w:t xml:space="preserve">تم تحديث هذه الوثيقة </w:t>
      </w:r>
      <w:r>
        <w:rPr>
          <w:rtl/>
        </w:rPr>
        <w:t>بالاستناد إلى</w:t>
      </w:r>
      <w:r w:rsidRPr="001B6C67">
        <w:rPr>
          <w:rtl/>
        </w:rPr>
        <w:t xml:space="preserve"> الوثيقة الأساسية المشتركة السابقة التي تشكل جزءاً من تقارير تايلند (</w:t>
      </w:r>
      <w:r w:rsidRPr="001B6C67">
        <w:t>HRI/CORE/THA/</w:t>
      </w:r>
      <w:r w:rsidRPr="00AF3116">
        <w:t>2012</w:t>
      </w:r>
      <w:r w:rsidRPr="001B6C67">
        <w:rPr>
          <w:rtl/>
        </w:rPr>
        <w:t>). وأُعِدت وفقاً للمبادئ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w:t>
      </w:r>
      <w:r w:rsidRPr="001B6C67">
        <w:t>HRI/GEN/</w:t>
      </w:r>
      <w:r w:rsidRPr="00AF3116">
        <w:t>2</w:t>
      </w:r>
      <w:r w:rsidRPr="001B6C67">
        <w:t>/Rev.</w:t>
      </w:r>
      <w:r w:rsidRPr="00AF3116">
        <w:t>6</w:t>
      </w:r>
      <w:r w:rsidRPr="001B6C67">
        <w:rPr>
          <w:rtl/>
        </w:rPr>
        <w:t>).</w:t>
      </w:r>
    </w:p>
    <w:p w14:paraId="6C9ECE26" w14:textId="77777777" w:rsidR="00DE3D9F" w:rsidRPr="001B6C67" w:rsidRDefault="00DE3D9F" w:rsidP="00DE3D9F">
      <w:pPr>
        <w:pStyle w:val="SingleTxtGA"/>
        <w:rPr>
          <w:lang w:val="ar-SA" w:eastAsia="zh-TW" w:bidi="en-GB"/>
        </w:rPr>
      </w:pPr>
      <w:r w:rsidRPr="00AF3116">
        <w:rPr>
          <w:rtl/>
        </w:rPr>
        <w:t>2</w:t>
      </w:r>
      <w:r w:rsidRPr="001B6C67">
        <w:rPr>
          <w:rtl/>
        </w:rPr>
        <w:t>-</w:t>
      </w:r>
      <w:r w:rsidRPr="001B6C67">
        <w:rPr>
          <w:rtl/>
        </w:rPr>
        <w:tab/>
      </w:r>
      <w:r>
        <w:rPr>
          <w:rtl/>
        </w:rPr>
        <w:t>و</w:t>
      </w:r>
      <w:r w:rsidRPr="001B6C67">
        <w:rPr>
          <w:rtl/>
        </w:rPr>
        <w:t xml:space="preserve">عقد الفريق العامل المعني بالوثيقة الأساسية الموحدة لتايلاند، الذي أنشأته وزارة العدل ويضم جميع الوكالات الحكومية ذات الصلة، واللجنة الوطنية لحقوق الإنسان في تايلاند، وخبراء في مجال حقوق الإنسان سلسلة من الاجتماعات منذ آذار/مارس </w:t>
      </w:r>
      <w:r w:rsidRPr="00AF3116">
        <w:rPr>
          <w:rtl/>
        </w:rPr>
        <w:t>2019</w:t>
      </w:r>
      <w:r w:rsidRPr="001B6C67">
        <w:rPr>
          <w:rtl/>
        </w:rPr>
        <w:t xml:space="preserve">. ووُضِعت هذه الوثيقة في صيغتها النهائية في تموز/يوليه </w:t>
      </w:r>
      <w:r w:rsidRPr="00AF3116">
        <w:rPr>
          <w:rtl/>
        </w:rPr>
        <w:t>2020</w:t>
      </w:r>
      <w:r w:rsidRPr="001B6C67">
        <w:rPr>
          <w:rtl/>
        </w:rPr>
        <w:t>.</w:t>
      </w:r>
    </w:p>
    <w:p w14:paraId="23578BD5" w14:textId="7F4C3BC5" w:rsidR="00DE3D9F" w:rsidRPr="00AF3116" w:rsidRDefault="00AD7242" w:rsidP="00AD7242">
      <w:pPr>
        <w:pStyle w:val="H1GA"/>
        <w:rPr>
          <w:lang w:val="ar-SA" w:eastAsia="zh-TW" w:bidi="en-GB"/>
        </w:rPr>
      </w:pPr>
      <w:r w:rsidRPr="00AF3116">
        <w:rPr>
          <w:rtl/>
        </w:rPr>
        <w:tab/>
      </w:r>
      <w:bookmarkStart w:id="4" w:name="_Toc92899414"/>
      <w:r w:rsidR="00DE3D9F" w:rsidRPr="00AF3116">
        <w:rPr>
          <w:rtl/>
        </w:rPr>
        <w:t>ألف-</w:t>
      </w:r>
      <w:r w:rsidR="00DE3D9F" w:rsidRPr="00AF3116">
        <w:rPr>
          <w:rtl/>
        </w:rPr>
        <w:tab/>
        <w:t>الخصائص الديمغرافية والاقتصادية والاجتماعية والثقافية</w:t>
      </w:r>
      <w:bookmarkStart w:id="5" w:name="_Toc89701533"/>
      <w:bookmarkEnd w:id="5"/>
      <w:bookmarkEnd w:id="4"/>
    </w:p>
    <w:p w14:paraId="709C1FF3" w14:textId="77777777" w:rsidR="00DE3D9F" w:rsidRPr="00AF3116" w:rsidRDefault="00DE3D9F" w:rsidP="00AD7242">
      <w:pPr>
        <w:pStyle w:val="H23GA"/>
        <w:rPr>
          <w:lang w:val="ar-SA" w:eastAsia="zh-TW" w:bidi="en-GB"/>
        </w:rPr>
      </w:pPr>
      <w:r w:rsidRPr="00AF3116">
        <w:rPr>
          <w:rtl/>
        </w:rPr>
        <w:tab/>
      </w:r>
      <w:r w:rsidRPr="00AF3116">
        <w:rPr>
          <w:rtl/>
        </w:rPr>
        <w:tab/>
        <w:t>الجغرافيا</w:t>
      </w:r>
    </w:p>
    <w:p w14:paraId="3082A89C" w14:textId="4D8E30BF" w:rsidR="00DE3D9F" w:rsidRPr="001B6C67" w:rsidRDefault="00DE3D9F" w:rsidP="00DE3D9F">
      <w:pPr>
        <w:pStyle w:val="SingleTxtGA"/>
        <w:rPr>
          <w:lang w:val="ar-SA" w:eastAsia="zh-TW" w:bidi="en-GB"/>
        </w:rPr>
      </w:pPr>
      <w:r w:rsidRPr="00AF3116">
        <w:rPr>
          <w:rtl/>
        </w:rPr>
        <w:t>3</w:t>
      </w:r>
      <w:r w:rsidRPr="001B6C67">
        <w:rPr>
          <w:rtl/>
        </w:rPr>
        <w:t>-</w:t>
      </w:r>
      <w:r w:rsidRPr="001B6C67">
        <w:rPr>
          <w:rtl/>
        </w:rPr>
        <w:tab/>
        <w:t>تقع تايلاند على البر الرئيس</w:t>
      </w:r>
      <w:r w:rsidR="001C785F">
        <w:rPr>
          <w:rFonts w:hint="cs"/>
          <w:rtl/>
        </w:rPr>
        <w:t>ي</w:t>
      </w:r>
      <w:r w:rsidRPr="001B6C67">
        <w:rPr>
          <w:rtl/>
        </w:rPr>
        <w:t xml:space="preserve"> لجنوب شرق آسيا على مساحة </w:t>
      </w:r>
      <w:r w:rsidRPr="00AF3116">
        <w:rPr>
          <w:rtl/>
        </w:rPr>
        <w:t>120</w:t>
      </w:r>
      <w:r w:rsidRPr="001B6C67">
        <w:rPr>
          <w:rtl/>
        </w:rPr>
        <w:t xml:space="preserve"> </w:t>
      </w:r>
      <w:r w:rsidRPr="00AF3116">
        <w:rPr>
          <w:rtl/>
        </w:rPr>
        <w:t>513</w:t>
      </w:r>
      <w:r w:rsidRPr="001B6C67">
        <w:rPr>
          <w:rtl/>
        </w:rPr>
        <w:t xml:space="preserve"> </w:t>
      </w:r>
      <w:r>
        <w:rPr>
          <w:rtl/>
        </w:rPr>
        <w:t>كيلومتراً</w:t>
      </w:r>
      <w:r w:rsidRPr="001B6C67">
        <w:rPr>
          <w:rtl/>
        </w:rPr>
        <w:t xml:space="preserve"> مربع</w:t>
      </w:r>
      <w:r>
        <w:rPr>
          <w:rtl/>
        </w:rPr>
        <w:t>اً</w:t>
      </w:r>
      <w:r w:rsidRPr="001B6C67">
        <w:rPr>
          <w:rtl/>
        </w:rPr>
        <w:t xml:space="preserve">. وهي تشترك حدوداً مع جمهورية لاو الديمقراطية الشعبية وميانمار في الشمال؛ وجمهورية لاو الديمقراطية الشعبية وكمبوديا وخليج تايلند </w:t>
      </w:r>
      <w:r>
        <w:rPr>
          <w:rtl/>
        </w:rPr>
        <w:t>في</w:t>
      </w:r>
      <w:r w:rsidRPr="001B6C67">
        <w:rPr>
          <w:rtl/>
        </w:rPr>
        <w:t xml:space="preserve"> الشرق؛ وميانمار والمحيط الهندي في الغرب؛ وماليزيا في الجنوب. </w:t>
      </w:r>
    </w:p>
    <w:p w14:paraId="1F8B41EA" w14:textId="77777777" w:rsidR="00DE3D9F" w:rsidRPr="001B6C67" w:rsidRDefault="00DE3D9F" w:rsidP="00DE3D9F">
      <w:pPr>
        <w:pStyle w:val="SingleTxtGA"/>
        <w:rPr>
          <w:lang w:val="ar-SA" w:eastAsia="zh-TW" w:bidi="en-GB"/>
        </w:rPr>
      </w:pPr>
      <w:r w:rsidRPr="00AF3116">
        <w:rPr>
          <w:rtl/>
        </w:rPr>
        <w:t>4</w:t>
      </w:r>
      <w:r w:rsidRPr="001B6C67">
        <w:rPr>
          <w:rtl/>
        </w:rPr>
        <w:t>-</w:t>
      </w:r>
      <w:r w:rsidRPr="001B6C67">
        <w:rPr>
          <w:rtl/>
        </w:rPr>
        <w:tab/>
        <w:t>وتنقسم تايلند إلى أربع مناطق جغرافية رئيسية. ولكل منطقة سمات طبيعية محددة</w:t>
      </w:r>
      <w:r>
        <w:rPr>
          <w:rtl/>
        </w:rPr>
        <w:t xml:space="preserve"> نوعاً ما</w:t>
      </w:r>
      <w:r w:rsidRPr="001B6C67">
        <w:rPr>
          <w:rtl/>
        </w:rPr>
        <w:t xml:space="preserve">: جبال عالية في الشمال؛ وهضبة مرتفعات في الشمال الشرقي؛ ومنطقة أراضي منخفضة في السهول الوسطى تتصل بالجنوب بسلسلة جباله الطويلة وسهل ضيق يمتد إلى البحر. وبانكوك هي العاصمة. </w:t>
      </w:r>
    </w:p>
    <w:p w14:paraId="3C6C6E4C" w14:textId="77777777" w:rsidR="00DE3D9F" w:rsidRPr="00AF3116" w:rsidRDefault="00DE3D9F" w:rsidP="00AD7242">
      <w:pPr>
        <w:pStyle w:val="H23GA"/>
        <w:rPr>
          <w:lang w:val="ar-SA" w:eastAsia="zh-TW" w:bidi="en-GB"/>
        </w:rPr>
      </w:pPr>
      <w:r w:rsidRPr="00AF3116">
        <w:rPr>
          <w:rtl/>
        </w:rPr>
        <w:tab/>
      </w:r>
      <w:r w:rsidRPr="00AF3116">
        <w:rPr>
          <w:rtl/>
        </w:rPr>
        <w:tab/>
        <w:t>السكان</w:t>
      </w:r>
    </w:p>
    <w:p w14:paraId="26D02D9B" w14:textId="13E91874" w:rsidR="00DE3D9F" w:rsidRPr="001B6C67" w:rsidRDefault="00DE3D9F" w:rsidP="00DE3D9F">
      <w:pPr>
        <w:pStyle w:val="SingleTxtGA"/>
        <w:rPr>
          <w:lang w:val="ar-SA" w:eastAsia="zh-TW" w:bidi="en-GB"/>
        </w:rPr>
      </w:pPr>
      <w:r w:rsidRPr="00AF3116">
        <w:rPr>
          <w:rtl/>
        </w:rPr>
        <w:t>5</w:t>
      </w:r>
      <w:r w:rsidRPr="001B6C67">
        <w:rPr>
          <w:rtl/>
        </w:rPr>
        <w:t>-</w:t>
      </w:r>
      <w:r w:rsidRPr="001B6C67">
        <w:rPr>
          <w:rtl/>
        </w:rPr>
        <w:tab/>
        <w:t xml:space="preserve">في </w:t>
      </w:r>
      <w:r w:rsidRPr="00AF3116">
        <w:rPr>
          <w:rtl/>
        </w:rPr>
        <w:t>31</w:t>
      </w:r>
      <w:r w:rsidRPr="001B6C67">
        <w:rPr>
          <w:rtl/>
        </w:rPr>
        <w:t xml:space="preserve"> كانون الأول/ديسمبر </w:t>
      </w:r>
      <w:r w:rsidRPr="00AF3116">
        <w:rPr>
          <w:rtl/>
        </w:rPr>
        <w:t>2018</w:t>
      </w:r>
      <w:r w:rsidRPr="001B6C67">
        <w:rPr>
          <w:rtl/>
        </w:rPr>
        <w:t xml:space="preserve">، كان عدد سكان تايلاند يبلغ حوالي </w:t>
      </w:r>
      <w:r w:rsidRPr="00AF3116">
        <w:rPr>
          <w:rtl/>
        </w:rPr>
        <w:t>66</w:t>
      </w:r>
      <w:r w:rsidRPr="001B6C67">
        <w:rPr>
          <w:rtl/>
        </w:rPr>
        <w:t>,</w:t>
      </w:r>
      <w:r w:rsidRPr="00AF3116">
        <w:rPr>
          <w:rtl/>
        </w:rPr>
        <w:t>41</w:t>
      </w:r>
      <w:r w:rsidRPr="001B6C67">
        <w:rPr>
          <w:rtl/>
        </w:rPr>
        <w:t xml:space="preserve"> مليون نسمة، منهم </w:t>
      </w:r>
      <w:r w:rsidRPr="00AF3116">
        <w:rPr>
          <w:rtl/>
        </w:rPr>
        <w:t>98</w:t>
      </w:r>
      <w:r w:rsidRPr="001B6C67">
        <w:rPr>
          <w:rtl/>
        </w:rPr>
        <w:t>,</w:t>
      </w:r>
      <w:r w:rsidRPr="00AF3116">
        <w:rPr>
          <w:rtl/>
        </w:rPr>
        <w:t>62</w:t>
      </w:r>
      <w:r w:rsidRPr="001B6C67">
        <w:rPr>
          <w:rtl/>
        </w:rPr>
        <w:t xml:space="preserve"> في المائة من المواطنين التايلانديين، في حين كانت النسبة المتبقية تتكون</w:t>
      </w:r>
      <w:r w:rsidR="001118BF">
        <w:rPr>
          <w:rFonts w:hint="cs"/>
          <w:rtl/>
        </w:rPr>
        <w:t xml:space="preserve"> </w:t>
      </w:r>
      <w:r w:rsidRPr="001B6C67">
        <w:rPr>
          <w:rtl/>
        </w:rPr>
        <w:t xml:space="preserve">من بورميين وكمبوديين </w:t>
      </w:r>
      <w:proofErr w:type="spellStart"/>
      <w:r w:rsidRPr="001B6C67">
        <w:rPr>
          <w:rtl/>
        </w:rPr>
        <w:t>ولاوسيين</w:t>
      </w:r>
      <w:proofErr w:type="spellEnd"/>
      <w:r w:rsidRPr="001B6C67">
        <w:rPr>
          <w:rtl/>
        </w:rPr>
        <w:t>، في جملة جنسيات أخرى.</w:t>
      </w:r>
    </w:p>
    <w:p w14:paraId="1B725E8A" w14:textId="77777777" w:rsidR="00DE3D9F" w:rsidRPr="001B6C67" w:rsidRDefault="00DE3D9F" w:rsidP="00DE3D9F">
      <w:pPr>
        <w:pStyle w:val="SingleTxtGA"/>
        <w:rPr>
          <w:lang w:val="ar-SA" w:eastAsia="zh-TW" w:bidi="en-GB"/>
        </w:rPr>
      </w:pPr>
      <w:r w:rsidRPr="00AF3116">
        <w:rPr>
          <w:rtl/>
        </w:rPr>
        <w:t>6</w:t>
      </w:r>
      <w:r w:rsidRPr="001B6C67">
        <w:rPr>
          <w:rtl/>
        </w:rPr>
        <w:t>-</w:t>
      </w:r>
      <w:r w:rsidRPr="001B6C67">
        <w:rPr>
          <w:rtl/>
        </w:rPr>
        <w:tab/>
        <w:t xml:space="preserve">وكان البوذيون يشكلون </w:t>
      </w:r>
      <w:r w:rsidRPr="00AF3116">
        <w:rPr>
          <w:rtl/>
        </w:rPr>
        <w:t>93</w:t>
      </w:r>
      <w:r w:rsidRPr="001B6C67">
        <w:rPr>
          <w:rtl/>
        </w:rPr>
        <w:t>,</w:t>
      </w:r>
      <w:r w:rsidRPr="00AF3116">
        <w:rPr>
          <w:rtl/>
        </w:rPr>
        <w:t>6</w:t>
      </w:r>
      <w:r w:rsidRPr="001B6C67">
        <w:rPr>
          <w:rtl/>
        </w:rPr>
        <w:t xml:space="preserve"> في المائة من مجموع السكان، في حين أن </w:t>
      </w:r>
      <w:r w:rsidRPr="00AF3116">
        <w:rPr>
          <w:rtl/>
        </w:rPr>
        <w:t>4</w:t>
      </w:r>
      <w:r w:rsidRPr="001B6C67">
        <w:rPr>
          <w:rtl/>
        </w:rPr>
        <w:t>,</w:t>
      </w:r>
      <w:r w:rsidRPr="00AF3116">
        <w:rPr>
          <w:rtl/>
        </w:rPr>
        <w:t>9</w:t>
      </w:r>
      <w:r w:rsidRPr="001B6C67">
        <w:rPr>
          <w:rtl/>
        </w:rPr>
        <w:t xml:space="preserve"> في المائة كانوا مسلمين، و</w:t>
      </w:r>
      <w:r w:rsidRPr="00AF3116">
        <w:rPr>
          <w:rtl/>
        </w:rPr>
        <w:t>1</w:t>
      </w:r>
      <w:r w:rsidRPr="001B6C67">
        <w:rPr>
          <w:rtl/>
        </w:rPr>
        <w:t>,</w:t>
      </w:r>
      <w:r w:rsidRPr="00AF3116">
        <w:rPr>
          <w:rtl/>
        </w:rPr>
        <w:t>5</w:t>
      </w:r>
      <w:r w:rsidRPr="001B6C67">
        <w:rPr>
          <w:rtl/>
        </w:rPr>
        <w:t xml:space="preserve"> في المائة المتبقية كانوا من الديانة المسيحية وغيرها من الديانات.</w:t>
      </w:r>
    </w:p>
    <w:p w14:paraId="0DA195B3" w14:textId="77777777" w:rsidR="00DE3D9F" w:rsidRPr="001B6C67" w:rsidRDefault="00DE3D9F" w:rsidP="00DE3D9F">
      <w:pPr>
        <w:pStyle w:val="SingleTxtGA"/>
        <w:rPr>
          <w:lang w:val="ar-SA" w:eastAsia="zh-TW" w:bidi="en-GB"/>
        </w:rPr>
      </w:pPr>
      <w:r w:rsidRPr="00AF3116">
        <w:rPr>
          <w:rtl/>
        </w:rPr>
        <w:t>7</w:t>
      </w:r>
      <w:r w:rsidRPr="001B6C67">
        <w:rPr>
          <w:rtl/>
        </w:rPr>
        <w:t>-</w:t>
      </w:r>
      <w:r w:rsidRPr="001B6C67">
        <w:rPr>
          <w:rtl/>
        </w:rPr>
        <w:tab/>
        <w:t xml:space="preserve">ومن حيث الهيكل العمري، </w:t>
      </w:r>
      <w:r>
        <w:rPr>
          <w:rtl/>
        </w:rPr>
        <w:t>كان</w:t>
      </w:r>
      <w:r w:rsidRPr="001B6C67">
        <w:rPr>
          <w:rtl/>
        </w:rPr>
        <w:t xml:space="preserve"> </w:t>
      </w:r>
      <w:r w:rsidRPr="00AF3116">
        <w:rPr>
          <w:rtl/>
        </w:rPr>
        <w:t>17</w:t>
      </w:r>
      <w:r w:rsidRPr="001B6C67">
        <w:rPr>
          <w:rtl/>
        </w:rPr>
        <w:t>,</w:t>
      </w:r>
      <w:r w:rsidRPr="00AF3116">
        <w:rPr>
          <w:rtl/>
        </w:rPr>
        <w:t>48</w:t>
      </w:r>
      <w:r w:rsidRPr="001B6C67">
        <w:rPr>
          <w:rtl/>
        </w:rPr>
        <w:t xml:space="preserve"> في المائة من السكان يندرجون في الفئة العمرية من صفر إلى </w:t>
      </w:r>
      <w:r w:rsidRPr="00AF3116">
        <w:rPr>
          <w:rtl/>
        </w:rPr>
        <w:t>14</w:t>
      </w:r>
      <w:r w:rsidRPr="001B6C67">
        <w:rPr>
          <w:rtl/>
        </w:rPr>
        <w:t xml:space="preserve"> عاماً، و</w:t>
      </w:r>
      <w:r w:rsidRPr="00AF3116">
        <w:rPr>
          <w:rtl/>
        </w:rPr>
        <w:t>65</w:t>
      </w:r>
      <w:r w:rsidRPr="001B6C67">
        <w:rPr>
          <w:rtl/>
        </w:rPr>
        <w:t>,</w:t>
      </w:r>
      <w:r w:rsidRPr="00AF3116">
        <w:rPr>
          <w:rtl/>
        </w:rPr>
        <w:t>87</w:t>
      </w:r>
      <w:r w:rsidRPr="001B6C67">
        <w:rPr>
          <w:rtl/>
        </w:rPr>
        <w:t xml:space="preserve"> في المائة في الفئة العمرية من </w:t>
      </w:r>
      <w:r w:rsidRPr="00AF3116">
        <w:rPr>
          <w:rtl/>
        </w:rPr>
        <w:t>15</w:t>
      </w:r>
      <w:r w:rsidRPr="001B6C67">
        <w:rPr>
          <w:rtl/>
        </w:rPr>
        <w:t xml:space="preserve"> إلى </w:t>
      </w:r>
      <w:r w:rsidRPr="00AF3116">
        <w:rPr>
          <w:rtl/>
        </w:rPr>
        <w:t>59</w:t>
      </w:r>
      <w:r w:rsidRPr="001B6C67">
        <w:rPr>
          <w:rtl/>
        </w:rPr>
        <w:t xml:space="preserve"> عاماً، و</w:t>
      </w:r>
      <w:r w:rsidRPr="00AF3116">
        <w:rPr>
          <w:rtl/>
        </w:rPr>
        <w:t>16</w:t>
      </w:r>
      <w:r w:rsidRPr="001B6C67">
        <w:rPr>
          <w:rtl/>
        </w:rPr>
        <w:t>,</w:t>
      </w:r>
      <w:r w:rsidRPr="00AF3116">
        <w:rPr>
          <w:rtl/>
        </w:rPr>
        <w:t>65</w:t>
      </w:r>
      <w:r w:rsidRPr="001B6C67">
        <w:rPr>
          <w:rtl/>
        </w:rPr>
        <w:t xml:space="preserve"> في المائة كانوا في </w:t>
      </w:r>
      <w:r w:rsidRPr="00AF3116">
        <w:rPr>
          <w:rtl/>
        </w:rPr>
        <w:t>سن الستين أو</w:t>
      </w:r>
      <w:r w:rsidRPr="001B6C67">
        <w:rPr>
          <w:rtl/>
        </w:rPr>
        <w:t xml:space="preserve"> أكثر. وانخفض النمو السكاني الطبيعي </w:t>
      </w:r>
      <w:r>
        <w:rPr>
          <w:rtl/>
        </w:rPr>
        <w:t xml:space="preserve">في </w:t>
      </w:r>
      <w:r w:rsidRPr="001B6C67">
        <w:rPr>
          <w:rtl/>
        </w:rPr>
        <w:t xml:space="preserve">عام </w:t>
      </w:r>
      <w:r w:rsidRPr="00AF3116">
        <w:rPr>
          <w:rtl/>
        </w:rPr>
        <w:t>2017</w:t>
      </w:r>
      <w:r w:rsidRPr="001B6C67">
        <w:rPr>
          <w:rtl/>
        </w:rPr>
        <w:t xml:space="preserve"> إلى </w:t>
      </w:r>
      <w:r w:rsidRPr="00AF3116">
        <w:rPr>
          <w:rtl/>
        </w:rPr>
        <w:t>0</w:t>
      </w:r>
      <w:r w:rsidRPr="001B6C67">
        <w:rPr>
          <w:rtl/>
        </w:rPr>
        <w:t>,</w:t>
      </w:r>
      <w:r w:rsidRPr="00AF3116">
        <w:rPr>
          <w:rtl/>
        </w:rPr>
        <w:t>4</w:t>
      </w:r>
      <w:r w:rsidRPr="001B6C67">
        <w:rPr>
          <w:rtl/>
        </w:rPr>
        <w:t xml:space="preserve"> في المائة. ومن المتوقع أن يرتفع متوسط العمر المتوقع للإناث إلى </w:t>
      </w:r>
      <w:r w:rsidRPr="00AF3116">
        <w:rPr>
          <w:rtl/>
        </w:rPr>
        <w:t>76</w:t>
      </w:r>
      <w:r w:rsidRPr="001B6C67">
        <w:rPr>
          <w:rtl/>
        </w:rPr>
        <w:t>,</w:t>
      </w:r>
      <w:r w:rsidRPr="00AF3116">
        <w:rPr>
          <w:rtl/>
        </w:rPr>
        <w:t>3</w:t>
      </w:r>
      <w:r w:rsidRPr="001B6C67">
        <w:rPr>
          <w:rtl/>
        </w:rPr>
        <w:t xml:space="preserve"> عاماً </w:t>
      </w:r>
      <w:r>
        <w:rPr>
          <w:rtl/>
        </w:rPr>
        <w:t>و</w:t>
      </w:r>
      <w:r w:rsidRPr="001B6C67">
        <w:rPr>
          <w:rtl/>
        </w:rPr>
        <w:t xml:space="preserve">للذكور إلى </w:t>
      </w:r>
      <w:r w:rsidRPr="00AF3116">
        <w:rPr>
          <w:rtl/>
        </w:rPr>
        <w:t>69</w:t>
      </w:r>
      <w:r w:rsidRPr="001B6C67">
        <w:rPr>
          <w:rtl/>
        </w:rPr>
        <w:t>,</w:t>
      </w:r>
      <w:r w:rsidRPr="00AF3116">
        <w:rPr>
          <w:rtl/>
        </w:rPr>
        <w:t>5</w:t>
      </w:r>
      <w:r w:rsidRPr="001B6C67">
        <w:rPr>
          <w:rtl/>
        </w:rPr>
        <w:t xml:space="preserve"> عاماً. </w:t>
      </w:r>
    </w:p>
    <w:p w14:paraId="0AF8A509" w14:textId="77777777" w:rsidR="00DE3D9F" w:rsidRPr="001B6C67" w:rsidRDefault="00DE3D9F" w:rsidP="00DE3D9F">
      <w:pPr>
        <w:rPr>
          <w:rFonts w:ascii="Simplified Arabic" w:hAnsi="Simplified Arabic"/>
          <w:sz w:val="22"/>
        </w:rPr>
      </w:pPr>
      <w:r w:rsidRPr="001B6C67">
        <w:rPr>
          <w:rFonts w:ascii="Simplified Arabic" w:hAnsi="Simplified Arabic"/>
          <w:sz w:val="22"/>
        </w:rPr>
        <w:br w:type="page"/>
      </w:r>
    </w:p>
    <w:p w14:paraId="7FDFF5CD" w14:textId="196DCC57" w:rsidR="00DE3D9F" w:rsidRPr="00AF3116" w:rsidRDefault="00DE3D9F" w:rsidP="00DE3D9F">
      <w:pPr>
        <w:pStyle w:val="H23G"/>
        <w:bidi/>
        <w:textDirection w:val="tbRlV"/>
        <w:rPr>
          <w:rFonts w:ascii="Simplified Arabic" w:hAnsi="Simplified Arabic"/>
          <w:sz w:val="22"/>
          <w:szCs w:val="22"/>
          <w:lang w:val="ar-SA" w:eastAsia="zh-TW" w:bidi="en-GB"/>
        </w:rPr>
      </w:pPr>
      <w:r w:rsidRPr="00AF3116">
        <w:rPr>
          <w:rFonts w:ascii="Simplified Arabic" w:hAnsi="Simplified Arabic"/>
          <w:sz w:val="22"/>
          <w:szCs w:val="22"/>
          <w:rtl/>
        </w:rPr>
        <w:lastRenderedPageBreak/>
        <w:tab/>
      </w:r>
      <w:r w:rsidRPr="00AF3116">
        <w:rPr>
          <w:rFonts w:ascii="Simplified Arabic" w:hAnsi="Simplified Arabic"/>
          <w:sz w:val="22"/>
          <w:szCs w:val="22"/>
          <w:rtl/>
        </w:rPr>
        <w:tab/>
      </w:r>
      <w:r w:rsidRPr="00AF3116">
        <w:rPr>
          <w:rFonts w:ascii="Simplified Arabic" w:hAnsi="Simplified Arabic"/>
          <w:bCs/>
          <w:sz w:val="22"/>
          <w:szCs w:val="22"/>
          <w:rtl/>
        </w:rPr>
        <w:t>الهرم السكاني التايلاندي لعام 2017</w:t>
      </w:r>
      <w:r w:rsidR="001118BF" w:rsidRPr="00AF3116">
        <w:rPr>
          <w:rFonts w:ascii="Simplified Arabic" w:hAnsi="Simplified Arabic" w:hint="cs"/>
          <w:b w:val="0"/>
          <w:sz w:val="22"/>
          <w:szCs w:val="22"/>
          <w:vertAlign w:val="superscript"/>
          <w:rtl/>
        </w:rPr>
        <w:t>(</w:t>
      </w:r>
      <w:r w:rsidRPr="00AF3116">
        <w:rPr>
          <w:rStyle w:val="FootnoteReference"/>
          <w:rFonts w:ascii="Simplified Arabic" w:hAnsi="Simplified Arabic"/>
          <w:b w:val="0"/>
          <w:sz w:val="22"/>
          <w:szCs w:val="22"/>
          <w:lang w:val="en-US"/>
        </w:rPr>
        <w:footnoteReference w:id="2"/>
      </w:r>
      <w:r w:rsidR="001118BF" w:rsidRPr="00AF3116">
        <w:rPr>
          <w:rFonts w:ascii="Simplified Arabic" w:hAnsi="Simplified Arabic" w:hint="cs"/>
          <w:b w:val="0"/>
          <w:sz w:val="22"/>
          <w:szCs w:val="22"/>
          <w:vertAlign w:val="superscript"/>
          <w:rtl/>
        </w:rPr>
        <w:t>)</w:t>
      </w:r>
    </w:p>
    <w:p w14:paraId="4DE5A7C4" w14:textId="77777777" w:rsidR="00DE3D9F" w:rsidRPr="001B6C67" w:rsidRDefault="00DE3D9F" w:rsidP="00DE3D9F">
      <w:pPr>
        <w:jc w:val="center"/>
        <w:rPr>
          <w:rFonts w:ascii="Simplified Arabic" w:hAnsi="Simplified Arabic"/>
          <w:sz w:val="22"/>
        </w:rPr>
      </w:pPr>
      <w:r w:rsidRPr="001B6C67">
        <w:rPr>
          <w:rFonts w:ascii="Simplified Arabic" w:hAnsi="Simplified Arabic"/>
          <w:noProof/>
          <w:sz w:val="22"/>
          <w:lang w:eastAsia="en-GB"/>
        </w:rPr>
        <w:drawing>
          <wp:inline distT="0" distB="0" distL="0" distR="0" wp14:anchorId="7CD959F9" wp14:editId="02490D1D">
            <wp:extent cx="5474037" cy="3585393"/>
            <wp:effectExtent l="0" t="0" r="12700" b="1524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E61F26D" w14:textId="6421BC1E" w:rsidR="00DE3D9F" w:rsidRPr="003B756C" w:rsidRDefault="00DE3D9F" w:rsidP="00DE3D9F">
      <w:pPr>
        <w:pStyle w:val="SingleTxtGA"/>
        <w:rPr>
          <w:lang w:val="en-US" w:eastAsia="zh-TW" w:bidi="en-GB"/>
        </w:rPr>
      </w:pPr>
      <w:r w:rsidRPr="00AF3116">
        <w:rPr>
          <w:rtl/>
        </w:rPr>
        <w:t>8</w:t>
      </w:r>
      <w:r w:rsidRPr="001B6C67">
        <w:rPr>
          <w:rtl/>
        </w:rPr>
        <w:t>-</w:t>
      </w:r>
      <w:r w:rsidRPr="001B6C67">
        <w:rPr>
          <w:rtl/>
        </w:rPr>
        <w:tab/>
        <w:t>وينتشر السكان في مختلف المناطق، حيث سُجِّلت أعلى كثافة في بانكوك والمناطق المجاورة</w:t>
      </w:r>
      <w:r w:rsidR="00FC545D">
        <w:rPr>
          <w:rFonts w:hint="cs"/>
          <w:rtl/>
        </w:rPr>
        <w:t xml:space="preserve"> </w:t>
      </w:r>
      <w:r w:rsidRPr="001B6C67">
        <w:rPr>
          <w:rtl/>
        </w:rPr>
        <w:t>لها والمنطقة الوسطى والمنطقة الشرقية، على التوالي. ويبلغ معدل الخصوبة أعلى مستوياته في المنطقة الشرقية والمنطقة الجنوبية وبانكوك والمناطق المجاورة لها، في حين يقع أعلى معدل للوفيات في المناطق الوسطى والشمالية والغربية، على التوالي، على النحو المبين أدناه:</w:t>
      </w:r>
    </w:p>
    <w:tbl>
      <w:tblPr>
        <w:bidiVisual/>
        <w:tblW w:w="7719"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767"/>
        <w:gridCol w:w="765"/>
        <w:gridCol w:w="7"/>
        <w:gridCol w:w="1281"/>
        <w:gridCol w:w="1135"/>
        <w:gridCol w:w="1135"/>
        <w:gridCol w:w="1275"/>
        <w:gridCol w:w="1354"/>
      </w:tblGrid>
      <w:tr w:rsidR="00DE3D9F" w:rsidRPr="00C72472" w14:paraId="12657E5C" w14:textId="77777777" w:rsidTr="0023489D">
        <w:trPr>
          <w:tblHeader/>
        </w:trPr>
        <w:tc>
          <w:tcPr>
            <w:tcW w:w="1529" w:type="dxa"/>
            <w:gridSpan w:val="2"/>
            <w:tcBorders>
              <w:top w:val="single" w:sz="4" w:space="0" w:color="auto"/>
              <w:bottom w:val="single" w:sz="12" w:space="0" w:color="auto"/>
            </w:tcBorders>
            <w:shd w:val="clear" w:color="auto" w:fill="auto"/>
            <w:vAlign w:val="bottom"/>
          </w:tcPr>
          <w:p w14:paraId="0E9E32D7" w14:textId="77777777" w:rsidR="00DE3D9F" w:rsidRPr="003B756C" w:rsidRDefault="00DE3D9F" w:rsidP="00146491">
            <w:pPr>
              <w:spacing w:before="40" w:after="40" w:line="240" w:lineRule="exact"/>
              <w:ind w:left="57" w:right="57"/>
              <w:textDirection w:val="tbRlV"/>
              <w:rPr>
                <w:rFonts w:ascii="Simplified Arabic" w:hAnsi="Simplified Arabic"/>
                <w:i/>
                <w:spacing w:val="-4"/>
                <w:szCs w:val="20"/>
                <w:lang w:val="ar-SA" w:eastAsia="zh-TW" w:bidi="en-GB"/>
              </w:rPr>
            </w:pPr>
            <w:r w:rsidRPr="003B756C">
              <w:rPr>
                <w:rFonts w:ascii="Simplified Arabic" w:hAnsi="Simplified Arabic"/>
                <w:i/>
                <w:iCs/>
                <w:spacing w:val="-4"/>
                <w:szCs w:val="20"/>
                <w:rtl/>
              </w:rPr>
              <w:t>المنطقة</w:t>
            </w:r>
          </w:p>
        </w:tc>
        <w:tc>
          <w:tcPr>
            <w:tcW w:w="1289" w:type="dxa"/>
            <w:gridSpan w:val="2"/>
            <w:tcBorders>
              <w:top w:val="single" w:sz="4" w:space="0" w:color="auto"/>
              <w:bottom w:val="single" w:sz="12" w:space="0" w:color="auto"/>
            </w:tcBorders>
            <w:shd w:val="clear" w:color="auto" w:fill="auto"/>
            <w:vAlign w:val="bottom"/>
          </w:tcPr>
          <w:p w14:paraId="661123AA" w14:textId="77777777" w:rsidR="00DE3D9F" w:rsidRPr="003B756C" w:rsidRDefault="00DE3D9F" w:rsidP="00146491">
            <w:pPr>
              <w:spacing w:before="40" w:after="40" w:line="240" w:lineRule="exact"/>
              <w:ind w:left="57" w:right="57"/>
              <w:textDirection w:val="tbRlV"/>
              <w:rPr>
                <w:rFonts w:ascii="Simplified Arabic" w:hAnsi="Simplified Arabic"/>
                <w:i/>
                <w:spacing w:val="-4"/>
                <w:szCs w:val="20"/>
                <w:lang w:eastAsia="zh-TW" w:bidi="en-GB"/>
              </w:rPr>
            </w:pPr>
            <w:r w:rsidRPr="003B756C">
              <w:rPr>
                <w:rFonts w:ascii="Simplified Arabic" w:hAnsi="Simplified Arabic"/>
                <w:i/>
                <w:iCs/>
                <w:spacing w:val="-4"/>
                <w:szCs w:val="20"/>
                <w:rtl/>
              </w:rPr>
              <w:t>السكان</w:t>
            </w:r>
          </w:p>
        </w:tc>
        <w:tc>
          <w:tcPr>
            <w:tcW w:w="1136" w:type="dxa"/>
            <w:tcBorders>
              <w:top w:val="single" w:sz="4" w:space="0" w:color="auto"/>
              <w:bottom w:val="single" w:sz="12" w:space="0" w:color="auto"/>
            </w:tcBorders>
            <w:shd w:val="clear" w:color="auto" w:fill="auto"/>
            <w:vAlign w:val="bottom"/>
          </w:tcPr>
          <w:p w14:paraId="3A922E7D" w14:textId="77777777" w:rsidR="00DE3D9F" w:rsidRPr="003B756C" w:rsidRDefault="00DE3D9F" w:rsidP="00146491">
            <w:pPr>
              <w:spacing w:before="40" w:after="40" w:line="240" w:lineRule="exact"/>
              <w:ind w:left="57" w:right="57"/>
              <w:textDirection w:val="tbRlV"/>
              <w:rPr>
                <w:rFonts w:ascii="Simplified Arabic" w:hAnsi="Simplified Arabic"/>
                <w:i/>
                <w:spacing w:val="-4"/>
                <w:szCs w:val="20"/>
                <w:lang w:eastAsia="zh-TW" w:bidi="en-GB"/>
              </w:rPr>
            </w:pPr>
            <w:r w:rsidRPr="003B756C">
              <w:rPr>
                <w:rFonts w:ascii="Simplified Arabic" w:hAnsi="Simplified Arabic"/>
                <w:i/>
                <w:iCs/>
                <w:spacing w:val="-4"/>
                <w:szCs w:val="20"/>
                <w:rtl/>
              </w:rPr>
              <w:t>الكثافة (في الكيلومتر المربع)</w:t>
            </w:r>
          </w:p>
        </w:tc>
        <w:tc>
          <w:tcPr>
            <w:tcW w:w="1136" w:type="dxa"/>
            <w:tcBorders>
              <w:top w:val="single" w:sz="4" w:space="0" w:color="auto"/>
              <w:bottom w:val="single" w:sz="12" w:space="0" w:color="auto"/>
            </w:tcBorders>
            <w:shd w:val="clear" w:color="auto" w:fill="auto"/>
            <w:vAlign w:val="bottom"/>
          </w:tcPr>
          <w:p w14:paraId="150E434F" w14:textId="3F225012" w:rsidR="00DE3D9F" w:rsidRPr="003B756C" w:rsidRDefault="00DE3D9F" w:rsidP="00146491">
            <w:pPr>
              <w:spacing w:before="40" w:after="40" w:line="240" w:lineRule="exact"/>
              <w:ind w:left="57" w:right="57"/>
              <w:textDirection w:val="tbRlV"/>
              <w:rPr>
                <w:rFonts w:ascii="Simplified Arabic" w:hAnsi="Simplified Arabic"/>
                <w:i/>
                <w:spacing w:val="-4"/>
                <w:szCs w:val="20"/>
                <w:lang w:val="ar-SA" w:eastAsia="zh-TW" w:bidi="en-GB"/>
              </w:rPr>
            </w:pPr>
            <w:r w:rsidRPr="003B756C">
              <w:rPr>
                <w:rFonts w:ascii="Simplified Arabic" w:hAnsi="Simplified Arabic"/>
                <w:i/>
                <w:iCs/>
                <w:spacing w:val="-4"/>
                <w:szCs w:val="20"/>
                <w:rtl/>
              </w:rPr>
              <w:t xml:space="preserve">معدل الخصوبة (لكل 000 </w:t>
            </w:r>
            <w:r w:rsidR="001118BF" w:rsidRPr="003B756C">
              <w:rPr>
                <w:rFonts w:ascii="Simplified Arabic" w:hAnsi="Simplified Arabic"/>
                <w:i/>
                <w:iCs/>
                <w:spacing w:val="-4"/>
                <w:szCs w:val="20"/>
                <w:rtl/>
              </w:rPr>
              <w:t>1</w:t>
            </w:r>
            <w:r w:rsidR="001118BF" w:rsidRPr="003B756C">
              <w:rPr>
                <w:rFonts w:ascii="Simplified Arabic" w:hAnsi="Simplified Arabic" w:hint="cs"/>
                <w:i/>
                <w:iCs/>
                <w:spacing w:val="-4"/>
                <w:szCs w:val="20"/>
                <w:rtl/>
              </w:rPr>
              <w:t xml:space="preserve"> </w:t>
            </w:r>
            <w:r w:rsidRPr="003B756C">
              <w:rPr>
                <w:rFonts w:ascii="Simplified Arabic" w:hAnsi="Simplified Arabic"/>
                <w:i/>
                <w:iCs/>
                <w:spacing w:val="-4"/>
                <w:szCs w:val="20"/>
                <w:rtl/>
              </w:rPr>
              <w:t>شخص)</w:t>
            </w:r>
          </w:p>
        </w:tc>
        <w:tc>
          <w:tcPr>
            <w:tcW w:w="1274" w:type="dxa"/>
            <w:tcBorders>
              <w:top w:val="single" w:sz="4" w:space="0" w:color="auto"/>
              <w:bottom w:val="single" w:sz="12" w:space="0" w:color="auto"/>
            </w:tcBorders>
            <w:shd w:val="clear" w:color="auto" w:fill="auto"/>
            <w:vAlign w:val="bottom"/>
          </w:tcPr>
          <w:p w14:paraId="5F38F5A1" w14:textId="0294B227" w:rsidR="00DE3D9F" w:rsidRPr="003B756C" w:rsidRDefault="00DE3D9F" w:rsidP="00146491">
            <w:pPr>
              <w:spacing w:before="40" w:after="40" w:line="240" w:lineRule="exact"/>
              <w:ind w:left="57" w:right="57"/>
              <w:jc w:val="left"/>
              <w:textDirection w:val="tbRlV"/>
              <w:rPr>
                <w:rFonts w:ascii="Simplified Arabic" w:hAnsi="Simplified Arabic"/>
                <w:i/>
                <w:spacing w:val="-6"/>
                <w:szCs w:val="20"/>
                <w:lang w:eastAsia="zh-TW" w:bidi="en-GB"/>
              </w:rPr>
            </w:pPr>
            <w:r w:rsidRPr="003B756C">
              <w:rPr>
                <w:rFonts w:ascii="Simplified Arabic" w:hAnsi="Simplified Arabic"/>
                <w:i/>
                <w:iCs/>
                <w:spacing w:val="-6"/>
                <w:szCs w:val="20"/>
                <w:rtl/>
              </w:rPr>
              <w:t>معدل الوفيات (لكل 000</w:t>
            </w:r>
            <w:r w:rsidR="001118BF" w:rsidRPr="003B756C">
              <w:rPr>
                <w:rFonts w:ascii="Simplified Arabic" w:hAnsi="Simplified Arabic" w:hint="cs"/>
                <w:i/>
                <w:iCs/>
                <w:spacing w:val="-6"/>
                <w:szCs w:val="20"/>
                <w:rtl/>
              </w:rPr>
              <w:t> </w:t>
            </w:r>
            <w:r w:rsidR="001118BF" w:rsidRPr="003B756C">
              <w:rPr>
                <w:rFonts w:ascii="Simplified Arabic" w:hAnsi="Simplified Arabic"/>
                <w:i/>
                <w:iCs/>
                <w:spacing w:val="-6"/>
                <w:szCs w:val="20"/>
                <w:rtl/>
              </w:rPr>
              <w:t>1</w:t>
            </w:r>
            <w:r w:rsidR="001118BF" w:rsidRPr="003B756C">
              <w:rPr>
                <w:rFonts w:ascii="Simplified Arabic" w:hAnsi="Simplified Arabic" w:hint="cs"/>
                <w:i/>
                <w:iCs/>
                <w:spacing w:val="-6"/>
                <w:szCs w:val="20"/>
                <w:rtl/>
              </w:rPr>
              <w:t xml:space="preserve"> </w:t>
            </w:r>
            <w:r w:rsidRPr="003B756C">
              <w:rPr>
                <w:rFonts w:ascii="Simplified Arabic" w:hAnsi="Simplified Arabic"/>
                <w:i/>
                <w:iCs/>
                <w:spacing w:val="-6"/>
                <w:szCs w:val="20"/>
                <w:rtl/>
              </w:rPr>
              <w:t>شخص</w:t>
            </w:r>
            <w:r w:rsidRPr="003B756C">
              <w:rPr>
                <w:rFonts w:ascii="Simplified Arabic" w:hAnsi="Simplified Arabic"/>
                <w:spacing w:val="-6"/>
                <w:szCs w:val="20"/>
                <w:rtl/>
              </w:rPr>
              <w:t>)</w:t>
            </w:r>
          </w:p>
        </w:tc>
        <w:tc>
          <w:tcPr>
            <w:tcW w:w="1355" w:type="dxa"/>
            <w:tcBorders>
              <w:top w:val="single" w:sz="4" w:space="0" w:color="auto"/>
              <w:bottom w:val="single" w:sz="12" w:space="0" w:color="auto"/>
            </w:tcBorders>
            <w:shd w:val="clear" w:color="auto" w:fill="auto"/>
            <w:vAlign w:val="bottom"/>
          </w:tcPr>
          <w:p w14:paraId="273409B7" w14:textId="28C629E5" w:rsidR="00DE3D9F" w:rsidRPr="003B756C" w:rsidRDefault="00DE3D9F" w:rsidP="00146491">
            <w:pPr>
              <w:spacing w:before="40" w:after="40" w:line="240" w:lineRule="exact"/>
              <w:ind w:left="57" w:right="57"/>
              <w:textDirection w:val="tbRlV"/>
              <w:rPr>
                <w:rFonts w:ascii="Simplified Arabic" w:hAnsi="Simplified Arabic"/>
                <w:i/>
                <w:spacing w:val="-6"/>
                <w:szCs w:val="20"/>
                <w:lang w:val="ar-SA" w:eastAsia="zh-TW" w:bidi="en-GB"/>
              </w:rPr>
            </w:pPr>
            <w:r w:rsidRPr="003B756C">
              <w:rPr>
                <w:rFonts w:ascii="Simplified Arabic" w:hAnsi="Simplified Arabic"/>
                <w:i/>
                <w:iCs/>
                <w:spacing w:val="-6"/>
                <w:szCs w:val="20"/>
                <w:rtl/>
              </w:rPr>
              <w:t>معدل وفيات الرضع (لكل 000</w:t>
            </w:r>
            <w:r w:rsidR="001118BF" w:rsidRPr="003B756C">
              <w:rPr>
                <w:rFonts w:ascii="Simplified Arabic" w:hAnsi="Simplified Arabic" w:hint="cs"/>
                <w:i/>
                <w:iCs/>
                <w:spacing w:val="-6"/>
                <w:szCs w:val="20"/>
                <w:rtl/>
              </w:rPr>
              <w:t> </w:t>
            </w:r>
            <w:r w:rsidRPr="003B756C">
              <w:rPr>
                <w:rFonts w:ascii="Simplified Arabic" w:hAnsi="Simplified Arabic"/>
                <w:i/>
                <w:iCs/>
                <w:spacing w:val="-6"/>
                <w:szCs w:val="20"/>
                <w:rtl/>
              </w:rPr>
              <w:t>1 مولود حي)</w:t>
            </w:r>
          </w:p>
        </w:tc>
      </w:tr>
      <w:tr w:rsidR="00DE3D9F" w:rsidRPr="00206BEB" w14:paraId="2037E138" w14:textId="77777777" w:rsidTr="0023489D">
        <w:tc>
          <w:tcPr>
            <w:tcW w:w="1529" w:type="dxa"/>
            <w:gridSpan w:val="2"/>
            <w:tcBorders>
              <w:top w:val="single" w:sz="12" w:space="0" w:color="auto"/>
            </w:tcBorders>
            <w:shd w:val="clear" w:color="auto" w:fill="auto"/>
          </w:tcPr>
          <w:p w14:paraId="5AAD50D5"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val="ar-SA" w:eastAsia="zh-TW" w:bidi="en-GB"/>
              </w:rPr>
            </w:pPr>
            <w:r w:rsidRPr="003B756C">
              <w:rPr>
                <w:rFonts w:ascii="Simplified Arabic" w:hAnsi="Simplified Arabic"/>
                <w:szCs w:val="20"/>
                <w:rtl/>
              </w:rPr>
              <w:t>على الصعيد الوطني</w:t>
            </w:r>
          </w:p>
        </w:tc>
        <w:tc>
          <w:tcPr>
            <w:tcW w:w="1289" w:type="dxa"/>
            <w:gridSpan w:val="2"/>
            <w:tcBorders>
              <w:top w:val="single" w:sz="12" w:space="0" w:color="auto"/>
            </w:tcBorders>
            <w:shd w:val="clear" w:color="auto" w:fill="auto"/>
            <w:vAlign w:val="bottom"/>
          </w:tcPr>
          <w:p w14:paraId="4602EB2C" w14:textId="77777777" w:rsidR="00DE3D9F" w:rsidRPr="003B756C" w:rsidRDefault="00DE3D9F" w:rsidP="00146491">
            <w:pPr>
              <w:spacing w:before="40" w:after="40" w:line="320" w:lineRule="exact"/>
              <w:ind w:left="57" w:right="57"/>
              <w:jc w:val="left"/>
              <w:textDirection w:val="tbRlV"/>
              <w:rPr>
                <w:rFonts w:ascii="Simplified Arabic" w:hAnsi="Simplified Arabic"/>
                <w:spacing w:val="-4"/>
                <w:szCs w:val="20"/>
                <w:lang w:val="ar-SA" w:eastAsia="zh-TW" w:bidi="en-GB"/>
              </w:rPr>
            </w:pPr>
            <w:r w:rsidRPr="003B756C">
              <w:rPr>
                <w:rFonts w:ascii="Simplified Arabic" w:hAnsi="Simplified Arabic"/>
                <w:spacing w:val="-4"/>
                <w:szCs w:val="20"/>
                <w:rtl/>
              </w:rPr>
              <w:t>979 413 66</w:t>
            </w:r>
          </w:p>
        </w:tc>
        <w:tc>
          <w:tcPr>
            <w:tcW w:w="1136" w:type="dxa"/>
            <w:tcBorders>
              <w:top w:val="single" w:sz="12" w:space="0" w:color="auto"/>
            </w:tcBorders>
            <w:shd w:val="clear" w:color="auto" w:fill="auto"/>
            <w:vAlign w:val="bottom"/>
          </w:tcPr>
          <w:p w14:paraId="7904D11F" w14:textId="77777777" w:rsidR="00DE3D9F" w:rsidRPr="003B756C" w:rsidRDefault="00DE3D9F" w:rsidP="00146491">
            <w:pPr>
              <w:spacing w:before="40" w:after="40" w:line="320" w:lineRule="exact"/>
              <w:ind w:left="57" w:right="57"/>
              <w:jc w:val="left"/>
              <w:textDirection w:val="tbRlV"/>
              <w:rPr>
                <w:rFonts w:ascii="Simplified Arabic" w:hAnsi="Simplified Arabic"/>
                <w:spacing w:val="-4"/>
                <w:szCs w:val="20"/>
                <w:lang w:val="ar-SA" w:eastAsia="zh-TW" w:bidi="en-GB"/>
              </w:rPr>
            </w:pPr>
            <w:r w:rsidRPr="003B756C">
              <w:rPr>
                <w:rFonts w:ascii="Simplified Arabic" w:hAnsi="Simplified Arabic"/>
                <w:spacing w:val="-4"/>
                <w:szCs w:val="20"/>
                <w:rtl/>
              </w:rPr>
              <w:t>129,0</w:t>
            </w:r>
          </w:p>
        </w:tc>
        <w:tc>
          <w:tcPr>
            <w:tcW w:w="1136" w:type="dxa"/>
            <w:tcBorders>
              <w:top w:val="single" w:sz="12" w:space="0" w:color="auto"/>
            </w:tcBorders>
            <w:shd w:val="clear" w:color="auto" w:fill="auto"/>
            <w:vAlign w:val="bottom"/>
          </w:tcPr>
          <w:p w14:paraId="48D77FCF" w14:textId="77777777" w:rsidR="00DE3D9F" w:rsidRPr="003B756C" w:rsidRDefault="00DE3D9F" w:rsidP="00146491">
            <w:pPr>
              <w:spacing w:before="40" w:after="40" w:line="320" w:lineRule="exact"/>
              <w:ind w:left="57" w:right="57"/>
              <w:jc w:val="left"/>
              <w:textDirection w:val="tbRlV"/>
              <w:rPr>
                <w:rFonts w:ascii="Simplified Arabic" w:hAnsi="Simplified Arabic"/>
                <w:spacing w:val="-4"/>
                <w:szCs w:val="20"/>
                <w:lang w:val="ar-SA" w:eastAsia="zh-TW" w:bidi="en-GB"/>
              </w:rPr>
            </w:pPr>
            <w:r w:rsidRPr="003B756C">
              <w:rPr>
                <w:rFonts w:ascii="Simplified Arabic" w:hAnsi="Simplified Arabic"/>
                <w:spacing w:val="-4"/>
                <w:szCs w:val="20"/>
                <w:rtl/>
              </w:rPr>
              <w:t>19,8</w:t>
            </w:r>
          </w:p>
        </w:tc>
        <w:tc>
          <w:tcPr>
            <w:tcW w:w="1274" w:type="dxa"/>
            <w:tcBorders>
              <w:top w:val="single" w:sz="12" w:space="0" w:color="auto"/>
            </w:tcBorders>
            <w:shd w:val="clear" w:color="auto" w:fill="auto"/>
            <w:vAlign w:val="bottom"/>
          </w:tcPr>
          <w:p w14:paraId="0E4EF142" w14:textId="77777777" w:rsidR="00DE3D9F" w:rsidRPr="003B756C" w:rsidRDefault="00DE3D9F" w:rsidP="00146491">
            <w:pPr>
              <w:spacing w:before="40" w:after="40" w:line="320" w:lineRule="exact"/>
              <w:ind w:left="57" w:right="57"/>
              <w:jc w:val="left"/>
              <w:textDirection w:val="tbRlV"/>
              <w:rPr>
                <w:rFonts w:ascii="Simplified Arabic" w:hAnsi="Simplified Arabic"/>
                <w:spacing w:val="-4"/>
                <w:szCs w:val="20"/>
                <w:lang w:val="ar-SA" w:eastAsia="zh-TW" w:bidi="en-GB"/>
              </w:rPr>
            </w:pPr>
            <w:r w:rsidRPr="003B756C">
              <w:rPr>
                <w:rFonts w:ascii="Simplified Arabic" w:hAnsi="Simplified Arabic"/>
                <w:spacing w:val="-4"/>
                <w:szCs w:val="20"/>
                <w:rtl/>
              </w:rPr>
              <w:t>7,0</w:t>
            </w:r>
          </w:p>
        </w:tc>
        <w:tc>
          <w:tcPr>
            <w:tcW w:w="1355" w:type="dxa"/>
            <w:tcBorders>
              <w:top w:val="single" w:sz="12" w:space="0" w:color="auto"/>
            </w:tcBorders>
            <w:shd w:val="clear" w:color="auto" w:fill="auto"/>
            <w:vAlign w:val="bottom"/>
          </w:tcPr>
          <w:p w14:paraId="058A2847" w14:textId="77777777" w:rsidR="00DE3D9F" w:rsidRPr="003B756C" w:rsidRDefault="00DE3D9F" w:rsidP="00146491">
            <w:pPr>
              <w:spacing w:before="40" w:after="40" w:line="220" w:lineRule="exact"/>
              <w:ind w:left="57" w:right="57"/>
              <w:jc w:val="left"/>
              <w:textDirection w:val="tbRlV"/>
              <w:rPr>
                <w:rFonts w:ascii="Simplified Arabic" w:hAnsi="Simplified Arabic"/>
                <w:spacing w:val="-4"/>
                <w:szCs w:val="20"/>
                <w:lang w:val="ar-SA" w:eastAsia="zh-TW" w:bidi="en-GB"/>
              </w:rPr>
            </w:pPr>
            <w:r w:rsidRPr="003B756C">
              <w:rPr>
                <w:rFonts w:ascii="Simplified Arabic" w:hAnsi="Simplified Arabic"/>
                <w:spacing w:val="-4"/>
                <w:szCs w:val="20"/>
                <w:rtl/>
              </w:rPr>
              <w:t>5,9</w:t>
            </w:r>
          </w:p>
        </w:tc>
      </w:tr>
      <w:tr w:rsidR="00DE3D9F" w:rsidRPr="00206BEB" w14:paraId="3D80EBD0" w14:textId="77777777" w:rsidTr="0023489D">
        <w:tc>
          <w:tcPr>
            <w:tcW w:w="763" w:type="dxa"/>
            <w:shd w:val="clear" w:color="auto" w:fill="auto"/>
          </w:tcPr>
          <w:p w14:paraId="1AC7E861" w14:textId="77777777" w:rsidR="00DE3D9F" w:rsidRPr="003B756C" w:rsidRDefault="00DE3D9F" w:rsidP="00146491">
            <w:pPr>
              <w:spacing w:before="40" w:after="40" w:line="320" w:lineRule="exact"/>
              <w:ind w:left="57" w:right="57"/>
              <w:jc w:val="left"/>
              <w:rPr>
                <w:rFonts w:ascii="Simplified Arabic" w:hAnsi="Simplified Arabic"/>
                <w:szCs w:val="20"/>
              </w:rPr>
            </w:pPr>
          </w:p>
        </w:tc>
        <w:tc>
          <w:tcPr>
            <w:tcW w:w="766" w:type="dxa"/>
            <w:shd w:val="clear" w:color="auto" w:fill="auto"/>
          </w:tcPr>
          <w:p w14:paraId="022A8C36"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eastAsia="zh-TW" w:bidi="en-GB"/>
              </w:rPr>
            </w:pPr>
            <w:r w:rsidRPr="003B756C">
              <w:rPr>
                <w:rFonts w:ascii="Simplified Arabic" w:hAnsi="Simplified Arabic"/>
                <w:szCs w:val="20"/>
                <w:rtl/>
              </w:rPr>
              <w:t xml:space="preserve">الإناث </w:t>
            </w:r>
          </w:p>
        </w:tc>
        <w:tc>
          <w:tcPr>
            <w:tcW w:w="1289" w:type="dxa"/>
            <w:gridSpan w:val="2"/>
            <w:shd w:val="clear" w:color="auto" w:fill="auto"/>
            <w:vAlign w:val="bottom"/>
          </w:tcPr>
          <w:p w14:paraId="3551A538" w14:textId="322FC0CC" w:rsidR="00DE3D9F" w:rsidRPr="003B756C" w:rsidRDefault="00DE3D9F" w:rsidP="00146491">
            <w:pPr>
              <w:spacing w:before="40" w:after="40" w:line="320" w:lineRule="exact"/>
              <w:ind w:left="57" w:right="57"/>
              <w:jc w:val="left"/>
              <w:rPr>
                <w:rFonts w:ascii="Simplified Arabic" w:hAnsi="Simplified Arabic"/>
                <w:spacing w:val="-4"/>
                <w:szCs w:val="20"/>
                <w:rtl/>
              </w:rPr>
            </w:pPr>
            <w:r w:rsidRPr="003B756C">
              <w:rPr>
                <w:rFonts w:ascii="Simplified Arabic" w:hAnsi="Simplified Arabic"/>
                <w:spacing w:val="-4"/>
                <w:szCs w:val="20"/>
              </w:rPr>
              <w:t>33 857 708</w:t>
            </w:r>
            <w:r w:rsidRPr="003B756C">
              <w:rPr>
                <w:rFonts w:ascii="Simplified Arabic" w:hAnsi="Simplified Arabic"/>
                <w:spacing w:val="-4"/>
                <w:szCs w:val="20"/>
                <w:cs/>
              </w:rPr>
              <w:t xml:space="preserve"> </w:t>
            </w:r>
            <w:r w:rsidR="00146491">
              <w:rPr>
                <w:rFonts w:ascii="Simplified Arabic" w:hAnsi="Simplified Arabic" w:hint="cs"/>
                <w:spacing w:val="-4"/>
                <w:szCs w:val="20"/>
                <w:rtl/>
              </w:rPr>
              <w:t>(</w:t>
            </w:r>
            <w:r w:rsidR="00146491" w:rsidRPr="003B756C">
              <w:rPr>
                <w:rFonts w:ascii="Simplified Arabic" w:hAnsi="Simplified Arabic"/>
                <w:spacing w:val="-4"/>
                <w:szCs w:val="20"/>
              </w:rPr>
              <w:t>50</w:t>
            </w:r>
            <w:r w:rsidR="00146491">
              <w:rPr>
                <w:rFonts w:ascii="Simplified Arabic" w:hAnsi="Simplified Arabic"/>
                <w:spacing w:val="-4"/>
                <w:szCs w:val="20"/>
              </w:rPr>
              <w:t>,</w:t>
            </w:r>
            <w:r w:rsidR="00146491" w:rsidRPr="003B756C">
              <w:rPr>
                <w:rFonts w:ascii="Simplified Arabic" w:hAnsi="Simplified Arabic"/>
                <w:spacing w:val="-4"/>
                <w:szCs w:val="20"/>
              </w:rPr>
              <w:t>9</w:t>
            </w:r>
            <w:r w:rsidR="00146491">
              <w:rPr>
                <w:rFonts w:ascii="Simplified Arabic" w:hAnsi="Simplified Arabic"/>
                <w:spacing w:val="-4"/>
                <w:szCs w:val="20"/>
              </w:rPr>
              <w:t>8</w:t>
            </w:r>
            <w:r w:rsidR="00146491">
              <w:rPr>
                <w:rFonts w:ascii="Simplified Arabic" w:hAnsi="Simplified Arabic" w:hint="cs"/>
                <w:spacing w:val="-4"/>
                <w:szCs w:val="20"/>
                <w:rtl/>
              </w:rPr>
              <w:t>%)</w:t>
            </w:r>
          </w:p>
        </w:tc>
        <w:tc>
          <w:tcPr>
            <w:tcW w:w="1136" w:type="dxa"/>
            <w:vMerge w:val="restart"/>
            <w:shd w:val="clear" w:color="auto" w:fill="auto"/>
            <w:vAlign w:val="bottom"/>
          </w:tcPr>
          <w:p w14:paraId="183C38A1" w14:textId="77777777" w:rsidR="00DE3D9F" w:rsidRPr="003B756C" w:rsidRDefault="00DE3D9F" w:rsidP="00146491">
            <w:pPr>
              <w:spacing w:before="40" w:after="40" w:line="320" w:lineRule="exact"/>
              <w:ind w:left="57" w:right="57"/>
              <w:jc w:val="left"/>
              <w:rPr>
                <w:rFonts w:ascii="Simplified Arabic" w:hAnsi="Simplified Arabic"/>
                <w:spacing w:val="-4"/>
                <w:szCs w:val="20"/>
              </w:rPr>
            </w:pPr>
          </w:p>
        </w:tc>
        <w:tc>
          <w:tcPr>
            <w:tcW w:w="1136" w:type="dxa"/>
            <w:vMerge w:val="restart"/>
            <w:shd w:val="clear" w:color="auto" w:fill="auto"/>
            <w:vAlign w:val="bottom"/>
          </w:tcPr>
          <w:p w14:paraId="59553674" w14:textId="77777777" w:rsidR="00DE3D9F" w:rsidRPr="003B756C" w:rsidRDefault="00DE3D9F" w:rsidP="00146491">
            <w:pPr>
              <w:spacing w:before="40" w:after="40" w:line="320" w:lineRule="exact"/>
              <w:ind w:left="57" w:right="57"/>
              <w:jc w:val="left"/>
              <w:rPr>
                <w:rFonts w:ascii="Simplified Arabic" w:hAnsi="Simplified Arabic"/>
                <w:spacing w:val="-4"/>
                <w:szCs w:val="20"/>
              </w:rPr>
            </w:pPr>
          </w:p>
        </w:tc>
        <w:tc>
          <w:tcPr>
            <w:tcW w:w="1274" w:type="dxa"/>
            <w:vMerge w:val="restart"/>
            <w:shd w:val="clear" w:color="auto" w:fill="auto"/>
            <w:vAlign w:val="bottom"/>
          </w:tcPr>
          <w:p w14:paraId="3516E24C" w14:textId="77777777" w:rsidR="00DE3D9F" w:rsidRPr="003B756C" w:rsidRDefault="00DE3D9F" w:rsidP="00146491">
            <w:pPr>
              <w:spacing w:before="40" w:after="40" w:line="320" w:lineRule="exact"/>
              <w:ind w:left="57" w:right="57"/>
              <w:jc w:val="left"/>
              <w:rPr>
                <w:rFonts w:ascii="Simplified Arabic" w:hAnsi="Simplified Arabic"/>
                <w:spacing w:val="-4"/>
                <w:szCs w:val="20"/>
              </w:rPr>
            </w:pPr>
          </w:p>
        </w:tc>
        <w:tc>
          <w:tcPr>
            <w:tcW w:w="1355" w:type="dxa"/>
            <w:vMerge w:val="restart"/>
            <w:shd w:val="clear" w:color="auto" w:fill="auto"/>
            <w:vAlign w:val="bottom"/>
          </w:tcPr>
          <w:p w14:paraId="49F45580" w14:textId="77777777" w:rsidR="00DE3D9F" w:rsidRPr="003B756C" w:rsidRDefault="00DE3D9F" w:rsidP="00146491">
            <w:pPr>
              <w:spacing w:before="40" w:after="40" w:line="220" w:lineRule="exact"/>
              <w:ind w:left="57" w:right="57"/>
              <w:jc w:val="left"/>
              <w:rPr>
                <w:rFonts w:ascii="Simplified Arabic" w:hAnsi="Simplified Arabic"/>
                <w:spacing w:val="-4"/>
                <w:szCs w:val="20"/>
              </w:rPr>
            </w:pPr>
          </w:p>
        </w:tc>
      </w:tr>
      <w:tr w:rsidR="00DE3D9F" w:rsidRPr="00206BEB" w14:paraId="2D3D4B36" w14:textId="77777777" w:rsidTr="0023489D">
        <w:tc>
          <w:tcPr>
            <w:tcW w:w="763" w:type="dxa"/>
            <w:shd w:val="clear" w:color="auto" w:fill="auto"/>
          </w:tcPr>
          <w:p w14:paraId="15E35C03" w14:textId="77777777" w:rsidR="00DE3D9F" w:rsidRPr="003B756C" w:rsidRDefault="00DE3D9F" w:rsidP="00146491">
            <w:pPr>
              <w:spacing w:before="40" w:after="40" w:line="320" w:lineRule="exact"/>
              <w:ind w:left="57" w:right="57"/>
              <w:jc w:val="left"/>
              <w:rPr>
                <w:rFonts w:ascii="Simplified Arabic" w:hAnsi="Simplified Arabic"/>
                <w:szCs w:val="20"/>
              </w:rPr>
            </w:pPr>
          </w:p>
        </w:tc>
        <w:tc>
          <w:tcPr>
            <w:tcW w:w="766" w:type="dxa"/>
            <w:shd w:val="clear" w:color="auto" w:fill="auto"/>
          </w:tcPr>
          <w:p w14:paraId="4E4DA393"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eastAsia="zh-TW" w:bidi="en-GB"/>
              </w:rPr>
            </w:pPr>
            <w:r w:rsidRPr="003B756C">
              <w:rPr>
                <w:rFonts w:ascii="Simplified Arabic" w:hAnsi="Simplified Arabic"/>
                <w:szCs w:val="20"/>
                <w:rtl/>
              </w:rPr>
              <w:t>الذكور</w:t>
            </w:r>
          </w:p>
        </w:tc>
        <w:tc>
          <w:tcPr>
            <w:tcW w:w="1289" w:type="dxa"/>
            <w:gridSpan w:val="2"/>
            <w:shd w:val="clear" w:color="auto" w:fill="auto"/>
            <w:vAlign w:val="bottom"/>
          </w:tcPr>
          <w:p w14:paraId="138918FE" w14:textId="7342D33B" w:rsidR="00DE3D9F" w:rsidRPr="003B756C" w:rsidRDefault="00DE3D9F" w:rsidP="00146491">
            <w:pPr>
              <w:spacing w:before="40" w:after="40" w:line="320" w:lineRule="exact"/>
              <w:ind w:left="57" w:right="57"/>
              <w:jc w:val="left"/>
              <w:rPr>
                <w:rFonts w:ascii="Simplified Arabic" w:hAnsi="Simplified Arabic"/>
                <w:spacing w:val="-4"/>
                <w:szCs w:val="20"/>
                <w:rtl/>
              </w:rPr>
            </w:pPr>
            <w:r w:rsidRPr="003B756C">
              <w:rPr>
                <w:rFonts w:ascii="Simplified Arabic" w:hAnsi="Simplified Arabic"/>
                <w:spacing w:val="-4"/>
                <w:szCs w:val="20"/>
              </w:rPr>
              <w:t>32 556 271</w:t>
            </w:r>
            <w:r w:rsidRPr="003B756C">
              <w:rPr>
                <w:rFonts w:ascii="Simplified Arabic" w:hAnsi="Simplified Arabic"/>
                <w:spacing w:val="-4"/>
                <w:szCs w:val="20"/>
                <w:cs/>
              </w:rPr>
              <w:t xml:space="preserve"> </w:t>
            </w:r>
            <w:r w:rsidRPr="003B756C">
              <w:rPr>
                <w:rFonts w:ascii="Simplified Arabic" w:hAnsi="Simplified Arabic"/>
                <w:spacing w:val="-4"/>
                <w:szCs w:val="20"/>
                <w:rtl/>
                <w:cs/>
              </w:rPr>
              <w:t>(</w:t>
            </w:r>
            <w:r w:rsidR="00146491" w:rsidRPr="003B756C">
              <w:rPr>
                <w:rFonts w:ascii="Simplified Arabic" w:hAnsi="Simplified Arabic"/>
                <w:spacing w:val="-4"/>
                <w:szCs w:val="20"/>
                <w:rtl/>
              </w:rPr>
              <w:t>49</w:t>
            </w:r>
            <w:r w:rsidR="00146491">
              <w:rPr>
                <w:rFonts w:ascii="Simplified Arabic" w:hAnsi="Simplified Arabic"/>
                <w:spacing w:val="-4"/>
                <w:szCs w:val="20"/>
                <w:rtl/>
              </w:rPr>
              <w:t>,</w:t>
            </w:r>
            <w:r w:rsidR="00146491" w:rsidRPr="003B756C">
              <w:rPr>
                <w:rFonts w:ascii="Simplified Arabic" w:hAnsi="Simplified Arabic"/>
                <w:spacing w:val="-4"/>
                <w:szCs w:val="20"/>
                <w:rtl/>
              </w:rPr>
              <w:t>02</w:t>
            </w:r>
            <w:r w:rsidRPr="003B756C">
              <w:rPr>
                <w:rFonts w:ascii="Simplified Arabic" w:hAnsi="Simplified Arabic"/>
                <w:spacing w:val="-4"/>
                <w:szCs w:val="20"/>
                <w:rtl/>
                <w:cs/>
              </w:rPr>
              <w:t>%)</w:t>
            </w:r>
          </w:p>
        </w:tc>
        <w:tc>
          <w:tcPr>
            <w:tcW w:w="1136" w:type="dxa"/>
            <w:vMerge/>
            <w:shd w:val="clear" w:color="auto" w:fill="auto"/>
            <w:vAlign w:val="bottom"/>
          </w:tcPr>
          <w:p w14:paraId="0D9092E8" w14:textId="77777777" w:rsidR="00DE3D9F" w:rsidRPr="003B756C" w:rsidRDefault="00DE3D9F" w:rsidP="00146491">
            <w:pPr>
              <w:spacing w:before="40" w:after="40" w:line="320" w:lineRule="exact"/>
              <w:ind w:left="57" w:right="57"/>
              <w:jc w:val="left"/>
              <w:rPr>
                <w:rFonts w:ascii="Simplified Arabic" w:hAnsi="Simplified Arabic"/>
                <w:spacing w:val="-4"/>
                <w:szCs w:val="20"/>
              </w:rPr>
            </w:pPr>
          </w:p>
        </w:tc>
        <w:tc>
          <w:tcPr>
            <w:tcW w:w="1136" w:type="dxa"/>
            <w:vMerge/>
            <w:shd w:val="clear" w:color="auto" w:fill="auto"/>
            <w:vAlign w:val="bottom"/>
          </w:tcPr>
          <w:p w14:paraId="7E607E75" w14:textId="77777777" w:rsidR="00DE3D9F" w:rsidRPr="003B756C" w:rsidRDefault="00DE3D9F" w:rsidP="00146491">
            <w:pPr>
              <w:spacing w:before="40" w:after="40" w:line="320" w:lineRule="exact"/>
              <w:ind w:left="57" w:right="57"/>
              <w:jc w:val="left"/>
              <w:rPr>
                <w:rFonts w:ascii="Simplified Arabic" w:hAnsi="Simplified Arabic"/>
                <w:spacing w:val="-4"/>
                <w:szCs w:val="20"/>
              </w:rPr>
            </w:pPr>
          </w:p>
        </w:tc>
        <w:tc>
          <w:tcPr>
            <w:tcW w:w="1274" w:type="dxa"/>
            <w:vMerge/>
            <w:shd w:val="clear" w:color="auto" w:fill="auto"/>
            <w:vAlign w:val="bottom"/>
          </w:tcPr>
          <w:p w14:paraId="56E046D6" w14:textId="77777777" w:rsidR="00DE3D9F" w:rsidRPr="003B756C" w:rsidRDefault="00DE3D9F" w:rsidP="00146491">
            <w:pPr>
              <w:spacing w:before="40" w:after="40" w:line="320" w:lineRule="exact"/>
              <w:ind w:left="57" w:right="57"/>
              <w:jc w:val="left"/>
              <w:rPr>
                <w:rFonts w:ascii="Simplified Arabic" w:hAnsi="Simplified Arabic"/>
                <w:spacing w:val="-4"/>
                <w:szCs w:val="20"/>
              </w:rPr>
            </w:pPr>
          </w:p>
        </w:tc>
        <w:tc>
          <w:tcPr>
            <w:tcW w:w="1355" w:type="dxa"/>
            <w:vMerge/>
            <w:tcBorders>
              <w:bottom w:val="nil"/>
            </w:tcBorders>
            <w:shd w:val="clear" w:color="auto" w:fill="auto"/>
            <w:vAlign w:val="bottom"/>
          </w:tcPr>
          <w:p w14:paraId="750A7527" w14:textId="77777777" w:rsidR="00DE3D9F" w:rsidRPr="003B756C" w:rsidRDefault="00DE3D9F" w:rsidP="00146491">
            <w:pPr>
              <w:spacing w:before="40" w:after="40" w:line="220" w:lineRule="exact"/>
              <w:ind w:left="57" w:right="57"/>
              <w:jc w:val="left"/>
              <w:rPr>
                <w:rFonts w:ascii="Simplified Arabic" w:hAnsi="Simplified Arabic"/>
                <w:spacing w:val="-4"/>
                <w:szCs w:val="20"/>
              </w:rPr>
            </w:pPr>
          </w:p>
        </w:tc>
      </w:tr>
      <w:tr w:rsidR="00DE3D9F" w:rsidRPr="00206BEB" w14:paraId="70A3A90A" w14:textId="77777777" w:rsidTr="0023489D">
        <w:tc>
          <w:tcPr>
            <w:tcW w:w="1542" w:type="dxa"/>
            <w:gridSpan w:val="3"/>
            <w:shd w:val="clear" w:color="auto" w:fill="auto"/>
          </w:tcPr>
          <w:p w14:paraId="237B1BC7"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val="ar-SA" w:eastAsia="zh-TW" w:bidi="en-GB"/>
              </w:rPr>
            </w:pPr>
            <w:r w:rsidRPr="003B756C">
              <w:rPr>
                <w:rFonts w:ascii="Simplified Arabic" w:hAnsi="Simplified Arabic"/>
                <w:szCs w:val="20"/>
                <w:rtl/>
              </w:rPr>
              <w:t>بانكوك والمناطق المجاورة لها</w:t>
            </w:r>
          </w:p>
        </w:tc>
        <w:tc>
          <w:tcPr>
            <w:tcW w:w="1276" w:type="dxa"/>
            <w:shd w:val="clear" w:color="auto" w:fill="auto"/>
            <w:vAlign w:val="bottom"/>
          </w:tcPr>
          <w:p w14:paraId="44E56DDF" w14:textId="77777777" w:rsidR="00DE3D9F" w:rsidRPr="003B756C" w:rsidRDefault="00DE3D9F" w:rsidP="00146491">
            <w:pPr>
              <w:spacing w:before="40" w:after="40" w:line="320" w:lineRule="exact"/>
              <w:ind w:left="57" w:right="57"/>
              <w:jc w:val="left"/>
              <w:textDirection w:val="tbRlV"/>
              <w:rPr>
                <w:rFonts w:ascii="Simplified Arabic" w:hAnsi="Simplified Arabic"/>
                <w:spacing w:val="-4"/>
                <w:szCs w:val="20"/>
                <w:lang w:val="ar-SA" w:eastAsia="zh-TW" w:bidi="en-GB"/>
              </w:rPr>
            </w:pPr>
            <w:r w:rsidRPr="003B756C">
              <w:rPr>
                <w:rFonts w:ascii="Simplified Arabic" w:hAnsi="Simplified Arabic"/>
                <w:spacing w:val="-4"/>
                <w:szCs w:val="20"/>
                <w:rtl/>
              </w:rPr>
              <w:t>988 831 10</w:t>
            </w:r>
          </w:p>
        </w:tc>
        <w:tc>
          <w:tcPr>
            <w:tcW w:w="1136" w:type="dxa"/>
            <w:vMerge w:val="restart"/>
            <w:shd w:val="clear" w:color="auto" w:fill="auto"/>
            <w:vAlign w:val="bottom"/>
          </w:tcPr>
          <w:p w14:paraId="30B4CFEA" w14:textId="77777777" w:rsidR="00DE3D9F" w:rsidRPr="003B756C" w:rsidRDefault="00DE3D9F" w:rsidP="00146491">
            <w:pPr>
              <w:spacing w:before="40" w:after="40" w:line="320" w:lineRule="exact"/>
              <w:ind w:left="57" w:right="57"/>
              <w:jc w:val="left"/>
              <w:textDirection w:val="tbRlV"/>
              <w:rPr>
                <w:rFonts w:ascii="Simplified Arabic" w:hAnsi="Simplified Arabic"/>
                <w:spacing w:val="-4"/>
                <w:szCs w:val="20"/>
                <w:lang w:val="ar-SA" w:eastAsia="zh-TW" w:bidi="en-GB"/>
              </w:rPr>
            </w:pPr>
            <w:r w:rsidRPr="003B756C">
              <w:rPr>
                <w:rFonts w:ascii="Simplified Arabic" w:hAnsi="Simplified Arabic"/>
                <w:spacing w:val="-4"/>
                <w:szCs w:val="20"/>
                <w:rtl/>
              </w:rPr>
              <w:t>395,6 1</w:t>
            </w:r>
          </w:p>
        </w:tc>
        <w:tc>
          <w:tcPr>
            <w:tcW w:w="1136" w:type="dxa"/>
            <w:vMerge w:val="restart"/>
            <w:shd w:val="clear" w:color="auto" w:fill="auto"/>
            <w:vAlign w:val="bottom"/>
          </w:tcPr>
          <w:p w14:paraId="23991DEC" w14:textId="77777777" w:rsidR="00DE3D9F" w:rsidRPr="003B756C" w:rsidRDefault="00DE3D9F" w:rsidP="00146491">
            <w:pPr>
              <w:spacing w:before="40" w:after="40" w:line="320" w:lineRule="exact"/>
              <w:ind w:left="57" w:right="57"/>
              <w:jc w:val="left"/>
              <w:textDirection w:val="tbRlV"/>
              <w:rPr>
                <w:rFonts w:ascii="Simplified Arabic" w:hAnsi="Simplified Arabic"/>
                <w:spacing w:val="-4"/>
                <w:szCs w:val="20"/>
                <w:lang w:val="ar-SA" w:eastAsia="zh-TW" w:bidi="en-GB"/>
              </w:rPr>
            </w:pPr>
            <w:r w:rsidRPr="003B756C">
              <w:rPr>
                <w:rFonts w:ascii="Simplified Arabic" w:hAnsi="Simplified Arabic"/>
                <w:spacing w:val="-4"/>
                <w:szCs w:val="20"/>
                <w:rtl/>
              </w:rPr>
              <w:t>12,6</w:t>
            </w:r>
          </w:p>
        </w:tc>
        <w:tc>
          <w:tcPr>
            <w:tcW w:w="1274" w:type="dxa"/>
            <w:vMerge w:val="restart"/>
            <w:shd w:val="clear" w:color="auto" w:fill="auto"/>
            <w:vAlign w:val="bottom"/>
          </w:tcPr>
          <w:p w14:paraId="441DBF60" w14:textId="77777777" w:rsidR="00DE3D9F" w:rsidRPr="003B756C" w:rsidRDefault="00DE3D9F" w:rsidP="00146491">
            <w:pPr>
              <w:spacing w:before="40" w:after="40" w:line="320" w:lineRule="exact"/>
              <w:ind w:left="57" w:right="57"/>
              <w:jc w:val="left"/>
              <w:textDirection w:val="tbRlV"/>
              <w:rPr>
                <w:rFonts w:ascii="Simplified Arabic" w:hAnsi="Simplified Arabic"/>
                <w:spacing w:val="-4"/>
                <w:szCs w:val="20"/>
                <w:lang w:val="ar-SA" w:eastAsia="zh-TW" w:bidi="en-GB"/>
              </w:rPr>
            </w:pPr>
            <w:r w:rsidRPr="003B756C">
              <w:rPr>
                <w:rFonts w:ascii="Simplified Arabic" w:hAnsi="Simplified Arabic"/>
                <w:spacing w:val="-4"/>
                <w:szCs w:val="20"/>
                <w:rtl/>
              </w:rPr>
              <w:t>7,1</w:t>
            </w:r>
          </w:p>
        </w:tc>
        <w:tc>
          <w:tcPr>
            <w:tcW w:w="1355" w:type="dxa"/>
            <w:vMerge w:val="restart"/>
            <w:tcBorders>
              <w:top w:val="nil"/>
              <w:bottom w:val="nil"/>
            </w:tcBorders>
            <w:shd w:val="clear" w:color="auto" w:fill="auto"/>
            <w:vAlign w:val="bottom"/>
          </w:tcPr>
          <w:p w14:paraId="44439B25" w14:textId="63DECA45" w:rsidR="00DE3D9F" w:rsidRPr="003B756C" w:rsidRDefault="00DE3D9F" w:rsidP="00146491">
            <w:pPr>
              <w:spacing w:before="40" w:after="40" w:line="220" w:lineRule="exact"/>
              <w:ind w:left="57" w:right="57"/>
              <w:jc w:val="left"/>
              <w:textDirection w:val="tbRlV"/>
              <w:rPr>
                <w:rFonts w:ascii="Simplified Arabic" w:hAnsi="Simplified Arabic"/>
                <w:spacing w:val="-4"/>
                <w:szCs w:val="20"/>
                <w:lang w:eastAsia="zh-TW" w:bidi="en-GB"/>
              </w:rPr>
            </w:pPr>
          </w:p>
        </w:tc>
      </w:tr>
      <w:tr w:rsidR="00DE3D9F" w:rsidRPr="00206BEB" w14:paraId="0289A904" w14:textId="77777777" w:rsidTr="0023489D">
        <w:tc>
          <w:tcPr>
            <w:tcW w:w="769" w:type="dxa"/>
            <w:shd w:val="clear" w:color="auto" w:fill="auto"/>
          </w:tcPr>
          <w:p w14:paraId="5198D33A" w14:textId="77777777" w:rsidR="00DE3D9F" w:rsidRPr="003B756C" w:rsidRDefault="00DE3D9F" w:rsidP="00146491">
            <w:pPr>
              <w:spacing w:before="40" w:after="40" w:line="320" w:lineRule="exact"/>
              <w:ind w:left="57" w:right="57"/>
              <w:jc w:val="left"/>
              <w:rPr>
                <w:rFonts w:ascii="Simplified Arabic" w:hAnsi="Simplified Arabic"/>
                <w:szCs w:val="20"/>
              </w:rPr>
            </w:pPr>
          </w:p>
        </w:tc>
        <w:tc>
          <w:tcPr>
            <w:tcW w:w="773" w:type="dxa"/>
            <w:gridSpan w:val="2"/>
            <w:shd w:val="clear" w:color="auto" w:fill="auto"/>
          </w:tcPr>
          <w:p w14:paraId="6EEC35CE"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eastAsia="zh-TW" w:bidi="en-GB"/>
              </w:rPr>
            </w:pPr>
            <w:r w:rsidRPr="003B756C">
              <w:rPr>
                <w:rFonts w:ascii="Simplified Arabic" w:hAnsi="Simplified Arabic"/>
                <w:szCs w:val="20"/>
                <w:rtl/>
              </w:rPr>
              <w:t>الإناث</w:t>
            </w:r>
          </w:p>
        </w:tc>
        <w:tc>
          <w:tcPr>
            <w:tcW w:w="1276" w:type="dxa"/>
            <w:shd w:val="clear" w:color="auto" w:fill="auto"/>
            <w:vAlign w:val="bottom"/>
          </w:tcPr>
          <w:p w14:paraId="76D90297" w14:textId="77777777" w:rsidR="00DE3D9F" w:rsidRPr="003B756C" w:rsidRDefault="00DE3D9F" w:rsidP="00146491">
            <w:pPr>
              <w:spacing w:before="40" w:after="40" w:line="320" w:lineRule="exact"/>
              <w:ind w:left="57" w:right="57"/>
              <w:jc w:val="left"/>
              <w:rPr>
                <w:rFonts w:ascii="Simplified Arabic" w:hAnsi="Simplified Arabic"/>
                <w:spacing w:val="-4"/>
                <w:szCs w:val="20"/>
              </w:rPr>
            </w:pPr>
            <w:r w:rsidRPr="003B756C">
              <w:rPr>
                <w:rFonts w:ascii="Simplified Arabic" w:hAnsi="Simplified Arabic"/>
                <w:spacing w:val="-4"/>
                <w:szCs w:val="20"/>
              </w:rPr>
              <w:t>5 699 1255</w:t>
            </w:r>
          </w:p>
        </w:tc>
        <w:tc>
          <w:tcPr>
            <w:tcW w:w="1136" w:type="dxa"/>
            <w:vMerge/>
            <w:shd w:val="clear" w:color="auto" w:fill="auto"/>
            <w:vAlign w:val="bottom"/>
          </w:tcPr>
          <w:p w14:paraId="7E454447" w14:textId="77777777" w:rsidR="00DE3D9F" w:rsidRPr="003B756C" w:rsidRDefault="00DE3D9F" w:rsidP="00146491">
            <w:pPr>
              <w:spacing w:before="40" w:after="40" w:line="320" w:lineRule="exact"/>
              <w:ind w:left="57" w:right="57"/>
              <w:jc w:val="left"/>
              <w:rPr>
                <w:rFonts w:ascii="Simplified Arabic" w:hAnsi="Simplified Arabic"/>
                <w:spacing w:val="-4"/>
                <w:szCs w:val="20"/>
              </w:rPr>
            </w:pPr>
          </w:p>
        </w:tc>
        <w:tc>
          <w:tcPr>
            <w:tcW w:w="1136" w:type="dxa"/>
            <w:vMerge/>
            <w:shd w:val="clear" w:color="auto" w:fill="auto"/>
            <w:vAlign w:val="bottom"/>
          </w:tcPr>
          <w:p w14:paraId="42594783" w14:textId="77777777" w:rsidR="00DE3D9F" w:rsidRPr="003B756C" w:rsidRDefault="00DE3D9F" w:rsidP="00146491">
            <w:pPr>
              <w:spacing w:before="40" w:after="40" w:line="320" w:lineRule="exact"/>
              <w:ind w:left="57" w:right="57"/>
              <w:jc w:val="left"/>
              <w:rPr>
                <w:rFonts w:ascii="Simplified Arabic" w:hAnsi="Simplified Arabic"/>
                <w:spacing w:val="-4"/>
                <w:szCs w:val="20"/>
              </w:rPr>
            </w:pPr>
          </w:p>
        </w:tc>
        <w:tc>
          <w:tcPr>
            <w:tcW w:w="1274" w:type="dxa"/>
            <w:vMerge/>
            <w:shd w:val="clear" w:color="auto" w:fill="auto"/>
            <w:vAlign w:val="bottom"/>
          </w:tcPr>
          <w:p w14:paraId="76193FD5" w14:textId="77777777" w:rsidR="00DE3D9F" w:rsidRPr="003B756C" w:rsidRDefault="00DE3D9F" w:rsidP="00146491">
            <w:pPr>
              <w:spacing w:before="40" w:after="40" w:line="320" w:lineRule="exact"/>
              <w:ind w:left="57" w:right="57"/>
              <w:jc w:val="left"/>
              <w:rPr>
                <w:rFonts w:ascii="Simplified Arabic" w:hAnsi="Simplified Arabic"/>
                <w:spacing w:val="-4"/>
                <w:szCs w:val="20"/>
              </w:rPr>
            </w:pPr>
          </w:p>
        </w:tc>
        <w:tc>
          <w:tcPr>
            <w:tcW w:w="1355" w:type="dxa"/>
            <w:vMerge/>
            <w:tcBorders>
              <w:top w:val="nil"/>
              <w:bottom w:val="nil"/>
            </w:tcBorders>
            <w:shd w:val="clear" w:color="auto" w:fill="auto"/>
            <w:vAlign w:val="bottom"/>
          </w:tcPr>
          <w:p w14:paraId="41B2C704" w14:textId="77777777" w:rsidR="00DE3D9F" w:rsidRPr="003B756C" w:rsidRDefault="00DE3D9F" w:rsidP="00146491">
            <w:pPr>
              <w:spacing w:before="40" w:after="40" w:line="220" w:lineRule="exact"/>
              <w:ind w:left="57" w:right="57"/>
              <w:jc w:val="left"/>
              <w:rPr>
                <w:rFonts w:ascii="Simplified Arabic" w:hAnsi="Simplified Arabic"/>
                <w:spacing w:val="-4"/>
                <w:szCs w:val="20"/>
              </w:rPr>
            </w:pPr>
          </w:p>
        </w:tc>
      </w:tr>
      <w:tr w:rsidR="00DE3D9F" w:rsidRPr="00206BEB" w14:paraId="47E10749" w14:textId="77777777" w:rsidTr="0023489D">
        <w:tc>
          <w:tcPr>
            <w:tcW w:w="769" w:type="dxa"/>
            <w:tcBorders>
              <w:bottom w:val="nil"/>
            </w:tcBorders>
            <w:shd w:val="clear" w:color="auto" w:fill="auto"/>
          </w:tcPr>
          <w:p w14:paraId="7625B9A5" w14:textId="77777777" w:rsidR="00DE3D9F" w:rsidRPr="003B756C" w:rsidRDefault="00DE3D9F" w:rsidP="00146491">
            <w:pPr>
              <w:spacing w:before="40" w:after="40" w:line="320" w:lineRule="exact"/>
              <w:ind w:left="57" w:right="57"/>
              <w:jc w:val="left"/>
              <w:rPr>
                <w:rFonts w:ascii="Simplified Arabic" w:hAnsi="Simplified Arabic"/>
                <w:szCs w:val="20"/>
              </w:rPr>
            </w:pPr>
          </w:p>
        </w:tc>
        <w:tc>
          <w:tcPr>
            <w:tcW w:w="773" w:type="dxa"/>
            <w:gridSpan w:val="2"/>
            <w:tcBorders>
              <w:bottom w:val="nil"/>
            </w:tcBorders>
            <w:shd w:val="clear" w:color="auto" w:fill="auto"/>
          </w:tcPr>
          <w:p w14:paraId="204FDBD1"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val="ar-SA" w:eastAsia="zh-TW" w:bidi="en-GB"/>
              </w:rPr>
            </w:pPr>
            <w:r w:rsidRPr="003B756C">
              <w:rPr>
                <w:rFonts w:ascii="Simplified Arabic" w:hAnsi="Simplified Arabic"/>
                <w:szCs w:val="20"/>
                <w:rtl/>
              </w:rPr>
              <w:t>الذكور</w:t>
            </w:r>
          </w:p>
        </w:tc>
        <w:tc>
          <w:tcPr>
            <w:tcW w:w="1276" w:type="dxa"/>
            <w:tcBorders>
              <w:bottom w:val="nil"/>
            </w:tcBorders>
            <w:shd w:val="clear" w:color="auto" w:fill="auto"/>
            <w:vAlign w:val="bottom"/>
          </w:tcPr>
          <w:p w14:paraId="32B0A87C" w14:textId="77777777" w:rsidR="00DE3D9F" w:rsidRPr="003B756C" w:rsidRDefault="00DE3D9F" w:rsidP="00146491">
            <w:pPr>
              <w:spacing w:before="40" w:after="40" w:line="320" w:lineRule="exact"/>
              <w:ind w:left="57" w:right="57"/>
              <w:jc w:val="left"/>
              <w:textDirection w:val="tbRlV"/>
              <w:rPr>
                <w:rFonts w:ascii="Simplified Arabic" w:hAnsi="Simplified Arabic"/>
                <w:spacing w:val="-4"/>
                <w:szCs w:val="20"/>
                <w:lang w:val="ar-SA" w:eastAsia="zh-TW" w:bidi="en-GB"/>
              </w:rPr>
            </w:pPr>
            <w:r w:rsidRPr="003B756C">
              <w:rPr>
                <w:rFonts w:ascii="Simplified Arabic" w:hAnsi="Simplified Arabic"/>
                <w:spacing w:val="-4"/>
                <w:szCs w:val="20"/>
                <w:rtl/>
              </w:rPr>
              <w:t>863 132 5</w:t>
            </w:r>
          </w:p>
        </w:tc>
        <w:tc>
          <w:tcPr>
            <w:tcW w:w="1136" w:type="dxa"/>
            <w:vMerge/>
            <w:tcBorders>
              <w:bottom w:val="nil"/>
            </w:tcBorders>
            <w:shd w:val="clear" w:color="auto" w:fill="auto"/>
            <w:vAlign w:val="bottom"/>
          </w:tcPr>
          <w:p w14:paraId="3E3C626E" w14:textId="77777777" w:rsidR="00DE3D9F" w:rsidRPr="003B756C" w:rsidRDefault="00DE3D9F" w:rsidP="00146491">
            <w:pPr>
              <w:spacing w:before="40" w:after="40" w:line="320" w:lineRule="exact"/>
              <w:ind w:left="57" w:right="57"/>
              <w:jc w:val="left"/>
              <w:rPr>
                <w:rFonts w:ascii="Simplified Arabic" w:hAnsi="Simplified Arabic"/>
                <w:spacing w:val="-4"/>
                <w:szCs w:val="20"/>
              </w:rPr>
            </w:pPr>
          </w:p>
        </w:tc>
        <w:tc>
          <w:tcPr>
            <w:tcW w:w="1136" w:type="dxa"/>
            <w:vMerge/>
            <w:tcBorders>
              <w:bottom w:val="nil"/>
            </w:tcBorders>
            <w:shd w:val="clear" w:color="auto" w:fill="auto"/>
            <w:vAlign w:val="bottom"/>
          </w:tcPr>
          <w:p w14:paraId="2D98F772" w14:textId="77777777" w:rsidR="00DE3D9F" w:rsidRPr="003B756C" w:rsidRDefault="00DE3D9F" w:rsidP="00146491">
            <w:pPr>
              <w:spacing w:before="40" w:after="40" w:line="320" w:lineRule="exact"/>
              <w:ind w:left="57" w:right="57"/>
              <w:jc w:val="left"/>
              <w:rPr>
                <w:rFonts w:ascii="Simplified Arabic" w:hAnsi="Simplified Arabic"/>
                <w:spacing w:val="-4"/>
                <w:szCs w:val="20"/>
              </w:rPr>
            </w:pPr>
          </w:p>
        </w:tc>
        <w:tc>
          <w:tcPr>
            <w:tcW w:w="1274" w:type="dxa"/>
            <w:vMerge/>
            <w:tcBorders>
              <w:bottom w:val="nil"/>
            </w:tcBorders>
            <w:shd w:val="clear" w:color="auto" w:fill="auto"/>
            <w:vAlign w:val="bottom"/>
          </w:tcPr>
          <w:p w14:paraId="60598FF4" w14:textId="77777777" w:rsidR="00DE3D9F" w:rsidRPr="003B756C" w:rsidRDefault="00DE3D9F" w:rsidP="00146491">
            <w:pPr>
              <w:spacing w:before="40" w:after="40" w:line="320" w:lineRule="exact"/>
              <w:ind w:left="57" w:right="57"/>
              <w:jc w:val="left"/>
              <w:rPr>
                <w:rFonts w:ascii="Simplified Arabic" w:hAnsi="Simplified Arabic"/>
                <w:spacing w:val="-4"/>
                <w:szCs w:val="20"/>
              </w:rPr>
            </w:pPr>
          </w:p>
        </w:tc>
        <w:tc>
          <w:tcPr>
            <w:tcW w:w="1355" w:type="dxa"/>
            <w:vMerge/>
            <w:tcBorders>
              <w:top w:val="nil"/>
              <w:bottom w:val="nil"/>
            </w:tcBorders>
            <w:shd w:val="clear" w:color="auto" w:fill="auto"/>
            <w:vAlign w:val="bottom"/>
          </w:tcPr>
          <w:p w14:paraId="66F45EAD" w14:textId="77777777" w:rsidR="00DE3D9F" w:rsidRPr="003B756C" w:rsidRDefault="00DE3D9F" w:rsidP="00146491">
            <w:pPr>
              <w:spacing w:before="40" w:after="40" w:line="220" w:lineRule="exact"/>
              <w:ind w:left="57" w:right="57"/>
              <w:jc w:val="left"/>
              <w:rPr>
                <w:rFonts w:ascii="Simplified Arabic" w:hAnsi="Simplified Arabic"/>
                <w:spacing w:val="-4"/>
                <w:szCs w:val="20"/>
              </w:rPr>
            </w:pPr>
          </w:p>
        </w:tc>
      </w:tr>
      <w:tr w:rsidR="00DE3D9F" w:rsidRPr="00206BEB" w14:paraId="472D936A" w14:textId="77777777" w:rsidTr="0023489D">
        <w:tc>
          <w:tcPr>
            <w:tcW w:w="1542" w:type="dxa"/>
            <w:gridSpan w:val="3"/>
            <w:tcBorders>
              <w:top w:val="nil"/>
              <w:bottom w:val="nil"/>
            </w:tcBorders>
            <w:shd w:val="clear" w:color="auto" w:fill="auto"/>
          </w:tcPr>
          <w:p w14:paraId="1EE15FB3"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val="ar-SA" w:eastAsia="zh-TW" w:bidi="en-GB"/>
              </w:rPr>
            </w:pPr>
            <w:r w:rsidRPr="003B756C">
              <w:rPr>
                <w:rFonts w:ascii="Simplified Arabic" w:hAnsi="Simplified Arabic"/>
                <w:szCs w:val="20"/>
                <w:rtl/>
              </w:rPr>
              <w:t>المنطقة الوسطى</w:t>
            </w:r>
          </w:p>
        </w:tc>
        <w:tc>
          <w:tcPr>
            <w:tcW w:w="1276" w:type="dxa"/>
            <w:tcBorders>
              <w:top w:val="nil"/>
              <w:bottom w:val="nil"/>
            </w:tcBorders>
            <w:shd w:val="clear" w:color="auto" w:fill="auto"/>
            <w:vAlign w:val="bottom"/>
          </w:tcPr>
          <w:p w14:paraId="47212A3F" w14:textId="77777777" w:rsidR="00DE3D9F" w:rsidRPr="003B756C" w:rsidRDefault="00DE3D9F" w:rsidP="00146491">
            <w:pPr>
              <w:spacing w:before="40" w:after="40" w:line="320" w:lineRule="exact"/>
              <w:ind w:left="57" w:right="57"/>
              <w:jc w:val="left"/>
              <w:textDirection w:val="tbRlV"/>
              <w:rPr>
                <w:rFonts w:ascii="Simplified Arabic" w:hAnsi="Simplified Arabic"/>
                <w:spacing w:val="-4"/>
                <w:szCs w:val="20"/>
                <w:lang w:val="ar-SA" w:eastAsia="zh-TW" w:bidi="en-GB"/>
              </w:rPr>
            </w:pPr>
            <w:r w:rsidRPr="003B756C">
              <w:rPr>
                <w:rFonts w:ascii="Simplified Arabic" w:hAnsi="Simplified Arabic"/>
                <w:spacing w:val="-4"/>
                <w:szCs w:val="20"/>
                <w:rtl/>
              </w:rPr>
              <w:t>162 034 3</w:t>
            </w:r>
          </w:p>
        </w:tc>
        <w:tc>
          <w:tcPr>
            <w:tcW w:w="1136" w:type="dxa"/>
            <w:vMerge w:val="restart"/>
            <w:tcBorders>
              <w:top w:val="nil"/>
              <w:bottom w:val="nil"/>
            </w:tcBorders>
            <w:shd w:val="clear" w:color="auto" w:fill="auto"/>
            <w:vAlign w:val="bottom"/>
          </w:tcPr>
          <w:p w14:paraId="5E5E9305" w14:textId="77777777" w:rsidR="00DE3D9F" w:rsidRPr="003B756C" w:rsidRDefault="00DE3D9F" w:rsidP="00146491">
            <w:pPr>
              <w:spacing w:before="40" w:after="40" w:line="320" w:lineRule="exact"/>
              <w:ind w:left="57" w:right="57"/>
              <w:jc w:val="left"/>
              <w:textDirection w:val="tbRlV"/>
              <w:rPr>
                <w:rFonts w:ascii="Simplified Arabic" w:hAnsi="Simplified Arabic"/>
                <w:spacing w:val="-4"/>
                <w:szCs w:val="20"/>
                <w:lang w:eastAsia="zh-TW" w:bidi="en-GB"/>
              </w:rPr>
            </w:pPr>
            <w:r w:rsidRPr="003B756C">
              <w:rPr>
                <w:rFonts w:ascii="Simplified Arabic" w:hAnsi="Simplified Arabic"/>
                <w:spacing w:val="-4"/>
                <w:szCs w:val="20"/>
                <w:rtl/>
              </w:rPr>
              <w:t>182,9</w:t>
            </w:r>
          </w:p>
        </w:tc>
        <w:tc>
          <w:tcPr>
            <w:tcW w:w="1136" w:type="dxa"/>
            <w:vMerge w:val="restart"/>
            <w:tcBorders>
              <w:top w:val="nil"/>
              <w:bottom w:val="nil"/>
            </w:tcBorders>
            <w:shd w:val="clear" w:color="auto" w:fill="auto"/>
            <w:vAlign w:val="bottom"/>
          </w:tcPr>
          <w:p w14:paraId="6D3B0260" w14:textId="77777777" w:rsidR="00DE3D9F" w:rsidRPr="003B756C" w:rsidRDefault="00DE3D9F" w:rsidP="00146491">
            <w:pPr>
              <w:spacing w:before="40" w:after="40" w:line="320" w:lineRule="exact"/>
              <w:ind w:left="57" w:right="57"/>
              <w:jc w:val="left"/>
              <w:textDirection w:val="tbRlV"/>
              <w:rPr>
                <w:rFonts w:ascii="Simplified Arabic" w:hAnsi="Simplified Arabic"/>
                <w:spacing w:val="-4"/>
                <w:szCs w:val="20"/>
                <w:lang w:val="ar-SA" w:eastAsia="zh-TW" w:bidi="en-GB"/>
              </w:rPr>
            </w:pPr>
            <w:r w:rsidRPr="003B756C">
              <w:rPr>
                <w:rFonts w:ascii="Simplified Arabic" w:hAnsi="Simplified Arabic"/>
                <w:spacing w:val="-4"/>
                <w:szCs w:val="20"/>
                <w:rtl/>
              </w:rPr>
              <w:t>9,1</w:t>
            </w:r>
          </w:p>
        </w:tc>
        <w:tc>
          <w:tcPr>
            <w:tcW w:w="1274" w:type="dxa"/>
            <w:vMerge w:val="restart"/>
            <w:tcBorders>
              <w:top w:val="nil"/>
              <w:bottom w:val="nil"/>
            </w:tcBorders>
            <w:shd w:val="clear" w:color="auto" w:fill="auto"/>
            <w:vAlign w:val="bottom"/>
          </w:tcPr>
          <w:p w14:paraId="0BD71BBB" w14:textId="77777777" w:rsidR="00DE3D9F" w:rsidRPr="003B756C" w:rsidRDefault="00DE3D9F" w:rsidP="00146491">
            <w:pPr>
              <w:spacing w:before="40" w:after="40" w:line="320" w:lineRule="exact"/>
              <w:ind w:left="57" w:right="57"/>
              <w:jc w:val="left"/>
              <w:textDirection w:val="tbRlV"/>
              <w:rPr>
                <w:rFonts w:ascii="Simplified Arabic" w:hAnsi="Simplified Arabic"/>
                <w:spacing w:val="-4"/>
                <w:szCs w:val="20"/>
                <w:lang w:val="ar-SA" w:eastAsia="zh-TW" w:bidi="en-GB"/>
              </w:rPr>
            </w:pPr>
            <w:r w:rsidRPr="003B756C">
              <w:rPr>
                <w:rFonts w:ascii="Simplified Arabic" w:hAnsi="Simplified Arabic"/>
                <w:spacing w:val="-4"/>
                <w:szCs w:val="20"/>
                <w:rtl/>
              </w:rPr>
              <w:t>8,7</w:t>
            </w:r>
          </w:p>
        </w:tc>
        <w:tc>
          <w:tcPr>
            <w:tcW w:w="1355" w:type="dxa"/>
            <w:vMerge/>
            <w:tcBorders>
              <w:top w:val="nil"/>
              <w:bottom w:val="nil"/>
            </w:tcBorders>
            <w:shd w:val="clear" w:color="auto" w:fill="auto"/>
            <w:vAlign w:val="bottom"/>
          </w:tcPr>
          <w:p w14:paraId="564F9C57" w14:textId="77777777" w:rsidR="00DE3D9F" w:rsidRPr="003B756C" w:rsidRDefault="00DE3D9F" w:rsidP="00146491">
            <w:pPr>
              <w:spacing w:before="40" w:after="40" w:line="220" w:lineRule="exact"/>
              <w:ind w:left="57" w:right="57"/>
              <w:jc w:val="left"/>
              <w:rPr>
                <w:rFonts w:ascii="Simplified Arabic" w:hAnsi="Simplified Arabic"/>
                <w:spacing w:val="-4"/>
                <w:szCs w:val="20"/>
              </w:rPr>
            </w:pPr>
          </w:p>
        </w:tc>
      </w:tr>
      <w:tr w:rsidR="00DE3D9F" w:rsidRPr="00206BEB" w14:paraId="613895EC" w14:textId="77777777" w:rsidTr="0023489D">
        <w:tc>
          <w:tcPr>
            <w:tcW w:w="769" w:type="dxa"/>
            <w:tcBorders>
              <w:top w:val="nil"/>
              <w:bottom w:val="nil"/>
            </w:tcBorders>
            <w:shd w:val="clear" w:color="auto" w:fill="auto"/>
          </w:tcPr>
          <w:p w14:paraId="3A7D333B" w14:textId="77777777" w:rsidR="00DE3D9F" w:rsidRPr="003B756C" w:rsidRDefault="00DE3D9F" w:rsidP="00146491">
            <w:pPr>
              <w:spacing w:before="40" w:after="40" w:line="320" w:lineRule="exact"/>
              <w:ind w:left="57" w:right="57"/>
              <w:jc w:val="left"/>
              <w:rPr>
                <w:rFonts w:ascii="Simplified Arabic" w:hAnsi="Simplified Arabic"/>
                <w:szCs w:val="20"/>
              </w:rPr>
            </w:pPr>
          </w:p>
        </w:tc>
        <w:tc>
          <w:tcPr>
            <w:tcW w:w="773" w:type="dxa"/>
            <w:gridSpan w:val="2"/>
            <w:tcBorders>
              <w:top w:val="nil"/>
              <w:bottom w:val="nil"/>
            </w:tcBorders>
            <w:shd w:val="clear" w:color="auto" w:fill="auto"/>
          </w:tcPr>
          <w:p w14:paraId="70234396"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val="ar-SA" w:eastAsia="zh-TW" w:bidi="en-GB"/>
              </w:rPr>
            </w:pPr>
            <w:r w:rsidRPr="003B756C">
              <w:rPr>
                <w:rFonts w:ascii="Simplified Arabic" w:hAnsi="Simplified Arabic"/>
                <w:szCs w:val="20"/>
                <w:rtl/>
              </w:rPr>
              <w:t>الإناث</w:t>
            </w:r>
          </w:p>
        </w:tc>
        <w:tc>
          <w:tcPr>
            <w:tcW w:w="1276" w:type="dxa"/>
            <w:tcBorders>
              <w:top w:val="nil"/>
              <w:bottom w:val="nil"/>
            </w:tcBorders>
            <w:shd w:val="clear" w:color="auto" w:fill="auto"/>
            <w:vAlign w:val="bottom"/>
          </w:tcPr>
          <w:p w14:paraId="13E4B394"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val="ar-SA" w:eastAsia="zh-TW" w:bidi="en-GB"/>
              </w:rPr>
            </w:pPr>
            <w:r w:rsidRPr="003B756C">
              <w:rPr>
                <w:rFonts w:ascii="Simplified Arabic" w:hAnsi="Simplified Arabic"/>
                <w:szCs w:val="20"/>
                <w:rtl/>
              </w:rPr>
              <w:t>237 552 1</w:t>
            </w:r>
          </w:p>
        </w:tc>
        <w:tc>
          <w:tcPr>
            <w:tcW w:w="1136" w:type="dxa"/>
            <w:vMerge/>
            <w:tcBorders>
              <w:top w:val="nil"/>
              <w:bottom w:val="nil"/>
            </w:tcBorders>
            <w:shd w:val="clear" w:color="auto" w:fill="auto"/>
            <w:vAlign w:val="bottom"/>
          </w:tcPr>
          <w:p w14:paraId="47C9DF66" w14:textId="77777777" w:rsidR="00DE3D9F" w:rsidRPr="003B756C" w:rsidRDefault="00DE3D9F" w:rsidP="00146491">
            <w:pPr>
              <w:spacing w:before="40" w:after="40" w:line="320" w:lineRule="exact"/>
              <w:ind w:left="57" w:right="57"/>
              <w:jc w:val="left"/>
              <w:rPr>
                <w:rFonts w:ascii="Simplified Arabic" w:hAnsi="Simplified Arabic"/>
                <w:szCs w:val="20"/>
              </w:rPr>
            </w:pPr>
          </w:p>
        </w:tc>
        <w:tc>
          <w:tcPr>
            <w:tcW w:w="1136" w:type="dxa"/>
            <w:vMerge/>
            <w:tcBorders>
              <w:top w:val="nil"/>
              <w:bottom w:val="nil"/>
            </w:tcBorders>
            <w:shd w:val="clear" w:color="auto" w:fill="auto"/>
            <w:vAlign w:val="bottom"/>
          </w:tcPr>
          <w:p w14:paraId="268C3375" w14:textId="77777777" w:rsidR="00DE3D9F" w:rsidRPr="003B756C" w:rsidRDefault="00DE3D9F" w:rsidP="00146491">
            <w:pPr>
              <w:spacing w:before="40" w:after="40" w:line="320" w:lineRule="exact"/>
              <w:ind w:left="57" w:right="57"/>
              <w:jc w:val="left"/>
              <w:rPr>
                <w:rFonts w:ascii="Simplified Arabic" w:hAnsi="Simplified Arabic"/>
                <w:szCs w:val="20"/>
              </w:rPr>
            </w:pPr>
          </w:p>
        </w:tc>
        <w:tc>
          <w:tcPr>
            <w:tcW w:w="1274" w:type="dxa"/>
            <w:vMerge/>
            <w:tcBorders>
              <w:top w:val="nil"/>
              <w:bottom w:val="nil"/>
            </w:tcBorders>
            <w:shd w:val="clear" w:color="auto" w:fill="auto"/>
            <w:vAlign w:val="bottom"/>
          </w:tcPr>
          <w:p w14:paraId="6B9EDC74" w14:textId="77777777" w:rsidR="00DE3D9F" w:rsidRPr="003B756C" w:rsidRDefault="00DE3D9F" w:rsidP="00146491">
            <w:pPr>
              <w:spacing w:before="40" w:after="40" w:line="320" w:lineRule="exact"/>
              <w:ind w:left="57" w:right="57"/>
              <w:jc w:val="left"/>
              <w:rPr>
                <w:rFonts w:ascii="Simplified Arabic" w:hAnsi="Simplified Arabic"/>
                <w:szCs w:val="20"/>
              </w:rPr>
            </w:pPr>
          </w:p>
        </w:tc>
        <w:tc>
          <w:tcPr>
            <w:tcW w:w="1355" w:type="dxa"/>
            <w:vMerge/>
            <w:tcBorders>
              <w:top w:val="nil"/>
              <w:bottom w:val="nil"/>
            </w:tcBorders>
            <w:shd w:val="clear" w:color="auto" w:fill="auto"/>
            <w:vAlign w:val="bottom"/>
          </w:tcPr>
          <w:p w14:paraId="487C3CE2" w14:textId="77777777" w:rsidR="00DE3D9F" w:rsidRPr="003B756C" w:rsidRDefault="00DE3D9F" w:rsidP="00146491">
            <w:pPr>
              <w:spacing w:before="40" w:after="40" w:line="220" w:lineRule="exact"/>
              <w:ind w:left="57" w:right="57"/>
              <w:jc w:val="left"/>
              <w:rPr>
                <w:rFonts w:ascii="Simplified Arabic" w:hAnsi="Simplified Arabic"/>
                <w:szCs w:val="20"/>
              </w:rPr>
            </w:pPr>
          </w:p>
        </w:tc>
      </w:tr>
      <w:tr w:rsidR="00DE3D9F" w:rsidRPr="00206BEB" w14:paraId="2A3BFEC5" w14:textId="77777777" w:rsidTr="0023489D">
        <w:tc>
          <w:tcPr>
            <w:tcW w:w="769" w:type="dxa"/>
            <w:tcBorders>
              <w:top w:val="nil"/>
              <w:bottom w:val="nil"/>
            </w:tcBorders>
            <w:shd w:val="clear" w:color="auto" w:fill="auto"/>
          </w:tcPr>
          <w:p w14:paraId="52DC672F" w14:textId="77777777" w:rsidR="00DE3D9F" w:rsidRPr="003B756C" w:rsidRDefault="00DE3D9F" w:rsidP="00146491">
            <w:pPr>
              <w:spacing w:before="40" w:after="40" w:line="320" w:lineRule="exact"/>
              <w:ind w:left="57" w:right="57"/>
              <w:jc w:val="left"/>
              <w:rPr>
                <w:rFonts w:ascii="Simplified Arabic" w:hAnsi="Simplified Arabic"/>
                <w:szCs w:val="20"/>
              </w:rPr>
            </w:pPr>
          </w:p>
        </w:tc>
        <w:tc>
          <w:tcPr>
            <w:tcW w:w="773" w:type="dxa"/>
            <w:gridSpan w:val="2"/>
            <w:tcBorders>
              <w:top w:val="nil"/>
              <w:bottom w:val="nil"/>
            </w:tcBorders>
            <w:shd w:val="clear" w:color="auto" w:fill="auto"/>
          </w:tcPr>
          <w:p w14:paraId="6C6F57DA"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eastAsia="zh-TW" w:bidi="en-GB"/>
              </w:rPr>
            </w:pPr>
            <w:r w:rsidRPr="003B756C">
              <w:rPr>
                <w:rFonts w:ascii="Simplified Arabic" w:hAnsi="Simplified Arabic"/>
                <w:szCs w:val="20"/>
                <w:rtl/>
              </w:rPr>
              <w:t>الذكور</w:t>
            </w:r>
          </w:p>
        </w:tc>
        <w:tc>
          <w:tcPr>
            <w:tcW w:w="1276" w:type="dxa"/>
            <w:tcBorders>
              <w:top w:val="nil"/>
              <w:bottom w:val="nil"/>
            </w:tcBorders>
            <w:shd w:val="clear" w:color="auto" w:fill="auto"/>
            <w:vAlign w:val="bottom"/>
          </w:tcPr>
          <w:p w14:paraId="068A47FA"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val="ar-SA" w:eastAsia="zh-TW" w:bidi="en-GB"/>
              </w:rPr>
            </w:pPr>
            <w:r w:rsidRPr="003B756C">
              <w:rPr>
                <w:rFonts w:ascii="Simplified Arabic" w:hAnsi="Simplified Arabic"/>
                <w:szCs w:val="20"/>
                <w:rtl/>
              </w:rPr>
              <w:t>925 481 1</w:t>
            </w:r>
          </w:p>
        </w:tc>
        <w:tc>
          <w:tcPr>
            <w:tcW w:w="1136" w:type="dxa"/>
            <w:vMerge/>
            <w:tcBorders>
              <w:top w:val="nil"/>
              <w:bottom w:val="nil"/>
            </w:tcBorders>
            <w:shd w:val="clear" w:color="auto" w:fill="auto"/>
            <w:vAlign w:val="bottom"/>
          </w:tcPr>
          <w:p w14:paraId="01F7E604" w14:textId="77777777" w:rsidR="00DE3D9F" w:rsidRPr="003B756C" w:rsidRDefault="00DE3D9F" w:rsidP="00146491">
            <w:pPr>
              <w:spacing w:before="40" w:after="40" w:line="320" w:lineRule="exact"/>
              <w:ind w:left="57" w:right="57"/>
              <w:jc w:val="left"/>
              <w:rPr>
                <w:rFonts w:ascii="Simplified Arabic" w:hAnsi="Simplified Arabic"/>
                <w:szCs w:val="20"/>
              </w:rPr>
            </w:pPr>
          </w:p>
        </w:tc>
        <w:tc>
          <w:tcPr>
            <w:tcW w:w="1136" w:type="dxa"/>
            <w:vMerge/>
            <w:tcBorders>
              <w:top w:val="nil"/>
              <w:bottom w:val="nil"/>
            </w:tcBorders>
            <w:shd w:val="clear" w:color="auto" w:fill="auto"/>
            <w:vAlign w:val="bottom"/>
          </w:tcPr>
          <w:p w14:paraId="1E3FD0AB" w14:textId="77777777" w:rsidR="00DE3D9F" w:rsidRPr="003B756C" w:rsidRDefault="00DE3D9F" w:rsidP="00146491">
            <w:pPr>
              <w:spacing w:before="40" w:after="40" w:line="320" w:lineRule="exact"/>
              <w:ind w:left="57" w:right="57"/>
              <w:jc w:val="left"/>
              <w:rPr>
                <w:rFonts w:ascii="Simplified Arabic" w:hAnsi="Simplified Arabic"/>
                <w:szCs w:val="20"/>
              </w:rPr>
            </w:pPr>
          </w:p>
        </w:tc>
        <w:tc>
          <w:tcPr>
            <w:tcW w:w="1274" w:type="dxa"/>
            <w:vMerge/>
            <w:tcBorders>
              <w:top w:val="nil"/>
              <w:bottom w:val="nil"/>
            </w:tcBorders>
            <w:shd w:val="clear" w:color="auto" w:fill="auto"/>
            <w:vAlign w:val="bottom"/>
          </w:tcPr>
          <w:p w14:paraId="1134DFDB" w14:textId="77777777" w:rsidR="00DE3D9F" w:rsidRPr="003B756C" w:rsidRDefault="00DE3D9F" w:rsidP="00146491">
            <w:pPr>
              <w:spacing w:before="40" w:after="40" w:line="320" w:lineRule="exact"/>
              <w:ind w:left="57" w:right="57"/>
              <w:jc w:val="left"/>
              <w:rPr>
                <w:rFonts w:ascii="Simplified Arabic" w:hAnsi="Simplified Arabic"/>
                <w:szCs w:val="20"/>
              </w:rPr>
            </w:pPr>
          </w:p>
        </w:tc>
        <w:tc>
          <w:tcPr>
            <w:tcW w:w="1355" w:type="dxa"/>
            <w:vMerge/>
            <w:tcBorders>
              <w:top w:val="nil"/>
              <w:bottom w:val="nil"/>
            </w:tcBorders>
            <w:shd w:val="clear" w:color="auto" w:fill="auto"/>
            <w:vAlign w:val="bottom"/>
          </w:tcPr>
          <w:p w14:paraId="347C93B9" w14:textId="77777777" w:rsidR="00DE3D9F" w:rsidRPr="003B756C" w:rsidRDefault="00DE3D9F" w:rsidP="00146491">
            <w:pPr>
              <w:spacing w:before="40" w:after="40" w:line="220" w:lineRule="exact"/>
              <w:ind w:left="57" w:right="57"/>
              <w:jc w:val="left"/>
              <w:rPr>
                <w:rFonts w:ascii="Simplified Arabic" w:hAnsi="Simplified Arabic"/>
                <w:szCs w:val="20"/>
              </w:rPr>
            </w:pPr>
          </w:p>
        </w:tc>
      </w:tr>
      <w:tr w:rsidR="00DE3D9F" w:rsidRPr="00206BEB" w14:paraId="1A6DC654" w14:textId="77777777" w:rsidTr="0023489D">
        <w:tc>
          <w:tcPr>
            <w:tcW w:w="1529" w:type="dxa"/>
            <w:gridSpan w:val="2"/>
            <w:shd w:val="clear" w:color="auto" w:fill="auto"/>
          </w:tcPr>
          <w:p w14:paraId="5AA987E2"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val="ar-SA" w:eastAsia="zh-TW" w:bidi="en-GB"/>
              </w:rPr>
            </w:pPr>
            <w:r w:rsidRPr="003B756C">
              <w:rPr>
                <w:rFonts w:ascii="Simplified Arabic" w:hAnsi="Simplified Arabic"/>
                <w:szCs w:val="20"/>
                <w:rtl/>
              </w:rPr>
              <w:lastRenderedPageBreak/>
              <w:t>المنطقة الشرقية</w:t>
            </w:r>
          </w:p>
        </w:tc>
        <w:tc>
          <w:tcPr>
            <w:tcW w:w="1289" w:type="dxa"/>
            <w:gridSpan w:val="2"/>
            <w:shd w:val="clear" w:color="auto" w:fill="auto"/>
            <w:vAlign w:val="bottom"/>
          </w:tcPr>
          <w:p w14:paraId="34CECB69"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val="ar-SA" w:eastAsia="zh-TW" w:bidi="en-GB"/>
              </w:rPr>
            </w:pPr>
            <w:r w:rsidRPr="003B756C">
              <w:rPr>
                <w:rFonts w:ascii="Simplified Arabic" w:hAnsi="Simplified Arabic"/>
                <w:szCs w:val="20"/>
                <w:rtl/>
              </w:rPr>
              <w:t>182 003 5</w:t>
            </w:r>
          </w:p>
        </w:tc>
        <w:tc>
          <w:tcPr>
            <w:tcW w:w="1136" w:type="dxa"/>
            <w:vMerge w:val="restart"/>
            <w:shd w:val="clear" w:color="auto" w:fill="auto"/>
            <w:vAlign w:val="bottom"/>
          </w:tcPr>
          <w:p w14:paraId="7C5E3A9B"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eastAsia="zh-TW" w:bidi="en-GB"/>
              </w:rPr>
            </w:pPr>
            <w:r w:rsidRPr="003B756C">
              <w:rPr>
                <w:rFonts w:ascii="Simplified Arabic" w:hAnsi="Simplified Arabic"/>
                <w:szCs w:val="20"/>
                <w:rtl/>
              </w:rPr>
              <w:t>137,1</w:t>
            </w:r>
          </w:p>
        </w:tc>
        <w:tc>
          <w:tcPr>
            <w:tcW w:w="1136" w:type="dxa"/>
            <w:vMerge w:val="restart"/>
            <w:shd w:val="clear" w:color="auto" w:fill="auto"/>
            <w:vAlign w:val="bottom"/>
          </w:tcPr>
          <w:p w14:paraId="45FB46BE"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val="ar-SA" w:eastAsia="zh-TW" w:bidi="en-GB"/>
              </w:rPr>
            </w:pPr>
            <w:r w:rsidRPr="003B756C">
              <w:rPr>
                <w:rFonts w:ascii="Simplified Arabic" w:hAnsi="Simplified Arabic"/>
                <w:szCs w:val="20"/>
                <w:rtl/>
              </w:rPr>
              <w:t>13,6</w:t>
            </w:r>
          </w:p>
        </w:tc>
        <w:tc>
          <w:tcPr>
            <w:tcW w:w="1274" w:type="dxa"/>
            <w:vMerge w:val="restart"/>
            <w:shd w:val="clear" w:color="auto" w:fill="auto"/>
            <w:vAlign w:val="bottom"/>
          </w:tcPr>
          <w:p w14:paraId="53D5B95E"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val="ar-SA" w:eastAsia="zh-TW" w:bidi="en-GB"/>
              </w:rPr>
            </w:pPr>
            <w:r w:rsidRPr="003B756C">
              <w:rPr>
                <w:rFonts w:ascii="Simplified Arabic" w:hAnsi="Simplified Arabic"/>
                <w:szCs w:val="20"/>
                <w:rtl/>
              </w:rPr>
              <w:t>7,4</w:t>
            </w:r>
          </w:p>
        </w:tc>
        <w:tc>
          <w:tcPr>
            <w:tcW w:w="1355" w:type="dxa"/>
            <w:vMerge w:val="restart"/>
            <w:tcBorders>
              <w:top w:val="nil"/>
              <w:bottom w:val="nil"/>
            </w:tcBorders>
            <w:shd w:val="clear" w:color="auto" w:fill="auto"/>
            <w:vAlign w:val="bottom"/>
          </w:tcPr>
          <w:p w14:paraId="49353CE4" w14:textId="77777777" w:rsidR="00DE3D9F" w:rsidRPr="003B756C" w:rsidRDefault="00DE3D9F" w:rsidP="00146491">
            <w:pPr>
              <w:spacing w:before="40" w:after="40" w:line="220" w:lineRule="exact"/>
              <w:ind w:left="57" w:right="57"/>
              <w:jc w:val="left"/>
              <w:rPr>
                <w:rFonts w:ascii="Simplified Arabic" w:hAnsi="Simplified Arabic"/>
                <w:szCs w:val="20"/>
              </w:rPr>
            </w:pPr>
          </w:p>
        </w:tc>
      </w:tr>
      <w:tr w:rsidR="00DE3D9F" w:rsidRPr="00206BEB" w14:paraId="4C2BEEB7" w14:textId="77777777" w:rsidTr="0023489D">
        <w:tc>
          <w:tcPr>
            <w:tcW w:w="769" w:type="dxa"/>
            <w:shd w:val="clear" w:color="auto" w:fill="auto"/>
          </w:tcPr>
          <w:p w14:paraId="005E53A5" w14:textId="77777777" w:rsidR="00DE3D9F" w:rsidRPr="003B756C" w:rsidRDefault="00DE3D9F" w:rsidP="00146491">
            <w:pPr>
              <w:spacing w:before="40" w:after="40" w:line="320" w:lineRule="exact"/>
              <w:ind w:left="57" w:right="57"/>
              <w:jc w:val="left"/>
              <w:rPr>
                <w:rFonts w:ascii="Simplified Arabic" w:hAnsi="Simplified Arabic"/>
                <w:szCs w:val="20"/>
              </w:rPr>
            </w:pPr>
          </w:p>
        </w:tc>
        <w:tc>
          <w:tcPr>
            <w:tcW w:w="760" w:type="dxa"/>
            <w:shd w:val="clear" w:color="auto" w:fill="auto"/>
          </w:tcPr>
          <w:p w14:paraId="3DBB8D39"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val="ar-SA" w:eastAsia="zh-TW" w:bidi="en-GB"/>
              </w:rPr>
            </w:pPr>
            <w:r w:rsidRPr="003B756C">
              <w:rPr>
                <w:rFonts w:ascii="Simplified Arabic" w:hAnsi="Simplified Arabic"/>
                <w:szCs w:val="20"/>
                <w:rtl/>
              </w:rPr>
              <w:t>الإناث</w:t>
            </w:r>
          </w:p>
        </w:tc>
        <w:tc>
          <w:tcPr>
            <w:tcW w:w="1289" w:type="dxa"/>
            <w:gridSpan w:val="2"/>
            <w:shd w:val="clear" w:color="auto" w:fill="auto"/>
            <w:vAlign w:val="bottom"/>
          </w:tcPr>
          <w:p w14:paraId="5F25AAF5"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val="ar-SA" w:eastAsia="zh-TW" w:bidi="en-GB"/>
              </w:rPr>
            </w:pPr>
            <w:r w:rsidRPr="003B756C">
              <w:rPr>
                <w:rFonts w:ascii="Simplified Arabic" w:hAnsi="Simplified Arabic"/>
                <w:szCs w:val="20"/>
                <w:rtl/>
              </w:rPr>
              <w:t>439 539 2</w:t>
            </w:r>
          </w:p>
        </w:tc>
        <w:tc>
          <w:tcPr>
            <w:tcW w:w="1136" w:type="dxa"/>
            <w:vMerge/>
            <w:shd w:val="clear" w:color="auto" w:fill="auto"/>
            <w:vAlign w:val="bottom"/>
          </w:tcPr>
          <w:p w14:paraId="431C6CC5" w14:textId="77777777" w:rsidR="00DE3D9F" w:rsidRPr="003B756C" w:rsidRDefault="00DE3D9F" w:rsidP="00146491">
            <w:pPr>
              <w:spacing w:before="40" w:after="40" w:line="320" w:lineRule="exact"/>
              <w:ind w:left="57" w:right="57"/>
              <w:jc w:val="left"/>
              <w:rPr>
                <w:rFonts w:ascii="Simplified Arabic" w:hAnsi="Simplified Arabic"/>
                <w:szCs w:val="20"/>
              </w:rPr>
            </w:pPr>
          </w:p>
        </w:tc>
        <w:tc>
          <w:tcPr>
            <w:tcW w:w="1136" w:type="dxa"/>
            <w:vMerge/>
            <w:shd w:val="clear" w:color="auto" w:fill="auto"/>
            <w:vAlign w:val="bottom"/>
          </w:tcPr>
          <w:p w14:paraId="34858D65" w14:textId="77777777" w:rsidR="00DE3D9F" w:rsidRPr="003B756C" w:rsidRDefault="00DE3D9F" w:rsidP="00146491">
            <w:pPr>
              <w:spacing w:before="40" w:after="40" w:line="320" w:lineRule="exact"/>
              <w:ind w:left="57" w:right="57"/>
              <w:jc w:val="left"/>
              <w:rPr>
                <w:rFonts w:ascii="Simplified Arabic" w:hAnsi="Simplified Arabic"/>
                <w:szCs w:val="20"/>
              </w:rPr>
            </w:pPr>
          </w:p>
        </w:tc>
        <w:tc>
          <w:tcPr>
            <w:tcW w:w="1274" w:type="dxa"/>
            <w:vMerge/>
            <w:shd w:val="clear" w:color="auto" w:fill="auto"/>
            <w:vAlign w:val="bottom"/>
          </w:tcPr>
          <w:p w14:paraId="028E2EA4" w14:textId="77777777" w:rsidR="00DE3D9F" w:rsidRPr="003B756C" w:rsidRDefault="00DE3D9F" w:rsidP="00146491">
            <w:pPr>
              <w:spacing w:before="40" w:after="40" w:line="320" w:lineRule="exact"/>
              <w:ind w:left="57" w:right="57"/>
              <w:jc w:val="left"/>
              <w:rPr>
                <w:rFonts w:ascii="Simplified Arabic" w:hAnsi="Simplified Arabic"/>
                <w:szCs w:val="20"/>
              </w:rPr>
            </w:pPr>
          </w:p>
        </w:tc>
        <w:tc>
          <w:tcPr>
            <w:tcW w:w="1355" w:type="dxa"/>
            <w:vMerge/>
            <w:tcBorders>
              <w:top w:val="nil"/>
              <w:bottom w:val="nil"/>
            </w:tcBorders>
            <w:shd w:val="clear" w:color="auto" w:fill="auto"/>
            <w:vAlign w:val="bottom"/>
          </w:tcPr>
          <w:p w14:paraId="239FFFFA" w14:textId="77777777" w:rsidR="00DE3D9F" w:rsidRPr="003B756C" w:rsidRDefault="00DE3D9F" w:rsidP="00146491">
            <w:pPr>
              <w:spacing w:before="40" w:after="40" w:line="220" w:lineRule="exact"/>
              <w:ind w:left="57" w:right="57"/>
              <w:jc w:val="left"/>
              <w:rPr>
                <w:rFonts w:ascii="Simplified Arabic" w:hAnsi="Simplified Arabic"/>
                <w:szCs w:val="20"/>
              </w:rPr>
            </w:pPr>
          </w:p>
        </w:tc>
      </w:tr>
      <w:tr w:rsidR="00DE3D9F" w:rsidRPr="00206BEB" w14:paraId="53E57A30" w14:textId="77777777" w:rsidTr="0023489D">
        <w:tc>
          <w:tcPr>
            <w:tcW w:w="769" w:type="dxa"/>
            <w:tcBorders>
              <w:bottom w:val="nil"/>
            </w:tcBorders>
            <w:shd w:val="clear" w:color="auto" w:fill="auto"/>
          </w:tcPr>
          <w:p w14:paraId="4C71CB9B" w14:textId="77777777" w:rsidR="00DE3D9F" w:rsidRPr="003B756C" w:rsidRDefault="00DE3D9F" w:rsidP="00146491">
            <w:pPr>
              <w:spacing w:before="40" w:after="40" w:line="320" w:lineRule="exact"/>
              <w:ind w:left="57" w:right="57"/>
              <w:jc w:val="left"/>
              <w:rPr>
                <w:rFonts w:ascii="Simplified Arabic" w:hAnsi="Simplified Arabic"/>
                <w:szCs w:val="20"/>
              </w:rPr>
            </w:pPr>
          </w:p>
        </w:tc>
        <w:tc>
          <w:tcPr>
            <w:tcW w:w="760" w:type="dxa"/>
            <w:tcBorders>
              <w:bottom w:val="nil"/>
            </w:tcBorders>
            <w:shd w:val="clear" w:color="auto" w:fill="auto"/>
          </w:tcPr>
          <w:p w14:paraId="449CCD14"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val="ar-SA" w:eastAsia="zh-TW" w:bidi="en-GB"/>
              </w:rPr>
            </w:pPr>
            <w:r w:rsidRPr="003B756C">
              <w:rPr>
                <w:rFonts w:ascii="Simplified Arabic" w:hAnsi="Simplified Arabic"/>
                <w:szCs w:val="20"/>
                <w:rtl/>
              </w:rPr>
              <w:t>الذكور</w:t>
            </w:r>
          </w:p>
        </w:tc>
        <w:tc>
          <w:tcPr>
            <w:tcW w:w="1289" w:type="dxa"/>
            <w:gridSpan w:val="2"/>
            <w:tcBorders>
              <w:bottom w:val="nil"/>
            </w:tcBorders>
            <w:shd w:val="clear" w:color="auto" w:fill="auto"/>
            <w:vAlign w:val="bottom"/>
          </w:tcPr>
          <w:p w14:paraId="4E7454F4"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val="ar-SA" w:eastAsia="zh-TW" w:bidi="en-GB"/>
              </w:rPr>
            </w:pPr>
            <w:r w:rsidRPr="003B756C">
              <w:rPr>
                <w:rFonts w:ascii="Simplified Arabic" w:hAnsi="Simplified Arabic"/>
                <w:szCs w:val="20"/>
                <w:rtl/>
              </w:rPr>
              <w:t>743 463 2</w:t>
            </w:r>
          </w:p>
        </w:tc>
        <w:tc>
          <w:tcPr>
            <w:tcW w:w="1136" w:type="dxa"/>
            <w:vMerge/>
            <w:tcBorders>
              <w:bottom w:val="nil"/>
            </w:tcBorders>
            <w:shd w:val="clear" w:color="auto" w:fill="auto"/>
            <w:vAlign w:val="bottom"/>
          </w:tcPr>
          <w:p w14:paraId="5FEBE290" w14:textId="77777777" w:rsidR="00DE3D9F" w:rsidRPr="003B756C" w:rsidRDefault="00DE3D9F" w:rsidP="00146491">
            <w:pPr>
              <w:spacing w:before="40" w:after="40" w:line="320" w:lineRule="exact"/>
              <w:ind w:left="57" w:right="57"/>
              <w:jc w:val="left"/>
              <w:rPr>
                <w:rFonts w:ascii="Simplified Arabic" w:hAnsi="Simplified Arabic"/>
                <w:szCs w:val="20"/>
              </w:rPr>
            </w:pPr>
          </w:p>
        </w:tc>
        <w:tc>
          <w:tcPr>
            <w:tcW w:w="1136" w:type="dxa"/>
            <w:vMerge/>
            <w:tcBorders>
              <w:bottom w:val="nil"/>
            </w:tcBorders>
            <w:shd w:val="clear" w:color="auto" w:fill="auto"/>
            <w:vAlign w:val="bottom"/>
          </w:tcPr>
          <w:p w14:paraId="775FAAEA" w14:textId="77777777" w:rsidR="00DE3D9F" w:rsidRPr="003B756C" w:rsidRDefault="00DE3D9F" w:rsidP="00146491">
            <w:pPr>
              <w:spacing w:before="40" w:after="40" w:line="320" w:lineRule="exact"/>
              <w:ind w:left="57" w:right="57"/>
              <w:jc w:val="left"/>
              <w:rPr>
                <w:rFonts w:ascii="Simplified Arabic" w:hAnsi="Simplified Arabic"/>
                <w:szCs w:val="20"/>
              </w:rPr>
            </w:pPr>
          </w:p>
        </w:tc>
        <w:tc>
          <w:tcPr>
            <w:tcW w:w="1274" w:type="dxa"/>
            <w:vMerge/>
            <w:tcBorders>
              <w:bottom w:val="nil"/>
            </w:tcBorders>
            <w:shd w:val="clear" w:color="auto" w:fill="auto"/>
            <w:vAlign w:val="bottom"/>
          </w:tcPr>
          <w:p w14:paraId="2C2CD5D6" w14:textId="77777777" w:rsidR="00DE3D9F" w:rsidRPr="003B756C" w:rsidRDefault="00DE3D9F" w:rsidP="00146491">
            <w:pPr>
              <w:spacing w:before="40" w:after="40" w:line="320" w:lineRule="exact"/>
              <w:ind w:left="57" w:right="57"/>
              <w:jc w:val="left"/>
              <w:rPr>
                <w:rFonts w:ascii="Simplified Arabic" w:hAnsi="Simplified Arabic"/>
                <w:szCs w:val="20"/>
              </w:rPr>
            </w:pPr>
          </w:p>
        </w:tc>
        <w:tc>
          <w:tcPr>
            <w:tcW w:w="1355" w:type="dxa"/>
            <w:vMerge/>
            <w:tcBorders>
              <w:top w:val="nil"/>
              <w:bottom w:val="nil"/>
            </w:tcBorders>
            <w:shd w:val="clear" w:color="auto" w:fill="auto"/>
            <w:vAlign w:val="bottom"/>
          </w:tcPr>
          <w:p w14:paraId="4F142BE9" w14:textId="77777777" w:rsidR="00DE3D9F" w:rsidRPr="003B756C" w:rsidRDefault="00DE3D9F" w:rsidP="00146491">
            <w:pPr>
              <w:spacing w:before="40" w:after="40" w:line="220" w:lineRule="exact"/>
              <w:ind w:left="57" w:right="57"/>
              <w:jc w:val="left"/>
              <w:rPr>
                <w:rFonts w:ascii="Simplified Arabic" w:hAnsi="Simplified Arabic"/>
                <w:szCs w:val="20"/>
              </w:rPr>
            </w:pPr>
          </w:p>
        </w:tc>
      </w:tr>
      <w:tr w:rsidR="00DE3D9F" w:rsidRPr="00206BEB" w14:paraId="77024646" w14:textId="77777777" w:rsidTr="0023489D">
        <w:tc>
          <w:tcPr>
            <w:tcW w:w="1529" w:type="dxa"/>
            <w:gridSpan w:val="2"/>
            <w:tcBorders>
              <w:top w:val="nil"/>
              <w:bottom w:val="nil"/>
            </w:tcBorders>
            <w:shd w:val="clear" w:color="auto" w:fill="auto"/>
          </w:tcPr>
          <w:p w14:paraId="258D5689"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val="ar-SA" w:eastAsia="zh-TW" w:bidi="en-GB"/>
              </w:rPr>
            </w:pPr>
            <w:r w:rsidRPr="003B756C">
              <w:rPr>
                <w:rFonts w:ascii="Simplified Arabic" w:hAnsi="Simplified Arabic"/>
                <w:szCs w:val="20"/>
                <w:rtl/>
              </w:rPr>
              <w:t>المنطقة الغربية</w:t>
            </w:r>
          </w:p>
        </w:tc>
        <w:tc>
          <w:tcPr>
            <w:tcW w:w="1289" w:type="dxa"/>
            <w:gridSpan w:val="2"/>
            <w:tcBorders>
              <w:top w:val="nil"/>
              <w:bottom w:val="nil"/>
            </w:tcBorders>
            <w:shd w:val="clear" w:color="auto" w:fill="auto"/>
            <w:vAlign w:val="bottom"/>
          </w:tcPr>
          <w:p w14:paraId="3A3D8A1B"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val="ar-SA" w:eastAsia="zh-TW" w:bidi="en-GB"/>
              </w:rPr>
            </w:pPr>
            <w:r w:rsidRPr="003B756C">
              <w:rPr>
                <w:rFonts w:ascii="Simplified Arabic" w:hAnsi="Simplified Arabic"/>
                <w:szCs w:val="20"/>
                <w:rtl/>
              </w:rPr>
              <w:t>952 831 3</w:t>
            </w:r>
          </w:p>
        </w:tc>
        <w:tc>
          <w:tcPr>
            <w:tcW w:w="1136" w:type="dxa"/>
            <w:tcBorders>
              <w:top w:val="nil"/>
              <w:bottom w:val="nil"/>
            </w:tcBorders>
            <w:shd w:val="clear" w:color="auto" w:fill="auto"/>
            <w:vAlign w:val="bottom"/>
          </w:tcPr>
          <w:p w14:paraId="65E7FA75" w14:textId="77777777" w:rsidR="00DE3D9F" w:rsidRPr="003B756C" w:rsidRDefault="00DE3D9F" w:rsidP="00146491">
            <w:pPr>
              <w:spacing w:before="40" w:after="40" w:line="320" w:lineRule="exact"/>
              <w:ind w:left="57" w:right="57"/>
              <w:jc w:val="left"/>
              <w:rPr>
                <w:rFonts w:ascii="Simplified Arabic" w:hAnsi="Simplified Arabic"/>
                <w:szCs w:val="20"/>
              </w:rPr>
            </w:pPr>
          </w:p>
        </w:tc>
        <w:tc>
          <w:tcPr>
            <w:tcW w:w="1136" w:type="dxa"/>
            <w:tcBorders>
              <w:top w:val="nil"/>
              <w:bottom w:val="nil"/>
            </w:tcBorders>
            <w:shd w:val="clear" w:color="auto" w:fill="auto"/>
            <w:vAlign w:val="bottom"/>
          </w:tcPr>
          <w:p w14:paraId="0F8053BE" w14:textId="77777777" w:rsidR="00DE3D9F" w:rsidRPr="003B756C" w:rsidRDefault="00DE3D9F" w:rsidP="00146491">
            <w:pPr>
              <w:spacing w:before="40" w:after="40" w:line="320" w:lineRule="exact"/>
              <w:ind w:left="57" w:right="57"/>
              <w:jc w:val="left"/>
              <w:rPr>
                <w:rFonts w:ascii="Simplified Arabic" w:hAnsi="Simplified Arabic"/>
                <w:szCs w:val="20"/>
              </w:rPr>
            </w:pPr>
          </w:p>
        </w:tc>
        <w:tc>
          <w:tcPr>
            <w:tcW w:w="1274" w:type="dxa"/>
            <w:tcBorders>
              <w:top w:val="nil"/>
              <w:bottom w:val="nil"/>
            </w:tcBorders>
            <w:shd w:val="clear" w:color="auto" w:fill="auto"/>
            <w:vAlign w:val="bottom"/>
          </w:tcPr>
          <w:p w14:paraId="49194F74" w14:textId="77777777" w:rsidR="00DE3D9F" w:rsidRPr="003B756C" w:rsidRDefault="00DE3D9F" w:rsidP="00146491">
            <w:pPr>
              <w:spacing w:before="40" w:after="40" w:line="320" w:lineRule="exact"/>
              <w:ind w:left="57" w:right="57"/>
              <w:jc w:val="left"/>
              <w:rPr>
                <w:rFonts w:ascii="Simplified Arabic" w:hAnsi="Simplified Arabic"/>
                <w:szCs w:val="20"/>
              </w:rPr>
            </w:pPr>
          </w:p>
        </w:tc>
        <w:tc>
          <w:tcPr>
            <w:tcW w:w="1355" w:type="dxa"/>
            <w:vMerge/>
            <w:tcBorders>
              <w:top w:val="nil"/>
              <w:bottom w:val="nil"/>
            </w:tcBorders>
            <w:shd w:val="clear" w:color="auto" w:fill="auto"/>
            <w:vAlign w:val="bottom"/>
          </w:tcPr>
          <w:p w14:paraId="6B09EE27" w14:textId="77777777" w:rsidR="00DE3D9F" w:rsidRPr="003B756C" w:rsidRDefault="00DE3D9F" w:rsidP="00146491">
            <w:pPr>
              <w:spacing w:before="40" w:after="40" w:line="220" w:lineRule="exact"/>
              <w:ind w:left="57" w:right="57"/>
              <w:jc w:val="left"/>
              <w:rPr>
                <w:rFonts w:ascii="Simplified Arabic" w:hAnsi="Simplified Arabic"/>
                <w:szCs w:val="20"/>
              </w:rPr>
            </w:pPr>
          </w:p>
        </w:tc>
      </w:tr>
      <w:tr w:rsidR="00DE3D9F" w:rsidRPr="00206BEB" w14:paraId="52ADFB90" w14:textId="77777777" w:rsidTr="0023489D">
        <w:tc>
          <w:tcPr>
            <w:tcW w:w="1529" w:type="dxa"/>
            <w:gridSpan w:val="2"/>
            <w:tcBorders>
              <w:top w:val="nil"/>
              <w:bottom w:val="nil"/>
            </w:tcBorders>
            <w:shd w:val="clear" w:color="auto" w:fill="auto"/>
          </w:tcPr>
          <w:p w14:paraId="2D4EF23A"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rtl/>
              </w:rPr>
            </w:pPr>
            <w:r w:rsidRPr="003B756C">
              <w:rPr>
                <w:rFonts w:ascii="Simplified Arabic" w:hAnsi="Simplified Arabic"/>
                <w:szCs w:val="20"/>
                <w:rtl/>
              </w:rPr>
              <w:t>الإناث</w:t>
            </w:r>
          </w:p>
        </w:tc>
        <w:tc>
          <w:tcPr>
            <w:tcW w:w="1289" w:type="dxa"/>
            <w:gridSpan w:val="2"/>
            <w:tcBorders>
              <w:top w:val="nil"/>
              <w:bottom w:val="nil"/>
            </w:tcBorders>
            <w:shd w:val="clear" w:color="auto" w:fill="auto"/>
            <w:vAlign w:val="bottom"/>
          </w:tcPr>
          <w:p w14:paraId="48AF6C38"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eastAsia="zh-TW" w:bidi="en-GB"/>
              </w:rPr>
            </w:pPr>
            <w:r w:rsidRPr="003B756C">
              <w:rPr>
                <w:rFonts w:ascii="Simplified Arabic" w:hAnsi="Simplified Arabic"/>
                <w:szCs w:val="20"/>
                <w:rtl/>
              </w:rPr>
              <w:t>591 952 1</w:t>
            </w:r>
          </w:p>
        </w:tc>
        <w:tc>
          <w:tcPr>
            <w:tcW w:w="1136" w:type="dxa"/>
            <w:tcBorders>
              <w:top w:val="nil"/>
              <w:bottom w:val="nil"/>
            </w:tcBorders>
            <w:shd w:val="clear" w:color="auto" w:fill="auto"/>
            <w:vAlign w:val="bottom"/>
          </w:tcPr>
          <w:p w14:paraId="0CD76F52" w14:textId="4B834936" w:rsidR="00DE3D9F" w:rsidRPr="003B756C" w:rsidRDefault="00DE3D9F" w:rsidP="00146491">
            <w:pPr>
              <w:spacing w:before="40" w:after="40" w:line="320" w:lineRule="exact"/>
              <w:ind w:left="57" w:right="57"/>
              <w:jc w:val="left"/>
              <w:textDirection w:val="tbRlV"/>
              <w:rPr>
                <w:rFonts w:ascii="Simplified Arabic" w:hAnsi="Simplified Arabic"/>
                <w:szCs w:val="20"/>
                <w:lang w:val="ar-SA" w:eastAsia="zh-TW" w:bidi="en-GB"/>
              </w:rPr>
            </w:pPr>
          </w:p>
        </w:tc>
        <w:tc>
          <w:tcPr>
            <w:tcW w:w="1136" w:type="dxa"/>
            <w:tcBorders>
              <w:top w:val="nil"/>
              <w:bottom w:val="nil"/>
            </w:tcBorders>
            <w:shd w:val="clear" w:color="auto" w:fill="auto"/>
            <w:vAlign w:val="bottom"/>
          </w:tcPr>
          <w:p w14:paraId="3FD66180" w14:textId="6C45C429" w:rsidR="00DE3D9F" w:rsidRPr="003B756C" w:rsidRDefault="00DE3D9F" w:rsidP="00146491">
            <w:pPr>
              <w:spacing w:before="40" w:after="40" w:line="320" w:lineRule="exact"/>
              <w:ind w:left="57" w:right="57"/>
              <w:jc w:val="left"/>
              <w:textDirection w:val="tbRlV"/>
              <w:rPr>
                <w:rFonts w:ascii="Simplified Arabic" w:hAnsi="Simplified Arabic"/>
                <w:szCs w:val="20"/>
                <w:lang w:val="ar-SA" w:eastAsia="zh-TW" w:bidi="en-GB"/>
              </w:rPr>
            </w:pPr>
          </w:p>
        </w:tc>
        <w:tc>
          <w:tcPr>
            <w:tcW w:w="1276" w:type="dxa"/>
            <w:tcBorders>
              <w:top w:val="nil"/>
              <w:bottom w:val="nil"/>
            </w:tcBorders>
            <w:shd w:val="clear" w:color="auto" w:fill="auto"/>
            <w:vAlign w:val="bottom"/>
          </w:tcPr>
          <w:p w14:paraId="1E6734A2" w14:textId="13D4F849" w:rsidR="00DE3D9F" w:rsidRPr="003B756C" w:rsidRDefault="00DE3D9F" w:rsidP="00146491">
            <w:pPr>
              <w:spacing w:before="40" w:after="40" w:line="320" w:lineRule="exact"/>
              <w:ind w:left="57" w:right="57"/>
              <w:jc w:val="left"/>
              <w:textDirection w:val="tbRlV"/>
              <w:rPr>
                <w:rFonts w:ascii="Simplified Arabic" w:hAnsi="Simplified Arabic"/>
                <w:szCs w:val="20"/>
                <w:lang w:val="ar-SA" w:eastAsia="zh-TW" w:bidi="en-GB"/>
              </w:rPr>
            </w:pPr>
          </w:p>
        </w:tc>
        <w:tc>
          <w:tcPr>
            <w:tcW w:w="1353" w:type="dxa"/>
            <w:tcBorders>
              <w:top w:val="nil"/>
              <w:bottom w:val="nil"/>
            </w:tcBorders>
            <w:shd w:val="clear" w:color="auto" w:fill="auto"/>
            <w:vAlign w:val="bottom"/>
          </w:tcPr>
          <w:p w14:paraId="785AE91D" w14:textId="4F8828E7" w:rsidR="00DE3D9F" w:rsidRPr="003B756C" w:rsidRDefault="00DE3D9F" w:rsidP="00146491">
            <w:pPr>
              <w:spacing w:before="40" w:after="40" w:line="320" w:lineRule="exact"/>
              <w:ind w:left="57" w:right="57"/>
              <w:jc w:val="left"/>
              <w:rPr>
                <w:rFonts w:ascii="Simplified Arabic" w:hAnsi="Simplified Arabic"/>
                <w:szCs w:val="20"/>
              </w:rPr>
            </w:pPr>
          </w:p>
        </w:tc>
      </w:tr>
      <w:tr w:rsidR="00206BEB" w:rsidRPr="00206BEB" w14:paraId="02EE2DE9" w14:textId="77777777" w:rsidTr="0023489D">
        <w:tc>
          <w:tcPr>
            <w:tcW w:w="1529" w:type="dxa"/>
            <w:gridSpan w:val="2"/>
            <w:tcBorders>
              <w:top w:val="nil"/>
              <w:bottom w:val="nil"/>
            </w:tcBorders>
            <w:shd w:val="clear" w:color="auto" w:fill="auto"/>
          </w:tcPr>
          <w:p w14:paraId="326FE581" w14:textId="24C7D2E4" w:rsidR="00206BEB" w:rsidRPr="003B756C" w:rsidRDefault="00206BEB" w:rsidP="00146491">
            <w:pPr>
              <w:spacing w:before="40" w:after="40" w:line="320" w:lineRule="exact"/>
              <w:ind w:left="57" w:right="57"/>
              <w:jc w:val="left"/>
              <w:textDirection w:val="tbRlV"/>
              <w:rPr>
                <w:rFonts w:ascii="Simplified Arabic" w:hAnsi="Simplified Arabic"/>
                <w:szCs w:val="20"/>
                <w:rtl/>
              </w:rPr>
            </w:pPr>
            <w:r w:rsidRPr="003B756C">
              <w:rPr>
                <w:rFonts w:ascii="Simplified Arabic" w:hAnsi="Simplified Arabic"/>
                <w:szCs w:val="20"/>
                <w:rtl/>
              </w:rPr>
              <w:t>الذكور</w:t>
            </w:r>
          </w:p>
        </w:tc>
        <w:tc>
          <w:tcPr>
            <w:tcW w:w="1289" w:type="dxa"/>
            <w:gridSpan w:val="2"/>
            <w:tcBorders>
              <w:top w:val="nil"/>
              <w:bottom w:val="nil"/>
            </w:tcBorders>
            <w:shd w:val="clear" w:color="auto" w:fill="auto"/>
            <w:vAlign w:val="bottom"/>
          </w:tcPr>
          <w:p w14:paraId="09C44B7A" w14:textId="20F24228" w:rsidR="00206BEB" w:rsidRPr="003B756C" w:rsidRDefault="00206BEB" w:rsidP="00146491">
            <w:pPr>
              <w:spacing w:before="40" w:after="40" w:line="320" w:lineRule="exact"/>
              <w:ind w:left="57" w:right="57"/>
              <w:jc w:val="left"/>
              <w:textDirection w:val="tbRlV"/>
              <w:rPr>
                <w:rFonts w:ascii="Simplified Arabic" w:hAnsi="Simplified Arabic"/>
                <w:szCs w:val="20"/>
                <w:highlight w:val="yellow"/>
                <w:rtl/>
              </w:rPr>
            </w:pPr>
            <w:r w:rsidRPr="003B756C">
              <w:rPr>
                <w:rFonts w:ascii="Simplified Arabic" w:hAnsi="Simplified Arabic"/>
                <w:szCs w:val="20"/>
                <w:rtl/>
              </w:rPr>
              <w:t>361 879 1</w:t>
            </w:r>
          </w:p>
        </w:tc>
        <w:tc>
          <w:tcPr>
            <w:tcW w:w="1136" w:type="dxa"/>
            <w:tcBorders>
              <w:top w:val="nil"/>
              <w:bottom w:val="nil"/>
            </w:tcBorders>
            <w:shd w:val="clear" w:color="auto" w:fill="auto"/>
            <w:vAlign w:val="bottom"/>
          </w:tcPr>
          <w:p w14:paraId="4A9030FB" w14:textId="08E0BD65" w:rsidR="00206BEB" w:rsidRPr="003B756C" w:rsidRDefault="00206BEB" w:rsidP="00146491">
            <w:pPr>
              <w:spacing w:before="40" w:after="40" w:line="320" w:lineRule="exact"/>
              <w:ind w:left="57" w:right="57"/>
              <w:jc w:val="left"/>
              <w:textDirection w:val="tbRlV"/>
              <w:rPr>
                <w:rFonts w:ascii="Simplified Arabic" w:hAnsi="Simplified Arabic"/>
                <w:szCs w:val="20"/>
                <w:lang w:val="ar-SA" w:eastAsia="zh-TW" w:bidi="en-GB"/>
              </w:rPr>
            </w:pPr>
            <w:r w:rsidRPr="003B756C">
              <w:rPr>
                <w:rFonts w:ascii="Simplified Arabic" w:hAnsi="Simplified Arabic"/>
                <w:szCs w:val="20"/>
                <w:rtl/>
              </w:rPr>
              <w:t>89,0</w:t>
            </w:r>
          </w:p>
        </w:tc>
        <w:tc>
          <w:tcPr>
            <w:tcW w:w="1136" w:type="dxa"/>
            <w:tcBorders>
              <w:top w:val="nil"/>
              <w:bottom w:val="nil"/>
            </w:tcBorders>
            <w:shd w:val="clear" w:color="auto" w:fill="auto"/>
            <w:vAlign w:val="bottom"/>
          </w:tcPr>
          <w:p w14:paraId="18B3E6BA" w14:textId="30CE7C65" w:rsidR="00206BEB" w:rsidRPr="003B756C" w:rsidRDefault="00206BEB" w:rsidP="00146491">
            <w:pPr>
              <w:spacing w:before="40" w:after="40" w:line="320" w:lineRule="exact"/>
              <w:ind w:left="57" w:right="57"/>
              <w:jc w:val="left"/>
              <w:textDirection w:val="tbRlV"/>
              <w:rPr>
                <w:rFonts w:ascii="Simplified Arabic" w:hAnsi="Simplified Arabic"/>
                <w:szCs w:val="20"/>
                <w:lang w:val="ar-SA" w:eastAsia="zh-TW" w:bidi="en-GB"/>
              </w:rPr>
            </w:pPr>
            <w:r w:rsidRPr="003B756C">
              <w:rPr>
                <w:rFonts w:ascii="Simplified Arabic" w:hAnsi="Simplified Arabic"/>
                <w:szCs w:val="20"/>
                <w:rtl/>
              </w:rPr>
              <w:t>9,4</w:t>
            </w:r>
          </w:p>
        </w:tc>
        <w:tc>
          <w:tcPr>
            <w:tcW w:w="1276" w:type="dxa"/>
            <w:tcBorders>
              <w:top w:val="nil"/>
              <w:bottom w:val="nil"/>
            </w:tcBorders>
            <w:shd w:val="clear" w:color="auto" w:fill="auto"/>
            <w:vAlign w:val="bottom"/>
          </w:tcPr>
          <w:p w14:paraId="48A7235E" w14:textId="7C870B13" w:rsidR="00206BEB" w:rsidRPr="003B756C" w:rsidRDefault="00206BEB" w:rsidP="00146491">
            <w:pPr>
              <w:spacing w:before="40" w:after="40" w:line="320" w:lineRule="exact"/>
              <w:ind w:left="57" w:right="57"/>
              <w:jc w:val="left"/>
              <w:textDirection w:val="tbRlV"/>
              <w:rPr>
                <w:rFonts w:ascii="Simplified Arabic" w:hAnsi="Simplified Arabic"/>
                <w:szCs w:val="20"/>
                <w:lang w:val="ar-SA" w:eastAsia="zh-TW" w:bidi="en-GB"/>
              </w:rPr>
            </w:pPr>
            <w:r w:rsidRPr="003B756C">
              <w:rPr>
                <w:rFonts w:ascii="Simplified Arabic" w:hAnsi="Simplified Arabic"/>
                <w:szCs w:val="20"/>
                <w:rtl/>
              </w:rPr>
              <w:t>7,5</w:t>
            </w:r>
          </w:p>
        </w:tc>
        <w:tc>
          <w:tcPr>
            <w:tcW w:w="1353" w:type="dxa"/>
            <w:tcBorders>
              <w:top w:val="nil"/>
              <w:bottom w:val="nil"/>
            </w:tcBorders>
            <w:shd w:val="clear" w:color="auto" w:fill="auto"/>
            <w:vAlign w:val="bottom"/>
          </w:tcPr>
          <w:p w14:paraId="4F04B706" w14:textId="670A15D1" w:rsidR="00206BEB" w:rsidRPr="003B756C" w:rsidRDefault="00206BEB" w:rsidP="00146491">
            <w:pPr>
              <w:spacing w:before="40" w:after="40" w:line="320" w:lineRule="exact"/>
              <w:ind w:left="57" w:right="57"/>
              <w:jc w:val="left"/>
              <w:rPr>
                <w:rFonts w:ascii="Simplified Arabic" w:hAnsi="Simplified Arabic"/>
                <w:szCs w:val="20"/>
              </w:rPr>
            </w:pPr>
            <w:r w:rsidRPr="003B756C">
              <w:rPr>
                <w:rFonts w:ascii="Simplified Arabic" w:hAnsi="Simplified Arabic" w:hint="cs"/>
                <w:szCs w:val="20"/>
                <w:rtl/>
              </w:rPr>
              <w:t>لا ينطبق</w:t>
            </w:r>
          </w:p>
        </w:tc>
      </w:tr>
      <w:tr w:rsidR="00DE3D9F" w:rsidRPr="00206BEB" w14:paraId="48FFB83A" w14:textId="77777777" w:rsidTr="0023489D">
        <w:tc>
          <w:tcPr>
            <w:tcW w:w="1529" w:type="dxa"/>
            <w:gridSpan w:val="2"/>
            <w:tcBorders>
              <w:top w:val="nil"/>
              <w:bottom w:val="nil"/>
            </w:tcBorders>
            <w:shd w:val="clear" w:color="auto" w:fill="auto"/>
          </w:tcPr>
          <w:p w14:paraId="3C97943B"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val="ar-SA" w:eastAsia="zh-TW" w:bidi="en-GB"/>
              </w:rPr>
            </w:pPr>
            <w:r w:rsidRPr="003B756C">
              <w:rPr>
                <w:rFonts w:ascii="Simplified Arabic" w:hAnsi="Simplified Arabic"/>
                <w:szCs w:val="20"/>
                <w:rtl/>
              </w:rPr>
              <w:t>المنطقة الشمالية</w:t>
            </w:r>
          </w:p>
        </w:tc>
        <w:tc>
          <w:tcPr>
            <w:tcW w:w="1289" w:type="dxa"/>
            <w:gridSpan w:val="2"/>
            <w:tcBorders>
              <w:top w:val="nil"/>
              <w:bottom w:val="nil"/>
            </w:tcBorders>
            <w:shd w:val="clear" w:color="auto" w:fill="auto"/>
            <w:vAlign w:val="bottom"/>
          </w:tcPr>
          <w:p w14:paraId="1E1E61B8"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val="ar-SA" w:eastAsia="zh-TW" w:bidi="en-GB"/>
              </w:rPr>
            </w:pPr>
            <w:r w:rsidRPr="003B756C">
              <w:rPr>
                <w:rFonts w:ascii="Simplified Arabic" w:hAnsi="Simplified Arabic"/>
                <w:szCs w:val="20"/>
                <w:rtl/>
              </w:rPr>
              <w:t>164 098 12</w:t>
            </w:r>
          </w:p>
        </w:tc>
        <w:tc>
          <w:tcPr>
            <w:tcW w:w="1136" w:type="dxa"/>
            <w:vMerge w:val="restart"/>
            <w:tcBorders>
              <w:top w:val="nil"/>
              <w:bottom w:val="nil"/>
            </w:tcBorders>
            <w:shd w:val="clear" w:color="auto" w:fill="auto"/>
            <w:vAlign w:val="bottom"/>
          </w:tcPr>
          <w:p w14:paraId="0E9791DC"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val="ar-SA" w:eastAsia="zh-TW" w:bidi="en-GB"/>
              </w:rPr>
            </w:pPr>
            <w:r w:rsidRPr="003B756C">
              <w:rPr>
                <w:rFonts w:ascii="Simplified Arabic" w:hAnsi="Simplified Arabic"/>
                <w:szCs w:val="20"/>
                <w:rtl/>
              </w:rPr>
              <w:t>71,3</w:t>
            </w:r>
          </w:p>
        </w:tc>
        <w:tc>
          <w:tcPr>
            <w:tcW w:w="1136" w:type="dxa"/>
            <w:vMerge w:val="restart"/>
            <w:tcBorders>
              <w:top w:val="nil"/>
              <w:bottom w:val="nil"/>
            </w:tcBorders>
            <w:shd w:val="clear" w:color="auto" w:fill="auto"/>
            <w:vAlign w:val="bottom"/>
          </w:tcPr>
          <w:p w14:paraId="67C3595F"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val="ar-SA" w:eastAsia="zh-TW" w:bidi="en-GB"/>
              </w:rPr>
            </w:pPr>
            <w:r w:rsidRPr="003B756C">
              <w:rPr>
                <w:rFonts w:ascii="Simplified Arabic" w:hAnsi="Simplified Arabic"/>
                <w:szCs w:val="20"/>
                <w:rtl/>
              </w:rPr>
              <w:t>8,3</w:t>
            </w:r>
          </w:p>
        </w:tc>
        <w:tc>
          <w:tcPr>
            <w:tcW w:w="1274" w:type="dxa"/>
            <w:vMerge w:val="restart"/>
            <w:tcBorders>
              <w:top w:val="nil"/>
              <w:bottom w:val="nil"/>
            </w:tcBorders>
            <w:shd w:val="clear" w:color="auto" w:fill="auto"/>
            <w:vAlign w:val="bottom"/>
          </w:tcPr>
          <w:p w14:paraId="4C48710B"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val="ar-SA" w:eastAsia="zh-TW" w:bidi="en-GB"/>
              </w:rPr>
            </w:pPr>
            <w:r w:rsidRPr="003B756C">
              <w:rPr>
                <w:rFonts w:ascii="Simplified Arabic" w:hAnsi="Simplified Arabic"/>
                <w:szCs w:val="20"/>
                <w:rtl/>
              </w:rPr>
              <w:t>8,3</w:t>
            </w:r>
          </w:p>
        </w:tc>
        <w:tc>
          <w:tcPr>
            <w:tcW w:w="1355" w:type="dxa"/>
            <w:vMerge w:val="restart"/>
            <w:tcBorders>
              <w:top w:val="nil"/>
              <w:bottom w:val="nil"/>
            </w:tcBorders>
            <w:shd w:val="clear" w:color="auto" w:fill="auto"/>
            <w:vAlign w:val="bottom"/>
          </w:tcPr>
          <w:p w14:paraId="1225A38B" w14:textId="77777777" w:rsidR="00DE3D9F" w:rsidRPr="003B756C" w:rsidRDefault="00DE3D9F" w:rsidP="00146491">
            <w:pPr>
              <w:spacing w:before="40" w:after="40" w:line="220" w:lineRule="exact"/>
              <w:ind w:left="57" w:right="57"/>
              <w:jc w:val="left"/>
              <w:rPr>
                <w:rFonts w:ascii="Simplified Arabic" w:hAnsi="Simplified Arabic"/>
                <w:szCs w:val="20"/>
              </w:rPr>
            </w:pPr>
          </w:p>
        </w:tc>
      </w:tr>
      <w:tr w:rsidR="00DE3D9F" w:rsidRPr="00206BEB" w14:paraId="0C7EE750" w14:textId="77777777" w:rsidTr="0023489D">
        <w:tc>
          <w:tcPr>
            <w:tcW w:w="769" w:type="dxa"/>
            <w:tcBorders>
              <w:top w:val="nil"/>
              <w:bottom w:val="nil"/>
            </w:tcBorders>
            <w:shd w:val="clear" w:color="auto" w:fill="auto"/>
          </w:tcPr>
          <w:p w14:paraId="154B73C5" w14:textId="77777777" w:rsidR="00DE3D9F" w:rsidRPr="003B756C" w:rsidRDefault="00DE3D9F" w:rsidP="00146491">
            <w:pPr>
              <w:spacing w:before="40" w:after="40" w:line="320" w:lineRule="exact"/>
              <w:ind w:left="57" w:right="57"/>
              <w:jc w:val="left"/>
              <w:rPr>
                <w:rFonts w:ascii="Simplified Arabic" w:hAnsi="Simplified Arabic"/>
                <w:szCs w:val="20"/>
              </w:rPr>
            </w:pPr>
          </w:p>
        </w:tc>
        <w:tc>
          <w:tcPr>
            <w:tcW w:w="760" w:type="dxa"/>
            <w:tcBorders>
              <w:top w:val="nil"/>
              <w:bottom w:val="nil"/>
            </w:tcBorders>
            <w:shd w:val="clear" w:color="auto" w:fill="auto"/>
          </w:tcPr>
          <w:p w14:paraId="0AA51939"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val="ar-SA" w:eastAsia="zh-TW" w:bidi="en-GB"/>
              </w:rPr>
            </w:pPr>
            <w:r w:rsidRPr="003B756C">
              <w:rPr>
                <w:rFonts w:ascii="Simplified Arabic" w:hAnsi="Simplified Arabic"/>
                <w:szCs w:val="20"/>
                <w:rtl/>
              </w:rPr>
              <w:t>الإناث</w:t>
            </w:r>
          </w:p>
        </w:tc>
        <w:tc>
          <w:tcPr>
            <w:tcW w:w="1289" w:type="dxa"/>
            <w:gridSpan w:val="2"/>
            <w:tcBorders>
              <w:top w:val="nil"/>
              <w:bottom w:val="nil"/>
            </w:tcBorders>
            <w:shd w:val="clear" w:color="auto" w:fill="auto"/>
            <w:vAlign w:val="bottom"/>
          </w:tcPr>
          <w:p w14:paraId="7AC54C36"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val="ar-SA" w:eastAsia="zh-TW" w:bidi="en-GB"/>
              </w:rPr>
            </w:pPr>
            <w:r w:rsidRPr="003B756C">
              <w:rPr>
                <w:rFonts w:ascii="Simplified Arabic" w:hAnsi="Simplified Arabic"/>
                <w:szCs w:val="20"/>
                <w:rtl/>
              </w:rPr>
              <w:t>265 159 6</w:t>
            </w:r>
          </w:p>
        </w:tc>
        <w:tc>
          <w:tcPr>
            <w:tcW w:w="1136" w:type="dxa"/>
            <w:vMerge/>
            <w:tcBorders>
              <w:top w:val="nil"/>
              <w:bottom w:val="nil"/>
            </w:tcBorders>
            <w:shd w:val="clear" w:color="auto" w:fill="auto"/>
            <w:vAlign w:val="bottom"/>
          </w:tcPr>
          <w:p w14:paraId="7E09AFC5" w14:textId="77777777" w:rsidR="00DE3D9F" w:rsidRPr="003B756C" w:rsidRDefault="00DE3D9F" w:rsidP="00146491">
            <w:pPr>
              <w:spacing w:before="40" w:after="40" w:line="320" w:lineRule="exact"/>
              <w:ind w:left="57" w:right="57"/>
              <w:jc w:val="left"/>
              <w:rPr>
                <w:rFonts w:ascii="Simplified Arabic" w:hAnsi="Simplified Arabic"/>
                <w:szCs w:val="20"/>
              </w:rPr>
            </w:pPr>
          </w:p>
        </w:tc>
        <w:tc>
          <w:tcPr>
            <w:tcW w:w="1136" w:type="dxa"/>
            <w:vMerge/>
            <w:tcBorders>
              <w:top w:val="nil"/>
              <w:bottom w:val="nil"/>
            </w:tcBorders>
            <w:shd w:val="clear" w:color="auto" w:fill="auto"/>
            <w:vAlign w:val="bottom"/>
          </w:tcPr>
          <w:p w14:paraId="54A91805" w14:textId="77777777" w:rsidR="00DE3D9F" w:rsidRPr="003B756C" w:rsidRDefault="00DE3D9F" w:rsidP="00146491">
            <w:pPr>
              <w:spacing w:before="40" w:after="40" w:line="320" w:lineRule="exact"/>
              <w:ind w:left="57" w:right="57"/>
              <w:jc w:val="left"/>
              <w:rPr>
                <w:rFonts w:ascii="Simplified Arabic" w:hAnsi="Simplified Arabic"/>
                <w:szCs w:val="20"/>
              </w:rPr>
            </w:pPr>
          </w:p>
        </w:tc>
        <w:tc>
          <w:tcPr>
            <w:tcW w:w="1274" w:type="dxa"/>
            <w:vMerge/>
            <w:tcBorders>
              <w:top w:val="nil"/>
              <w:bottom w:val="nil"/>
            </w:tcBorders>
            <w:shd w:val="clear" w:color="auto" w:fill="auto"/>
            <w:vAlign w:val="bottom"/>
          </w:tcPr>
          <w:p w14:paraId="760B509A" w14:textId="77777777" w:rsidR="00DE3D9F" w:rsidRPr="003B756C" w:rsidRDefault="00DE3D9F" w:rsidP="00146491">
            <w:pPr>
              <w:spacing w:before="40" w:after="40" w:line="320" w:lineRule="exact"/>
              <w:ind w:left="57" w:right="57"/>
              <w:jc w:val="left"/>
              <w:rPr>
                <w:rFonts w:ascii="Simplified Arabic" w:hAnsi="Simplified Arabic"/>
                <w:szCs w:val="20"/>
              </w:rPr>
            </w:pPr>
          </w:p>
        </w:tc>
        <w:tc>
          <w:tcPr>
            <w:tcW w:w="1355" w:type="dxa"/>
            <w:vMerge/>
            <w:tcBorders>
              <w:top w:val="nil"/>
              <w:bottom w:val="nil"/>
            </w:tcBorders>
            <w:shd w:val="clear" w:color="auto" w:fill="auto"/>
            <w:vAlign w:val="bottom"/>
          </w:tcPr>
          <w:p w14:paraId="2B202D84" w14:textId="77777777" w:rsidR="00DE3D9F" w:rsidRPr="003B756C" w:rsidRDefault="00DE3D9F" w:rsidP="00146491">
            <w:pPr>
              <w:spacing w:before="40" w:after="40" w:line="220" w:lineRule="exact"/>
              <w:ind w:left="57" w:right="57"/>
              <w:jc w:val="left"/>
              <w:rPr>
                <w:rFonts w:ascii="Simplified Arabic" w:hAnsi="Simplified Arabic"/>
                <w:szCs w:val="20"/>
              </w:rPr>
            </w:pPr>
          </w:p>
        </w:tc>
      </w:tr>
      <w:tr w:rsidR="00DE3D9F" w:rsidRPr="00206BEB" w14:paraId="43C27CEF" w14:textId="77777777" w:rsidTr="0023489D">
        <w:tc>
          <w:tcPr>
            <w:tcW w:w="769" w:type="dxa"/>
            <w:tcBorders>
              <w:top w:val="nil"/>
              <w:bottom w:val="nil"/>
            </w:tcBorders>
            <w:shd w:val="clear" w:color="auto" w:fill="auto"/>
          </w:tcPr>
          <w:p w14:paraId="7B7CB10A" w14:textId="77777777" w:rsidR="00DE3D9F" w:rsidRPr="003B756C" w:rsidRDefault="00DE3D9F" w:rsidP="00146491">
            <w:pPr>
              <w:spacing w:before="40" w:after="40" w:line="320" w:lineRule="exact"/>
              <w:ind w:left="57" w:right="57"/>
              <w:jc w:val="left"/>
              <w:rPr>
                <w:rFonts w:ascii="Simplified Arabic" w:hAnsi="Simplified Arabic"/>
                <w:szCs w:val="20"/>
              </w:rPr>
            </w:pPr>
          </w:p>
        </w:tc>
        <w:tc>
          <w:tcPr>
            <w:tcW w:w="760" w:type="dxa"/>
            <w:tcBorders>
              <w:top w:val="nil"/>
              <w:bottom w:val="nil"/>
            </w:tcBorders>
            <w:shd w:val="clear" w:color="auto" w:fill="auto"/>
          </w:tcPr>
          <w:p w14:paraId="79A0C9AF"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val="ar-SA" w:eastAsia="zh-TW" w:bidi="en-GB"/>
              </w:rPr>
            </w:pPr>
            <w:r w:rsidRPr="003B756C">
              <w:rPr>
                <w:rFonts w:ascii="Simplified Arabic" w:hAnsi="Simplified Arabic"/>
                <w:szCs w:val="20"/>
                <w:rtl/>
              </w:rPr>
              <w:t>الذكور</w:t>
            </w:r>
          </w:p>
        </w:tc>
        <w:tc>
          <w:tcPr>
            <w:tcW w:w="1289" w:type="dxa"/>
            <w:gridSpan w:val="2"/>
            <w:tcBorders>
              <w:top w:val="nil"/>
              <w:bottom w:val="nil"/>
            </w:tcBorders>
            <w:shd w:val="clear" w:color="auto" w:fill="auto"/>
            <w:vAlign w:val="bottom"/>
          </w:tcPr>
          <w:p w14:paraId="286644EC"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val="ar-SA" w:eastAsia="zh-TW" w:bidi="en-GB"/>
              </w:rPr>
            </w:pPr>
            <w:r w:rsidRPr="003B756C">
              <w:rPr>
                <w:rFonts w:ascii="Simplified Arabic" w:hAnsi="Simplified Arabic"/>
                <w:szCs w:val="20"/>
                <w:rtl/>
              </w:rPr>
              <w:t>899 938 5</w:t>
            </w:r>
          </w:p>
        </w:tc>
        <w:tc>
          <w:tcPr>
            <w:tcW w:w="1136" w:type="dxa"/>
            <w:vMerge/>
            <w:tcBorders>
              <w:top w:val="nil"/>
              <w:bottom w:val="nil"/>
            </w:tcBorders>
            <w:shd w:val="clear" w:color="auto" w:fill="auto"/>
            <w:vAlign w:val="bottom"/>
          </w:tcPr>
          <w:p w14:paraId="766EDF6F" w14:textId="77777777" w:rsidR="00DE3D9F" w:rsidRPr="003B756C" w:rsidRDefault="00DE3D9F" w:rsidP="00146491">
            <w:pPr>
              <w:spacing w:before="40" w:after="40" w:line="320" w:lineRule="exact"/>
              <w:ind w:left="57" w:right="57"/>
              <w:jc w:val="left"/>
              <w:rPr>
                <w:rFonts w:ascii="Simplified Arabic" w:hAnsi="Simplified Arabic"/>
                <w:szCs w:val="20"/>
              </w:rPr>
            </w:pPr>
          </w:p>
        </w:tc>
        <w:tc>
          <w:tcPr>
            <w:tcW w:w="1136" w:type="dxa"/>
            <w:vMerge/>
            <w:tcBorders>
              <w:top w:val="nil"/>
              <w:bottom w:val="nil"/>
            </w:tcBorders>
            <w:shd w:val="clear" w:color="auto" w:fill="auto"/>
            <w:vAlign w:val="bottom"/>
          </w:tcPr>
          <w:p w14:paraId="167E8D07" w14:textId="77777777" w:rsidR="00DE3D9F" w:rsidRPr="003B756C" w:rsidRDefault="00DE3D9F" w:rsidP="00146491">
            <w:pPr>
              <w:spacing w:before="40" w:after="40" w:line="320" w:lineRule="exact"/>
              <w:ind w:left="57" w:right="57"/>
              <w:jc w:val="left"/>
              <w:rPr>
                <w:rFonts w:ascii="Simplified Arabic" w:hAnsi="Simplified Arabic"/>
                <w:szCs w:val="20"/>
              </w:rPr>
            </w:pPr>
          </w:p>
        </w:tc>
        <w:tc>
          <w:tcPr>
            <w:tcW w:w="1274" w:type="dxa"/>
            <w:vMerge/>
            <w:tcBorders>
              <w:top w:val="nil"/>
              <w:bottom w:val="nil"/>
            </w:tcBorders>
            <w:shd w:val="clear" w:color="auto" w:fill="auto"/>
            <w:vAlign w:val="bottom"/>
          </w:tcPr>
          <w:p w14:paraId="0FF50802" w14:textId="77777777" w:rsidR="00DE3D9F" w:rsidRPr="003B756C" w:rsidRDefault="00DE3D9F" w:rsidP="00146491">
            <w:pPr>
              <w:spacing w:before="40" w:after="40" w:line="320" w:lineRule="exact"/>
              <w:ind w:left="57" w:right="57"/>
              <w:jc w:val="left"/>
              <w:rPr>
                <w:rFonts w:ascii="Simplified Arabic" w:hAnsi="Simplified Arabic"/>
                <w:szCs w:val="20"/>
              </w:rPr>
            </w:pPr>
          </w:p>
        </w:tc>
        <w:tc>
          <w:tcPr>
            <w:tcW w:w="1355" w:type="dxa"/>
            <w:vMerge/>
            <w:tcBorders>
              <w:top w:val="nil"/>
              <w:bottom w:val="nil"/>
            </w:tcBorders>
            <w:shd w:val="clear" w:color="auto" w:fill="auto"/>
            <w:vAlign w:val="bottom"/>
          </w:tcPr>
          <w:p w14:paraId="4640EC9F" w14:textId="77777777" w:rsidR="00DE3D9F" w:rsidRPr="003B756C" w:rsidRDefault="00DE3D9F" w:rsidP="00146491">
            <w:pPr>
              <w:spacing w:before="40" w:after="40" w:line="220" w:lineRule="exact"/>
              <w:ind w:left="57" w:right="57"/>
              <w:jc w:val="left"/>
              <w:rPr>
                <w:rFonts w:ascii="Simplified Arabic" w:hAnsi="Simplified Arabic"/>
                <w:szCs w:val="20"/>
              </w:rPr>
            </w:pPr>
          </w:p>
        </w:tc>
      </w:tr>
      <w:tr w:rsidR="00DE3D9F" w:rsidRPr="00206BEB" w14:paraId="39150E35" w14:textId="77777777" w:rsidTr="0023489D">
        <w:tc>
          <w:tcPr>
            <w:tcW w:w="1529" w:type="dxa"/>
            <w:gridSpan w:val="2"/>
            <w:tcBorders>
              <w:top w:val="nil"/>
              <w:bottom w:val="nil"/>
            </w:tcBorders>
            <w:shd w:val="clear" w:color="auto" w:fill="auto"/>
          </w:tcPr>
          <w:p w14:paraId="173FA941"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val="ar-SA" w:eastAsia="zh-TW" w:bidi="en-GB"/>
              </w:rPr>
            </w:pPr>
            <w:r w:rsidRPr="003B756C">
              <w:rPr>
                <w:rFonts w:ascii="Simplified Arabic" w:hAnsi="Simplified Arabic"/>
                <w:szCs w:val="20"/>
                <w:rtl/>
              </w:rPr>
              <w:t>المنطقة الشمالية الشرقية</w:t>
            </w:r>
          </w:p>
        </w:tc>
        <w:tc>
          <w:tcPr>
            <w:tcW w:w="1289" w:type="dxa"/>
            <w:gridSpan w:val="2"/>
            <w:tcBorders>
              <w:top w:val="nil"/>
              <w:bottom w:val="nil"/>
            </w:tcBorders>
            <w:shd w:val="clear" w:color="auto" w:fill="auto"/>
            <w:vAlign w:val="bottom"/>
          </w:tcPr>
          <w:p w14:paraId="004CE095"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val="ar-SA" w:eastAsia="zh-TW" w:bidi="en-GB"/>
              </w:rPr>
            </w:pPr>
            <w:r w:rsidRPr="003B756C">
              <w:rPr>
                <w:rFonts w:ascii="Simplified Arabic" w:hAnsi="Simplified Arabic"/>
                <w:szCs w:val="20"/>
                <w:rtl/>
              </w:rPr>
              <w:t>477 989 21</w:t>
            </w:r>
          </w:p>
        </w:tc>
        <w:tc>
          <w:tcPr>
            <w:tcW w:w="1136" w:type="dxa"/>
            <w:vMerge w:val="restart"/>
            <w:tcBorders>
              <w:top w:val="nil"/>
              <w:bottom w:val="nil"/>
            </w:tcBorders>
            <w:shd w:val="clear" w:color="auto" w:fill="auto"/>
            <w:vAlign w:val="bottom"/>
          </w:tcPr>
          <w:p w14:paraId="20506FED"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val="ar-SA" w:eastAsia="zh-TW" w:bidi="en-GB"/>
              </w:rPr>
            </w:pPr>
            <w:r w:rsidRPr="003B756C">
              <w:rPr>
                <w:rFonts w:ascii="Simplified Arabic" w:hAnsi="Simplified Arabic"/>
                <w:szCs w:val="20"/>
                <w:rtl/>
              </w:rPr>
              <w:t>130,2</w:t>
            </w:r>
          </w:p>
        </w:tc>
        <w:tc>
          <w:tcPr>
            <w:tcW w:w="1136" w:type="dxa"/>
            <w:vMerge w:val="restart"/>
            <w:tcBorders>
              <w:top w:val="nil"/>
              <w:bottom w:val="nil"/>
            </w:tcBorders>
            <w:shd w:val="clear" w:color="auto" w:fill="auto"/>
            <w:vAlign w:val="bottom"/>
          </w:tcPr>
          <w:p w14:paraId="48E288A0"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val="ar-SA" w:eastAsia="zh-TW" w:bidi="en-GB"/>
              </w:rPr>
            </w:pPr>
            <w:r w:rsidRPr="003B756C">
              <w:rPr>
                <w:rFonts w:ascii="Simplified Arabic" w:hAnsi="Simplified Arabic"/>
                <w:szCs w:val="20"/>
                <w:rtl/>
              </w:rPr>
              <w:t>8,6</w:t>
            </w:r>
          </w:p>
        </w:tc>
        <w:tc>
          <w:tcPr>
            <w:tcW w:w="1274" w:type="dxa"/>
            <w:vMerge w:val="restart"/>
            <w:tcBorders>
              <w:top w:val="nil"/>
              <w:bottom w:val="nil"/>
            </w:tcBorders>
            <w:shd w:val="clear" w:color="auto" w:fill="auto"/>
            <w:vAlign w:val="bottom"/>
          </w:tcPr>
          <w:p w14:paraId="35A04CD3"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val="ar-SA" w:eastAsia="zh-TW" w:bidi="en-GB"/>
              </w:rPr>
            </w:pPr>
            <w:r w:rsidRPr="003B756C">
              <w:rPr>
                <w:rFonts w:ascii="Simplified Arabic" w:hAnsi="Simplified Arabic"/>
                <w:szCs w:val="20"/>
                <w:rtl/>
              </w:rPr>
              <w:t>6,8</w:t>
            </w:r>
          </w:p>
        </w:tc>
        <w:tc>
          <w:tcPr>
            <w:tcW w:w="1355" w:type="dxa"/>
            <w:vMerge/>
            <w:tcBorders>
              <w:top w:val="nil"/>
              <w:bottom w:val="nil"/>
            </w:tcBorders>
            <w:shd w:val="clear" w:color="auto" w:fill="auto"/>
            <w:vAlign w:val="bottom"/>
          </w:tcPr>
          <w:p w14:paraId="61B0074D" w14:textId="77777777" w:rsidR="00DE3D9F" w:rsidRPr="003B756C" w:rsidRDefault="00DE3D9F" w:rsidP="00146491">
            <w:pPr>
              <w:spacing w:before="40" w:after="40" w:line="220" w:lineRule="exact"/>
              <w:ind w:left="57" w:right="57"/>
              <w:jc w:val="left"/>
              <w:rPr>
                <w:rFonts w:ascii="Simplified Arabic" w:hAnsi="Simplified Arabic"/>
                <w:szCs w:val="20"/>
              </w:rPr>
            </w:pPr>
          </w:p>
        </w:tc>
      </w:tr>
      <w:tr w:rsidR="00DE3D9F" w:rsidRPr="00206BEB" w14:paraId="14109288" w14:textId="77777777" w:rsidTr="0023489D">
        <w:tc>
          <w:tcPr>
            <w:tcW w:w="769" w:type="dxa"/>
            <w:tcBorders>
              <w:top w:val="nil"/>
              <w:bottom w:val="nil"/>
            </w:tcBorders>
            <w:shd w:val="clear" w:color="auto" w:fill="auto"/>
          </w:tcPr>
          <w:p w14:paraId="77CEDD0B" w14:textId="77777777" w:rsidR="00DE3D9F" w:rsidRPr="003B756C" w:rsidRDefault="00DE3D9F" w:rsidP="00146491">
            <w:pPr>
              <w:spacing w:before="40" w:after="40" w:line="320" w:lineRule="exact"/>
              <w:ind w:left="57" w:right="57"/>
              <w:jc w:val="left"/>
              <w:rPr>
                <w:rFonts w:ascii="Simplified Arabic" w:hAnsi="Simplified Arabic"/>
                <w:szCs w:val="20"/>
              </w:rPr>
            </w:pPr>
          </w:p>
        </w:tc>
        <w:tc>
          <w:tcPr>
            <w:tcW w:w="760" w:type="dxa"/>
            <w:tcBorders>
              <w:top w:val="nil"/>
              <w:bottom w:val="nil"/>
            </w:tcBorders>
            <w:shd w:val="clear" w:color="auto" w:fill="auto"/>
          </w:tcPr>
          <w:p w14:paraId="5602EE60"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val="ar-SA" w:eastAsia="zh-TW" w:bidi="en-GB"/>
              </w:rPr>
            </w:pPr>
            <w:r w:rsidRPr="003B756C">
              <w:rPr>
                <w:rFonts w:ascii="Simplified Arabic" w:hAnsi="Simplified Arabic"/>
                <w:szCs w:val="20"/>
                <w:rtl/>
              </w:rPr>
              <w:t>الإناث</w:t>
            </w:r>
          </w:p>
        </w:tc>
        <w:tc>
          <w:tcPr>
            <w:tcW w:w="1289" w:type="dxa"/>
            <w:gridSpan w:val="2"/>
            <w:tcBorders>
              <w:top w:val="nil"/>
              <w:bottom w:val="nil"/>
            </w:tcBorders>
            <w:shd w:val="clear" w:color="auto" w:fill="auto"/>
            <w:vAlign w:val="bottom"/>
          </w:tcPr>
          <w:p w14:paraId="497FAA9F"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val="ar-SA" w:eastAsia="zh-TW" w:bidi="en-GB"/>
              </w:rPr>
            </w:pPr>
            <w:r w:rsidRPr="003B756C">
              <w:rPr>
                <w:rFonts w:ascii="Simplified Arabic" w:hAnsi="Simplified Arabic"/>
                <w:szCs w:val="20"/>
                <w:rtl/>
              </w:rPr>
              <w:t>715 051 11</w:t>
            </w:r>
          </w:p>
        </w:tc>
        <w:tc>
          <w:tcPr>
            <w:tcW w:w="1136" w:type="dxa"/>
            <w:vMerge/>
            <w:tcBorders>
              <w:top w:val="nil"/>
              <w:bottom w:val="nil"/>
            </w:tcBorders>
            <w:shd w:val="clear" w:color="auto" w:fill="auto"/>
            <w:vAlign w:val="bottom"/>
          </w:tcPr>
          <w:p w14:paraId="41C1761F" w14:textId="77777777" w:rsidR="00DE3D9F" w:rsidRPr="003B756C" w:rsidRDefault="00DE3D9F" w:rsidP="00146491">
            <w:pPr>
              <w:spacing w:before="40" w:after="40" w:line="320" w:lineRule="exact"/>
              <w:ind w:left="57" w:right="57"/>
              <w:jc w:val="left"/>
              <w:rPr>
                <w:rFonts w:ascii="Simplified Arabic" w:hAnsi="Simplified Arabic"/>
                <w:szCs w:val="20"/>
              </w:rPr>
            </w:pPr>
          </w:p>
        </w:tc>
        <w:tc>
          <w:tcPr>
            <w:tcW w:w="1136" w:type="dxa"/>
            <w:vMerge/>
            <w:tcBorders>
              <w:top w:val="nil"/>
              <w:bottom w:val="nil"/>
            </w:tcBorders>
            <w:shd w:val="clear" w:color="auto" w:fill="auto"/>
            <w:vAlign w:val="bottom"/>
          </w:tcPr>
          <w:p w14:paraId="35DD4D5E" w14:textId="77777777" w:rsidR="00DE3D9F" w:rsidRPr="003B756C" w:rsidRDefault="00DE3D9F" w:rsidP="00146491">
            <w:pPr>
              <w:spacing w:before="40" w:after="40" w:line="320" w:lineRule="exact"/>
              <w:ind w:left="57" w:right="57"/>
              <w:jc w:val="left"/>
              <w:rPr>
                <w:rFonts w:ascii="Simplified Arabic" w:hAnsi="Simplified Arabic"/>
                <w:szCs w:val="20"/>
              </w:rPr>
            </w:pPr>
          </w:p>
        </w:tc>
        <w:tc>
          <w:tcPr>
            <w:tcW w:w="1274" w:type="dxa"/>
            <w:vMerge/>
            <w:tcBorders>
              <w:top w:val="nil"/>
              <w:bottom w:val="nil"/>
            </w:tcBorders>
            <w:shd w:val="clear" w:color="auto" w:fill="auto"/>
            <w:vAlign w:val="bottom"/>
          </w:tcPr>
          <w:p w14:paraId="05EDDB48" w14:textId="77777777" w:rsidR="00DE3D9F" w:rsidRPr="003B756C" w:rsidRDefault="00DE3D9F" w:rsidP="00146491">
            <w:pPr>
              <w:spacing w:before="40" w:after="40" w:line="320" w:lineRule="exact"/>
              <w:ind w:left="57" w:right="57"/>
              <w:jc w:val="left"/>
              <w:rPr>
                <w:rFonts w:ascii="Simplified Arabic" w:hAnsi="Simplified Arabic"/>
                <w:szCs w:val="20"/>
              </w:rPr>
            </w:pPr>
          </w:p>
        </w:tc>
        <w:tc>
          <w:tcPr>
            <w:tcW w:w="1355" w:type="dxa"/>
            <w:vMerge/>
            <w:tcBorders>
              <w:top w:val="nil"/>
              <w:bottom w:val="nil"/>
            </w:tcBorders>
            <w:shd w:val="clear" w:color="auto" w:fill="auto"/>
            <w:vAlign w:val="bottom"/>
          </w:tcPr>
          <w:p w14:paraId="1101FB40" w14:textId="77777777" w:rsidR="00DE3D9F" w:rsidRPr="003B756C" w:rsidRDefault="00DE3D9F" w:rsidP="00146491">
            <w:pPr>
              <w:spacing w:before="40" w:after="40" w:line="220" w:lineRule="exact"/>
              <w:ind w:left="57" w:right="57"/>
              <w:jc w:val="left"/>
              <w:rPr>
                <w:rFonts w:ascii="Simplified Arabic" w:hAnsi="Simplified Arabic"/>
                <w:szCs w:val="20"/>
              </w:rPr>
            </w:pPr>
          </w:p>
        </w:tc>
      </w:tr>
      <w:tr w:rsidR="00DE3D9F" w:rsidRPr="00206BEB" w14:paraId="4AE3617B" w14:textId="77777777" w:rsidTr="0023489D">
        <w:tc>
          <w:tcPr>
            <w:tcW w:w="769" w:type="dxa"/>
            <w:tcBorders>
              <w:top w:val="nil"/>
              <w:bottom w:val="nil"/>
            </w:tcBorders>
            <w:shd w:val="clear" w:color="auto" w:fill="auto"/>
          </w:tcPr>
          <w:p w14:paraId="5AD21B6F" w14:textId="77777777" w:rsidR="00DE3D9F" w:rsidRPr="003B756C" w:rsidRDefault="00DE3D9F" w:rsidP="00146491">
            <w:pPr>
              <w:spacing w:before="40" w:after="40" w:line="320" w:lineRule="exact"/>
              <w:ind w:left="57" w:right="57"/>
              <w:jc w:val="left"/>
              <w:rPr>
                <w:rFonts w:ascii="Simplified Arabic" w:hAnsi="Simplified Arabic"/>
                <w:szCs w:val="20"/>
              </w:rPr>
            </w:pPr>
          </w:p>
        </w:tc>
        <w:tc>
          <w:tcPr>
            <w:tcW w:w="760" w:type="dxa"/>
            <w:tcBorders>
              <w:top w:val="nil"/>
              <w:bottom w:val="nil"/>
            </w:tcBorders>
            <w:shd w:val="clear" w:color="auto" w:fill="auto"/>
          </w:tcPr>
          <w:p w14:paraId="49735BB9"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val="ar-SA" w:eastAsia="zh-TW" w:bidi="en-GB"/>
              </w:rPr>
            </w:pPr>
            <w:r w:rsidRPr="003B756C">
              <w:rPr>
                <w:rFonts w:ascii="Simplified Arabic" w:hAnsi="Simplified Arabic"/>
                <w:szCs w:val="20"/>
                <w:rtl/>
              </w:rPr>
              <w:t>الذكور</w:t>
            </w:r>
          </w:p>
        </w:tc>
        <w:tc>
          <w:tcPr>
            <w:tcW w:w="1289" w:type="dxa"/>
            <w:gridSpan w:val="2"/>
            <w:tcBorders>
              <w:top w:val="nil"/>
              <w:bottom w:val="nil"/>
            </w:tcBorders>
            <w:shd w:val="clear" w:color="auto" w:fill="auto"/>
            <w:vAlign w:val="bottom"/>
          </w:tcPr>
          <w:p w14:paraId="69929F59"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val="ar-SA" w:eastAsia="zh-TW" w:bidi="en-GB"/>
              </w:rPr>
            </w:pPr>
            <w:r w:rsidRPr="003B756C">
              <w:rPr>
                <w:rFonts w:ascii="Simplified Arabic" w:hAnsi="Simplified Arabic"/>
                <w:szCs w:val="20"/>
                <w:rtl/>
              </w:rPr>
              <w:t>762 937 10</w:t>
            </w:r>
          </w:p>
        </w:tc>
        <w:tc>
          <w:tcPr>
            <w:tcW w:w="1136" w:type="dxa"/>
            <w:vMerge/>
            <w:tcBorders>
              <w:top w:val="nil"/>
              <w:bottom w:val="nil"/>
            </w:tcBorders>
            <w:shd w:val="clear" w:color="auto" w:fill="auto"/>
            <w:vAlign w:val="bottom"/>
          </w:tcPr>
          <w:p w14:paraId="38F7FCB0" w14:textId="77777777" w:rsidR="00DE3D9F" w:rsidRPr="003B756C" w:rsidRDefault="00DE3D9F" w:rsidP="00146491">
            <w:pPr>
              <w:spacing w:before="40" w:after="40" w:line="320" w:lineRule="exact"/>
              <w:ind w:left="57" w:right="57"/>
              <w:jc w:val="left"/>
              <w:rPr>
                <w:rFonts w:ascii="Simplified Arabic" w:hAnsi="Simplified Arabic"/>
                <w:szCs w:val="20"/>
              </w:rPr>
            </w:pPr>
          </w:p>
        </w:tc>
        <w:tc>
          <w:tcPr>
            <w:tcW w:w="1136" w:type="dxa"/>
            <w:vMerge/>
            <w:tcBorders>
              <w:top w:val="nil"/>
              <w:bottom w:val="nil"/>
            </w:tcBorders>
            <w:shd w:val="clear" w:color="auto" w:fill="auto"/>
            <w:vAlign w:val="bottom"/>
          </w:tcPr>
          <w:p w14:paraId="1CA5C03C" w14:textId="77777777" w:rsidR="00DE3D9F" w:rsidRPr="003B756C" w:rsidRDefault="00DE3D9F" w:rsidP="00146491">
            <w:pPr>
              <w:spacing w:before="40" w:after="40" w:line="320" w:lineRule="exact"/>
              <w:ind w:left="57" w:right="57"/>
              <w:jc w:val="left"/>
              <w:rPr>
                <w:rFonts w:ascii="Simplified Arabic" w:hAnsi="Simplified Arabic"/>
                <w:szCs w:val="20"/>
              </w:rPr>
            </w:pPr>
          </w:p>
        </w:tc>
        <w:tc>
          <w:tcPr>
            <w:tcW w:w="1274" w:type="dxa"/>
            <w:vMerge/>
            <w:tcBorders>
              <w:top w:val="nil"/>
              <w:bottom w:val="nil"/>
            </w:tcBorders>
            <w:shd w:val="clear" w:color="auto" w:fill="auto"/>
            <w:vAlign w:val="bottom"/>
          </w:tcPr>
          <w:p w14:paraId="1DCC7E8A" w14:textId="77777777" w:rsidR="00DE3D9F" w:rsidRPr="003B756C" w:rsidRDefault="00DE3D9F" w:rsidP="00146491">
            <w:pPr>
              <w:spacing w:before="40" w:after="40" w:line="320" w:lineRule="exact"/>
              <w:ind w:left="57" w:right="57"/>
              <w:jc w:val="left"/>
              <w:rPr>
                <w:rFonts w:ascii="Simplified Arabic" w:hAnsi="Simplified Arabic"/>
                <w:szCs w:val="20"/>
              </w:rPr>
            </w:pPr>
          </w:p>
        </w:tc>
        <w:tc>
          <w:tcPr>
            <w:tcW w:w="1355" w:type="dxa"/>
            <w:vMerge/>
            <w:tcBorders>
              <w:top w:val="nil"/>
              <w:bottom w:val="nil"/>
            </w:tcBorders>
            <w:shd w:val="clear" w:color="auto" w:fill="auto"/>
            <w:vAlign w:val="bottom"/>
          </w:tcPr>
          <w:p w14:paraId="491F2536" w14:textId="77777777" w:rsidR="00DE3D9F" w:rsidRPr="003B756C" w:rsidRDefault="00DE3D9F" w:rsidP="00146491">
            <w:pPr>
              <w:spacing w:before="40" w:after="40" w:line="220" w:lineRule="exact"/>
              <w:ind w:left="57" w:right="57"/>
              <w:jc w:val="left"/>
              <w:rPr>
                <w:rFonts w:ascii="Simplified Arabic" w:hAnsi="Simplified Arabic"/>
                <w:szCs w:val="20"/>
              </w:rPr>
            </w:pPr>
          </w:p>
        </w:tc>
      </w:tr>
      <w:tr w:rsidR="00DE3D9F" w:rsidRPr="00206BEB" w14:paraId="51B073E0" w14:textId="77777777" w:rsidTr="0023489D">
        <w:tc>
          <w:tcPr>
            <w:tcW w:w="1529" w:type="dxa"/>
            <w:gridSpan w:val="2"/>
            <w:tcBorders>
              <w:top w:val="nil"/>
              <w:bottom w:val="nil"/>
            </w:tcBorders>
            <w:shd w:val="clear" w:color="auto" w:fill="auto"/>
          </w:tcPr>
          <w:p w14:paraId="101F95DC"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val="ar-SA" w:eastAsia="zh-TW" w:bidi="en-GB"/>
              </w:rPr>
            </w:pPr>
            <w:r w:rsidRPr="003B756C">
              <w:rPr>
                <w:rFonts w:ascii="Simplified Arabic" w:hAnsi="Simplified Arabic"/>
                <w:szCs w:val="20"/>
                <w:rtl/>
              </w:rPr>
              <w:t>المنطقة الجنوبية</w:t>
            </w:r>
          </w:p>
        </w:tc>
        <w:tc>
          <w:tcPr>
            <w:tcW w:w="1289" w:type="dxa"/>
            <w:gridSpan w:val="2"/>
            <w:tcBorders>
              <w:top w:val="nil"/>
              <w:bottom w:val="nil"/>
            </w:tcBorders>
            <w:shd w:val="clear" w:color="auto" w:fill="auto"/>
            <w:vAlign w:val="bottom"/>
          </w:tcPr>
          <w:p w14:paraId="26C4DB29"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val="ar-SA" w:eastAsia="zh-TW" w:bidi="en-GB"/>
              </w:rPr>
            </w:pPr>
            <w:r w:rsidRPr="003B756C">
              <w:rPr>
                <w:rFonts w:ascii="Simplified Arabic" w:hAnsi="Simplified Arabic"/>
                <w:szCs w:val="20"/>
                <w:rtl/>
              </w:rPr>
              <w:t>578 399 9</w:t>
            </w:r>
          </w:p>
        </w:tc>
        <w:tc>
          <w:tcPr>
            <w:tcW w:w="1136" w:type="dxa"/>
            <w:vMerge w:val="restart"/>
            <w:tcBorders>
              <w:top w:val="nil"/>
              <w:bottom w:val="nil"/>
            </w:tcBorders>
            <w:shd w:val="clear" w:color="auto" w:fill="auto"/>
            <w:vAlign w:val="bottom"/>
          </w:tcPr>
          <w:p w14:paraId="69187D3F"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val="ar-SA" w:eastAsia="zh-TW" w:bidi="en-GB"/>
              </w:rPr>
            </w:pPr>
            <w:r w:rsidRPr="003B756C">
              <w:rPr>
                <w:rFonts w:ascii="Simplified Arabic" w:hAnsi="Simplified Arabic"/>
                <w:szCs w:val="20"/>
                <w:rtl/>
              </w:rPr>
              <w:t>132,9</w:t>
            </w:r>
          </w:p>
        </w:tc>
        <w:tc>
          <w:tcPr>
            <w:tcW w:w="1136" w:type="dxa"/>
            <w:vMerge w:val="restart"/>
            <w:tcBorders>
              <w:top w:val="nil"/>
              <w:bottom w:val="nil"/>
            </w:tcBorders>
            <w:shd w:val="clear" w:color="auto" w:fill="auto"/>
            <w:vAlign w:val="bottom"/>
          </w:tcPr>
          <w:p w14:paraId="6B89D36B"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val="ar-SA" w:eastAsia="zh-TW" w:bidi="en-GB"/>
              </w:rPr>
            </w:pPr>
            <w:r w:rsidRPr="003B756C">
              <w:rPr>
                <w:rFonts w:ascii="Simplified Arabic" w:hAnsi="Simplified Arabic"/>
                <w:szCs w:val="20"/>
                <w:rtl/>
              </w:rPr>
              <w:t>13,0</w:t>
            </w:r>
          </w:p>
        </w:tc>
        <w:tc>
          <w:tcPr>
            <w:tcW w:w="1274" w:type="dxa"/>
            <w:vMerge w:val="restart"/>
            <w:tcBorders>
              <w:top w:val="nil"/>
              <w:bottom w:val="nil"/>
            </w:tcBorders>
            <w:shd w:val="clear" w:color="auto" w:fill="auto"/>
            <w:vAlign w:val="bottom"/>
          </w:tcPr>
          <w:p w14:paraId="2180A18A" w14:textId="77777777" w:rsidR="00DE3D9F" w:rsidRPr="003B756C" w:rsidRDefault="00DE3D9F" w:rsidP="00146491">
            <w:pPr>
              <w:spacing w:before="40" w:after="40" w:line="320" w:lineRule="exact"/>
              <w:ind w:left="57" w:right="57"/>
              <w:jc w:val="left"/>
              <w:textDirection w:val="tbRlV"/>
              <w:rPr>
                <w:rFonts w:ascii="Simplified Arabic" w:hAnsi="Simplified Arabic"/>
                <w:szCs w:val="20"/>
                <w:lang w:val="ar-SA" w:eastAsia="zh-TW" w:bidi="en-GB"/>
              </w:rPr>
            </w:pPr>
            <w:r w:rsidRPr="003B756C">
              <w:rPr>
                <w:rFonts w:ascii="Simplified Arabic" w:hAnsi="Simplified Arabic"/>
                <w:szCs w:val="20"/>
                <w:rtl/>
              </w:rPr>
              <w:t>6,1</w:t>
            </w:r>
          </w:p>
        </w:tc>
        <w:tc>
          <w:tcPr>
            <w:tcW w:w="1355" w:type="dxa"/>
            <w:vMerge/>
            <w:tcBorders>
              <w:top w:val="nil"/>
              <w:bottom w:val="nil"/>
            </w:tcBorders>
            <w:shd w:val="clear" w:color="auto" w:fill="auto"/>
            <w:vAlign w:val="bottom"/>
          </w:tcPr>
          <w:p w14:paraId="5EC1F3BD" w14:textId="77777777" w:rsidR="00DE3D9F" w:rsidRPr="003B756C" w:rsidRDefault="00DE3D9F" w:rsidP="00146491">
            <w:pPr>
              <w:spacing w:before="40" w:after="40" w:line="220" w:lineRule="exact"/>
              <w:ind w:left="57" w:right="57"/>
              <w:jc w:val="left"/>
              <w:rPr>
                <w:rFonts w:ascii="Simplified Arabic" w:hAnsi="Simplified Arabic"/>
                <w:szCs w:val="20"/>
              </w:rPr>
            </w:pPr>
          </w:p>
        </w:tc>
      </w:tr>
      <w:tr w:rsidR="00DE3D9F" w:rsidRPr="00206BEB" w14:paraId="61946ACD" w14:textId="77777777" w:rsidTr="0023489D">
        <w:tc>
          <w:tcPr>
            <w:tcW w:w="769" w:type="dxa"/>
            <w:tcBorders>
              <w:top w:val="nil"/>
              <w:bottom w:val="nil"/>
            </w:tcBorders>
            <w:shd w:val="clear" w:color="auto" w:fill="auto"/>
          </w:tcPr>
          <w:p w14:paraId="795A2686" w14:textId="77777777" w:rsidR="00DE3D9F" w:rsidRPr="003B756C" w:rsidRDefault="00DE3D9F" w:rsidP="00146491">
            <w:pPr>
              <w:spacing w:before="40" w:after="40" w:line="220" w:lineRule="exact"/>
              <w:ind w:left="57" w:right="57"/>
              <w:jc w:val="left"/>
              <w:rPr>
                <w:rFonts w:ascii="Simplified Arabic" w:hAnsi="Simplified Arabic"/>
                <w:szCs w:val="20"/>
              </w:rPr>
            </w:pPr>
          </w:p>
        </w:tc>
        <w:tc>
          <w:tcPr>
            <w:tcW w:w="760" w:type="dxa"/>
            <w:tcBorders>
              <w:top w:val="nil"/>
              <w:bottom w:val="nil"/>
            </w:tcBorders>
            <w:shd w:val="clear" w:color="auto" w:fill="auto"/>
          </w:tcPr>
          <w:p w14:paraId="1284CDD5" w14:textId="77777777" w:rsidR="00DE3D9F" w:rsidRPr="003B756C" w:rsidRDefault="00DE3D9F" w:rsidP="00146491">
            <w:pPr>
              <w:spacing w:before="40" w:after="40" w:line="220" w:lineRule="exact"/>
              <w:ind w:left="57" w:right="57"/>
              <w:jc w:val="left"/>
              <w:textDirection w:val="tbRlV"/>
              <w:rPr>
                <w:rFonts w:ascii="Simplified Arabic" w:hAnsi="Simplified Arabic"/>
                <w:szCs w:val="20"/>
                <w:lang w:eastAsia="zh-TW" w:bidi="en-GB"/>
              </w:rPr>
            </w:pPr>
            <w:r w:rsidRPr="003B756C">
              <w:rPr>
                <w:rFonts w:ascii="Simplified Arabic" w:hAnsi="Simplified Arabic"/>
                <w:szCs w:val="20"/>
                <w:rtl/>
              </w:rPr>
              <w:t>الإناث</w:t>
            </w:r>
          </w:p>
        </w:tc>
        <w:tc>
          <w:tcPr>
            <w:tcW w:w="1289" w:type="dxa"/>
            <w:gridSpan w:val="2"/>
            <w:tcBorders>
              <w:top w:val="nil"/>
              <w:bottom w:val="nil"/>
            </w:tcBorders>
            <w:shd w:val="clear" w:color="auto" w:fill="auto"/>
            <w:vAlign w:val="bottom"/>
          </w:tcPr>
          <w:p w14:paraId="0BD90E44" w14:textId="77777777" w:rsidR="00DE3D9F" w:rsidRPr="0023489D" w:rsidRDefault="00DE3D9F" w:rsidP="00146491">
            <w:pPr>
              <w:spacing w:before="40" w:after="40" w:line="220" w:lineRule="exact"/>
              <w:ind w:left="57" w:right="57"/>
              <w:jc w:val="left"/>
              <w:textDirection w:val="tbRlV"/>
              <w:rPr>
                <w:rFonts w:ascii="Simplified Arabic" w:hAnsi="Simplified Arabic"/>
                <w:szCs w:val="20"/>
                <w:lang w:eastAsia="zh-TW" w:bidi="en-GB"/>
              </w:rPr>
            </w:pPr>
            <w:r w:rsidRPr="003B756C">
              <w:rPr>
                <w:rFonts w:ascii="Simplified Arabic" w:hAnsi="Simplified Arabic"/>
                <w:szCs w:val="20"/>
                <w:rtl/>
              </w:rPr>
              <w:t>225 769 4</w:t>
            </w:r>
          </w:p>
        </w:tc>
        <w:tc>
          <w:tcPr>
            <w:tcW w:w="1136" w:type="dxa"/>
            <w:vMerge/>
            <w:tcBorders>
              <w:top w:val="nil"/>
              <w:bottom w:val="nil"/>
            </w:tcBorders>
            <w:shd w:val="clear" w:color="auto" w:fill="auto"/>
            <w:vAlign w:val="bottom"/>
          </w:tcPr>
          <w:p w14:paraId="21050EC9" w14:textId="77777777" w:rsidR="00DE3D9F" w:rsidRPr="003B756C" w:rsidRDefault="00DE3D9F" w:rsidP="00146491">
            <w:pPr>
              <w:spacing w:before="40" w:after="40" w:line="220" w:lineRule="exact"/>
              <w:ind w:left="57" w:right="57"/>
              <w:jc w:val="left"/>
              <w:rPr>
                <w:rFonts w:ascii="Simplified Arabic" w:hAnsi="Simplified Arabic"/>
                <w:szCs w:val="20"/>
              </w:rPr>
            </w:pPr>
          </w:p>
        </w:tc>
        <w:tc>
          <w:tcPr>
            <w:tcW w:w="1136" w:type="dxa"/>
            <w:vMerge/>
            <w:tcBorders>
              <w:top w:val="nil"/>
              <w:bottom w:val="nil"/>
            </w:tcBorders>
            <w:shd w:val="clear" w:color="auto" w:fill="auto"/>
            <w:vAlign w:val="bottom"/>
          </w:tcPr>
          <w:p w14:paraId="5A1504D1" w14:textId="77777777" w:rsidR="00DE3D9F" w:rsidRPr="003B756C" w:rsidRDefault="00DE3D9F" w:rsidP="00146491">
            <w:pPr>
              <w:spacing w:before="40" w:after="40" w:line="220" w:lineRule="exact"/>
              <w:ind w:left="57" w:right="57"/>
              <w:jc w:val="left"/>
              <w:rPr>
                <w:rFonts w:ascii="Simplified Arabic" w:hAnsi="Simplified Arabic"/>
                <w:szCs w:val="20"/>
              </w:rPr>
            </w:pPr>
          </w:p>
        </w:tc>
        <w:tc>
          <w:tcPr>
            <w:tcW w:w="1274" w:type="dxa"/>
            <w:vMerge/>
            <w:tcBorders>
              <w:top w:val="nil"/>
              <w:bottom w:val="nil"/>
            </w:tcBorders>
            <w:shd w:val="clear" w:color="auto" w:fill="auto"/>
            <w:vAlign w:val="bottom"/>
          </w:tcPr>
          <w:p w14:paraId="7366B0EC" w14:textId="77777777" w:rsidR="00DE3D9F" w:rsidRPr="003B756C" w:rsidRDefault="00DE3D9F" w:rsidP="00146491">
            <w:pPr>
              <w:spacing w:before="40" w:after="40" w:line="220" w:lineRule="exact"/>
              <w:ind w:left="57" w:right="57"/>
              <w:jc w:val="left"/>
              <w:rPr>
                <w:rFonts w:ascii="Simplified Arabic" w:hAnsi="Simplified Arabic"/>
                <w:szCs w:val="20"/>
              </w:rPr>
            </w:pPr>
          </w:p>
        </w:tc>
        <w:tc>
          <w:tcPr>
            <w:tcW w:w="1355" w:type="dxa"/>
            <w:vMerge/>
            <w:tcBorders>
              <w:top w:val="nil"/>
              <w:bottom w:val="nil"/>
            </w:tcBorders>
            <w:shd w:val="clear" w:color="auto" w:fill="auto"/>
            <w:vAlign w:val="bottom"/>
          </w:tcPr>
          <w:p w14:paraId="459E3642" w14:textId="77777777" w:rsidR="00DE3D9F" w:rsidRPr="003B756C" w:rsidRDefault="00DE3D9F" w:rsidP="00146491">
            <w:pPr>
              <w:spacing w:before="40" w:after="40" w:line="220" w:lineRule="exact"/>
              <w:ind w:left="57" w:right="57"/>
              <w:jc w:val="left"/>
              <w:rPr>
                <w:rFonts w:ascii="Simplified Arabic" w:hAnsi="Simplified Arabic"/>
                <w:szCs w:val="20"/>
              </w:rPr>
            </w:pPr>
          </w:p>
        </w:tc>
      </w:tr>
      <w:tr w:rsidR="00DE3D9F" w:rsidRPr="00206BEB" w14:paraId="3D0D626F" w14:textId="77777777" w:rsidTr="0023489D">
        <w:tc>
          <w:tcPr>
            <w:tcW w:w="769" w:type="dxa"/>
            <w:tcBorders>
              <w:top w:val="nil"/>
              <w:bottom w:val="single" w:sz="12" w:space="0" w:color="auto"/>
            </w:tcBorders>
            <w:shd w:val="clear" w:color="auto" w:fill="auto"/>
          </w:tcPr>
          <w:p w14:paraId="15D218BC" w14:textId="77777777" w:rsidR="00DE3D9F" w:rsidRPr="003B756C" w:rsidRDefault="00DE3D9F" w:rsidP="00146491">
            <w:pPr>
              <w:spacing w:before="40" w:after="40" w:line="220" w:lineRule="exact"/>
              <w:ind w:left="57" w:right="57"/>
              <w:jc w:val="left"/>
              <w:rPr>
                <w:rFonts w:ascii="Simplified Arabic" w:hAnsi="Simplified Arabic"/>
                <w:szCs w:val="20"/>
              </w:rPr>
            </w:pPr>
          </w:p>
        </w:tc>
        <w:tc>
          <w:tcPr>
            <w:tcW w:w="760" w:type="dxa"/>
            <w:tcBorders>
              <w:top w:val="nil"/>
              <w:bottom w:val="single" w:sz="12" w:space="0" w:color="auto"/>
            </w:tcBorders>
            <w:shd w:val="clear" w:color="auto" w:fill="auto"/>
          </w:tcPr>
          <w:p w14:paraId="380BAB1B" w14:textId="77777777" w:rsidR="00DE3D9F" w:rsidRPr="003B756C" w:rsidRDefault="00DE3D9F" w:rsidP="00146491">
            <w:pPr>
              <w:spacing w:before="40" w:after="40" w:line="220" w:lineRule="exact"/>
              <w:ind w:left="57" w:right="57"/>
              <w:jc w:val="left"/>
              <w:textDirection w:val="tbRlV"/>
              <w:rPr>
                <w:rFonts w:ascii="Simplified Arabic" w:hAnsi="Simplified Arabic"/>
                <w:szCs w:val="20"/>
                <w:lang w:val="ar-SA" w:eastAsia="zh-TW" w:bidi="en-GB"/>
              </w:rPr>
            </w:pPr>
            <w:r w:rsidRPr="003B756C">
              <w:rPr>
                <w:rFonts w:ascii="Simplified Arabic" w:hAnsi="Simplified Arabic"/>
                <w:szCs w:val="20"/>
                <w:rtl/>
              </w:rPr>
              <w:t>الذكور</w:t>
            </w:r>
          </w:p>
        </w:tc>
        <w:tc>
          <w:tcPr>
            <w:tcW w:w="1289" w:type="dxa"/>
            <w:gridSpan w:val="2"/>
            <w:tcBorders>
              <w:top w:val="nil"/>
              <w:bottom w:val="single" w:sz="12" w:space="0" w:color="auto"/>
            </w:tcBorders>
            <w:shd w:val="clear" w:color="auto" w:fill="auto"/>
            <w:vAlign w:val="bottom"/>
          </w:tcPr>
          <w:p w14:paraId="32AFF73D" w14:textId="77777777" w:rsidR="00DE3D9F" w:rsidRPr="003B756C" w:rsidRDefault="00DE3D9F" w:rsidP="00146491">
            <w:pPr>
              <w:spacing w:before="40" w:after="40" w:line="220" w:lineRule="exact"/>
              <w:ind w:left="57" w:right="57"/>
              <w:jc w:val="left"/>
              <w:textDirection w:val="tbRlV"/>
              <w:rPr>
                <w:rFonts w:ascii="Simplified Arabic" w:hAnsi="Simplified Arabic"/>
                <w:szCs w:val="20"/>
                <w:lang w:val="ar-SA" w:eastAsia="zh-TW" w:bidi="en-GB"/>
              </w:rPr>
            </w:pPr>
            <w:r w:rsidRPr="003B756C">
              <w:rPr>
                <w:rFonts w:ascii="Simplified Arabic" w:hAnsi="Simplified Arabic"/>
                <w:szCs w:val="20"/>
                <w:rtl/>
              </w:rPr>
              <w:t>353 630 4</w:t>
            </w:r>
          </w:p>
        </w:tc>
        <w:tc>
          <w:tcPr>
            <w:tcW w:w="1136" w:type="dxa"/>
            <w:vMerge/>
            <w:tcBorders>
              <w:top w:val="nil"/>
              <w:bottom w:val="single" w:sz="12" w:space="0" w:color="auto"/>
            </w:tcBorders>
            <w:shd w:val="clear" w:color="auto" w:fill="auto"/>
            <w:vAlign w:val="bottom"/>
          </w:tcPr>
          <w:p w14:paraId="23AC9D21" w14:textId="77777777" w:rsidR="00DE3D9F" w:rsidRPr="003B756C" w:rsidRDefault="00DE3D9F" w:rsidP="00146491">
            <w:pPr>
              <w:spacing w:before="40" w:after="40" w:line="220" w:lineRule="exact"/>
              <w:ind w:left="57" w:right="57"/>
              <w:jc w:val="left"/>
              <w:rPr>
                <w:rFonts w:ascii="Simplified Arabic" w:hAnsi="Simplified Arabic"/>
                <w:szCs w:val="20"/>
              </w:rPr>
            </w:pPr>
          </w:p>
        </w:tc>
        <w:tc>
          <w:tcPr>
            <w:tcW w:w="1136" w:type="dxa"/>
            <w:vMerge/>
            <w:tcBorders>
              <w:top w:val="nil"/>
              <w:bottom w:val="single" w:sz="12" w:space="0" w:color="auto"/>
            </w:tcBorders>
            <w:shd w:val="clear" w:color="auto" w:fill="auto"/>
            <w:vAlign w:val="bottom"/>
          </w:tcPr>
          <w:p w14:paraId="3014B6C8" w14:textId="77777777" w:rsidR="00DE3D9F" w:rsidRPr="003B756C" w:rsidRDefault="00DE3D9F" w:rsidP="00146491">
            <w:pPr>
              <w:spacing w:before="40" w:after="40" w:line="220" w:lineRule="exact"/>
              <w:ind w:left="57" w:right="57"/>
              <w:jc w:val="left"/>
              <w:rPr>
                <w:rFonts w:ascii="Simplified Arabic" w:hAnsi="Simplified Arabic"/>
                <w:szCs w:val="20"/>
              </w:rPr>
            </w:pPr>
          </w:p>
        </w:tc>
        <w:tc>
          <w:tcPr>
            <w:tcW w:w="1274" w:type="dxa"/>
            <w:vMerge/>
            <w:tcBorders>
              <w:top w:val="nil"/>
              <w:bottom w:val="single" w:sz="12" w:space="0" w:color="auto"/>
            </w:tcBorders>
            <w:shd w:val="clear" w:color="auto" w:fill="auto"/>
            <w:vAlign w:val="bottom"/>
          </w:tcPr>
          <w:p w14:paraId="25B4EE8D" w14:textId="77777777" w:rsidR="00DE3D9F" w:rsidRPr="003B756C" w:rsidRDefault="00DE3D9F" w:rsidP="00146491">
            <w:pPr>
              <w:spacing w:before="40" w:after="40" w:line="220" w:lineRule="exact"/>
              <w:ind w:left="57" w:right="57"/>
              <w:jc w:val="left"/>
              <w:rPr>
                <w:rFonts w:ascii="Simplified Arabic" w:hAnsi="Simplified Arabic"/>
                <w:szCs w:val="20"/>
              </w:rPr>
            </w:pPr>
          </w:p>
        </w:tc>
        <w:tc>
          <w:tcPr>
            <w:tcW w:w="1355" w:type="dxa"/>
            <w:vMerge/>
            <w:tcBorders>
              <w:top w:val="nil"/>
              <w:bottom w:val="single" w:sz="12" w:space="0" w:color="auto"/>
            </w:tcBorders>
            <w:shd w:val="clear" w:color="auto" w:fill="auto"/>
            <w:vAlign w:val="bottom"/>
          </w:tcPr>
          <w:p w14:paraId="29304D2C" w14:textId="77777777" w:rsidR="00DE3D9F" w:rsidRPr="003B756C" w:rsidRDefault="00DE3D9F" w:rsidP="00146491">
            <w:pPr>
              <w:spacing w:before="40" w:after="40" w:line="220" w:lineRule="exact"/>
              <w:ind w:left="57" w:right="57"/>
              <w:jc w:val="left"/>
              <w:rPr>
                <w:rFonts w:ascii="Simplified Arabic" w:hAnsi="Simplified Arabic"/>
                <w:szCs w:val="20"/>
              </w:rPr>
            </w:pPr>
          </w:p>
        </w:tc>
      </w:tr>
    </w:tbl>
    <w:p w14:paraId="458600CF" w14:textId="77777777" w:rsidR="00DE3D9F" w:rsidRPr="001B6C67" w:rsidRDefault="00DE3D9F" w:rsidP="00AD7242">
      <w:pPr>
        <w:pStyle w:val="SingleTxtGA"/>
        <w:spacing w:before="240"/>
        <w:rPr>
          <w:lang w:val="ar-SA" w:eastAsia="zh-TW" w:bidi="en-GB"/>
        </w:rPr>
      </w:pPr>
      <w:r w:rsidRPr="00AF3116">
        <w:rPr>
          <w:rtl/>
        </w:rPr>
        <w:t>9</w:t>
      </w:r>
      <w:r w:rsidRPr="001B6C67">
        <w:rPr>
          <w:rtl/>
        </w:rPr>
        <w:t>-</w:t>
      </w:r>
      <w:r w:rsidRPr="001B6C67">
        <w:rPr>
          <w:rtl/>
        </w:rPr>
        <w:tab/>
      </w:r>
      <w:r>
        <w:rPr>
          <w:rtl/>
        </w:rPr>
        <w:t>و</w:t>
      </w:r>
      <w:r w:rsidRPr="001B6C67">
        <w:rPr>
          <w:rtl/>
        </w:rPr>
        <w:t xml:space="preserve">حتى كانون الأول/ديسمبر </w:t>
      </w:r>
      <w:r w:rsidRPr="00AF3116">
        <w:rPr>
          <w:rtl/>
        </w:rPr>
        <w:t>2019</w:t>
      </w:r>
      <w:r w:rsidRPr="001B6C67">
        <w:rPr>
          <w:rtl/>
        </w:rPr>
        <w:t xml:space="preserve">، كان هناك </w:t>
      </w:r>
      <w:r w:rsidRPr="00AF3116">
        <w:rPr>
          <w:rtl/>
        </w:rPr>
        <w:t>385</w:t>
      </w:r>
      <w:r w:rsidRPr="001B6C67">
        <w:rPr>
          <w:rtl/>
        </w:rPr>
        <w:t xml:space="preserve"> </w:t>
      </w:r>
      <w:r w:rsidRPr="00AF3116">
        <w:rPr>
          <w:rtl/>
        </w:rPr>
        <w:t>015</w:t>
      </w:r>
      <w:r w:rsidRPr="001B6C67">
        <w:rPr>
          <w:rtl/>
        </w:rPr>
        <w:t xml:space="preserve"> </w:t>
      </w:r>
      <w:r w:rsidRPr="00AF3116">
        <w:rPr>
          <w:rtl/>
        </w:rPr>
        <w:t>2</w:t>
      </w:r>
      <w:r w:rsidRPr="001B6C67">
        <w:rPr>
          <w:rtl/>
        </w:rPr>
        <w:t xml:space="preserve"> شخصاً مسجلاً من ذوي الإعاقة في تايلاند، منهم </w:t>
      </w:r>
      <w:r w:rsidRPr="00AF3116">
        <w:rPr>
          <w:rtl/>
        </w:rPr>
        <w:t>507</w:t>
      </w:r>
      <w:r w:rsidRPr="001B6C67">
        <w:rPr>
          <w:rtl/>
        </w:rPr>
        <w:t xml:space="preserve"> </w:t>
      </w:r>
      <w:r w:rsidRPr="00AF3116">
        <w:rPr>
          <w:rtl/>
        </w:rPr>
        <w:t>963</w:t>
      </w:r>
      <w:r w:rsidRPr="001B6C67">
        <w:rPr>
          <w:rtl/>
        </w:rPr>
        <w:t xml:space="preserve"> من الإناث و</w:t>
      </w:r>
      <w:r w:rsidRPr="00AF3116">
        <w:rPr>
          <w:rtl/>
        </w:rPr>
        <w:t>878</w:t>
      </w:r>
      <w:r w:rsidRPr="001B6C67">
        <w:rPr>
          <w:rtl/>
        </w:rPr>
        <w:t xml:space="preserve"> </w:t>
      </w:r>
      <w:r w:rsidRPr="00AF3116">
        <w:rPr>
          <w:rtl/>
        </w:rPr>
        <w:t>051</w:t>
      </w:r>
      <w:r w:rsidRPr="001B6C67">
        <w:rPr>
          <w:rtl/>
        </w:rPr>
        <w:t xml:space="preserve"> </w:t>
      </w:r>
      <w:r w:rsidRPr="00AF3116">
        <w:rPr>
          <w:rtl/>
        </w:rPr>
        <w:t>1</w:t>
      </w:r>
      <w:r w:rsidRPr="001B6C67">
        <w:rPr>
          <w:rtl/>
        </w:rPr>
        <w:t xml:space="preserve"> من الذكور. ويقل عمر </w:t>
      </w:r>
      <w:r w:rsidRPr="00AF3116">
        <w:rPr>
          <w:rtl/>
        </w:rPr>
        <w:t>543</w:t>
      </w:r>
      <w:r w:rsidRPr="001B6C67">
        <w:rPr>
          <w:rtl/>
        </w:rPr>
        <w:t xml:space="preserve"> </w:t>
      </w:r>
      <w:r w:rsidRPr="00AF3116">
        <w:rPr>
          <w:rtl/>
        </w:rPr>
        <w:t>83</w:t>
      </w:r>
      <w:r w:rsidRPr="001B6C67">
        <w:rPr>
          <w:rtl/>
        </w:rPr>
        <w:t xml:space="preserve"> شخصاً (</w:t>
      </w:r>
      <w:r w:rsidRPr="00AF3116">
        <w:rPr>
          <w:rtl/>
        </w:rPr>
        <w:t>4</w:t>
      </w:r>
      <w:r w:rsidRPr="001B6C67">
        <w:rPr>
          <w:rtl/>
        </w:rPr>
        <w:t>,</w:t>
      </w:r>
      <w:r w:rsidRPr="00AF3116">
        <w:rPr>
          <w:rtl/>
        </w:rPr>
        <w:t>14</w:t>
      </w:r>
      <w:r w:rsidRPr="001B6C67">
        <w:rPr>
          <w:rtl/>
        </w:rPr>
        <w:t xml:space="preserve"> في المائة) عن سن </w:t>
      </w:r>
      <w:r w:rsidRPr="00AF3116">
        <w:rPr>
          <w:rtl/>
        </w:rPr>
        <w:t>14</w:t>
      </w:r>
      <w:r w:rsidRPr="001B6C67">
        <w:rPr>
          <w:rtl/>
        </w:rPr>
        <w:t xml:space="preserve"> عاماً، وتتراوح أعمار </w:t>
      </w:r>
      <w:r w:rsidRPr="00AF3116">
        <w:rPr>
          <w:rtl/>
        </w:rPr>
        <w:t>270</w:t>
      </w:r>
      <w:r w:rsidRPr="001B6C67">
        <w:rPr>
          <w:rtl/>
        </w:rPr>
        <w:t xml:space="preserve"> </w:t>
      </w:r>
      <w:r w:rsidRPr="00AF3116">
        <w:rPr>
          <w:rtl/>
        </w:rPr>
        <w:t>850</w:t>
      </w:r>
      <w:r w:rsidRPr="001B6C67">
        <w:rPr>
          <w:rtl/>
        </w:rPr>
        <w:t xml:space="preserve"> شخصاً (</w:t>
      </w:r>
      <w:r w:rsidRPr="00AF3116">
        <w:rPr>
          <w:rtl/>
        </w:rPr>
        <w:t>42</w:t>
      </w:r>
      <w:r w:rsidRPr="001B6C67">
        <w:rPr>
          <w:rtl/>
        </w:rPr>
        <w:t>,</w:t>
      </w:r>
      <w:r w:rsidRPr="00AF3116">
        <w:rPr>
          <w:rtl/>
        </w:rPr>
        <w:t>19</w:t>
      </w:r>
      <w:r w:rsidRPr="001B6C67">
        <w:rPr>
          <w:rtl/>
        </w:rPr>
        <w:t xml:space="preserve"> في المائة) بين </w:t>
      </w:r>
      <w:r w:rsidRPr="00AF3116">
        <w:rPr>
          <w:rtl/>
        </w:rPr>
        <w:t>15</w:t>
      </w:r>
      <w:r w:rsidRPr="001B6C67">
        <w:rPr>
          <w:rtl/>
        </w:rPr>
        <w:t xml:space="preserve"> و</w:t>
      </w:r>
      <w:r w:rsidRPr="00AF3116">
        <w:rPr>
          <w:rtl/>
        </w:rPr>
        <w:t>59</w:t>
      </w:r>
      <w:r w:rsidRPr="001B6C67">
        <w:rPr>
          <w:rtl/>
        </w:rPr>
        <w:t xml:space="preserve"> عاماً، وتزيد أعما</w:t>
      </w:r>
      <w:r>
        <w:rPr>
          <w:rtl/>
        </w:rPr>
        <w:t>ر</w:t>
      </w:r>
      <w:r w:rsidRPr="001B6C67">
        <w:rPr>
          <w:rtl/>
        </w:rPr>
        <w:t xml:space="preserve"> </w:t>
      </w:r>
      <w:r w:rsidRPr="00AF3116">
        <w:rPr>
          <w:rtl/>
        </w:rPr>
        <w:t>572</w:t>
      </w:r>
      <w:r w:rsidRPr="001B6C67">
        <w:rPr>
          <w:rtl/>
        </w:rPr>
        <w:t xml:space="preserve"> </w:t>
      </w:r>
      <w:r w:rsidRPr="00AF3116">
        <w:rPr>
          <w:rtl/>
        </w:rPr>
        <w:t>081</w:t>
      </w:r>
      <w:r w:rsidRPr="001B6C67">
        <w:rPr>
          <w:rtl/>
        </w:rPr>
        <w:t xml:space="preserve"> </w:t>
      </w:r>
      <w:r w:rsidRPr="00AF3116">
        <w:rPr>
          <w:rtl/>
        </w:rPr>
        <w:t>1</w:t>
      </w:r>
      <w:r w:rsidRPr="001B6C67">
        <w:rPr>
          <w:rtl/>
        </w:rPr>
        <w:t xml:space="preserve"> شخصاً (</w:t>
      </w:r>
      <w:r w:rsidRPr="00AF3116">
        <w:rPr>
          <w:rtl/>
        </w:rPr>
        <w:t>53</w:t>
      </w:r>
      <w:r w:rsidRPr="001B6C67">
        <w:rPr>
          <w:rtl/>
        </w:rPr>
        <w:t>,</w:t>
      </w:r>
      <w:r w:rsidRPr="00AF3116">
        <w:rPr>
          <w:rtl/>
        </w:rPr>
        <w:t>67</w:t>
      </w:r>
      <w:r w:rsidRPr="001B6C67">
        <w:rPr>
          <w:rtl/>
        </w:rPr>
        <w:t xml:space="preserve"> في المائة) عن </w:t>
      </w:r>
      <w:r w:rsidRPr="00AF3116">
        <w:rPr>
          <w:rtl/>
        </w:rPr>
        <w:t>60</w:t>
      </w:r>
      <w:r w:rsidRPr="001B6C67">
        <w:rPr>
          <w:rtl/>
        </w:rPr>
        <w:t xml:space="preserve"> عاماً.</w:t>
      </w:r>
    </w:p>
    <w:p w14:paraId="40D9DFCA" w14:textId="77777777" w:rsidR="00DE3D9F" w:rsidRPr="00AF3116" w:rsidRDefault="00DE3D9F" w:rsidP="00AD7242">
      <w:pPr>
        <w:pStyle w:val="H23GA"/>
        <w:rPr>
          <w:lang w:val="ar-SA" w:eastAsia="zh-TW" w:bidi="en-GB"/>
        </w:rPr>
      </w:pPr>
      <w:r w:rsidRPr="00AF3116">
        <w:rPr>
          <w:rtl/>
        </w:rPr>
        <w:tab/>
      </w:r>
      <w:r w:rsidRPr="00AF3116">
        <w:rPr>
          <w:rtl/>
        </w:rPr>
        <w:tab/>
        <w:t>اللغات</w:t>
      </w:r>
    </w:p>
    <w:p w14:paraId="016B1304" w14:textId="77777777" w:rsidR="00DE3D9F" w:rsidRPr="001B6C67" w:rsidRDefault="00DE3D9F" w:rsidP="00DE3D9F">
      <w:pPr>
        <w:pStyle w:val="SingleTxtGA"/>
        <w:rPr>
          <w:lang w:val="ar-SA" w:eastAsia="zh-TW" w:bidi="en-GB"/>
        </w:rPr>
      </w:pPr>
      <w:r w:rsidRPr="00AF3116">
        <w:rPr>
          <w:rtl/>
        </w:rPr>
        <w:t>10</w:t>
      </w:r>
      <w:r w:rsidRPr="001B6C67">
        <w:rPr>
          <w:rtl/>
        </w:rPr>
        <w:t>-</w:t>
      </w:r>
      <w:r w:rsidRPr="001B6C67">
        <w:rPr>
          <w:rtl/>
        </w:rPr>
        <w:tab/>
        <w:t>اللغة التايلندية هي اللغة الرسمية في تايلند. وعلى الرغم من أن اللهجة المركزية هي لهجة التحدث المعيارية، فإن لهجات محلية عدة يُتحدَّث بها في مناطق مختلفة. وإلى جانب اللغة التايلندية، تتحدث بعض المجموعات الإثنية لغاتها</w:t>
      </w:r>
      <w:r>
        <w:rPr>
          <w:rtl/>
        </w:rPr>
        <w:t xml:space="preserve"> الخاصة</w:t>
      </w:r>
      <w:r w:rsidRPr="001B6C67">
        <w:rPr>
          <w:rtl/>
        </w:rPr>
        <w:t xml:space="preserve">. فعلى سبيل المثال، يتحدث مسلمو مالايو في </w:t>
      </w:r>
      <w:proofErr w:type="spellStart"/>
      <w:r w:rsidRPr="001B6C67">
        <w:rPr>
          <w:rtl/>
        </w:rPr>
        <w:t>باتاني</w:t>
      </w:r>
      <w:proofErr w:type="spellEnd"/>
      <w:r w:rsidRPr="001B6C67">
        <w:rPr>
          <w:rtl/>
        </w:rPr>
        <w:t xml:space="preserve"> </w:t>
      </w:r>
      <w:proofErr w:type="spellStart"/>
      <w:r w:rsidRPr="001B6C67">
        <w:rPr>
          <w:rtl/>
        </w:rPr>
        <w:t>ويالا</w:t>
      </w:r>
      <w:proofErr w:type="spellEnd"/>
      <w:r w:rsidRPr="001B6C67">
        <w:rPr>
          <w:rtl/>
        </w:rPr>
        <w:t xml:space="preserve"> </w:t>
      </w:r>
      <w:proofErr w:type="spellStart"/>
      <w:r w:rsidRPr="001B6C67">
        <w:rPr>
          <w:rtl/>
        </w:rPr>
        <w:t>ونراثيوات</w:t>
      </w:r>
      <w:proofErr w:type="spellEnd"/>
      <w:r w:rsidRPr="001B6C67">
        <w:rPr>
          <w:rtl/>
        </w:rPr>
        <w:t xml:space="preserve"> لغة مالايو المحلية، في حين تتحدث جماعة كارين الإثنية لغات قبائلها الخاصة، وتتحدث جماعة </w:t>
      </w:r>
      <w:proofErr w:type="spellStart"/>
      <w:r w:rsidRPr="001B6C67">
        <w:rPr>
          <w:rtl/>
        </w:rPr>
        <w:t>همونغ</w:t>
      </w:r>
      <w:proofErr w:type="spellEnd"/>
      <w:r w:rsidRPr="001B6C67">
        <w:rPr>
          <w:rtl/>
        </w:rPr>
        <w:t xml:space="preserve"> الإثنية لغة </w:t>
      </w:r>
      <w:proofErr w:type="spellStart"/>
      <w:r w:rsidRPr="001B6C67">
        <w:rPr>
          <w:rtl/>
        </w:rPr>
        <w:t>الهمونغ</w:t>
      </w:r>
      <w:proofErr w:type="spellEnd"/>
      <w:r w:rsidRPr="001B6C67">
        <w:rPr>
          <w:rtl/>
        </w:rPr>
        <w:t>.</w:t>
      </w:r>
    </w:p>
    <w:p w14:paraId="03C530A3" w14:textId="77777777" w:rsidR="00DE3D9F" w:rsidRPr="00A40237" w:rsidRDefault="00DE3D9F" w:rsidP="00AD7242">
      <w:pPr>
        <w:pStyle w:val="H23GA"/>
        <w:rPr>
          <w:lang w:val="en-US" w:eastAsia="zh-TW" w:bidi="en-GB"/>
        </w:rPr>
      </w:pPr>
      <w:r w:rsidRPr="00AF3116">
        <w:rPr>
          <w:rtl/>
        </w:rPr>
        <w:tab/>
      </w:r>
      <w:r w:rsidRPr="00AF3116">
        <w:rPr>
          <w:rtl/>
        </w:rPr>
        <w:tab/>
        <w:t>الاقتصاد</w:t>
      </w:r>
    </w:p>
    <w:p w14:paraId="3EE788D3" w14:textId="7F6B512E" w:rsidR="00DE3D9F" w:rsidRPr="001B6C67" w:rsidRDefault="00DE3D9F" w:rsidP="00DE3D9F">
      <w:pPr>
        <w:pStyle w:val="SingleTxtGA"/>
        <w:rPr>
          <w:lang w:val="ar-SA" w:eastAsia="zh-TW" w:bidi="en-GB"/>
        </w:rPr>
      </w:pPr>
      <w:r w:rsidRPr="00AF3116">
        <w:rPr>
          <w:rtl/>
        </w:rPr>
        <w:t>11</w:t>
      </w:r>
      <w:r w:rsidRPr="001B6C67">
        <w:rPr>
          <w:rtl/>
        </w:rPr>
        <w:t>-</w:t>
      </w:r>
      <w:r w:rsidRPr="001B6C67">
        <w:rPr>
          <w:rtl/>
        </w:rPr>
        <w:tab/>
        <w:t xml:space="preserve">أصبحت تايلاند دولة متوسطة الدخل </w:t>
      </w:r>
      <w:r>
        <w:rPr>
          <w:rtl/>
        </w:rPr>
        <w:t xml:space="preserve">من الشريحة العليا </w:t>
      </w:r>
      <w:r w:rsidRPr="001B6C67">
        <w:rPr>
          <w:rtl/>
        </w:rPr>
        <w:t xml:space="preserve">منذ عام </w:t>
      </w:r>
      <w:r w:rsidRPr="00AF3116">
        <w:rPr>
          <w:rtl/>
        </w:rPr>
        <w:t>2011</w:t>
      </w:r>
      <w:r w:rsidRPr="001B6C67">
        <w:rPr>
          <w:rtl/>
        </w:rPr>
        <w:t xml:space="preserve">. وبالنسبة لعام </w:t>
      </w:r>
      <w:r w:rsidRPr="00AF3116">
        <w:rPr>
          <w:rtl/>
        </w:rPr>
        <w:t>2019</w:t>
      </w:r>
      <w:r w:rsidRPr="001B6C67">
        <w:rPr>
          <w:rtl/>
        </w:rPr>
        <w:t xml:space="preserve">، بلغت قيمة الناتج المحلي الإجمالي بالأسعار الحالية </w:t>
      </w:r>
      <w:r w:rsidRPr="00AF3116">
        <w:rPr>
          <w:rtl/>
        </w:rPr>
        <w:t>879</w:t>
      </w:r>
      <w:r w:rsidRPr="001B6C67">
        <w:rPr>
          <w:rtl/>
        </w:rPr>
        <w:t xml:space="preserve"> </w:t>
      </w:r>
      <w:r w:rsidRPr="00AF3116">
        <w:rPr>
          <w:rtl/>
        </w:rPr>
        <w:t>16</w:t>
      </w:r>
      <w:r w:rsidRPr="001B6C67">
        <w:rPr>
          <w:rtl/>
        </w:rPr>
        <w:t xml:space="preserve"> مليار بات تايلندي (</w:t>
      </w:r>
      <w:r w:rsidRPr="00AF3116">
        <w:rPr>
          <w:rtl/>
        </w:rPr>
        <w:t>543</w:t>
      </w:r>
      <w:r w:rsidRPr="001B6C67">
        <w:rPr>
          <w:rtl/>
        </w:rPr>
        <w:t>,</w:t>
      </w:r>
      <w:r w:rsidRPr="00AF3116">
        <w:rPr>
          <w:rtl/>
        </w:rPr>
        <w:t>7</w:t>
      </w:r>
      <w:r w:rsidRPr="001B6C67">
        <w:rPr>
          <w:rtl/>
        </w:rPr>
        <w:t xml:space="preserve"> مليار دولار أمريكي). وبلغ نصيب الفرد من الناتج المحلي الإجمالي </w:t>
      </w:r>
      <w:r w:rsidRPr="00AF3116">
        <w:rPr>
          <w:rtl/>
        </w:rPr>
        <w:t>257</w:t>
      </w:r>
      <w:r w:rsidRPr="001B6C67">
        <w:rPr>
          <w:rtl/>
        </w:rPr>
        <w:t>,</w:t>
      </w:r>
      <w:r w:rsidRPr="00AF3116">
        <w:rPr>
          <w:rtl/>
        </w:rPr>
        <w:t>4</w:t>
      </w:r>
      <w:r w:rsidRPr="001B6C67">
        <w:rPr>
          <w:rtl/>
        </w:rPr>
        <w:t xml:space="preserve"> </w:t>
      </w:r>
      <w:r w:rsidRPr="00AF3116">
        <w:rPr>
          <w:rtl/>
        </w:rPr>
        <w:t>248</w:t>
      </w:r>
      <w:r w:rsidRPr="001B6C67">
        <w:rPr>
          <w:rtl/>
        </w:rPr>
        <w:t xml:space="preserve"> بات تايلندي سنوياً (</w:t>
      </w:r>
      <w:r w:rsidRPr="00AF3116">
        <w:rPr>
          <w:rtl/>
        </w:rPr>
        <w:t>996</w:t>
      </w:r>
      <w:r w:rsidRPr="001B6C67">
        <w:rPr>
          <w:rtl/>
        </w:rPr>
        <w:t>,</w:t>
      </w:r>
      <w:r w:rsidRPr="00AF3116">
        <w:rPr>
          <w:rtl/>
        </w:rPr>
        <w:t>2</w:t>
      </w:r>
      <w:r w:rsidRPr="001B6C67">
        <w:rPr>
          <w:rtl/>
        </w:rPr>
        <w:t xml:space="preserve"> </w:t>
      </w:r>
      <w:r w:rsidRPr="00AF3116">
        <w:rPr>
          <w:rtl/>
        </w:rPr>
        <w:t>7</w:t>
      </w:r>
      <w:r w:rsidRPr="001B6C67">
        <w:rPr>
          <w:rtl/>
        </w:rPr>
        <w:t xml:space="preserve"> دولاراً أمريكياً للشخص سنوياً)، وهو ما يزيد عن </w:t>
      </w:r>
      <w:r w:rsidRPr="00AF3116">
        <w:rPr>
          <w:rtl/>
        </w:rPr>
        <w:t>269</w:t>
      </w:r>
      <w:r w:rsidRPr="001B6C67">
        <w:rPr>
          <w:rtl/>
        </w:rPr>
        <w:t>,</w:t>
      </w:r>
      <w:r w:rsidRPr="00AF3116">
        <w:rPr>
          <w:rtl/>
        </w:rPr>
        <w:t>6</w:t>
      </w:r>
      <w:r w:rsidRPr="001B6C67">
        <w:rPr>
          <w:rtl/>
        </w:rPr>
        <w:t xml:space="preserve"> </w:t>
      </w:r>
      <w:r w:rsidRPr="00AF3116">
        <w:rPr>
          <w:rtl/>
        </w:rPr>
        <w:t>241</w:t>
      </w:r>
      <w:r w:rsidRPr="001B6C67">
        <w:rPr>
          <w:rtl/>
        </w:rPr>
        <w:t xml:space="preserve"> بات تايلندي للشخص سنوياً (</w:t>
      </w:r>
      <w:r w:rsidRPr="00AF3116">
        <w:rPr>
          <w:rtl/>
        </w:rPr>
        <w:t>467</w:t>
      </w:r>
      <w:r w:rsidRPr="001B6C67">
        <w:rPr>
          <w:rtl/>
        </w:rPr>
        <w:t>,</w:t>
      </w:r>
      <w:r w:rsidRPr="00AF3116">
        <w:rPr>
          <w:rtl/>
        </w:rPr>
        <w:t>1</w:t>
      </w:r>
      <w:r w:rsidRPr="001B6C67">
        <w:rPr>
          <w:rtl/>
        </w:rPr>
        <w:t xml:space="preserve"> </w:t>
      </w:r>
      <w:r w:rsidRPr="00AF3116">
        <w:rPr>
          <w:rtl/>
        </w:rPr>
        <w:t>7</w:t>
      </w:r>
      <w:r w:rsidRPr="001B6C67">
        <w:rPr>
          <w:rtl/>
        </w:rPr>
        <w:t xml:space="preserve"> دولاراً أمريكياً للشخص سنوياً) في العام السابق. وبلغت نسبة السكان الذين يعيشون تحت خط الفقر </w:t>
      </w:r>
      <w:r w:rsidRPr="001B6C67">
        <w:rPr>
          <w:rtl/>
        </w:rPr>
        <w:lastRenderedPageBreak/>
        <w:t xml:space="preserve">الوطني </w:t>
      </w:r>
      <w:r w:rsidRPr="00AF3116">
        <w:rPr>
          <w:rtl/>
        </w:rPr>
        <w:t>9</w:t>
      </w:r>
      <w:r w:rsidRPr="001B6C67">
        <w:rPr>
          <w:rtl/>
        </w:rPr>
        <w:t>,</w:t>
      </w:r>
      <w:r w:rsidRPr="00AF3116">
        <w:rPr>
          <w:rtl/>
        </w:rPr>
        <w:t>85</w:t>
      </w:r>
      <w:r w:rsidRPr="001B6C67">
        <w:rPr>
          <w:rtl/>
        </w:rPr>
        <w:t xml:space="preserve"> في المائة في عام </w:t>
      </w:r>
      <w:r w:rsidRPr="00AF3116">
        <w:rPr>
          <w:rtl/>
        </w:rPr>
        <w:t>2018</w:t>
      </w:r>
      <w:r w:rsidRPr="001B6C67">
        <w:rPr>
          <w:rtl/>
        </w:rPr>
        <w:t xml:space="preserve"> و</w:t>
      </w:r>
      <w:r w:rsidRPr="00AF3116">
        <w:rPr>
          <w:rtl/>
        </w:rPr>
        <w:t>8</w:t>
      </w:r>
      <w:r w:rsidRPr="001B6C67">
        <w:rPr>
          <w:rtl/>
        </w:rPr>
        <w:t>,</w:t>
      </w:r>
      <w:r w:rsidRPr="00AF3116">
        <w:rPr>
          <w:rtl/>
        </w:rPr>
        <w:t>61</w:t>
      </w:r>
      <w:r w:rsidRPr="001B6C67">
        <w:rPr>
          <w:rtl/>
        </w:rPr>
        <w:t xml:space="preserve"> في المائة في عام </w:t>
      </w:r>
      <w:r w:rsidRPr="00AF3116">
        <w:rPr>
          <w:rtl/>
        </w:rPr>
        <w:t>2019</w:t>
      </w:r>
      <w:r w:rsidRPr="001B6C67">
        <w:rPr>
          <w:rtl/>
        </w:rPr>
        <w:t>، وهو ما يمثل انخفاضاً بنسبة</w:t>
      </w:r>
      <w:r w:rsidR="00AD7242">
        <w:rPr>
          <w:rFonts w:hint="cs"/>
          <w:rtl/>
        </w:rPr>
        <w:t> </w:t>
      </w:r>
      <w:r w:rsidRPr="00AF3116">
        <w:rPr>
          <w:rtl/>
        </w:rPr>
        <w:t>12</w:t>
      </w:r>
      <w:r w:rsidRPr="001B6C67">
        <w:rPr>
          <w:rtl/>
        </w:rPr>
        <w:t>,</w:t>
      </w:r>
      <w:r w:rsidRPr="00AF3116">
        <w:rPr>
          <w:rtl/>
        </w:rPr>
        <w:t>59</w:t>
      </w:r>
      <w:r w:rsidRPr="001B6C67">
        <w:rPr>
          <w:rtl/>
        </w:rPr>
        <w:t xml:space="preserve"> في المائة.</w:t>
      </w:r>
    </w:p>
    <w:p w14:paraId="5378E10C" w14:textId="77777777" w:rsidR="00DE3D9F" w:rsidRPr="001B6C67" w:rsidRDefault="00DE3D9F" w:rsidP="00DE3D9F">
      <w:pPr>
        <w:pStyle w:val="SingleTxtGA"/>
        <w:rPr>
          <w:lang w:val="ar-SA" w:eastAsia="zh-TW" w:bidi="en-GB"/>
        </w:rPr>
      </w:pPr>
      <w:r w:rsidRPr="00AF3116">
        <w:rPr>
          <w:rtl/>
        </w:rPr>
        <w:t>12</w:t>
      </w:r>
      <w:r w:rsidRPr="001B6C67">
        <w:rPr>
          <w:rtl/>
        </w:rPr>
        <w:t>-</w:t>
      </w:r>
      <w:r w:rsidRPr="001B6C67">
        <w:rPr>
          <w:rtl/>
        </w:rPr>
        <w:tab/>
        <w:t xml:space="preserve">وفي عام </w:t>
      </w:r>
      <w:r w:rsidRPr="00AF3116">
        <w:rPr>
          <w:rtl/>
        </w:rPr>
        <w:t>2019</w:t>
      </w:r>
      <w:r w:rsidRPr="001B6C67">
        <w:rPr>
          <w:rtl/>
        </w:rPr>
        <w:t xml:space="preserve">، نما الاقتصاد التايلندي بنسبة </w:t>
      </w:r>
      <w:r w:rsidRPr="00AF3116">
        <w:rPr>
          <w:rtl/>
        </w:rPr>
        <w:t>2</w:t>
      </w:r>
      <w:r w:rsidRPr="001B6C67">
        <w:rPr>
          <w:rtl/>
        </w:rPr>
        <w:t>,</w:t>
      </w:r>
      <w:r w:rsidRPr="00AF3116">
        <w:rPr>
          <w:rtl/>
        </w:rPr>
        <w:t>4</w:t>
      </w:r>
      <w:r w:rsidRPr="001B6C67">
        <w:rPr>
          <w:rtl/>
        </w:rPr>
        <w:t xml:space="preserve"> في المائة، بالمقارنة مع </w:t>
      </w:r>
      <w:r w:rsidRPr="00AF3116">
        <w:rPr>
          <w:rtl/>
        </w:rPr>
        <w:t>4</w:t>
      </w:r>
      <w:r w:rsidRPr="001B6C67">
        <w:rPr>
          <w:rtl/>
        </w:rPr>
        <w:t>,</w:t>
      </w:r>
      <w:r w:rsidRPr="00AF3116">
        <w:rPr>
          <w:rtl/>
        </w:rPr>
        <w:t>2</w:t>
      </w:r>
      <w:r w:rsidRPr="001B6C67">
        <w:rPr>
          <w:rtl/>
        </w:rPr>
        <w:t xml:space="preserve"> في المائة في عام </w:t>
      </w:r>
      <w:r w:rsidRPr="00AF3116">
        <w:rPr>
          <w:rtl/>
        </w:rPr>
        <w:t>2018</w:t>
      </w:r>
      <w:r w:rsidRPr="001B6C67">
        <w:rPr>
          <w:rtl/>
        </w:rPr>
        <w:t xml:space="preserve">. وعلى صعيد الإنفاق، </w:t>
      </w:r>
      <w:r>
        <w:rPr>
          <w:rtl/>
        </w:rPr>
        <w:t>وزاد</w:t>
      </w:r>
      <w:r w:rsidRPr="001B6C67">
        <w:rPr>
          <w:rtl/>
        </w:rPr>
        <w:t xml:space="preserve"> الاستهلاك والاستثمار في القطاع الخاص بنسبة </w:t>
      </w:r>
      <w:r w:rsidRPr="00AF3116">
        <w:rPr>
          <w:rtl/>
        </w:rPr>
        <w:t>4</w:t>
      </w:r>
      <w:r w:rsidRPr="001B6C67">
        <w:rPr>
          <w:rtl/>
        </w:rPr>
        <w:t>,</w:t>
      </w:r>
      <w:r w:rsidRPr="00AF3116">
        <w:rPr>
          <w:rtl/>
        </w:rPr>
        <w:t>5</w:t>
      </w:r>
      <w:r w:rsidRPr="001B6C67">
        <w:rPr>
          <w:rtl/>
        </w:rPr>
        <w:t xml:space="preserve"> في المائة و</w:t>
      </w:r>
      <w:r w:rsidRPr="00AF3116">
        <w:rPr>
          <w:rtl/>
        </w:rPr>
        <w:t>2</w:t>
      </w:r>
      <w:r w:rsidRPr="001B6C67">
        <w:rPr>
          <w:rtl/>
        </w:rPr>
        <w:t>,</w:t>
      </w:r>
      <w:r w:rsidRPr="00AF3116">
        <w:rPr>
          <w:rtl/>
        </w:rPr>
        <w:t>8</w:t>
      </w:r>
      <w:r w:rsidRPr="001B6C67">
        <w:rPr>
          <w:rtl/>
        </w:rPr>
        <w:t xml:space="preserve"> في المائة، </w:t>
      </w:r>
      <w:r>
        <w:rPr>
          <w:rtl/>
        </w:rPr>
        <w:t>ونما</w:t>
      </w:r>
      <w:r w:rsidRPr="001B6C67">
        <w:rPr>
          <w:rtl/>
        </w:rPr>
        <w:t xml:space="preserve"> باستمرار من </w:t>
      </w:r>
      <w:r w:rsidRPr="00AF3116">
        <w:rPr>
          <w:rtl/>
        </w:rPr>
        <w:t>4</w:t>
      </w:r>
      <w:r w:rsidRPr="001B6C67">
        <w:rPr>
          <w:rtl/>
        </w:rPr>
        <w:t>,</w:t>
      </w:r>
      <w:r w:rsidRPr="00AF3116">
        <w:rPr>
          <w:rtl/>
        </w:rPr>
        <w:t>6</w:t>
      </w:r>
      <w:r w:rsidRPr="001B6C67">
        <w:rPr>
          <w:rtl/>
        </w:rPr>
        <w:t xml:space="preserve"> في المائة و</w:t>
      </w:r>
      <w:r w:rsidRPr="00AF3116">
        <w:rPr>
          <w:rtl/>
        </w:rPr>
        <w:t>4</w:t>
      </w:r>
      <w:r w:rsidRPr="001B6C67">
        <w:rPr>
          <w:rtl/>
        </w:rPr>
        <w:t>,</w:t>
      </w:r>
      <w:r w:rsidRPr="00AF3116">
        <w:rPr>
          <w:rtl/>
        </w:rPr>
        <w:t>1</w:t>
      </w:r>
      <w:r w:rsidRPr="001B6C67">
        <w:rPr>
          <w:rtl/>
        </w:rPr>
        <w:t xml:space="preserve"> في المائة في العام السابق، على التوالي. وبالإضافة إلى ذلك، ارتفع الاستهلاك والاستثمار الحكوميين بنسبة </w:t>
      </w:r>
      <w:r w:rsidRPr="00AF3116">
        <w:rPr>
          <w:rtl/>
        </w:rPr>
        <w:t>1</w:t>
      </w:r>
      <w:r w:rsidRPr="001B6C67">
        <w:rPr>
          <w:rtl/>
        </w:rPr>
        <w:t>,</w:t>
      </w:r>
      <w:r w:rsidRPr="00AF3116">
        <w:rPr>
          <w:rtl/>
        </w:rPr>
        <w:t>4</w:t>
      </w:r>
      <w:r w:rsidRPr="001B6C67">
        <w:rPr>
          <w:rtl/>
        </w:rPr>
        <w:t xml:space="preserve"> في المائة و</w:t>
      </w:r>
      <w:r w:rsidRPr="00AF3116">
        <w:rPr>
          <w:rtl/>
        </w:rPr>
        <w:t>0</w:t>
      </w:r>
      <w:r w:rsidRPr="001B6C67">
        <w:rPr>
          <w:rtl/>
        </w:rPr>
        <w:t>,</w:t>
      </w:r>
      <w:r w:rsidRPr="00AF3116">
        <w:rPr>
          <w:rtl/>
        </w:rPr>
        <w:t>2</w:t>
      </w:r>
      <w:r w:rsidRPr="001B6C67">
        <w:rPr>
          <w:rtl/>
        </w:rPr>
        <w:t xml:space="preserve"> في المائة، بالمقارنة مع </w:t>
      </w:r>
      <w:r w:rsidRPr="00AF3116">
        <w:rPr>
          <w:rtl/>
        </w:rPr>
        <w:t>2</w:t>
      </w:r>
      <w:r w:rsidRPr="001B6C67">
        <w:rPr>
          <w:rtl/>
        </w:rPr>
        <w:t>,</w:t>
      </w:r>
      <w:r w:rsidRPr="00AF3116">
        <w:rPr>
          <w:rtl/>
        </w:rPr>
        <w:t>6</w:t>
      </w:r>
      <w:r w:rsidRPr="001B6C67">
        <w:rPr>
          <w:rtl/>
        </w:rPr>
        <w:t xml:space="preserve"> في المائة و</w:t>
      </w:r>
      <w:r w:rsidRPr="00AF3116">
        <w:rPr>
          <w:rtl/>
        </w:rPr>
        <w:t>2</w:t>
      </w:r>
      <w:r w:rsidRPr="001B6C67">
        <w:rPr>
          <w:rtl/>
        </w:rPr>
        <w:t>,</w:t>
      </w:r>
      <w:r w:rsidRPr="00AF3116">
        <w:rPr>
          <w:rtl/>
        </w:rPr>
        <w:t>9</w:t>
      </w:r>
      <w:r w:rsidRPr="001B6C67">
        <w:rPr>
          <w:rtl/>
        </w:rPr>
        <w:t xml:space="preserve"> في المائة في العام السابق، على التوالي. ومع ذلك، انخفضت قيمة الصادرات بنسبة </w:t>
      </w:r>
      <w:r w:rsidRPr="00AF3116">
        <w:rPr>
          <w:rtl/>
        </w:rPr>
        <w:t>3</w:t>
      </w:r>
      <w:r w:rsidRPr="001B6C67">
        <w:rPr>
          <w:rtl/>
        </w:rPr>
        <w:t>,</w:t>
      </w:r>
      <w:r w:rsidRPr="00AF3116">
        <w:rPr>
          <w:rtl/>
        </w:rPr>
        <w:t>2</w:t>
      </w:r>
      <w:r w:rsidRPr="001B6C67">
        <w:rPr>
          <w:rtl/>
        </w:rPr>
        <w:t xml:space="preserve"> في المائة، بالمقارنة مع نمو </w:t>
      </w:r>
      <w:r w:rsidRPr="00AF3116">
        <w:rPr>
          <w:rtl/>
        </w:rPr>
        <w:t>7</w:t>
      </w:r>
      <w:r w:rsidRPr="001B6C67">
        <w:rPr>
          <w:rtl/>
        </w:rPr>
        <w:t>,</w:t>
      </w:r>
      <w:r w:rsidRPr="00AF3116">
        <w:rPr>
          <w:rtl/>
        </w:rPr>
        <w:t>5</w:t>
      </w:r>
      <w:r w:rsidRPr="001B6C67">
        <w:rPr>
          <w:rtl/>
        </w:rPr>
        <w:t xml:space="preserve"> في المائة في العام السابق. </w:t>
      </w:r>
    </w:p>
    <w:p w14:paraId="5F5E7481" w14:textId="1C3719D3" w:rsidR="00DE3D9F" w:rsidRPr="001B6C67" w:rsidRDefault="00DE3D9F" w:rsidP="00DE3D9F">
      <w:pPr>
        <w:pStyle w:val="SingleTxtGA"/>
        <w:rPr>
          <w:lang w:val="ar-SA" w:eastAsia="zh-TW" w:bidi="en-GB"/>
        </w:rPr>
      </w:pPr>
      <w:r w:rsidRPr="00AF3116">
        <w:rPr>
          <w:rtl/>
        </w:rPr>
        <w:t>13</w:t>
      </w:r>
      <w:r w:rsidRPr="001B6C67">
        <w:rPr>
          <w:rtl/>
        </w:rPr>
        <w:t>-</w:t>
      </w:r>
      <w:r w:rsidRPr="001B6C67">
        <w:rPr>
          <w:rtl/>
        </w:rPr>
        <w:tab/>
        <w:t>وعلى صعيد الإنتاج، كان</w:t>
      </w:r>
      <w:r>
        <w:rPr>
          <w:rtl/>
        </w:rPr>
        <w:t>ت</w:t>
      </w:r>
      <w:r w:rsidRPr="001B6C67">
        <w:rPr>
          <w:rtl/>
        </w:rPr>
        <w:t xml:space="preserve"> القطاعا</w:t>
      </w:r>
      <w:r>
        <w:rPr>
          <w:rtl/>
        </w:rPr>
        <w:t>ت</w:t>
      </w:r>
      <w:r w:rsidRPr="001B6C67">
        <w:rPr>
          <w:rtl/>
        </w:rPr>
        <w:t xml:space="preserve"> الزراعي</w:t>
      </w:r>
      <w:r>
        <w:rPr>
          <w:rtl/>
        </w:rPr>
        <w:t>ة</w:t>
      </w:r>
      <w:r w:rsidRPr="001B6C67">
        <w:rPr>
          <w:rtl/>
        </w:rPr>
        <w:t xml:space="preserve"> وغير الزراعي</w:t>
      </w:r>
      <w:r>
        <w:rPr>
          <w:rtl/>
        </w:rPr>
        <w:t>ة</w:t>
      </w:r>
      <w:r w:rsidRPr="001B6C67">
        <w:rPr>
          <w:rtl/>
        </w:rPr>
        <w:t xml:space="preserve"> </w:t>
      </w:r>
      <w:r>
        <w:rPr>
          <w:rtl/>
        </w:rPr>
        <w:t>تمثل</w:t>
      </w:r>
      <w:r w:rsidRPr="001B6C67">
        <w:rPr>
          <w:rtl/>
        </w:rPr>
        <w:t xml:space="preserve"> </w:t>
      </w:r>
      <w:r w:rsidRPr="00AF3116">
        <w:rPr>
          <w:rtl/>
        </w:rPr>
        <w:t>6</w:t>
      </w:r>
      <w:r w:rsidRPr="001B6C67">
        <w:rPr>
          <w:rtl/>
        </w:rPr>
        <w:t>,</w:t>
      </w:r>
      <w:r w:rsidRPr="00AF3116">
        <w:rPr>
          <w:rtl/>
        </w:rPr>
        <w:t>16</w:t>
      </w:r>
      <w:r w:rsidRPr="001B6C67">
        <w:rPr>
          <w:rtl/>
        </w:rPr>
        <w:t xml:space="preserve"> في المائة و</w:t>
      </w:r>
      <w:r w:rsidRPr="00AF3116">
        <w:rPr>
          <w:rtl/>
        </w:rPr>
        <w:t>93</w:t>
      </w:r>
      <w:r w:rsidRPr="001B6C67">
        <w:rPr>
          <w:rtl/>
        </w:rPr>
        <w:t>,</w:t>
      </w:r>
      <w:r w:rsidRPr="00AF3116">
        <w:rPr>
          <w:rtl/>
        </w:rPr>
        <w:t>84</w:t>
      </w:r>
      <w:r w:rsidRPr="001B6C67">
        <w:rPr>
          <w:rtl/>
        </w:rPr>
        <w:t xml:space="preserve"> في المائة من الناتج المحلي الإجمالي، على التوالي. ونما الإنتاج الزراعي، والإنتاج الحرجي وقطاع</w:t>
      </w:r>
      <w:r w:rsidR="00AD7242">
        <w:rPr>
          <w:rFonts w:hint="cs"/>
          <w:rtl/>
        </w:rPr>
        <w:t> </w:t>
      </w:r>
      <w:r w:rsidRPr="001B6C67">
        <w:rPr>
          <w:rtl/>
        </w:rPr>
        <w:t xml:space="preserve">مصايد الأسماك، وقطاع السكن وأنشطة الخدمات الغذائية، وتجارة الجملة والتجزئة؛ وقطاع إصلاح السيارات والدراجات النارية، وقطاع النقل والتخزين بنسبة </w:t>
      </w:r>
      <w:r w:rsidRPr="00AF3116">
        <w:rPr>
          <w:rtl/>
        </w:rPr>
        <w:t>0</w:t>
      </w:r>
      <w:r w:rsidRPr="001B6C67">
        <w:rPr>
          <w:rtl/>
        </w:rPr>
        <w:t>,</w:t>
      </w:r>
      <w:r w:rsidRPr="00AF3116">
        <w:rPr>
          <w:rtl/>
        </w:rPr>
        <w:t>1</w:t>
      </w:r>
      <w:r w:rsidRPr="001B6C67">
        <w:rPr>
          <w:rtl/>
        </w:rPr>
        <w:t xml:space="preserve"> في المائة، و</w:t>
      </w:r>
      <w:r w:rsidRPr="00AF3116">
        <w:rPr>
          <w:rtl/>
        </w:rPr>
        <w:t>5</w:t>
      </w:r>
      <w:r w:rsidRPr="001B6C67">
        <w:rPr>
          <w:rtl/>
        </w:rPr>
        <w:t>,</w:t>
      </w:r>
      <w:r w:rsidRPr="00AF3116">
        <w:rPr>
          <w:rtl/>
        </w:rPr>
        <w:t>5</w:t>
      </w:r>
      <w:r w:rsidRPr="001B6C67">
        <w:rPr>
          <w:rtl/>
        </w:rPr>
        <w:t xml:space="preserve"> في المائة، و</w:t>
      </w:r>
      <w:r w:rsidRPr="00AF3116">
        <w:rPr>
          <w:rtl/>
        </w:rPr>
        <w:t>5</w:t>
      </w:r>
      <w:r w:rsidRPr="001B6C67">
        <w:rPr>
          <w:rtl/>
        </w:rPr>
        <w:t>,</w:t>
      </w:r>
      <w:r w:rsidRPr="00AF3116">
        <w:rPr>
          <w:rtl/>
        </w:rPr>
        <w:t>7</w:t>
      </w:r>
      <w:r w:rsidRPr="001B6C67">
        <w:rPr>
          <w:rtl/>
        </w:rPr>
        <w:t xml:space="preserve"> في المائة، و</w:t>
      </w:r>
      <w:r w:rsidRPr="00AF3116">
        <w:rPr>
          <w:rtl/>
        </w:rPr>
        <w:t>3</w:t>
      </w:r>
      <w:r w:rsidRPr="001B6C67">
        <w:rPr>
          <w:rtl/>
        </w:rPr>
        <w:t>,</w:t>
      </w:r>
      <w:r w:rsidRPr="00AF3116">
        <w:rPr>
          <w:rtl/>
        </w:rPr>
        <w:t>4</w:t>
      </w:r>
      <w:r w:rsidRPr="001B6C67">
        <w:rPr>
          <w:rtl/>
        </w:rPr>
        <w:t xml:space="preserve"> في المائة، مما يمثل تباطؤاً بالمقارنة مع </w:t>
      </w:r>
      <w:r w:rsidRPr="00AF3116">
        <w:rPr>
          <w:rtl/>
        </w:rPr>
        <w:t>5</w:t>
      </w:r>
      <w:r w:rsidRPr="001B6C67">
        <w:rPr>
          <w:rtl/>
        </w:rPr>
        <w:t>,</w:t>
      </w:r>
      <w:r w:rsidRPr="00AF3116">
        <w:rPr>
          <w:rtl/>
        </w:rPr>
        <w:t>5</w:t>
      </w:r>
      <w:r w:rsidRPr="001B6C67">
        <w:rPr>
          <w:rtl/>
        </w:rPr>
        <w:t xml:space="preserve"> في المائة و</w:t>
      </w:r>
      <w:r w:rsidRPr="00AF3116">
        <w:rPr>
          <w:rtl/>
        </w:rPr>
        <w:t>7</w:t>
      </w:r>
      <w:r w:rsidRPr="001B6C67">
        <w:rPr>
          <w:rtl/>
        </w:rPr>
        <w:t>,</w:t>
      </w:r>
      <w:r w:rsidRPr="00AF3116">
        <w:rPr>
          <w:rtl/>
        </w:rPr>
        <w:t>6</w:t>
      </w:r>
      <w:r w:rsidRPr="001B6C67">
        <w:rPr>
          <w:rtl/>
        </w:rPr>
        <w:t xml:space="preserve"> في المائة و</w:t>
      </w:r>
      <w:r w:rsidRPr="00AF3116">
        <w:rPr>
          <w:rtl/>
        </w:rPr>
        <w:t>6</w:t>
      </w:r>
      <w:r w:rsidRPr="001B6C67">
        <w:rPr>
          <w:rtl/>
        </w:rPr>
        <w:t>,</w:t>
      </w:r>
      <w:r w:rsidRPr="00AF3116">
        <w:rPr>
          <w:rtl/>
        </w:rPr>
        <w:t>6</w:t>
      </w:r>
      <w:r w:rsidRPr="001B6C67">
        <w:rPr>
          <w:rtl/>
        </w:rPr>
        <w:t xml:space="preserve"> في المائة و</w:t>
      </w:r>
      <w:r w:rsidRPr="00AF3116">
        <w:rPr>
          <w:rtl/>
        </w:rPr>
        <w:t>4</w:t>
      </w:r>
      <w:r w:rsidRPr="001B6C67">
        <w:rPr>
          <w:rtl/>
        </w:rPr>
        <w:t>,</w:t>
      </w:r>
      <w:r w:rsidRPr="00AF3116">
        <w:rPr>
          <w:rtl/>
        </w:rPr>
        <w:t>4</w:t>
      </w:r>
      <w:r w:rsidRPr="001B6C67">
        <w:rPr>
          <w:rtl/>
        </w:rPr>
        <w:t xml:space="preserve"> في المائة في العام السابق، على التوالي. وتراجع قطاع الصناعات التحويلية بنسبة </w:t>
      </w:r>
      <w:r w:rsidRPr="00AF3116">
        <w:rPr>
          <w:rtl/>
        </w:rPr>
        <w:t>0</w:t>
      </w:r>
      <w:r w:rsidRPr="001B6C67">
        <w:rPr>
          <w:rtl/>
        </w:rPr>
        <w:t>,</w:t>
      </w:r>
      <w:r w:rsidRPr="00AF3116">
        <w:rPr>
          <w:rtl/>
        </w:rPr>
        <w:t>7</w:t>
      </w:r>
      <w:r w:rsidRPr="001B6C67">
        <w:rPr>
          <w:rtl/>
        </w:rPr>
        <w:t xml:space="preserve"> في المائة، بالمقارنة مع نمو بلغ </w:t>
      </w:r>
      <w:r w:rsidRPr="00AF3116">
        <w:rPr>
          <w:rtl/>
        </w:rPr>
        <w:t>3</w:t>
      </w:r>
      <w:r w:rsidRPr="001B6C67">
        <w:rPr>
          <w:rtl/>
        </w:rPr>
        <w:t>,</w:t>
      </w:r>
      <w:r w:rsidRPr="00AF3116">
        <w:rPr>
          <w:rtl/>
        </w:rPr>
        <w:t>2</w:t>
      </w:r>
      <w:r w:rsidRPr="001B6C67">
        <w:rPr>
          <w:rtl/>
        </w:rPr>
        <w:t xml:space="preserve"> في المائة في عام </w:t>
      </w:r>
      <w:r w:rsidRPr="00AF3116">
        <w:rPr>
          <w:rtl/>
        </w:rPr>
        <w:t>2018</w:t>
      </w:r>
      <w:r w:rsidRPr="001B6C67">
        <w:rPr>
          <w:rtl/>
        </w:rPr>
        <w:t xml:space="preserve">. </w:t>
      </w:r>
    </w:p>
    <w:p w14:paraId="45A86F53" w14:textId="77777777" w:rsidR="00DE3D9F" w:rsidRPr="001B6C67" w:rsidRDefault="00DE3D9F" w:rsidP="00DE3D9F">
      <w:pPr>
        <w:pStyle w:val="SingleTxtGA"/>
        <w:rPr>
          <w:lang w:val="ar-SA" w:eastAsia="zh-TW" w:bidi="en-GB"/>
        </w:rPr>
      </w:pPr>
      <w:r w:rsidRPr="00AF3116">
        <w:rPr>
          <w:rtl/>
        </w:rPr>
        <w:t>14</w:t>
      </w:r>
      <w:r w:rsidRPr="001B6C67">
        <w:rPr>
          <w:rtl/>
        </w:rPr>
        <w:t>-</w:t>
      </w:r>
      <w:r w:rsidRPr="001B6C67">
        <w:rPr>
          <w:rtl/>
        </w:rPr>
        <w:tab/>
      </w:r>
      <w:r>
        <w:rPr>
          <w:rtl/>
        </w:rPr>
        <w:t>و</w:t>
      </w:r>
      <w:r w:rsidRPr="001B6C67">
        <w:rPr>
          <w:rtl/>
        </w:rPr>
        <w:t xml:space="preserve">تم تحديد إجمالي الميزانية الوطنية لعام </w:t>
      </w:r>
      <w:r w:rsidRPr="00AF3116">
        <w:rPr>
          <w:rtl/>
        </w:rPr>
        <w:t>2019</w:t>
      </w:r>
      <w:r w:rsidRPr="001B6C67">
        <w:rPr>
          <w:rtl/>
        </w:rPr>
        <w:t xml:space="preserve"> بمبلغ </w:t>
      </w:r>
      <w:r w:rsidRPr="00AF3116">
        <w:rPr>
          <w:rtl/>
        </w:rPr>
        <w:t>3</w:t>
      </w:r>
      <w:r w:rsidRPr="001B6C67">
        <w:rPr>
          <w:rtl/>
        </w:rPr>
        <w:t>,</w:t>
      </w:r>
      <w:r w:rsidRPr="00AF3116">
        <w:rPr>
          <w:rtl/>
        </w:rPr>
        <w:t>0</w:t>
      </w:r>
      <w:r w:rsidRPr="001B6C67">
        <w:rPr>
          <w:rtl/>
        </w:rPr>
        <w:t xml:space="preserve"> تريليون بات تايلندي، وهو ما يمثل زيادة بنسبة </w:t>
      </w:r>
      <w:r w:rsidRPr="00AF3116">
        <w:rPr>
          <w:rtl/>
        </w:rPr>
        <w:t>1</w:t>
      </w:r>
      <w:r w:rsidRPr="001B6C67">
        <w:rPr>
          <w:rtl/>
        </w:rPr>
        <w:t xml:space="preserve"> في المائة بالمقارنة مع ميزانية عام </w:t>
      </w:r>
      <w:r w:rsidRPr="00AF3116">
        <w:rPr>
          <w:rtl/>
        </w:rPr>
        <w:t>2018</w:t>
      </w:r>
      <w:r w:rsidRPr="001B6C67">
        <w:rPr>
          <w:rtl/>
        </w:rPr>
        <w:t xml:space="preserve">. </w:t>
      </w:r>
    </w:p>
    <w:p w14:paraId="69C3A3A8" w14:textId="77777777" w:rsidR="00DE3D9F" w:rsidRPr="001B6C67" w:rsidRDefault="00DE3D9F" w:rsidP="00DE3D9F">
      <w:pPr>
        <w:pStyle w:val="SingleTxtGA"/>
        <w:rPr>
          <w:lang w:val="ar-SA" w:eastAsia="zh-TW" w:bidi="en-GB"/>
        </w:rPr>
      </w:pPr>
      <w:r w:rsidRPr="00AF3116">
        <w:rPr>
          <w:rtl/>
        </w:rPr>
        <w:t>15</w:t>
      </w:r>
      <w:r w:rsidRPr="001B6C67">
        <w:rPr>
          <w:rtl/>
        </w:rPr>
        <w:t>-</w:t>
      </w:r>
      <w:r w:rsidRPr="001B6C67">
        <w:rPr>
          <w:rtl/>
        </w:rPr>
        <w:tab/>
        <w:t xml:space="preserve">وبشكل عام، ظل الاستقرار الاقتصادي </w:t>
      </w:r>
      <w:proofErr w:type="spellStart"/>
      <w:r w:rsidRPr="001B6C67">
        <w:rPr>
          <w:rtl/>
        </w:rPr>
        <w:t>مواتياً</w:t>
      </w:r>
      <w:proofErr w:type="spellEnd"/>
      <w:r w:rsidRPr="001B6C67">
        <w:rPr>
          <w:rtl/>
        </w:rPr>
        <w:t xml:space="preserve">. وبلغ معدل التضخم الرئيسي </w:t>
      </w:r>
      <w:r w:rsidRPr="00AF3116">
        <w:rPr>
          <w:rtl/>
        </w:rPr>
        <w:t>0</w:t>
      </w:r>
      <w:r w:rsidRPr="001B6C67">
        <w:rPr>
          <w:rtl/>
        </w:rPr>
        <w:t>,</w:t>
      </w:r>
      <w:r w:rsidRPr="00AF3116">
        <w:rPr>
          <w:rtl/>
        </w:rPr>
        <w:t>7</w:t>
      </w:r>
      <w:r w:rsidRPr="001B6C67">
        <w:rPr>
          <w:rtl/>
        </w:rPr>
        <w:t xml:space="preserve"> في المائة وسجل الحساب الجاري فائضاً بنسبة </w:t>
      </w:r>
      <w:r w:rsidRPr="00AF3116">
        <w:rPr>
          <w:rtl/>
        </w:rPr>
        <w:t>6</w:t>
      </w:r>
      <w:r w:rsidRPr="001B6C67">
        <w:rPr>
          <w:rtl/>
        </w:rPr>
        <w:t>,</w:t>
      </w:r>
      <w:r w:rsidRPr="00AF3116">
        <w:rPr>
          <w:rtl/>
        </w:rPr>
        <w:t>8</w:t>
      </w:r>
      <w:r w:rsidRPr="001B6C67">
        <w:rPr>
          <w:rtl/>
        </w:rPr>
        <w:t xml:space="preserve"> في المائة من الناتج المحلي الإجمالي.</w:t>
      </w:r>
    </w:p>
    <w:tbl>
      <w:tblPr>
        <w:bidiVisual/>
        <w:tblW w:w="7370" w:type="dxa"/>
        <w:tblInd w:w="125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432"/>
        <w:gridCol w:w="1131"/>
        <w:gridCol w:w="1075"/>
        <w:gridCol w:w="812"/>
        <w:gridCol w:w="1022"/>
        <w:gridCol w:w="898"/>
      </w:tblGrid>
      <w:tr w:rsidR="00DE3D9F" w:rsidRPr="00E90634" w14:paraId="2C879E9C" w14:textId="77777777" w:rsidTr="003B756C">
        <w:trPr>
          <w:tblHeader/>
        </w:trPr>
        <w:tc>
          <w:tcPr>
            <w:tcW w:w="2432" w:type="dxa"/>
            <w:tcBorders>
              <w:top w:val="single" w:sz="4" w:space="0" w:color="auto"/>
              <w:bottom w:val="single" w:sz="12" w:space="0" w:color="auto"/>
            </w:tcBorders>
            <w:shd w:val="clear" w:color="auto" w:fill="auto"/>
            <w:vAlign w:val="bottom"/>
          </w:tcPr>
          <w:p w14:paraId="116A6270" w14:textId="77777777" w:rsidR="00DE3D9F" w:rsidRPr="00E90634" w:rsidRDefault="00DE3D9F" w:rsidP="003B756C">
            <w:pPr>
              <w:spacing w:before="40" w:after="40" w:line="360" w:lineRule="exact"/>
              <w:ind w:left="57" w:right="57"/>
              <w:jc w:val="left"/>
              <w:textDirection w:val="tbRlV"/>
              <w:rPr>
                <w:rFonts w:ascii="Simplified Arabic" w:hAnsi="Simplified Arabic"/>
                <w:i/>
                <w:szCs w:val="20"/>
                <w:lang w:eastAsia="zh-TW" w:bidi="en-GB"/>
              </w:rPr>
            </w:pPr>
            <w:r w:rsidRPr="00AF3116">
              <w:rPr>
                <w:rFonts w:ascii="Simplified Arabic" w:hAnsi="Simplified Arabic"/>
                <w:i/>
                <w:iCs/>
                <w:szCs w:val="20"/>
                <w:rtl/>
              </w:rPr>
              <w:t>نصيب الفرد من الدخل</w:t>
            </w:r>
          </w:p>
        </w:tc>
        <w:tc>
          <w:tcPr>
            <w:tcW w:w="4938" w:type="dxa"/>
            <w:gridSpan w:val="5"/>
            <w:tcBorders>
              <w:top w:val="single" w:sz="4" w:space="0" w:color="auto"/>
              <w:bottom w:val="single" w:sz="12" w:space="0" w:color="auto"/>
            </w:tcBorders>
            <w:shd w:val="clear" w:color="auto" w:fill="auto"/>
            <w:vAlign w:val="bottom"/>
          </w:tcPr>
          <w:p w14:paraId="394F2693" w14:textId="3538499E" w:rsidR="00DE3D9F" w:rsidRPr="00AF3116" w:rsidRDefault="00DE3D9F" w:rsidP="003B756C">
            <w:pPr>
              <w:spacing w:before="40" w:after="40" w:line="360" w:lineRule="exact"/>
              <w:ind w:left="57" w:right="57"/>
              <w:jc w:val="right"/>
              <w:textDirection w:val="tbRlV"/>
              <w:rPr>
                <w:rFonts w:ascii="Simplified Arabic" w:hAnsi="Simplified Arabic"/>
                <w:i/>
                <w:szCs w:val="20"/>
                <w:rtl/>
                <w:lang w:val="ar-SA" w:eastAsia="zh-TW"/>
              </w:rPr>
            </w:pPr>
            <w:r w:rsidRPr="00AF3116">
              <w:rPr>
                <w:rFonts w:ascii="Simplified Arabic" w:hAnsi="Simplified Arabic"/>
                <w:i/>
                <w:iCs/>
                <w:szCs w:val="20"/>
                <w:rtl/>
              </w:rPr>
              <w:t>615,24 4 دولار أمريكي (147,088 بات تايلندي)</w:t>
            </w:r>
            <w:r w:rsidR="00E90634" w:rsidRPr="00AF3116">
              <w:rPr>
                <w:rFonts w:ascii="Simplified Arabic" w:hAnsi="Simplified Arabic" w:hint="cs"/>
                <w:szCs w:val="20"/>
                <w:vertAlign w:val="superscript"/>
                <w:rtl/>
              </w:rPr>
              <w:t>(</w:t>
            </w:r>
            <w:r w:rsidRPr="00AF3116">
              <w:rPr>
                <w:rStyle w:val="FootnoteReference"/>
                <w:rFonts w:ascii="Simplified Arabic" w:hAnsi="Simplified Arabic"/>
                <w:szCs w:val="20"/>
              </w:rPr>
              <w:footnoteReference w:id="3"/>
            </w:r>
            <w:r w:rsidR="00E90634" w:rsidRPr="00AF3116">
              <w:rPr>
                <w:rFonts w:ascii="Simplified Arabic" w:hAnsi="Simplified Arabic" w:hint="cs"/>
                <w:szCs w:val="20"/>
                <w:vertAlign w:val="superscript"/>
                <w:rtl/>
              </w:rPr>
              <w:t>)</w:t>
            </w:r>
          </w:p>
        </w:tc>
      </w:tr>
      <w:tr w:rsidR="00DE3D9F" w:rsidRPr="00E90634" w14:paraId="31A88ACC" w14:textId="77777777" w:rsidTr="003B756C">
        <w:tc>
          <w:tcPr>
            <w:tcW w:w="2432" w:type="dxa"/>
            <w:tcBorders>
              <w:top w:val="single" w:sz="12" w:space="0" w:color="auto"/>
            </w:tcBorders>
            <w:shd w:val="clear" w:color="auto" w:fill="auto"/>
          </w:tcPr>
          <w:p w14:paraId="69DC8BE7" w14:textId="77777777" w:rsidR="00DE3D9F" w:rsidRPr="00E90634" w:rsidRDefault="00DE3D9F" w:rsidP="003B756C">
            <w:pPr>
              <w:spacing w:before="40" w:after="40" w:line="360" w:lineRule="exact"/>
              <w:ind w:left="57" w:right="57"/>
              <w:jc w:val="left"/>
              <w:textDirection w:val="tbRlV"/>
              <w:rPr>
                <w:rFonts w:ascii="Simplified Arabic" w:hAnsi="Simplified Arabic"/>
                <w:szCs w:val="20"/>
                <w:lang w:val="ar-SA" w:eastAsia="zh-TW" w:bidi="en-GB"/>
              </w:rPr>
            </w:pPr>
            <w:r w:rsidRPr="00E90634">
              <w:rPr>
                <w:rFonts w:ascii="Simplified Arabic" w:hAnsi="Simplified Arabic"/>
                <w:szCs w:val="20"/>
                <w:rtl/>
              </w:rPr>
              <w:t>الناتج المحلي الإجمالي بالملايين</w:t>
            </w:r>
          </w:p>
        </w:tc>
        <w:tc>
          <w:tcPr>
            <w:tcW w:w="4938" w:type="dxa"/>
            <w:gridSpan w:val="5"/>
            <w:tcBorders>
              <w:top w:val="single" w:sz="12" w:space="0" w:color="auto"/>
            </w:tcBorders>
            <w:shd w:val="clear" w:color="auto" w:fill="auto"/>
            <w:vAlign w:val="bottom"/>
          </w:tcPr>
          <w:p w14:paraId="4CF016D3" w14:textId="77777777" w:rsidR="00DE3D9F" w:rsidRPr="00E90634" w:rsidRDefault="00DE3D9F" w:rsidP="003B756C">
            <w:pPr>
              <w:spacing w:before="40" w:after="40" w:line="360" w:lineRule="exact"/>
              <w:ind w:left="57" w:right="57"/>
              <w:jc w:val="left"/>
              <w:textDirection w:val="tbRlV"/>
              <w:rPr>
                <w:rFonts w:ascii="Simplified Arabic" w:hAnsi="Simplified Arabic"/>
                <w:szCs w:val="20"/>
                <w:lang w:val="ar-SA" w:eastAsia="zh-TW" w:bidi="en-GB"/>
              </w:rPr>
            </w:pPr>
            <w:r w:rsidRPr="00AF3116">
              <w:rPr>
                <w:rFonts w:ascii="Simplified Arabic" w:hAnsi="Simplified Arabic"/>
                <w:szCs w:val="20"/>
                <w:rtl/>
              </w:rPr>
              <w:t>701</w:t>
            </w:r>
            <w:r w:rsidRPr="00E90634">
              <w:rPr>
                <w:rFonts w:ascii="Simplified Arabic" w:hAnsi="Simplified Arabic"/>
                <w:szCs w:val="20"/>
                <w:rtl/>
              </w:rPr>
              <w:t>,</w:t>
            </w:r>
            <w:r w:rsidRPr="00AF3116">
              <w:rPr>
                <w:rFonts w:ascii="Simplified Arabic" w:hAnsi="Simplified Arabic"/>
                <w:szCs w:val="20"/>
                <w:rtl/>
              </w:rPr>
              <w:t>53</w:t>
            </w:r>
            <w:r w:rsidRPr="00E90634">
              <w:rPr>
                <w:rFonts w:ascii="Simplified Arabic" w:hAnsi="Simplified Arabic"/>
                <w:szCs w:val="20"/>
                <w:rtl/>
              </w:rPr>
              <w:t xml:space="preserve"> </w:t>
            </w:r>
            <w:r w:rsidRPr="00AF3116">
              <w:rPr>
                <w:rFonts w:ascii="Simplified Arabic" w:hAnsi="Simplified Arabic"/>
                <w:szCs w:val="20"/>
                <w:rtl/>
              </w:rPr>
              <w:t>313</w:t>
            </w:r>
            <w:r w:rsidRPr="00E90634">
              <w:rPr>
                <w:rFonts w:ascii="Simplified Arabic" w:hAnsi="Simplified Arabic"/>
                <w:szCs w:val="20"/>
                <w:rtl/>
              </w:rPr>
              <w:t xml:space="preserve"> دولار أمريكي (</w:t>
            </w:r>
            <w:r w:rsidRPr="00AF3116">
              <w:rPr>
                <w:rFonts w:ascii="Simplified Arabic" w:hAnsi="Simplified Arabic"/>
                <w:szCs w:val="20"/>
                <w:rtl/>
              </w:rPr>
              <w:t>668</w:t>
            </w:r>
            <w:r w:rsidRPr="00E90634">
              <w:rPr>
                <w:rFonts w:ascii="Simplified Arabic" w:hAnsi="Simplified Arabic"/>
                <w:szCs w:val="20"/>
                <w:rtl/>
              </w:rPr>
              <w:t xml:space="preserve"> </w:t>
            </w:r>
            <w:r w:rsidRPr="00AF3116">
              <w:rPr>
                <w:rFonts w:ascii="Simplified Arabic" w:hAnsi="Simplified Arabic"/>
                <w:szCs w:val="20"/>
                <w:rtl/>
              </w:rPr>
              <w:t>997</w:t>
            </w:r>
            <w:r w:rsidRPr="00E90634">
              <w:rPr>
                <w:rFonts w:ascii="Simplified Arabic" w:hAnsi="Simplified Arabic"/>
                <w:szCs w:val="20"/>
                <w:rtl/>
              </w:rPr>
              <w:t xml:space="preserve"> </w:t>
            </w:r>
            <w:r w:rsidRPr="00AF3116">
              <w:rPr>
                <w:rFonts w:ascii="Simplified Arabic" w:hAnsi="Simplified Arabic"/>
                <w:szCs w:val="20"/>
                <w:rtl/>
              </w:rPr>
              <w:t>9</w:t>
            </w:r>
            <w:r w:rsidRPr="00E90634">
              <w:rPr>
                <w:rFonts w:ascii="Simplified Arabic" w:hAnsi="Simplified Arabic"/>
                <w:szCs w:val="20"/>
                <w:rtl/>
              </w:rPr>
              <w:t xml:space="preserve"> باتاً تايلندياً)</w:t>
            </w:r>
          </w:p>
        </w:tc>
      </w:tr>
      <w:tr w:rsidR="00DE3D9F" w:rsidRPr="00E90634" w14:paraId="7AACE302" w14:textId="77777777" w:rsidTr="003B756C">
        <w:tc>
          <w:tcPr>
            <w:tcW w:w="2432" w:type="dxa"/>
            <w:shd w:val="clear" w:color="auto" w:fill="auto"/>
          </w:tcPr>
          <w:p w14:paraId="29E18E66" w14:textId="77777777" w:rsidR="00DE3D9F" w:rsidRPr="003B756C" w:rsidRDefault="00DE3D9F" w:rsidP="003B756C">
            <w:pPr>
              <w:spacing w:before="40" w:after="40" w:line="360" w:lineRule="exact"/>
              <w:ind w:left="57" w:right="57"/>
              <w:jc w:val="left"/>
              <w:textDirection w:val="tbRlV"/>
              <w:rPr>
                <w:rFonts w:ascii="Simplified Arabic" w:hAnsi="Simplified Arabic"/>
                <w:szCs w:val="20"/>
                <w:lang w:eastAsia="zh-TW" w:bidi="en-GB"/>
              </w:rPr>
            </w:pPr>
            <w:r w:rsidRPr="00E90634">
              <w:rPr>
                <w:rFonts w:ascii="Simplified Arabic" w:hAnsi="Simplified Arabic"/>
                <w:szCs w:val="20"/>
                <w:rtl/>
              </w:rPr>
              <w:t>معدل النمو السنوي</w:t>
            </w:r>
          </w:p>
        </w:tc>
        <w:tc>
          <w:tcPr>
            <w:tcW w:w="4938" w:type="dxa"/>
            <w:gridSpan w:val="5"/>
            <w:shd w:val="clear" w:color="auto" w:fill="auto"/>
            <w:vAlign w:val="bottom"/>
          </w:tcPr>
          <w:p w14:paraId="4D20B42C" w14:textId="77777777" w:rsidR="00DE3D9F" w:rsidRPr="00E90634" w:rsidRDefault="00DE3D9F" w:rsidP="003B756C">
            <w:pPr>
              <w:spacing w:before="40" w:after="40" w:line="360" w:lineRule="exact"/>
              <w:ind w:left="57" w:right="57"/>
              <w:jc w:val="right"/>
              <w:textDirection w:val="tbRlV"/>
              <w:rPr>
                <w:rFonts w:ascii="Simplified Arabic" w:hAnsi="Simplified Arabic"/>
                <w:szCs w:val="20"/>
                <w:lang w:eastAsia="zh-TW" w:bidi="en-GB"/>
              </w:rPr>
            </w:pPr>
            <w:r w:rsidRPr="00AF3116">
              <w:rPr>
                <w:rFonts w:ascii="Simplified Arabic" w:hAnsi="Simplified Arabic"/>
                <w:szCs w:val="20"/>
              </w:rPr>
              <w:t>3</w:t>
            </w:r>
            <w:r w:rsidRPr="00E90634">
              <w:rPr>
                <w:rFonts w:ascii="Simplified Arabic" w:hAnsi="Simplified Arabic"/>
                <w:szCs w:val="20"/>
              </w:rPr>
              <w:t>,</w:t>
            </w:r>
            <w:r w:rsidRPr="00AF3116">
              <w:rPr>
                <w:rFonts w:ascii="Simplified Arabic" w:hAnsi="Simplified Arabic"/>
                <w:szCs w:val="20"/>
              </w:rPr>
              <w:t>3</w:t>
            </w:r>
            <w:r w:rsidRPr="00E90634">
              <w:rPr>
                <w:rFonts w:ascii="Simplified Arabic" w:hAnsi="Simplified Arabic"/>
                <w:szCs w:val="20"/>
              </w:rPr>
              <w:t> %</w:t>
            </w:r>
          </w:p>
        </w:tc>
      </w:tr>
      <w:tr w:rsidR="00DE3D9F" w:rsidRPr="00E90634" w14:paraId="28002427" w14:textId="77777777" w:rsidTr="003B756C">
        <w:tc>
          <w:tcPr>
            <w:tcW w:w="2432" w:type="dxa"/>
            <w:shd w:val="clear" w:color="auto" w:fill="auto"/>
          </w:tcPr>
          <w:p w14:paraId="558DBA90" w14:textId="77777777" w:rsidR="00DE3D9F" w:rsidRPr="00E90634" w:rsidRDefault="00DE3D9F" w:rsidP="003B756C">
            <w:pPr>
              <w:spacing w:before="40" w:after="40" w:line="360" w:lineRule="exact"/>
              <w:ind w:left="57" w:right="57"/>
              <w:jc w:val="left"/>
              <w:textDirection w:val="tbRlV"/>
              <w:rPr>
                <w:rFonts w:ascii="Simplified Arabic" w:hAnsi="Simplified Arabic"/>
                <w:szCs w:val="20"/>
                <w:lang w:eastAsia="zh-TW" w:bidi="en-GB"/>
              </w:rPr>
            </w:pPr>
            <w:r w:rsidRPr="00E90634">
              <w:rPr>
                <w:rFonts w:ascii="Simplified Arabic" w:hAnsi="Simplified Arabic"/>
                <w:szCs w:val="20"/>
                <w:rtl/>
              </w:rPr>
              <w:t>الدخل القومي الإجمالي بالملايين</w:t>
            </w:r>
          </w:p>
        </w:tc>
        <w:tc>
          <w:tcPr>
            <w:tcW w:w="4938" w:type="dxa"/>
            <w:gridSpan w:val="5"/>
            <w:shd w:val="clear" w:color="auto" w:fill="auto"/>
            <w:vAlign w:val="bottom"/>
          </w:tcPr>
          <w:p w14:paraId="393B0373" w14:textId="77777777" w:rsidR="00DE3D9F" w:rsidRPr="00E90634" w:rsidRDefault="00DE3D9F" w:rsidP="003B756C">
            <w:pPr>
              <w:spacing w:before="40" w:after="40" w:line="360" w:lineRule="exact"/>
              <w:ind w:left="57" w:right="57"/>
              <w:jc w:val="left"/>
              <w:textDirection w:val="tbRlV"/>
              <w:rPr>
                <w:rFonts w:ascii="Simplified Arabic" w:hAnsi="Simplified Arabic"/>
                <w:szCs w:val="20"/>
                <w:lang w:eastAsia="zh-TW" w:bidi="en-GB"/>
              </w:rPr>
            </w:pPr>
            <w:r w:rsidRPr="00AF3116">
              <w:rPr>
                <w:rFonts w:ascii="Simplified Arabic" w:hAnsi="Simplified Arabic"/>
                <w:szCs w:val="20"/>
                <w:rtl/>
              </w:rPr>
              <w:t>612</w:t>
            </w:r>
            <w:r w:rsidRPr="00E90634">
              <w:rPr>
                <w:rFonts w:ascii="Simplified Arabic" w:hAnsi="Simplified Arabic"/>
                <w:szCs w:val="20"/>
                <w:rtl/>
              </w:rPr>
              <w:t>,</w:t>
            </w:r>
            <w:r w:rsidRPr="00AF3116">
              <w:rPr>
                <w:rFonts w:ascii="Simplified Arabic" w:hAnsi="Simplified Arabic"/>
                <w:spacing w:val="-4"/>
                <w:szCs w:val="20"/>
                <w:rtl/>
              </w:rPr>
              <w:t>83</w:t>
            </w:r>
            <w:r w:rsidRPr="00E90634">
              <w:rPr>
                <w:rFonts w:ascii="Simplified Arabic" w:hAnsi="Simplified Arabic"/>
                <w:spacing w:val="-4"/>
                <w:szCs w:val="20"/>
                <w:rtl/>
              </w:rPr>
              <w:t xml:space="preserve"> </w:t>
            </w:r>
            <w:r w:rsidRPr="00AF3116">
              <w:rPr>
                <w:rFonts w:ascii="Simplified Arabic" w:hAnsi="Simplified Arabic"/>
                <w:spacing w:val="-4"/>
                <w:szCs w:val="20"/>
                <w:rtl/>
              </w:rPr>
              <w:t>434</w:t>
            </w:r>
            <w:r w:rsidRPr="00E90634">
              <w:rPr>
                <w:rFonts w:ascii="Simplified Arabic" w:hAnsi="Simplified Arabic"/>
                <w:spacing w:val="-4"/>
                <w:szCs w:val="20"/>
                <w:rtl/>
              </w:rPr>
              <w:t xml:space="preserve"> دولار أمريكي (</w:t>
            </w:r>
            <w:r w:rsidRPr="00AF3116">
              <w:rPr>
                <w:rFonts w:ascii="Simplified Arabic" w:hAnsi="Simplified Arabic"/>
                <w:spacing w:val="-4"/>
                <w:szCs w:val="20"/>
                <w:rtl/>
              </w:rPr>
              <w:t>111</w:t>
            </w:r>
            <w:r w:rsidRPr="00E90634">
              <w:rPr>
                <w:rFonts w:ascii="Simplified Arabic" w:hAnsi="Simplified Arabic"/>
                <w:spacing w:val="-4"/>
                <w:szCs w:val="20"/>
                <w:rtl/>
              </w:rPr>
              <w:t xml:space="preserve"> </w:t>
            </w:r>
            <w:r w:rsidRPr="00AF3116">
              <w:rPr>
                <w:rFonts w:ascii="Simplified Arabic" w:hAnsi="Simplified Arabic"/>
                <w:spacing w:val="-4"/>
                <w:szCs w:val="20"/>
                <w:rtl/>
              </w:rPr>
              <w:t>851</w:t>
            </w:r>
            <w:r w:rsidRPr="00E90634">
              <w:rPr>
                <w:rFonts w:ascii="Simplified Arabic" w:hAnsi="Simplified Arabic"/>
                <w:spacing w:val="-4"/>
                <w:szCs w:val="20"/>
                <w:rtl/>
              </w:rPr>
              <w:t xml:space="preserve"> </w:t>
            </w:r>
            <w:r w:rsidRPr="00AF3116">
              <w:rPr>
                <w:rFonts w:ascii="Simplified Arabic" w:hAnsi="Simplified Arabic"/>
                <w:spacing w:val="-4"/>
                <w:szCs w:val="20"/>
                <w:rtl/>
              </w:rPr>
              <w:t>13</w:t>
            </w:r>
            <w:r w:rsidRPr="00E90634">
              <w:rPr>
                <w:rFonts w:ascii="Simplified Arabic" w:hAnsi="Simplified Arabic"/>
                <w:spacing w:val="-4"/>
                <w:szCs w:val="20"/>
                <w:rtl/>
              </w:rPr>
              <w:t xml:space="preserve"> باتاً تايلندياً)</w:t>
            </w:r>
          </w:p>
        </w:tc>
      </w:tr>
      <w:tr w:rsidR="00DE3D9F" w:rsidRPr="00E90634" w14:paraId="075A17D8" w14:textId="77777777" w:rsidTr="003B756C">
        <w:tc>
          <w:tcPr>
            <w:tcW w:w="2432" w:type="dxa"/>
            <w:vMerge w:val="restart"/>
            <w:shd w:val="clear" w:color="auto" w:fill="auto"/>
          </w:tcPr>
          <w:p w14:paraId="2877A9B0" w14:textId="77777777" w:rsidR="00DE3D9F" w:rsidRPr="00E90634" w:rsidRDefault="00DE3D9F" w:rsidP="003B756C">
            <w:pPr>
              <w:spacing w:before="40" w:after="40" w:line="360" w:lineRule="exact"/>
              <w:ind w:left="57" w:right="57"/>
              <w:jc w:val="left"/>
              <w:textDirection w:val="tbRlV"/>
              <w:rPr>
                <w:rFonts w:ascii="Simplified Arabic" w:hAnsi="Simplified Arabic"/>
                <w:szCs w:val="20"/>
                <w:cs/>
                <w:lang w:val="ar-SA" w:eastAsia="zh-TW" w:bidi="en-GB"/>
              </w:rPr>
            </w:pPr>
            <w:r w:rsidRPr="00E90634">
              <w:rPr>
                <w:rFonts w:ascii="Simplified Arabic" w:hAnsi="Simplified Arabic"/>
                <w:szCs w:val="20"/>
                <w:rtl/>
              </w:rPr>
              <w:t xml:space="preserve">النفقات الاجتماعية بملايين الباتات وكنسبة من مجموع الإنفاق العام </w:t>
            </w:r>
          </w:p>
        </w:tc>
        <w:tc>
          <w:tcPr>
            <w:tcW w:w="1131" w:type="dxa"/>
            <w:shd w:val="clear" w:color="auto" w:fill="auto"/>
            <w:vAlign w:val="bottom"/>
          </w:tcPr>
          <w:p w14:paraId="11B57D49" w14:textId="77777777" w:rsidR="00DE3D9F" w:rsidRPr="00E90634" w:rsidRDefault="00DE3D9F" w:rsidP="003B756C">
            <w:pPr>
              <w:spacing w:before="40" w:after="40" w:line="360" w:lineRule="exact"/>
              <w:ind w:left="57" w:right="57"/>
              <w:jc w:val="left"/>
              <w:rPr>
                <w:rFonts w:ascii="Simplified Arabic" w:hAnsi="Simplified Arabic"/>
                <w:szCs w:val="20"/>
              </w:rPr>
            </w:pPr>
          </w:p>
        </w:tc>
        <w:tc>
          <w:tcPr>
            <w:tcW w:w="1075" w:type="dxa"/>
            <w:shd w:val="clear" w:color="auto" w:fill="auto"/>
            <w:vAlign w:val="bottom"/>
          </w:tcPr>
          <w:p w14:paraId="7A9423C5" w14:textId="17307D2F" w:rsidR="00DE3D9F" w:rsidRPr="00E90634" w:rsidRDefault="003C7406" w:rsidP="003B756C">
            <w:pPr>
              <w:spacing w:before="40" w:after="40" w:line="360" w:lineRule="exact"/>
              <w:ind w:left="57" w:right="57"/>
              <w:jc w:val="both"/>
              <w:rPr>
                <w:rFonts w:ascii="Simplified Arabic" w:hAnsi="Simplified Arabic"/>
                <w:szCs w:val="20"/>
              </w:rPr>
            </w:pPr>
            <w:r w:rsidRPr="00E90634">
              <w:rPr>
                <w:rFonts w:asciiTheme="majorBidi" w:hAnsiTheme="majorBidi" w:cstheme="majorBidi"/>
                <w:szCs w:val="20"/>
              </w:rPr>
              <w:t xml:space="preserve"> </w:t>
            </w:r>
            <w:r w:rsidR="00DE3D9F" w:rsidRPr="00E90634">
              <w:rPr>
                <w:rFonts w:asciiTheme="majorBidi" w:hAnsiTheme="majorBidi" w:cstheme="majorBidi"/>
                <w:szCs w:val="20"/>
              </w:rPr>
              <w:t>FY</w:t>
            </w:r>
            <w:r w:rsidR="00DE3D9F" w:rsidRPr="00AF3116">
              <w:rPr>
                <w:rFonts w:ascii="Simplified Arabic" w:hAnsi="Simplified Arabic"/>
                <w:szCs w:val="20"/>
                <w:rtl/>
              </w:rPr>
              <w:t>2017</w:t>
            </w:r>
          </w:p>
        </w:tc>
        <w:tc>
          <w:tcPr>
            <w:tcW w:w="812" w:type="dxa"/>
            <w:shd w:val="clear" w:color="auto" w:fill="auto"/>
            <w:vAlign w:val="bottom"/>
          </w:tcPr>
          <w:p w14:paraId="202D3CFF" w14:textId="72F08832" w:rsidR="00DE3D9F" w:rsidRPr="00E90634" w:rsidRDefault="003C7406" w:rsidP="003B756C">
            <w:pPr>
              <w:spacing w:before="40" w:after="40" w:line="360" w:lineRule="exact"/>
              <w:ind w:left="57" w:right="57"/>
              <w:jc w:val="both"/>
              <w:rPr>
                <w:rFonts w:ascii="Simplified Arabic" w:hAnsi="Simplified Arabic"/>
                <w:szCs w:val="20"/>
              </w:rPr>
            </w:pPr>
            <w:r w:rsidRPr="00E90634">
              <w:rPr>
                <w:rFonts w:ascii="Simplified Arabic" w:hAnsi="Simplified Arabic"/>
                <w:szCs w:val="20"/>
                <w:cs/>
              </w:rPr>
              <w:t>%</w:t>
            </w:r>
          </w:p>
        </w:tc>
        <w:tc>
          <w:tcPr>
            <w:tcW w:w="1022" w:type="dxa"/>
            <w:shd w:val="clear" w:color="auto" w:fill="auto"/>
            <w:vAlign w:val="bottom"/>
          </w:tcPr>
          <w:p w14:paraId="0289C301" w14:textId="29BB8F3A" w:rsidR="00DE3D9F" w:rsidRPr="00E90634" w:rsidRDefault="00DE3D9F" w:rsidP="003B756C">
            <w:pPr>
              <w:spacing w:before="40" w:after="40" w:line="360" w:lineRule="exact"/>
              <w:ind w:left="57" w:right="57"/>
              <w:jc w:val="both"/>
              <w:rPr>
                <w:rFonts w:ascii="Simplified Arabic" w:hAnsi="Simplified Arabic"/>
                <w:szCs w:val="20"/>
              </w:rPr>
            </w:pPr>
            <w:r w:rsidRPr="00AF3116">
              <w:rPr>
                <w:rFonts w:ascii="Simplified Arabic" w:hAnsi="Simplified Arabic"/>
                <w:szCs w:val="20"/>
              </w:rPr>
              <w:t>2018</w:t>
            </w:r>
            <w:r w:rsidR="00DA075B" w:rsidRPr="00E90634">
              <w:rPr>
                <w:rFonts w:ascii="Simplified Arabic" w:hAnsi="Simplified Arabic"/>
                <w:szCs w:val="20"/>
              </w:rPr>
              <w:t xml:space="preserve"> </w:t>
            </w:r>
            <w:r w:rsidR="00DA075B" w:rsidRPr="00E90634">
              <w:rPr>
                <w:rFonts w:cs="Times New Roman"/>
                <w:szCs w:val="20"/>
              </w:rPr>
              <w:t>FY</w:t>
            </w:r>
          </w:p>
        </w:tc>
        <w:tc>
          <w:tcPr>
            <w:tcW w:w="898" w:type="dxa"/>
            <w:shd w:val="clear" w:color="auto" w:fill="auto"/>
            <w:vAlign w:val="bottom"/>
          </w:tcPr>
          <w:p w14:paraId="7A0AB1F6" w14:textId="77777777" w:rsidR="00DE3D9F" w:rsidRPr="00E90634" w:rsidRDefault="00DE3D9F" w:rsidP="003B756C">
            <w:pPr>
              <w:spacing w:before="40" w:after="40" w:line="360" w:lineRule="exact"/>
              <w:ind w:left="57" w:right="57"/>
              <w:jc w:val="both"/>
              <w:rPr>
                <w:rFonts w:ascii="Simplified Arabic" w:hAnsi="Simplified Arabic"/>
                <w:szCs w:val="20"/>
                <w:rtl/>
              </w:rPr>
            </w:pPr>
            <w:r w:rsidRPr="00E90634">
              <w:rPr>
                <w:rFonts w:ascii="Simplified Arabic" w:hAnsi="Simplified Arabic"/>
                <w:szCs w:val="20"/>
                <w:cs/>
              </w:rPr>
              <w:t>%</w:t>
            </w:r>
          </w:p>
        </w:tc>
      </w:tr>
      <w:tr w:rsidR="00DE3D9F" w:rsidRPr="00E90634" w14:paraId="3F0C4A06" w14:textId="77777777" w:rsidTr="003B756C">
        <w:tc>
          <w:tcPr>
            <w:tcW w:w="2432" w:type="dxa"/>
            <w:vMerge/>
            <w:shd w:val="clear" w:color="auto" w:fill="auto"/>
          </w:tcPr>
          <w:p w14:paraId="26516C0C" w14:textId="77777777" w:rsidR="00DE3D9F" w:rsidRPr="00E90634" w:rsidRDefault="00DE3D9F" w:rsidP="003B756C">
            <w:pPr>
              <w:spacing w:before="40" w:after="40" w:line="360" w:lineRule="exact"/>
              <w:ind w:left="57" w:right="57"/>
              <w:jc w:val="left"/>
              <w:rPr>
                <w:rFonts w:ascii="Simplified Arabic" w:hAnsi="Simplified Arabic"/>
                <w:szCs w:val="20"/>
              </w:rPr>
            </w:pPr>
          </w:p>
        </w:tc>
        <w:tc>
          <w:tcPr>
            <w:tcW w:w="1131" w:type="dxa"/>
            <w:shd w:val="clear" w:color="auto" w:fill="auto"/>
            <w:vAlign w:val="bottom"/>
          </w:tcPr>
          <w:p w14:paraId="1CAAD324" w14:textId="77777777" w:rsidR="00DE3D9F" w:rsidRPr="009110F6" w:rsidRDefault="00DE3D9F" w:rsidP="003B756C">
            <w:pPr>
              <w:spacing w:after="40" w:line="360" w:lineRule="exact"/>
              <w:ind w:left="57" w:right="57"/>
              <w:textDirection w:val="tbRlV"/>
              <w:rPr>
                <w:rFonts w:ascii="Simplified Arabic" w:hAnsi="Simplified Arabic"/>
                <w:spacing w:val="-4"/>
                <w:szCs w:val="20"/>
                <w:lang w:eastAsia="zh-TW" w:bidi="en-GB"/>
              </w:rPr>
            </w:pPr>
            <w:r w:rsidRPr="009110F6">
              <w:rPr>
                <w:rFonts w:ascii="Simplified Arabic" w:hAnsi="Simplified Arabic"/>
                <w:spacing w:val="-4"/>
                <w:szCs w:val="20"/>
                <w:rtl/>
              </w:rPr>
              <w:t>السكن العام والمجتمع المحلي</w:t>
            </w:r>
          </w:p>
        </w:tc>
        <w:tc>
          <w:tcPr>
            <w:tcW w:w="1075" w:type="dxa"/>
            <w:shd w:val="clear" w:color="auto" w:fill="auto"/>
            <w:vAlign w:val="bottom"/>
          </w:tcPr>
          <w:p w14:paraId="6072CA31" w14:textId="77777777" w:rsidR="00DE3D9F" w:rsidRPr="00E90634" w:rsidRDefault="00DE3D9F" w:rsidP="003B756C">
            <w:pPr>
              <w:spacing w:before="40" w:after="40" w:line="360" w:lineRule="exact"/>
              <w:ind w:left="57" w:right="57"/>
              <w:jc w:val="both"/>
              <w:textDirection w:val="tbRlV"/>
              <w:rPr>
                <w:rFonts w:ascii="Simplified Arabic" w:hAnsi="Simplified Arabic"/>
                <w:szCs w:val="20"/>
                <w:lang w:val="ar-SA" w:eastAsia="zh-TW" w:bidi="en-GB"/>
              </w:rPr>
            </w:pPr>
            <w:r w:rsidRPr="00AF3116">
              <w:rPr>
                <w:rFonts w:ascii="Simplified Arabic" w:hAnsi="Simplified Arabic"/>
                <w:szCs w:val="20"/>
                <w:rtl/>
              </w:rPr>
              <w:t>423</w:t>
            </w:r>
            <w:r w:rsidRPr="00E90634">
              <w:rPr>
                <w:rFonts w:ascii="Simplified Arabic" w:hAnsi="Simplified Arabic"/>
                <w:szCs w:val="20"/>
                <w:rtl/>
              </w:rPr>
              <w:t xml:space="preserve"> </w:t>
            </w:r>
            <w:r w:rsidRPr="00AF3116">
              <w:rPr>
                <w:rFonts w:ascii="Simplified Arabic" w:hAnsi="Simplified Arabic"/>
                <w:szCs w:val="20"/>
                <w:rtl/>
              </w:rPr>
              <w:t>72</w:t>
            </w:r>
          </w:p>
        </w:tc>
        <w:tc>
          <w:tcPr>
            <w:tcW w:w="812" w:type="dxa"/>
            <w:shd w:val="clear" w:color="auto" w:fill="auto"/>
            <w:vAlign w:val="bottom"/>
          </w:tcPr>
          <w:p w14:paraId="2EC3A9E5" w14:textId="77777777" w:rsidR="00DE3D9F" w:rsidRPr="00E90634" w:rsidRDefault="00DE3D9F" w:rsidP="003B756C">
            <w:pPr>
              <w:spacing w:before="40" w:after="40" w:line="360" w:lineRule="exact"/>
              <w:ind w:left="57" w:right="57"/>
              <w:jc w:val="both"/>
              <w:textDirection w:val="tbRlV"/>
              <w:rPr>
                <w:rFonts w:ascii="Simplified Arabic" w:hAnsi="Simplified Arabic"/>
                <w:szCs w:val="20"/>
                <w:lang w:val="ar-SA" w:eastAsia="zh-TW" w:bidi="en-GB"/>
              </w:rPr>
            </w:pPr>
            <w:r w:rsidRPr="00AF3116">
              <w:rPr>
                <w:rFonts w:ascii="Simplified Arabic" w:hAnsi="Simplified Arabic"/>
                <w:szCs w:val="20"/>
                <w:rtl/>
              </w:rPr>
              <w:t>3</w:t>
            </w:r>
            <w:r w:rsidRPr="00E90634">
              <w:rPr>
                <w:rFonts w:ascii="Simplified Arabic" w:hAnsi="Simplified Arabic"/>
                <w:szCs w:val="20"/>
                <w:rtl/>
              </w:rPr>
              <w:t>,</w:t>
            </w:r>
            <w:r w:rsidRPr="00AF3116">
              <w:rPr>
                <w:rFonts w:ascii="Simplified Arabic" w:hAnsi="Simplified Arabic"/>
                <w:szCs w:val="20"/>
                <w:rtl/>
              </w:rPr>
              <w:t>58</w:t>
            </w:r>
          </w:p>
        </w:tc>
        <w:tc>
          <w:tcPr>
            <w:tcW w:w="1022" w:type="dxa"/>
            <w:shd w:val="clear" w:color="auto" w:fill="auto"/>
            <w:vAlign w:val="bottom"/>
          </w:tcPr>
          <w:p w14:paraId="235985D8" w14:textId="77777777" w:rsidR="00DE3D9F" w:rsidRPr="00E90634" w:rsidRDefault="00DE3D9F" w:rsidP="003B756C">
            <w:pPr>
              <w:spacing w:before="40" w:after="40" w:line="360" w:lineRule="exact"/>
              <w:ind w:left="57" w:right="57"/>
              <w:jc w:val="both"/>
              <w:textDirection w:val="tbRlV"/>
              <w:rPr>
                <w:rFonts w:ascii="Simplified Arabic" w:hAnsi="Simplified Arabic"/>
                <w:szCs w:val="20"/>
                <w:rtl/>
                <w:lang w:val="ar-SA" w:eastAsia="zh-TW"/>
              </w:rPr>
            </w:pPr>
            <w:r w:rsidRPr="00AF3116">
              <w:rPr>
                <w:rFonts w:ascii="Simplified Arabic" w:hAnsi="Simplified Arabic"/>
                <w:szCs w:val="20"/>
                <w:rtl/>
              </w:rPr>
              <w:t>929</w:t>
            </w:r>
            <w:r w:rsidRPr="00E90634">
              <w:rPr>
                <w:rFonts w:ascii="Simplified Arabic" w:hAnsi="Simplified Arabic"/>
                <w:szCs w:val="20"/>
                <w:rtl/>
              </w:rPr>
              <w:t xml:space="preserve"> </w:t>
            </w:r>
            <w:r w:rsidRPr="00AF3116">
              <w:rPr>
                <w:rFonts w:ascii="Simplified Arabic" w:hAnsi="Simplified Arabic"/>
                <w:szCs w:val="20"/>
                <w:rtl/>
              </w:rPr>
              <w:t>70</w:t>
            </w:r>
          </w:p>
        </w:tc>
        <w:tc>
          <w:tcPr>
            <w:tcW w:w="898" w:type="dxa"/>
            <w:shd w:val="clear" w:color="auto" w:fill="auto"/>
            <w:vAlign w:val="bottom"/>
          </w:tcPr>
          <w:p w14:paraId="3C70662B" w14:textId="77777777" w:rsidR="00DE3D9F" w:rsidRPr="00E90634" w:rsidRDefault="00DE3D9F" w:rsidP="003B756C">
            <w:pPr>
              <w:spacing w:before="40" w:after="40" w:line="360" w:lineRule="exact"/>
              <w:ind w:left="57" w:right="57"/>
              <w:jc w:val="both"/>
              <w:textDirection w:val="tbRlV"/>
              <w:rPr>
                <w:rFonts w:ascii="Simplified Arabic" w:hAnsi="Simplified Arabic"/>
                <w:szCs w:val="20"/>
                <w:lang w:val="ar-SA" w:eastAsia="zh-TW" w:bidi="en-GB"/>
              </w:rPr>
            </w:pPr>
            <w:r w:rsidRPr="00AF3116">
              <w:rPr>
                <w:rFonts w:ascii="Simplified Arabic" w:hAnsi="Simplified Arabic"/>
                <w:szCs w:val="20"/>
                <w:rtl/>
              </w:rPr>
              <w:t>3</w:t>
            </w:r>
            <w:r w:rsidRPr="00E90634">
              <w:rPr>
                <w:rFonts w:ascii="Simplified Arabic" w:hAnsi="Simplified Arabic"/>
                <w:szCs w:val="20"/>
                <w:rtl/>
              </w:rPr>
              <w:t>,</w:t>
            </w:r>
            <w:r w:rsidRPr="00AF3116">
              <w:rPr>
                <w:rFonts w:ascii="Simplified Arabic" w:hAnsi="Simplified Arabic"/>
                <w:szCs w:val="20"/>
                <w:rtl/>
              </w:rPr>
              <w:t>32</w:t>
            </w:r>
          </w:p>
        </w:tc>
      </w:tr>
      <w:tr w:rsidR="00DE3D9F" w:rsidRPr="00E90634" w14:paraId="0FF1C7EE" w14:textId="77777777" w:rsidTr="003B756C">
        <w:tc>
          <w:tcPr>
            <w:tcW w:w="2432" w:type="dxa"/>
            <w:vMerge/>
            <w:shd w:val="clear" w:color="auto" w:fill="auto"/>
          </w:tcPr>
          <w:p w14:paraId="5580B02E" w14:textId="77777777" w:rsidR="00DE3D9F" w:rsidRPr="00E90634" w:rsidRDefault="00DE3D9F" w:rsidP="003B756C">
            <w:pPr>
              <w:spacing w:before="40" w:after="40" w:line="360" w:lineRule="exact"/>
              <w:ind w:left="57" w:right="57"/>
              <w:jc w:val="left"/>
              <w:rPr>
                <w:rFonts w:ascii="Simplified Arabic" w:hAnsi="Simplified Arabic"/>
                <w:szCs w:val="20"/>
              </w:rPr>
            </w:pPr>
          </w:p>
        </w:tc>
        <w:tc>
          <w:tcPr>
            <w:tcW w:w="1131" w:type="dxa"/>
            <w:shd w:val="clear" w:color="auto" w:fill="auto"/>
            <w:vAlign w:val="bottom"/>
          </w:tcPr>
          <w:p w14:paraId="44F3B30C" w14:textId="77777777" w:rsidR="00DE3D9F" w:rsidRPr="00E90634" w:rsidRDefault="00DE3D9F" w:rsidP="003B756C">
            <w:pPr>
              <w:spacing w:after="40" w:line="360" w:lineRule="exact"/>
              <w:ind w:left="57" w:right="57"/>
              <w:jc w:val="left"/>
              <w:textDirection w:val="tbRlV"/>
              <w:rPr>
                <w:rFonts w:ascii="Simplified Arabic" w:hAnsi="Simplified Arabic"/>
                <w:szCs w:val="20"/>
                <w:lang w:val="ar-SA" w:eastAsia="zh-TW" w:bidi="en-GB"/>
              </w:rPr>
            </w:pPr>
            <w:r w:rsidRPr="00E90634">
              <w:rPr>
                <w:rFonts w:ascii="Simplified Arabic" w:hAnsi="Simplified Arabic"/>
                <w:szCs w:val="20"/>
                <w:rtl/>
              </w:rPr>
              <w:t>الصحة العامة</w:t>
            </w:r>
          </w:p>
        </w:tc>
        <w:tc>
          <w:tcPr>
            <w:tcW w:w="1075" w:type="dxa"/>
            <w:shd w:val="clear" w:color="auto" w:fill="auto"/>
            <w:vAlign w:val="bottom"/>
          </w:tcPr>
          <w:p w14:paraId="5428A122" w14:textId="77777777" w:rsidR="00DE3D9F" w:rsidRPr="00E90634" w:rsidRDefault="00DE3D9F" w:rsidP="003B756C">
            <w:pPr>
              <w:spacing w:before="40" w:after="40" w:line="360" w:lineRule="exact"/>
              <w:ind w:left="57" w:right="57"/>
              <w:jc w:val="both"/>
              <w:textDirection w:val="tbRlV"/>
              <w:rPr>
                <w:rFonts w:ascii="Simplified Arabic" w:hAnsi="Simplified Arabic"/>
                <w:szCs w:val="20"/>
                <w:lang w:val="ar-SA" w:eastAsia="zh-TW" w:bidi="en-GB"/>
              </w:rPr>
            </w:pPr>
            <w:r w:rsidRPr="00AF3116">
              <w:rPr>
                <w:rFonts w:ascii="Simplified Arabic" w:hAnsi="Simplified Arabic"/>
                <w:szCs w:val="20"/>
                <w:rtl/>
              </w:rPr>
              <w:t>207</w:t>
            </w:r>
            <w:r w:rsidRPr="00E90634">
              <w:rPr>
                <w:rFonts w:ascii="Simplified Arabic" w:hAnsi="Simplified Arabic"/>
                <w:szCs w:val="20"/>
                <w:rtl/>
              </w:rPr>
              <w:t xml:space="preserve"> </w:t>
            </w:r>
            <w:r w:rsidRPr="00AF3116">
              <w:rPr>
                <w:rFonts w:ascii="Simplified Arabic" w:hAnsi="Simplified Arabic"/>
                <w:szCs w:val="20"/>
                <w:rtl/>
              </w:rPr>
              <w:t>295</w:t>
            </w:r>
          </w:p>
        </w:tc>
        <w:tc>
          <w:tcPr>
            <w:tcW w:w="812" w:type="dxa"/>
            <w:shd w:val="clear" w:color="auto" w:fill="auto"/>
            <w:vAlign w:val="bottom"/>
          </w:tcPr>
          <w:p w14:paraId="35BA8406" w14:textId="77777777" w:rsidR="00DE3D9F" w:rsidRPr="00E90634" w:rsidRDefault="00DE3D9F" w:rsidP="003B756C">
            <w:pPr>
              <w:spacing w:before="40" w:after="40" w:line="360" w:lineRule="exact"/>
              <w:ind w:left="57" w:right="57"/>
              <w:jc w:val="both"/>
              <w:textDirection w:val="tbRlV"/>
              <w:rPr>
                <w:rFonts w:ascii="Simplified Arabic" w:hAnsi="Simplified Arabic"/>
                <w:szCs w:val="20"/>
                <w:lang w:val="ar-SA" w:eastAsia="zh-TW" w:bidi="en-GB"/>
              </w:rPr>
            </w:pPr>
            <w:r w:rsidRPr="00AF3116">
              <w:rPr>
                <w:rFonts w:ascii="Simplified Arabic" w:hAnsi="Simplified Arabic"/>
                <w:szCs w:val="20"/>
                <w:rtl/>
              </w:rPr>
              <w:t>14</w:t>
            </w:r>
            <w:r w:rsidRPr="00E90634">
              <w:rPr>
                <w:rFonts w:ascii="Simplified Arabic" w:hAnsi="Simplified Arabic"/>
                <w:szCs w:val="20"/>
                <w:rtl/>
              </w:rPr>
              <w:t>,</w:t>
            </w:r>
            <w:r w:rsidRPr="00AF3116">
              <w:rPr>
                <w:rFonts w:ascii="Simplified Arabic" w:hAnsi="Simplified Arabic"/>
                <w:szCs w:val="20"/>
                <w:rtl/>
              </w:rPr>
              <w:t>59</w:t>
            </w:r>
          </w:p>
        </w:tc>
        <w:tc>
          <w:tcPr>
            <w:tcW w:w="1022" w:type="dxa"/>
            <w:shd w:val="clear" w:color="auto" w:fill="auto"/>
            <w:vAlign w:val="bottom"/>
          </w:tcPr>
          <w:p w14:paraId="4F679885" w14:textId="77777777" w:rsidR="00DE3D9F" w:rsidRPr="00E90634" w:rsidRDefault="00DE3D9F" w:rsidP="003B756C">
            <w:pPr>
              <w:spacing w:before="40" w:after="40" w:line="360" w:lineRule="exact"/>
              <w:ind w:left="57" w:right="57"/>
              <w:jc w:val="both"/>
              <w:textDirection w:val="tbRlV"/>
              <w:rPr>
                <w:rFonts w:ascii="Simplified Arabic" w:hAnsi="Simplified Arabic"/>
                <w:szCs w:val="20"/>
                <w:lang w:val="ar-SA" w:eastAsia="zh-TW" w:bidi="en-GB"/>
              </w:rPr>
            </w:pPr>
            <w:r w:rsidRPr="00AF3116">
              <w:rPr>
                <w:rFonts w:ascii="Simplified Arabic" w:hAnsi="Simplified Arabic"/>
                <w:szCs w:val="20"/>
                <w:rtl/>
              </w:rPr>
              <w:t>169</w:t>
            </w:r>
            <w:r w:rsidRPr="00E90634">
              <w:rPr>
                <w:rFonts w:ascii="Simplified Arabic" w:hAnsi="Simplified Arabic"/>
                <w:szCs w:val="20"/>
                <w:rtl/>
              </w:rPr>
              <w:t xml:space="preserve"> </w:t>
            </w:r>
            <w:r w:rsidRPr="00AF3116">
              <w:rPr>
                <w:rFonts w:ascii="Simplified Arabic" w:hAnsi="Simplified Arabic"/>
                <w:szCs w:val="20"/>
                <w:rtl/>
              </w:rPr>
              <w:t>304</w:t>
            </w:r>
          </w:p>
        </w:tc>
        <w:tc>
          <w:tcPr>
            <w:tcW w:w="898" w:type="dxa"/>
            <w:shd w:val="clear" w:color="auto" w:fill="auto"/>
            <w:vAlign w:val="bottom"/>
          </w:tcPr>
          <w:p w14:paraId="545304F3" w14:textId="77777777" w:rsidR="00DE3D9F" w:rsidRPr="00E90634" w:rsidRDefault="00DE3D9F" w:rsidP="003B756C">
            <w:pPr>
              <w:spacing w:before="40" w:after="40" w:line="360" w:lineRule="exact"/>
              <w:ind w:left="57" w:right="57"/>
              <w:jc w:val="both"/>
              <w:textDirection w:val="tbRlV"/>
              <w:rPr>
                <w:rFonts w:ascii="Simplified Arabic" w:hAnsi="Simplified Arabic"/>
                <w:szCs w:val="20"/>
                <w:lang w:val="ar-SA" w:eastAsia="zh-TW" w:bidi="en-GB"/>
              </w:rPr>
            </w:pPr>
            <w:r w:rsidRPr="00AF3116">
              <w:rPr>
                <w:rFonts w:ascii="Simplified Arabic" w:hAnsi="Simplified Arabic"/>
                <w:szCs w:val="20"/>
                <w:rtl/>
              </w:rPr>
              <w:t>14</w:t>
            </w:r>
            <w:r w:rsidRPr="00E90634">
              <w:rPr>
                <w:rFonts w:ascii="Simplified Arabic" w:hAnsi="Simplified Arabic"/>
                <w:szCs w:val="20"/>
                <w:rtl/>
              </w:rPr>
              <w:t>,</w:t>
            </w:r>
            <w:r w:rsidRPr="00AF3116">
              <w:rPr>
                <w:rFonts w:ascii="Simplified Arabic" w:hAnsi="Simplified Arabic"/>
                <w:szCs w:val="20"/>
                <w:rtl/>
              </w:rPr>
              <w:t>27</w:t>
            </w:r>
          </w:p>
        </w:tc>
      </w:tr>
      <w:tr w:rsidR="00DE3D9F" w:rsidRPr="00E90634" w14:paraId="7B8110A3" w14:textId="77777777" w:rsidTr="003B756C">
        <w:tc>
          <w:tcPr>
            <w:tcW w:w="2432" w:type="dxa"/>
            <w:vMerge/>
            <w:shd w:val="clear" w:color="auto" w:fill="auto"/>
          </w:tcPr>
          <w:p w14:paraId="498FAD48" w14:textId="77777777" w:rsidR="00DE3D9F" w:rsidRPr="00E90634" w:rsidRDefault="00DE3D9F" w:rsidP="003B756C">
            <w:pPr>
              <w:spacing w:before="40" w:after="40" w:line="360" w:lineRule="exact"/>
              <w:ind w:left="57" w:right="57"/>
              <w:jc w:val="left"/>
              <w:rPr>
                <w:rFonts w:ascii="Simplified Arabic" w:hAnsi="Simplified Arabic"/>
                <w:szCs w:val="20"/>
              </w:rPr>
            </w:pPr>
          </w:p>
        </w:tc>
        <w:tc>
          <w:tcPr>
            <w:tcW w:w="1131" w:type="dxa"/>
            <w:shd w:val="clear" w:color="auto" w:fill="auto"/>
            <w:vAlign w:val="bottom"/>
          </w:tcPr>
          <w:p w14:paraId="27F7895C" w14:textId="77777777" w:rsidR="00DE3D9F" w:rsidRPr="00E90634" w:rsidRDefault="00DE3D9F" w:rsidP="003B756C">
            <w:pPr>
              <w:spacing w:before="40" w:after="40" w:line="360" w:lineRule="exact"/>
              <w:ind w:left="57" w:right="57"/>
              <w:jc w:val="left"/>
              <w:textDirection w:val="tbRlV"/>
              <w:rPr>
                <w:rFonts w:ascii="Simplified Arabic" w:hAnsi="Simplified Arabic"/>
                <w:szCs w:val="20"/>
                <w:lang w:eastAsia="zh-TW" w:bidi="en-GB"/>
              </w:rPr>
            </w:pPr>
            <w:r w:rsidRPr="00E90634">
              <w:rPr>
                <w:rFonts w:ascii="Simplified Arabic" w:hAnsi="Simplified Arabic"/>
                <w:szCs w:val="20"/>
                <w:rtl/>
              </w:rPr>
              <w:t>التعليم</w:t>
            </w:r>
          </w:p>
        </w:tc>
        <w:tc>
          <w:tcPr>
            <w:tcW w:w="1075" w:type="dxa"/>
            <w:shd w:val="clear" w:color="auto" w:fill="auto"/>
            <w:vAlign w:val="bottom"/>
          </w:tcPr>
          <w:p w14:paraId="5E5D5EF8" w14:textId="77777777" w:rsidR="00DE3D9F" w:rsidRPr="00E90634" w:rsidRDefault="00DE3D9F" w:rsidP="003B756C">
            <w:pPr>
              <w:spacing w:before="40" w:after="40" w:line="360" w:lineRule="exact"/>
              <w:ind w:left="57" w:right="57"/>
              <w:jc w:val="both"/>
              <w:textDirection w:val="tbRlV"/>
              <w:rPr>
                <w:rFonts w:ascii="Simplified Arabic" w:hAnsi="Simplified Arabic"/>
                <w:szCs w:val="20"/>
                <w:lang w:val="ar-SA" w:eastAsia="zh-TW" w:bidi="en-GB"/>
              </w:rPr>
            </w:pPr>
            <w:r w:rsidRPr="00AF3116">
              <w:rPr>
                <w:rFonts w:ascii="Simplified Arabic" w:hAnsi="Simplified Arabic"/>
                <w:szCs w:val="20"/>
                <w:rtl/>
              </w:rPr>
              <w:t>059</w:t>
            </w:r>
            <w:r w:rsidRPr="00E90634">
              <w:rPr>
                <w:rFonts w:ascii="Simplified Arabic" w:hAnsi="Simplified Arabic"/>
                <w:szCs w:val="20"/>
                <w:rtl/>
              </w:rPr>
              <w:t xml:space="preserve"> </w:t>
            </w:r>
            <w:r w:rsidRPr="00AF3116">
              <w:rPr>
                <w:rFonts w:ascii="Simplified Arabic" w:hAnsi="Simplified Arabic"/>
                <w:szCs w:val="20"/>
                <w:rtl/>
              </w:rPr>
              <w:t>534</w:t>
            </w:r>
          </w:p>
        </w:tc>
        <w:tc>
          <w:tcPr>
            <w:tcW w:w="812" w:type="dxa"/>
            <w:shd w:val="clear" w:color="auto" w:fill="auto"/>
            <w:vAlign w:val="bottom"/>
          </w:tcPr>
          <w:p w14:paraId="3F11340C" w14:textId="77777777" w:rsidR="00DE3D9F" w:rsidRPr="00E90634" w:rsidRDefault="00DE3D9F" w:rsidP="003B756C">
            <w:pPr>
              <w:spacing w:before="40" w:after="40" w:line="360" w:lineRule="exact"/>
              <w:ind w:left="57" w:right="57"/>
              <w:jc w:val="both"/>
              <w:textDirection w:val="tbRlV"/>
              <w:rPr>
                <w:rFonts w:ascii="Simplified Arabic" w:hAnsi="Simplified Arabic"/>
                <w:szCs w:val="20"/>
                <w:lang w:eastAsia="zh-TW" w:bidi="en-GB"/>
              </w:rPr>
            </w:pPr>
            <w:r w:rsidRPr="00AF3116">
              <w:rPr>
                <w:rFonts w:ascii="Simplified Arabic" w:hAnsi="Simplified Arabic"/>
                <w:szCs w:val="20"/>
                <w:rtl/>
              </w:rPr>
              <w:t>26</w:t>
            </w:r>
            <w:r w:rsidRPr="00E90634">
              <w:rPr>
                <w:rFonts w:ascii="Simplified Arabic" w:hAnsi="Simplified Arabic"/>
                <w:szCs w:val="20"/>
                <w:rtl/>
              </w:rPr>
              <w:t>,</w:t>
            </w:r>
            <w:r w:rsidRPr="00AF3116">
              <w:rPr>
                <w:rFonts w:ascii="Simplified Arabic" w:hAnsi="Simplified Arabic"/>
                <w:szCs w:val="20"/>
                <w:rtl/>
              </w:rPr>
              <w:t>39</w:t>
            </w:r>
          </w:p>
        </w:tc>
        <w:tc>
          <w:tcPr>
            <w:tcW w:w="1022" w:type="dxa"/>
            <w:shd w:val="clear" w:color="auto" w:fill="auto"/>
            <w:vAlign w:val="bottom"/>
          </w:tcPr>
          <w:p w14:paraId="1206960A" w14:textId="77777777" w:rsidR="00DE3D9F" w:rsidRPr="00E90634" w:rsidRDefault="00DE3D9F" w:rsidP="003B756C">
            <w:pPr>
              <w:spacing w:before="40" w:after="40" w:line="360" w:lineRule="exact"/>
              <w:ind w:left="57" w:right="57"/>
              <w:jc w:val="both"/>
              <w:textDirection w:val="tbRlV"/>
              <w:rPr>
                <w:rFonts w:ascii="Simplified Arabic" w:hAnsi="Simplified Arabic"/>
                <w:szCs w:val="20"/>
                <w:lang w:eastAsia="zh-TW" w:bidi="en-GB"/>
              </w:rPr>
            </w:pPr>
            <w:r w:rsidRPr="00AF3116">
              <w:rPr>
                <w:rFonts w:ascii="Simplified Arabic" w:hAnsi="Simplified Arabic"/>
                <w:szCs w:val="20"/>
                <w:rtl/>
              </w:rPr>
              <w:t>132</w:t>
            </w:r>
            <w:r w:rsidRPr="00E90634">
              <w:rPr>
                <w:rFonts w:ascii="Simplified Arabic" w:hAnsi="Simplified Arabic"/>
                <w:szCs w:val="20"/>
                <w:rtl/>
              </w:rPr>
              <w:t xml:space="preserve"> </w:t>
            </w:r>
            <w:r w:rsidRPr="00AF3116">
              <w:rPr>
                <w:rFonts w:ascii="Simplified Arabic" w:hAnsi="Simplified Arabic"/>
                <w:szCs w:val="20"/>
                <w:rtl/>
              </w:rPr>
              <w:t>521</w:t>
            </w:r>
          </w:p>
        </w:tc>
        <w:tc>
          <w:tcPr>
            <w:tcW w:w="898" w:type="dxa"/>
            <w:shd w:val="clear" w:color="auto" w:fill="auto"/>
            <w:vAlign w:val="bottom"/>
          </w:tcPr>
          <w:p w14:paraId="21B6C3C5" w14:textId="77777777" w:rsidR="00DE3D9F" w:rsidRPr="00E90634" w:rsidRDefault="00DE3D9F" w:rsidP="003B756C">
            <w:pPr>
              <w:spacing w:before="40" w:after="40" w:line="360" w:lineRule="exact"/>
              <w:ind w:left="57" w:right="57"/>
              <w:jc w:val="both"/>
              <w:textDirection w:val="tbRlV"/>
              <w:rPr>
                <w:rFonts w:ascii="Simplified Arabic" w:hAnsi="Simplified Arabic"/>
                <w:szCs w:val="20"/>
                <w:lang w:val="ar-SA" w:eastAsia="zh-TW" w:bidi="en-GB"/>
              </w:rPr>
            </w:pPr>
            <w:r w:rsidRPr="00AF3116">
              <w:rPr>
                <w:rFonts w:ascii="Simplified Arabic" w:hAnsi="Simplified Arabic"/>
                <w:szCs w:val="20"/>
                <w:rtl/>
              </w:rPr>
              <w:t>24</w:t>
            </w:r>
            <w:r w:rsidRPr="00E90634">
              <w:rPr>
                <w:rFonts w:ascii="Simplified Arabic" w:hAnsi="Simplified Arabic"/>
                <w:szCs w:val="20"/>
                <w:rtl/>
              </w:rPr>
              <w:t>,</w:t>
            </w:r>
            <w:r w:rsidRPr="00AF3116">
              <w:rPr>
                <w:rFonts w:ascii="Simplified Arabic" w:hAnsi="Simplified Arabic"/>
                <w:szCs w:val="20"/>
                <w:rtl/>
              </w:rPr>
              <w:t>46</w:t>
            </w:r>
          </w:p>
        </w:tc>
      </w:tr>
      <w:tr w:rsidR="00DE3D9F" w:rsidRPr="00E90634" w14:paraId="029A636A" w14:textId="77777777" w:rsidTr="003B756C">
        <w:tc>
          <w:tcPr>
            <w:tcW w:w="2432" w:type="dxa"/>
            <w:vMerge w:val="restart"/>
            <w:shd w:val="clear" w:color="auto" w:fill="auto"/>
          </w:tcPr>
          <w:p w14:paraId="216846A3" w14:textId="69CA6753" w:rsidR="00DE3D9F" w:rsidRPr="00E90634" w:rsidRDefault="00DE3D9F" w:rsidP="003B756C">
            <w:pPr>
              <w:spacing w:before="40" w:after="40" w:line="360" w:lineRule="exact"/>
              <w:ind w:left="57" w:right="57"/>
              <w:jc w:val="left"/>
              <w:textDirection w:val="tbRlV"/>
              <w:rPr>
                <w:rFonts w:ascii="Simplified Arabic" w:hAnsi="Simplified Arabic"/>
                <w:szCs w:val="20"/>
                <w:lang w:eastAsia="zh-TW" w:bidi="en-GB"/>
              </w:rPr>
            </w:pPr>
            <w:r w:rsidRPr="00E90634">
              <w:rPr>
                <w:rFonts w:ascii="Simplified Arabic" w:hAnsi="Simplified Arabic"/>
                <w:szCs w:val="20"/>
                <w:rtl/>
              </w:rPr>
              <w:t>الدين العام الخارجي والمحلي (بملايين</w:t>
            </w:r>
            <w:r w:rsidR="00DA075B" w:rsidRPr="00E90634">
              <w:rPr>
                <w:rFonts w:ascii="Simplified Arabic" w:hAnsi="Simplified Arabic" w:hint="cs"/>
                <w:szCs w:val="20"/>
                <w:rtl/>
              </w:rPr>
              <w:t> </w:t>
            </w:r>
            <w:r w:rsidRPr="00E90634">
              <w:rPr>
                <w:rFonts w:ascii="Simplified Arabic" w:hAnsi="Simplified Arabic"/>
                <w:szCs w:val="20"/>
                <w:rtl/>
              </w:rPr>
              <w:t>الباتات)</w:t>
            </w:r>
          </w:p>
        </w:tc>
        <w:tc>
          <w:tcPr>
            <w:tcW w:w="2206" w:type="dxa"/>
            <w:gridSpan w:val="2"/>
            <w:shd w:val="clear" w:color="auto" w:fill="auto"/>
            <w:vAlign w:val="bottom"/>
          </w:tcPr>
          <w:p w14:paraId="386A93C9" w14:textId="77777777" w:rsidR="00DE3D9F" w:rsidRPr="006274B2" w:rsidRDefault="00DE3D9F" w:rsidP="003B756C">
            <w:pPr>
              <w:spacing w:before="40" w:after="40" w:line="360" w:lineRule="exact"/>
              <w:ind w:left="57" w:right="57"/>
              <w:jc w:val="left"/>
              <w:textDirection w:val="tbRlV"/>
              <w:rPr>
                <w:rFonts w:ascii="Simplified Arabic" w:hAnsi="Simplified Arabic"/>
                <w:spacing w:val="-4"/>
                <w:szCs w:val="20"/>
                <w:lang w:eastAsia="zh-TW" w:bidi="en-GB"/>
              </w:rPr>
            </w:pPr>
            <w:r w:rsidRPr="006274B2">
              <w:rPr>
                <w:rFonts w:ascii="Simplified Arabic" w:hAnsi="Simplified Arabic"/>
                <w:spacing w:val="-4"/>
                <w:szCs w:val="20"/>
                <w:rtl/>
              </w:rPr>
              <w:t>الدين العام الخارجي</w:t>
            </w:r>
          </w:p>
        </w:tc>
        <w:tc>
          <w:tcPr>
            <w:tcW w:w="2732" w:type="dxa"/>
            <w:gridSpan w:val="3"/>
            <w:shd w:val="clear" w:color="auto" w:fill="auto"/>
            <w:vAlign w:val="bottom"/>
          </w:tcPr>
          <w:p w14:paraId="6BB4652D" w14:textId="70D14AA6" w:rsidR="00DE3D9F" w:rsidRPr="00E90634" w:rsidRDefault="00DE3D9F" w:rsidP="003B756C">
            <w:pPr>
              <w:spacing w:before="40" w:after="40" w:line="360" w:lineRule="exact"/>
              <w:ind w:left="57" w:right="57"/>
              <w:jc w:val="left"/>
              <w:textDirection w:val="tbRlV"/>
              <w:rPr>
                <w:rFonts w:ascii="Simplified Arabic" w:hAnsi="Simplified Arabic"/>
                <w:szCs w:val="20"/>
                <w:lang w:eastAsia="zh-TW" w:bidi="en-GB"/>
              </w:rPr>
            </w:pPr>
            <w:r w:rsidRPr="00AF3116">
              <w:rPr>
                <w:rFonts w:ascii="Simplified Arabic" w:hAnsi="Simplified Arabic"/>
                <w:szCs w:val="20"/>
                <w:rtl/>
              </w:rPr>
              <w:t>596</w:t>
            </w:r>
            <w:r w:rsidRPr="00E90634">
              <w:rPr>
                <w:rFonts w:ascii="Simplified Arabic" w:hAnsi="Simplified Arabic"/>
                <w:szCs w:val="20"/>
                <w:rtl/>
              </w:rPr>
              <w:t>,</w:t>
            </w:r>
            <w:r w:rsidRPr="00AF3116">
              <w:rPr>
                <w:rFonts w:ascii="Simplified Arabic" w:hAnsi="Simplified Arabic"/>
                <w:szCs w:val="20"/>
                <w:rtl/>
              </w:rPr>
              <w:t>51</w:t>
            </w:r>
            <w:r w:rsidRPr="00E90634">
              <w:rPr>
                <w:rFonts w:ascii="Simplified Arabic" w:hAnsi="Simplified Arabic"/>
                <w:szCs w:val="20"/>
                <w:rtl/>
              </w:rPr>
              <w:t xml:space="preserve"> </w:t>
            </w:r>
            <w:r w:rsidRPr="00AF3116">
              <w:rPr>
                <w:rFonts w:ascii="Simplified Arabic" w:hAnsi="Simplified Arabic"/>
                <w:szCs w:val="20"/>
                <w:rtl/>
              </w:rPr>
              <w:t>227</w:t>
            </w:r>
            <w:r w:rsidRPr="00E90634">
              <w:rPr>
                <w:rFonts w:ascii="Simplified Arabic" w:hAnsi="Simplified Arabic"/>
                <w:szCs w:val="20"/>
                <w:rtl/>
              </w:rPr>
              <w:t xml:space="preserve"> (</w:t>
            </w:r>
            <w:r w:rsidRPr="00AF3116">
              <w:rPr>
                <w:rFonts w:ascii="Simplified Arabic" w:hAnsi="Simplified Arabic"/>
                <w:szCs w:val="20"/>
                <w:rtl/>
              </w:rPr>
              <w:t>141</w:t>
            </w:r>
            <w:r w:rsidRPr="00E90634">
              <w:rPr>
                <w:rFonts w:ascii="Simplified Arabic" w:hAnsi="Simplified Arabic"/>
                <w:szCs w:val="20"/>
                <w:rtl/>
              </w:rPr>
              <w:t>,</w:t>
            </w:r>
            <w:r w:rsidRPr="00AF3116">
              <w:rPr>
                <w:rFonts w:ascii="Simplified Arabic" w:hAnsi="Simplified Arabic"/>
                <w:szCs w:val="20"/>
                <w:rtl/>
              </w:rPr>
              <w:t>4</w:t>
            </w:r>
            <w:r w:rsidRPr="00E90634">
              <w:rPr>
                <w:rFonts w:ascii="Simplified Arabic" w:hAnsi="Simplified Arabic"/>
                <w:szCs w:val="20"/>
                <w:rtl/>
              </w:rPr>
              <w:t xml:space="preserve"> </w:t>
            </w:r>
            <w:r w:rsidRPr="00AF3116">
              <w:rPr>
                <w:rFonts w:ascii="Simplified Arabic" w:hAnsi="Simplified Arabic"/>
                <w:szCs w:val="20"/>
                <w:rtl/>
              </w:rPr>
              <w:t>7</w:t>
            </w:r>
            <w:r w:rsidRPr="00E90634">
              <w:rPr>
                <w:rFonts w:ascii="Simplified Arabic" w:hAnsi="Simplified Arabic"/>
                <w:szCs w:val="20"/>
                <w:rtl/>
              </w:rPr>
              <w:t xml:space="preserve"> دولارا</w:t>
            </w:r>
            <w:r w:rsidR="00DA075B" w:rsidRPr="00E90634">
              <w:rPr>
                <w:rFonts w:ascii="Simplified Arabic" w:hAnsi="Simplified Arabic" w:hint="cs"/>
                <w:szCs w:val="20"/>
                <w:rtl/>
              </w:rPr>
              <w:t>ً</w:t>
            </w:r>
            <w:r w:rsidRPr="00E90634">
              <w:rPr>
                <w:rFonts w:ascii="Simplified Arabic" w:hAnsi="Simplified Arabic"/>
                <w:szCs w:val="20"/>
                <w:rtl/>
              </w:rPr>
              <w:t>)</w:t>
            </w:r>
          </w:p>
        </w:tc>
      </w:tr>
      <w:tr w:rsidR="00DE3D9F" w:rsidRPr="00E90634" w14:paraId="28647A68" w14:textId="77777777" w:rsidTr="003B756C">
        <w:tc>
          <w:tcPr>
            <w:tcW w:w="2432" w:type="dxa"/>
            <w:vMerge/>
            <w:shd w:val="clear" w:color="auto" w:fill="auto"/>
          </w:tcPr>
          <w:p w14:paraId="77E49AEB" w14:textId="77777777" w:rsidR="00DE3D9F" w:rsidRPr="00E90634" w:rsidRDefault="00DE3D9F" w:rsidP="003B756C">
            <w:pPr>
              <w:spacing w:before="40" w:after="40" w:line="360" w:lineRule="exact"/>
              <w:ind w:left="57" w:right="57"/>
              <w:jc w:val="left"/>
              <w:rPr>
                <w:rFonts w:ascii="Simplified Arabic" w:hAnsi="Simplified Arabic"/>
                <w:szCs w:val="20"/>
              </w:rPr>
            </w:pPr>
          </w:p>
        </w:tc>
        <w:tc>
          <w:tcPr>
            <w:tcW w:w="2206" w:type="dxa"/>
            <w:gridSpan w:val="2"/>
            <w:tcBorders>
              <w:bottom w:val="single" w:sz="4" w:space="0" w:color="auto"/>
            </w:tcBorders>
            <w:shd w:val="clear" w:color="auto" w:fill="auto"/>
            <w:vAlign w:val="bottom"/>
          </w:tcPr>
          <w:p w14:paraId="1818192B" w14:textId="77777777" w:rsidR="00DE3D9F" w:rsidRPr="00E90634" w:rsidRDefault="00DE3D9F" w:rsidP="003B756C">
            <w:pPr>
              <w:spacing w:before="40" w:after="40" w:line="360" w:lineRule="exact"/>
              <w:ind w:left="57" w:right="57"/>
              <w:jc w:val="left"/>
              <w:textDirection w:val="tbRlV"/>
              <w:rPr>
                <w:rFonts w:ascii="Simplified Arabic" w:hAnsi="Simplified Arabic"/>
                <w:szCs w:val="20"/>
                <w:lang w:val="ar-SA" w:eastAsia="zh-TW" w:bidi="en-GB"/>
              </w:rPr>
            </w:pPr>
            <w:r w:rsidRPr="00E90634">
              <w:rPr>
                <w:rFonts w:ascii="Simplified Arabic" w:hAnsi="Simplified Arabic"/>
                <w:szCs w:val="20"/>
                <w:rtl/>
              </w:rPr>
              <w:t>الدين العام المحلي</w:t>
            </w:r>
          </w:p>
        </w:tc>
        <w:tc>
          <w:tcPr>
            <w:tcW w:w="2732" w:type="dxa"/>
            <w:gridSpan w:val="3"/>
            <w:tcBorders>
              <w:bottom w:val="single" w:sz="4" w:space="0" w:color="auto"/>
            </w:tcBorders>
            <w:shd w:val="clear" w:color="auto" w:fill="auto"/>
            <w:vAlign w:val="bottom"/>
          </w:tcPr>
          <w:p w14:paraId="6F8A5179" w14:textId="5C8B78F9" w:rsidR="00DE3D9F" w:rsidRPr="00E90634" w:rsidRDefault="00DE3D9F" w:rsidP="003B756C">
            <w:pPr>
              <w:spacing w:before="40" w:after="40" w:line="360" w:lineRule="exact"/>
              <w:ind w:left="57" w:right="57"/>
              <w:jc w:val="left"/>
              <w:textDirection w:val="tbRlV"/>
              <w:rPr>
                <w:rFonts w:ascii="Simplified Arabic" w:hAnsi="Simplified Arabic"/>
                <w:szCs w:val="20"/>
                <w:lang w:eastAsia="zh-TW" w:bidi="en-GB"/>
              </w:rPr>
            </w:pPr>
            <w:r w:rsidRPr="00AF3116">
              <w:rPr>
                <w:rFonts w:ascii="Simplified Arabic" w:hAnsi="Simplified Arabic"/>
                <w:szCs w:val="20"/>
                <w:rtl/>
              </w:rPr>
              <w:t>028</w:t>
            </w:r>
            <w:r w:rsidRPr="00E90634">
              <w:rPr>
                <w:rFonts w:ascii="Simplified Arabic" w:hAnsi="Simplified Arabic"/>
                <w:szCs w:val="20"/>
                <w:rtl/>
              </w:rPr>
              <w:t>,</w:t>
            </w:r>
            <w:r w:rsidRPr="00AF3116">
              <w:rPr>
                <w:rFonts w:ascii="Simplified Arabic" w:hAnsi="Simplified Arabic"/>
                <w:szCs w:val="20"/>
                <w:rtl/>
              </w:rPr>
              <w:t>95</w:t>
            </w:r>
            <w:r w:rsidRPr="00E90634">
              <w:rPr>
                <w:rFonts w:ascii="Simplified Arabic" w:hAnsi="Simplified Arabic"/>
                <w:szCs w:val="20"/>
                <w:rtl/>
              </w:rPr>
              <w:t xml:space="preserve"> </w:t>
            </w:r>
            <w:r w:rsidRPr="00AF3116">
              <w:rPr>
                <w:rFonts w:ascii="Simplified Arabic" w:hAnsi="Simplified Arabic"/>
                <w:szCs w:val="20"/>
                <w:rtl/>
              </w:rPr>
              <w:t>733</w:t>
            </w:r>
            <w:r w:rsidRPr="00E90634">
              <w:rPr>
                <w:rFonts w:ascii="Simplified Arabic" w:hAnsi="Simplified Arabic"/>
                <w:szCs w:val="20"/>
                <w:rtl/>
              </w:rPr>
              <w:t xml:space="preserve"> </w:t>
            </w:r>
            <w:r w:rsidRPr="00AF3116">
              <w:rPr>
                <w:rFonts w:ascii="Simplified Arabic" w:hAnsi="Simplified Arabic"/>
                <w:szCs w:val="20"/>
                <w:rtl/>
              </w:rPr>
              <w:t>6</w:t>
            </w:r>
            <w:r w:rsidR="003C7406" w:rsidRPr="00E90634">
              <w:rPr>
                <w:rFonts w:ascii="Simplified Arabic" w:hAnsi="Simplified Arabic"/>
                <w:szCs w:val="20"/>
                <w:rtl/>
              </w:rPr>
              <w:br/>
            </w:r>
            <w:r w:rsidRPr="00E90634">
              <w:rPr>
                <w:rFonts w:ascii="Simplified Arabic" w:hAnsi="Simplified Arabic"/>
                <w:szCs w:val="20"/>
                <w:rtl/>
              </w:rPr>
              <w:t>(</w:t>
            </w:r>
            <w:r w:rsidRPr="00AF3116">
              <w:rPr>
                <w:rFonts w:ascii="Simplified Arabic" w:hAnsi="Simplified Arabic"/>
                <w:szCs w:val="20"/>
                <w:rtl/>
              </w:rPr>
              <w:t>265</w:t>
            </w:r>
            <w:r w:rsidRPr="00E90634">
              <w:rPr>
                <w:rFonts w:ascii="Simplified Arabic" w:hAnsi="Simplified Arabic"/>
                <w:szCs w:val="20"/>
                <w:rtl/>
              </w:rPr>
              <w:t>,</w:t>
            </w:r>
            <w:r w:rsidRPr="00AF3116">
              <w:rPr>
                <w:rFonts w:ascii="Simplified Arabic" w:hAnsi="Simplified Arabic"/>
                <w:szCs w:val="20"/>
                <w:rtl/>
              </w:rPr>
              <w:t>42</w:t>
            </w:r>
            <w:r w:rsidRPr="00E90634">
              <w:rPr>
                <w:rFonts w:ascii="Simplified Arabic" w:hAnsi="Simplified Arabic"/>
                <w:szCs w:val="20"/>
                <w:rtl/>
              </w:rPr>
              <w:t xml:space="preserve"> </w:t>
            </w:r>
            <w:r w:rsidRPr="00AF3116">
              <w:rPr>
                <w:rFonts w:ascii="Simplified Arabic" w:hAnsi="Simplified Arabic"/>
                <w:szCs w:val="20"/>
                <w:rtl/>
              </w:rPr>
              <w:t>211</w:t>
            </w:r>
            <w:r w:rsidRPr="00E90634">
              <w:rPr>
                <w:rFonts w:ascii="Simplified Arabic" w:hAnsi="Simplified Arabic"/>
                <w:szCs w:val="20"/>
                <w:rtl/>
              </w:rPr>
              <w:t xml:space="preserve"> دولاراً أمريكياً)</w:t>
            </w:r>
          </w:p>
        </w:tc>
      </w:tr>
      <w:tr w:rsidR="00DE3D9F" w:rsidRPr="00E90634" w14:paraId="3C36455D" w14:textId="77777777" w:rsidTr="003B756C">
        <w:tc>
          <w:tcPr>
            <w:tcW w:w="2432" w:type="dxa"/>
            <w:vMerge/>
            <w:shd w:val="clear" w:color="auto" w:fill="auto"/>
          </w:tcPr>
          <w:p w14:paraId="31B8AD8A" w14:textId="77777777" w:rsidR="00DE3D9F" w:rsidRPr="00E90634" w:rsidRDefault="00DE3D9F" w:rsidP="003B756C">
            <w:pPr>
              <w:spacing w:before="40" w:after="40" w:line="360" w:lineRule="exact"/>
              <w:ind w:left="57" w:right="57"/>
              <w:jc w:val="left"/>
              <w:rPr>
                <w:rFonts w:ascii="Simplified Arabic" w:hAnsi="Simplified Arabic"/>
                <w:szCs w:val="20"/>
              </w:rPr>
            </w:pPr>
          </w:p>
        </w:tc>
        <w:tc>
          <w:tcPr>
            <w:tcW w:w="2206" w:type="dxa"/>
            <w:gridSpan w:val="2"/>
            <w:tcBorders>
              <w:top w:val="single" w:sz="4" w:space="0" w:color="auto"/>
              <w:bottom w:val="single" w:sz="12" w:space="0" w:color="auto"/>
            </w:tcBorders>
            <w:shd w:val="clear" w:color="auto" w:fill="auto"/>
            <w:vAlign w:val="bottom"/>
          </w:tcPr>
          <w:p w14:paraId="14E66519" w14:textId="77777777" w:rsidR="00DE3D9F" w:rsidRPr="00E90634" w:rsidRDefault="00DE3D9F" w:rsidP="003B756C">
            <w:pPr>
              <w:spacing w:before="40" w:after="40" w:line="360" w:lineRule="exact"/>
              <w:ind w:left="57" w:right="57"/>
              <w:jc w:val="left"/>
              <w:textDirection w:val="tbRlV"/>
              <w:rPr>
                <w:rFonts w:ascii="Simplified Arabic" w:hAnsi="Simplified Arabic"/>
                <w:b/>
                <w:szCs w:val="20"/>
                <w:lang w:val="ar-SA" w:eastAsia="zh-TW" w:bidi="en-GB"/>
              </w:rPr>
            </w:pPr>
            <w:r w:rsidRPr="00AF3116">
              <w:rPr>
                <w:rFonts w:ascii="Simplified Arabic" w:hAnsi="Simplified Arabic"/>
                <w:b/>
                <w:bCs/>
                <w:szCs w:val="20"/>
                <w:rtl/>
              </w:rPr>
              <w:t>المجموع</w:t>
            </w:r>
          </w:p>
        </w:tc>
        <w:tc>
          <w:tcPr>
            <w:tcW w:w="2732" w:type="dxa"/>
            <w:gridSpan w:val="3"/>
            <w:tcBorders>
              <w:top w:val="single" w:sz="4" w:space="0" w:color="auto"/>
              <w:bottom w:val="single" w:sz="12" w:space="0" w:color="auto"/>
            </w:tcBorders>
            <w:shd w:val="clear" w:color="auto" w:fill="auto"/>
            <w:vAlign w:val="bottom"/>
          </w:tcPr>
          <w:p w14:paraId="65C11B04" w14:textId="3C635B2C" w:rsidR="00DE3D9F" w:rsidRPr="00AF3116" w:rsidRDefault="00DE3D9F" w:rsidP="003B756C">
            <w:pPr>
              <w:spacing w:before="40" w:after="40" w:line="360" w:lineRule="exact"/>
              <w:ind w:left="57" w:right="57"/>
              <w:jc w:val="left"/>
              <w:textDirection w:val="tbRlV"/>
              <w:rPr>
                <w:rFonts w:ascii="Simplified Arabic" w:hAnsi="Simplified Arabic"/>
                <w:b/>
                <w:bCs/>
                <w:szCs w:val="20"/>
                <w:lang w:val="ar-SA" w:eastAsia="zh-TW" w:bidi="en-GB"/>
              </w:rPr>
            </w:pPr>
            <w:r w:rsidRPr="00AF3116">
              <w:rPr>
                <w:rFonts w:ascii="Simplified Arabic" w:hAnsi="Simplified Arabic"/>
                <w:b/>
                <w:bCs/>
                <w:szCs w:val="20"/>
                <w:rtl/>
              </w:rPr>
              <w:t xml:space="preserve">625,46 960 6 </w:t>
            </w:r>
            <w:r w:rsidR="003C7406" w:rsidRPr="00AF3116">
              <w:rPr>
                <w:rFonts w:ascii="Simplified Arabic" w:hAnsi="Simplified Arabic"/>
                <w:b/>
                <w:bCs/>
                <w:szCs w:val="20"/>
                <w:rtl/>
              </w:rPr>
              <w:br/>
            </w:r>
            <w:r w:rsidRPr="00AF3116">
              <w:rPr>
                <w:rFonts w:ascii="Simplified Arabic" w:hAnsi="Simplified Arabic"/>
                <w:b/>
                <w:bCs/>
                <w:szCs w:val="20"/>
                <w:rtl/>
              </w:rPr>
              <w:t>(406,82 218 دولارات أمريكية)</w:t>
            </w:r>
          </w:p>
        </w:tc>
      </w:tr>
    </w:tbl>
    <w:p w14:paraId="090FE39F" w14:textId="77777777" w:rsidR="00DE3D9F" w:rsidRPr="00AF3116" w:rsidRDefault="00DE3D9F" w:rsidP="00AD7242">
      <w:pPr>
        <w:pStyle w:val="H23GA"/>
        <w:rPr>
          <w:lang w:val="ar-SA" w:eastAsia="zh-TW" w:bidi="en-GB"/>
        </w:rPr>
      </w:pPr>
      <w:r w:rsidRPr="00AF3116">
        <w:rPr>
          <w:rtl/>
        </w:rPr>
        <w:lastRenderedPageBreak/>
        <w:tab/>
      </w:r>
      <w:r w:rsidRPr="00AF3116">
        <w:rPr>
          <w:rtl/>
        </w:rPr>
        <w:tab/>
        <w:t>العمالة</w:t>
      </w:r>
    </w:p>
    <w:p w14:paraId="419BEE47" w14:textId="77777777" w:rsidR="00DE3D9F" w:rsidRPr="001B6C67" w:rsidRDefault="00DE3D9F" w:rsidP="00DE3D9F">
      <w:pPr>
        <w:pStyle w:val="SingleTxtGA"/>
        <w:rPr>
          <w:lang w:val="ar-SA" w:eastAsia="zh-TW" w:bidi="en-GB"/>
        </w:rPr>
      </w:pPr>
      <w:r w:rsidRPr="00AF3116">
        <w:rPr>
          <w:rtl/>
        </w:rPr>
        <w:t>16</w:t>
      </w:r>
      <w:r w:rsidRPr="001B6C67">
        <w:rPr>
          <w:rtl/>
        </w:rPr>
        <w:t>-</w:t>
      </w:r>
      <w:r w:rsidRPr="001B6C67">
        <w:rPr>
          <w:rtl/>
        </w:rPr>
        <w:tab/>
        <w:t xml:space="preserve">بقي معدل البطالة منخفضاً في عام </w:t>
      </w:r>
      <w:r w:rsidRPr="00AF3116">
        <w:rPr>
          <w:rtl/>
        </w:rPr>
        <w:t>2019</w:t>
      </w:r>
      <w:r w:rsidRPr="001B6C67">
        <w:rPr>
          <w:rtl/>
        </w:rPr>
        <w:t xml:space="preserve"> عند </w:t>
      </w:r>
      <w:r w:rsidRPr="00AF3116">
        <w:rPr>
          <w:rtl/>
        </w:rPr>
        <w:t>0</w:t>
      </w:r>
      <w:r w:rsidRPr="001B6C67">
        <w:rPr>
          <w:rtl/>
        </w:rPr>
        <w:t>,</w:t>
      </w:r>
      <w:r w:rsidRPr="00AF3116">
        <w:rPr>
          <w:rtl/>
        </w:rPr>
        <w:t>99</w:t>
      </w:r>
      <w:r w:rsidRPr="001B6C67">
        <w:rPr>
          <w:rtl/>
        </w:rPr>
        <w:t xml:space="preserve"> في المائة، </w:t>
      </w:r>
      <w:r>
        <w:rPr>
          <w:rtl/>
        </w:rPr>
        <w:t xml:space="preserve">مما </w:t>
      </w:r>
      <w:r w:rsidRPr="001B6C67">
        <w:rPr>
          <w:rtl/>
        </w:rPr>
        <w:t xml:space="preserve">يمثل </w:t>
      </w:r>
      <w:r w:rsidRPr="00AF3116">
        <w:rPr>
          <w:rtl/>
        </w:rPr>
        <w:t>000</w:t>
      </w:r>
      <w:r w:rsidRPr="001B6C67">
        <w:rPr>
          <w:rtl/>
        </w:rPr>
        <w:t xml:space="preserve"> </w:t>
      </w:r>
      <w:r w:rsidRPr="00AF3116">
        <w:rPr>
          <w:rtl/>
        </w:rPr>
        <w:t>370</w:t>
      </w:r>
      <w:r w:rsidRPr="001B6C67">
        <w:rPr>
          <w:rtl/>
        </w:rPr>
        <w:t xml:space="preserve"> عاطل عن العمل. وزاد المتوسط العام للأجور ومتوسط الأجور في القطاع الخاص بنسبة </w:t>
      </w:r>
      <w:r w:rsidRPr="00AF3116">
        <w:rPr>
          <w:rtl/>
        </w:rPr>
        <w:t>2</w:t>
      </w:r>
      <w:r w:rsidRPr="001B6C67">
        <w:rPr>
          <w:rtl/>
        </w:rPr>
        <w:t>,</w:t>
      </w:r>
      <w:r w:rsidRPr="00AF3116">
        <w:rPr>
          <w:rtl/>
        </w:rPr>
        <w:t>3</w:t>
      </w:r>
      <w:r w:rsidRPr="001B6C67">
        <w:rPr>
          <w:rtl/>
        </w:rPr>
        <w:t xml:space="preserve"> و</w:t>
      </w:r>
      <w:r w:rsidRPr="00AF3116">
        <w:rPr>
          <w:rtl/>
        </w:rPr>
        <w:t>3</w:t>
      </w:r>
      <w:r w:rsidRPr="001B6C67">
        <w:rPr>
          <w:rtl/>
        </w:rPr>
        <w:t>,</w:t>
      </w:r>
      <w:r w:rsidRPr="00AF3116">
        <w:rPr>
          <w:rtl/>
        </w:rPr>
        <w:t>3</w:t>
      </w:r>
      <w:r w:rsidRPr="001B6C67">
        <w:rPr>
          <w:rtl/>
        </w:rPr>
        <w:t xml:space="preserve"> في المائة على التوالي. وزادت إنتاجية العمل بنسبة </w:t>
      </w:r>
      <w:r w:rsidRPr="00AF3116">
        <w:rPr>
          <w:rtl/>
        </w:rPr>
        <w:t>3</w:t>
      </w:r>
      <w:r w:rsidRPr="001B6C67">
        <w:rPr>
          <w:rtl/>
        </w:rPr>
        <w:t>,</w:t>
      </w:r>
      <w:r w:rsidRPr="00AF3116">
        <w:rPr>
          <w:rtl/>
        </w:rPr>
        <w:t>1</w:t>
      </w:r>
      <w:r w:rsidRPr="001B6C67">
        <w:rPr>
          <w:rtl/>
        </w:rPr>
        <w:t xml:space="preserve"> في المائة مقارنة بالعام السابق. </w:t>
      </w:r>
    </w:p>
    <w:p w14:paraId="1610F762" w14:textId="77777777" w:rsidR="00DE3D9F" w:rsidRPr="001B6C67" w:rsidRDefault="00DE3D9F" w:rsidP="00DE3D9F">
      <w:pPr>
        <w:pStyle w:val="SingleTxtGA"/>
        <w:rPr>
          <w:lang w:val="ar-SA" w:eastAsia="zh-TW" w:bidi="en-GB"/>
        </w:rPr>
      </w:pPr>
      <w:r w:rsidRPr="00AF3116">
        <w:rPr>
          <w:rtl/>
        </w:rPr>
        <w:t>17</w:t>
      </w:r>
      <w:r w:rsidRPr="001B6C67">
        <w:rPr>
          <w:rtl/>
        </w:rPr>
        <w:t>-</w:t>
      </w:r>
      <w:r w:rsidRPr="001B6C67">
        <w:rPr>
          <w:rtl/>
        </w:rPr>
        <w:tab/>
        <w:t xml:space="preserve">وظلت العمالة في قطاع الخدمات تتزايد في عام </w:t>
      </w:r>
      <w:r w:rsidRPr="00AF3116">
        <w:rPr>
          <w:rtl/>
        </w:rPr>
        <w:t>2019</w:t>
      </w:r>
      <w:r w:rsidRPr="001B6C67">
        <w:rPr>
          <w:rtl/>
        </w:rPr>
        <w:t>، لا سيما في قطاع الفنادق/المطاعم (</w:t>
      </w:r>
      <w:r w:rsidRPr="00AF3116">
        <w:rPr>
          <w:rtl/>
        </w:rPr>
        <w:t>0</w:t>
      </w:r>
      <w:r w:rsidRPr="001B6C67">
        <w:rPr>
          <w:rtl/>
        </w:rPr>
        <w:t>,</w:t>
      </w:r>
      <w:r w:rsidRPr="00AF3116">
        <w:rPr>
          <w:rtl/>
        </w:rPr>
        <w:t>8</w:t>
      </w:r>
      <w:r w:rsidRPr="001B6C67">
        <w:rPr>
          <w:rtl/>
        </w:rPr>
        <w:t xml:space="preserve"> في المائة). وبالإضافة إلى ذلك، ظلت العمالة في قطاع</w:t>
      </w:r>
      <w:r>
        <w:rPr>
          <w:rtl/>
        </w:rPr>
        <w:t>ي</w:t>
      </w:r>
      <w:r w:rsidRPr="001B6C67">
        <w:rPr>
          <w:rtl/>
        </w:rPr>
        <w:t xml:space="preserve"> البناء والنقل تتزايد بنسبة </w:t>
      </w:r>
      <w:r w:rsidRPr="00AF3116">
        <w:rPr>
          <w:rtl/>
        </w:rPr>
        <w:t>3</w:t>
      </w:r>
      <w:r w:rsidRPr="001B6C67">
        <w:rPr>
          <w:rtl/>
        </w:rPr>
        <w:t>,</w:t>
      </w:r>
      <w:r w:rsidRPr="00AF3116">
        <w:rPr>
          <w:rtl/>
        </w:rPr>
        <w:t>3</w:t>
      </w:r>
      <w:r w:rsidRPr="001B6C67">
        <w:rPr>
          <w:rtl/>
        </w:rPr>
        <w:t xml:space="preserve"> و</w:t>
      </w:r>
      <w:r w:rsidRPr="00AF3116">
        <w:rPr>
          <w:rtl/>
        </w:rPr>
        <w:t>3</w:t>
      </w:r>
      <w:r w:rsidRPr="001B6C67">
        <w:rPr>
          <w:rtl/>
        </w:rPr>
        <w:t>,</w:t>
      </w:r>
      <w:r w:rsidRPr="00AF3116">
        <w:rPr>
          <w:rtl/>
        </w:rPr>
        <w:t>7</w:t>
      </w:r>
      <w:r w:rsidRPr="001B6C67">
        <w:rPr>
          <w:rtl/>
        </w:rPr>
        <w:t xml:space="preserve"> في المائة، على التوالي، بفضل نمو الاستثمار العام والتجارة/الطلب عبر الإنترنت من خلال منصات مختلفة. </w:t>
      </w:r>
    </w:p>
    <w:p w14:paraId="23EF190F" w14:textId="77777777" w:rsidR="00DE3D9F" w:rsidRPr="001B6C67" w:rsidRDefault="00DE3D9F" w:rsidP="00DE3D9F">
      <w:pPr>
        <w:pStyle w:val="SingleTxtGA"/>
        <w:rPr>
          <w:lang w:val="ar-SA" w:eastAsia="zh-TW" w:bidi="en-GB"/>
        </w:rPr>
      </w:pPr>
      <w:r w:rsidRPr="00AF3116">
        <w:rPr>
          <w:rtl/>
        </w:rPr>
        <w:t>18</w:t>
      </w:r>
      <w:r w:rsidRPr="001B6C67">
        <w:rPr>
          <w:rtl/>
        </w:rPr>
        <w:t>-</w:t>
      </w:r>
      <w:r w:rsidRPr="001B6C67">
        <w:rPr>
          <w:rtl/>
        </w:rPr>
        <w:tab/>
        <w:t xml:space="preserve">لكن العمالة الإجمالية في تايلاند انخفضت في عام </w:t>
      </w:r>
      <w:r w:rsidRPr="00AF3116">
        <w:rPr>
          <w:rtl/>
        </w:rPr>
        <w:t>2019</w:t>
      </w:r>
      <w:r w:rsidRPr="001B6C67">
        <w:rPr>
          <w:rtl/>
        </w:rPr>
        <w:t xml:space="preserve"> بنسبة </w:t>
      </w:r>
      <w:r w:rsidRPr="00AF3116">
        <w:rPr>
          <w:rtl/>
        </w:rPr>
        <w:t>0</w:t>
      </w:r>
      <w:r w:rsidRPr="001B6C67">
        <w:rPr>
          <w:rtl/>
        </w:rPr>
        <w:t>,</w:t>
      </w:r>
      <w:r w:rsidRPr="00AF3116">
        <w:rPr>
          <w:rtl/>
        </w:rPr>
        <w:t>7</w:t>
      </w:r>
      <w:r w:rsidRPr="001B6C67">
        <w:rPr>
          <w:rtl/>
        </w:rPr>
        <w:t xml:space="preserve"> في المائة. وقد تأثر سوق العمل بعوامل دورية بسبب تباطؤ اقتصادي أدى إلى انخفاض العمالة من خلال الإنتاج والصادرات، فضلاً عن </w:t>
      </w:r>
      <w:r>
        <w:rPr>
          <w:rtl/>
        </w:rPr>
        <w:t>أثر</w:t>
      </w:r>
      <w:r w:rsidRPr="001B6C67">
        <w:rPr>
          <w:rtl/>
        </w:rPr>
        <w:t xml:space="preserve"> هيكلي </w:t>
      </w:r>
      <w:r>
        <w:rPr>
          <w:rtl/>
        </w:rPr>
        <w:t>ي</w:t>
      </w:r>
      <w:r w:rsidRPr="001B6C67">
        <w:rPr>
          <w:rtl/>
        </w:rPr>
        <w:t>شمل تغييراً في هيكل سوق العمل في تايلاند وزيادة في فرص الحصول على التعليم، مما يمكن أن يتسبب في بطء دخول العمالة إلى السوق، والتقدم التكنولوجي.</w:t>
      </w:r>
    </w:p>
    <w:p w14:paraId="26A11F9B" w14:textId="7B02F0C3" w:rsidR="00DE3D9F" w:rsidRPr="001B6C67" w:rsidRDefault="00DE3D9F" w:rsidP="00DE3D9F">
      <w:pPr>
        <w:pStyle w:val="SingleTxtGA"/>
        <w:rPr>
          <w:lang w:val="ar-SA" w:eastAsia="zh-TW" w:bidi="en-GB"/>
        </w:rPr>
      </w:pPr>
      <w:r w:rsidRPr="00AF3116">
        <w:rPr>
          <w:rtl/>
        </w:rPr>
        <w:t>19</w:t>
      </w:r>
      <w:r w:rsidRPr="001B6C67">
        <w:rPr>
          <w:rtl/>
        </w:rPr>
        <w:t>-</w:t>
      </w:r>
      <w:r w:rsidRPr="001B6C67">
        <w:rPr>
          <w:rtl/>
        </w:rPr>
        <w:tab/>
        <w:t xml:space="preserve">وفي آذار/مارس </w:t>
      </w:r>
      <w:r w:rsidRPr="00AF3116">
        <w:rPr>
          <w:rtl/>
        </w:rPr>
        <w:t>2019</w:t>
      </w:r>
      <w:r w:rsidRPr="001B6C67">
        <w:rPr>
          <w:rtl/>
        </w:rPr>
        <w:t xml:space="preserve">، بلغ عدد الأشخاص </w:t>
      </w:r>
      <w:r>
        <w:rPr>
          <w:rtl/>
        </w:rPr>
        <w:t>في</w:t>
      </w:r>
      <w:r w:rsidRPr="001B6C67">
        <w:rPr>
          <w:rtl/>
        </w:rPr>
        <w:t xml:space="preserve"> القوة العاملة المسجلين لدى النقابات العمالية</w:t>
      </w:r>
      <w:r w:rsidR="007B06D9">
        <w:rPr>
          <w:rFonts w:hint="cs"/>
          <w:rtl/>
        </w:rPr>
        <w:t> </w:t>
      </w:r>
      <w:r w:rsidRPr="00AF3116">
        <w:rPr>
          <w:rtl/>
        </w:rPr>
        <w:t>492</w:t>
      </w:r>
      <w:r w:rsidRPr="001B6C67">
        <w:rPr>
          <w:rtl/>
        </w:rPr>
        <w:t xml:space="preserve"> </w:t>
      </w:r>
      <w:r w:rsidRPr="00AF3116">
        <w:rPr>
          <w:rtl/>
        </w:rPr>
        <w:t>616</w:t>
      </w:r>
      <w:r w:rsidRPr="001B6C67">
        <w:rPr>
          <w:rtl/>
        </w:rPr>
        <w:t xml:space="preserve"> شخصاً.</w:t>
      </w:r>
    </w:p>
    <w:p w14:paraId="0E4637E8" w14:textId="77777777" w:rsidR="00DE3D9F" w:rsidRPr="00AF3116" w:rsidRDefault="00DE3D9F" w:rsidP="00AD7242">
      <w:pPr>
        <w:pStyle w:val="H23GA"/>
        <w:rPr>
          <w:lang w:val="ar-SA" w:eastAsia="zh-TW" w:bidi="en-GB"/>
        </w:rPr>
      </w:pPr>
      <w:r w:rsidRPr="00AF3116">
        <w:rPr>
          <w:rtl/>
        </w:rPr>
        <w:tab/>
      </w:r>
      <w:r w:rsidRPr="00AF3116">
        <w:rPr>
          <w:rtl/>
        </w:rPr>
        <w:tab/>
        <w:t>النفقات الاستهلاكية للأسر المعيشية</w:t>
      </w:r>
    </w:p>
    <w:p w14:paraId="36DB7468" w14:textId="63F3EECE" w:rsidR="00DE3D9F" w:rsidRPr="007B06D9" w:rsidRDefault="00DE3D9F" w:rsidP="00DE3D9F">
      <w:pPr>
        <w:pStyle w:val="SingleTxtGA"/>
        <w:rPr>
          <w:lang w:val="en-US" w:eastAsia="zh-TW" w:bidi="en-GB"/>
        </w:rPr>
      </w:pPr>
      <w:bookmarkStart w:id="6" w:name="_Ref51892242"/>
      <w:r w:rsidRPr="00AF3116">
        <w:rPr>
          <w:rtl/>
        </w:rPr>
        <w:t>20</w:t>
      </w:r>
      <w:r w:rsidRPr="001B6C67">
        <w:rPr>
          <w:rtl/>
        </w:rPr>
        <w:t>-</w:t>
      </w:r>
      <w:r w:rsidRPr="001B6C67">
        <w:rPr>
          <w:rtl/>
        </w:rPr>
        <w:tab/>
        <w:t xml:space="preserve">في عام </w:t>
      </w:r>
      <w:r w:rsidRPr="00AF3116">
        <w:rPr>
          <w:rtl/>
        </w:rPr>
        <w:t>2019</w:t>
      </w:r>
      <w:r w:rsidRPr="001B6C67">
        <w:rPr>
          <w:rtl/>
        </w:rPr>
        <w:t>، شملت النفقات الاستهلاكية للأسر المعيشية في تايلاند بشكل رئيسي الأغذية والمشروبات غير الكحولية (</w:t>
      </w:r>
      <w:r w:rsidRPr="00AF3116">
        <w:rPr>
          <w:rtl/>
        </w:rPr>
        <w:t>38</w:t>
      </w:r>
      <w:r w:rsidRPr="001B6C67">
        <w:rPr>
          <w:rtl/>
        </w:rPr>
        <w:t>,</w:t>
      </w:r>
      <w:r w:rsidRPr="00AF3116">
        <w:rPr>
          <w:rtl/>
        </w:rPr>
        <w:t>31</w:t>
      </w:r>
      <w:r w:rsidRPr="001B6C67">
        <w:rPr>
          <w:rtl/>
        </w:rPr>
        <w:t xml:space="preserve"> في المائة)، والمشروبات الكحولية (</w:t>
      </w:r>
      <w:r w:rsidRPr="00AF3116">
        <w:rPr>
          <w:rtl/>
        </w:rPr>
        <w:t>1</w:t>
      </w:r>
      <w:r w:rsidRPr="001B6C67">
        <w:rPr>
          <w:rtl/>
        </w:rPr>
        <w:t>,</w:t>
      </w:r>
      <w:r w:rsidRPr="00AF3116">
        <w:rPr>
          <w:rtl/>
        </w:rPr>
        <w:t>37</w:t>
      </w:r>
      <w:r w:rsidRPr="001B6C67">
        <w:rPr>
          <w:rtl/>
        </w:rPr>
        <w:t xml:space="preserve"> في المائة)، ومنتجات التبغ</w:t>
      </w:r>
      <w:r w:rsidR="007D3947">
        <w:rPr>
          <w:rFonts w:hint="cs"/>
          <w:rtl/>
        </w:rPr>
        <w:t> </w:t>
      </w:r>
      <w:r w:rsidRPr="001B6C67">
        <w:rPr>
          <w:rtl/>
        </w:rPr>
        <w:t>(</w:t>
      </w:r>
      <w:r w:rsidRPr="00AF3116">
        <w:rPr>
          <w:rtl/>
        </w:rPr>
        <w:t>0</w:t>
      </w:r>
      <w:r w:rsidRPr="001B6C67">
        <w:rPr>
          <w:rtl/>
        </w:rPr>
        <w:t>,</w:t>
      </w:r>
      <w:r w:rsidRPr="00AF3116">
        <w:rPr>
          <w:rtl/>
        </w:rPr>
        <w:t>68</w:t>
      </w:r>
      <w:r w:rsidRPr="001B6C67">
        <w:rPr>
          <w:rtl/>
        </w:rPr>
        <w:t xml:space="preserve"> في المائة)، والسلع المنزلية (</w:t>
      </w:r>
      <w:r w:rsidRPr="00AF3116">
        <w:rPr>
          <w:rtl/>
        </w:rPr>
        <w:t>23</w:t>
      </w:r>
      <w:r w:rsidRPr="001B6C67">
        <w:rPr>
          <w:rtl/>
        </w:rPr>
        <w:t>,</w:t>
      </w:r>
      <w:r w:rsidRPr="00AF3116">
        <w:rPr>
          <w:rtl/>
        </w:rPr>
        <w:t>38</w:t>
      </w:r>
      <w:r w:rsidRPr="001B6C67">
        <w:rPr>
          <w:rtl/>
        </w:rPr>
        <w:t xml:space="preserve"> في المائة)، والملابس والأحذية (</w:t>
      </w:r>
      <w:r w:rsidRPr="00AF3116">
        <w:rPr>
          <w:rtl/>
        </w:rPr>
        <w:t>2</w:t>
      </w:r>
      <w:r w:rsidRPr="001B6C67">
        <w:rPr>
          <w:rtl/>
        </w:rPr>
        <w:t>,</w:t>
      </w:r>
      <w:r w:rsidRPr="00AF3116">
        <w:rPr>
          <w:rtl/>
        </w:rPr>
        <w:t>50</w:t>
      </w:r>
      <w:r w:rsidRPr="001B6C67">
        <w:rPr>
          <w:rtl/>
        </w:rPr>
        <w:t xml:space="preserve"> في المائة)، والنفقات الشخصية (</w:t>
      </w:r>
      <w:r w:rsidRPr="00AF3116">
        <w:rPr>
          <w:rtl/>
        </w:rPr>
        <w:t>3</w:t>
      </w:r>
      <w:r w:rsidRPr="001B6C67">
        <w:rPr>
          <w:rtl/>
        </w:rPr>
        <w:t>,</w:t>
      </w:r>
      <w:r w:rsidRPr="00AF3116">
        <w:rPr>
          <w:rtl/>
        </w:rPr>
        <w:t>43</w:t>
      </w:r>
      <w:r w:rsidRPr="001B6C67">
        <w:rPr>
          <w:rtl/>
        </w:rPr>
        <w:t xml:space="preserve"> في المائة)، والصحة (</w:t>
      </w:r>
      <w:r w:rsidRPr="00AF3116">
        <w:rPr>
          <w:rtl/>
        </w:rPr>
        <w:t>1</w:t>
      </w:r>
      <w:r w:rsidRPr="001B6C67">
        <w:rPr>
          <w:rtl/>
        </w:rPr>
        <w:t>,</w:t>
      </w:r>
      <w:r w:rsidRPr="00AF3116">
        <w:rPr>
          <w:rtl/>
        </w:rPr>
        <w:t>78</w:t>
      </w:r>
      <w:r w:rsidRPr="001B6C67">
        <w:rPr>
          <w:rtl/>
        </w:rPr>
        <w:t xml:space="preserve"> في المائة)، والنقل والاتصالات (</w:t>
      </w:r>
      <w:r w:rsidRPr="00AF3116">
        <w:rPr>
          <w:rtl/>
        </w:rPr>
        <w:t>23</w:t>
      </w:r>
      <w:r w:rsidRPr="001B6C67">
        <w:rPr>
          <w:rtl/>
        </w:rPr>
        <w:t>,</w:t>
      </w:r>
      <w:r w:rsidRPr="00AF3116">
        <w:rPr>
          <w:rtl/>
        </w:rPr>
        <w:t>94</w:t>
      </w:r>
      <w:r w:rsidRPr="001B6C67">
        <w:rPr>
          <w:rtl/>
        </w:rPr>
        <w:t xml:space="preserve"> في المائة)، والتعليم (</w:t>
      </w:r>
      <w:r w:rsidRPr="00AF3116">
        <w:rPr>
          <w:rtl/>
        </w:rPr>
        <w:t>2</w:t>
      </w:r>
      <w:r w:rsidRPr="001B6C67">
        <w:rPr>
          <w:rtl/>
        </w:rPr>
        <w:t>,</w:t>
      </w:r>
      <w:r w:rsidRPr="00AF3116">
        <w:rPr>
          <w:rtl/>
        </w:rPr>
        <w:t>02</w:t>
      </w:r>
      <w:r w:rsidRPr="001B6C67">
        <w:rPr>
          <w:rtl/>
        </w:rPr>
        <w:t xml:space="preserve"> في المائة)، والترفيه والقراءة والأنشطة الدينية (</w:t>
      </w:r>
      <w:r w:rsidRPr="00AF3116">
        <w:rPr>
          <w:rtl/>
        </w:rPr>
        <w:t>1</w:t>
      </w:r>
      <w:r w:rsidRPr="001B6C67">
        <w:rPr>
          <w:rtl/>
        </w:rPr>
        <w:t>,</w:t>
      </w:r>
      <w:r w:rsidRPr="00AF3116">
        <w:rPr>
          <w:rtl/>
        </w:rPr>
        <w:t>77</w:t>
      </w:r>
      <w:r w:rsidRPr="001B6C67">
        <w:rPr>
          <w:rtl/>
        </w:rPr>
        <w:t xml:space="preserve"> في المائة)، والنفقات الثقافية</w:t>
      </w:r>
      <w:r w:rsidR="007D3947">
        <w:rPr>
          <w:rFonts w:hint="cs"/>
          <w:rtl/>
        </w:rPr>
        <w:t> </w:t>
      </w:r>
      <w:r w:rsidRPr="001B6C67">
        <w:rPr>
          <w:rtl/>
        </w:rPr>
        <w:t>(</w:t>
      </w:r>
      <w:r w:rsidRPr="00AF3116">
        <w:rPr>
          <w:rtl/>
        </w:rPr>
        <w:t>0</w:t>
      </w:r>
      <w:r w:rsidRPr="001B6C67">
        <w:rPr>
          <w:rtl/>
        </w:rPr>
        <w:t>,</w:t>
      </w:r>
      <w:r w:rsidRPr="00AF3116">
        <w:rPr>
          <w:rtl/>
        </w:rPr>
        <w:t>82</w:t>
      </w:r>
      <w:r w:rsidRPr="001B6C67">
        <w:rPr>
          <w:rtl/>
        </w:rPr>
        <w:t xml:space="preserve"> في المائة).</w:t>
      </w:r>
      <w:bookmarkEnd w:id="6"/>
    </w:p>
    <w:p w14:paraId="1C0D8B4E" w14:textId="77777777" w:rsidR="00DE3D9F" w:rsidRPr="001B6C67" w:rsidRDefault="00DE3D9F" w:rsidP="00DE3D9F">
      <w:pPr>
        <w:pStyle w:val="SingleTxtGA"/>
        <w:rPr>
          <w:lang w:val="ar-SA" w:eastAsia="zh-TW" w:bidi="en-GB"/>
        </w:rPr>
      </w:pPr>
      <w:r w:rsidRPr="00AF3116">
        <w:rPr>
          <w:rtl/>
        </w:rPr>
        <w:t>21</w:t>
      </w:r>
      <w:r w:rsidRPr="001B6C67">
        <w:rPr>
          <w:rtl/>
        </w:rPr>
        <w:t>-</w:t>
      </w:r>
      <w:r w:rsidRPr="001B6C67">
        <w:rPr>
          <w:rtl/>
        </w:rPr>
        <w:tab/>
        <w:t xml:space="preserve">وبلغ معامل جيني المتعلق بتوزيع الدخل أو الإنفاق الاستهلاكي للأسر المعيشية </w:t>
      </w:r>
      <w:r w:rsidRPr="00AF3116">
        <w:rPr>
          <w:rtl/>
        </w:rPr>
        <w:t>0</w:t>
      </w:r>
      <w:r w:rsidRPr="001B6C67">
        <w:rPr>
          <w:rtl/>
        </w:rPr>
        <w:t>,</w:t>
      </w:r>
      <w:r w:rsidRPr="00AF3116">
        <w:rPr>
          <w:rtl/>
        </w:rPr>
        <w:t>364</w:t>
      </w:r>
      <w:r w:rsidRPr="001B6C67">
        <w:rPr>
          <w:rtl/>
        </w:rPr>
        <w:t xml:space="preserve"> في عام </w:t>
      </w:r>
      <w:r w:rsidRPr="00AF3116">
        <w:rPr>
          <w:rtl/>
        </w:rPr>
        <w:t>2019</w:t>
      </w:r>
      <w:r w:rsidRPr="001B6C67">
        <w:rPr>
          <w:rtl/>
        </w:rPr>
        <w:t>.</w:t>
      </w:r>
    </w:p>
    <w:p w14:paraId="4EA5FACA" w14:textId="77777777" w:rsidR="00DE3D9F" w:rsidRPr="00AF3116" w:rsidRDefault="00DE3D9F" w:rsidP="00AD7242">
      <w:pPr>
        <w:pStyle w:val="H23GA"/>
        <w:rPr>
          <w:lang w:val="ar-SA" w:eastAsia="zh-TW" w:bidi="en-GB"/>
        </w:rPr>
      </w:pPr>
      <w:r w:rsidRPr="00AF3116">
        <w:rPr>
          <w:rtl/>
        </w:rPr>
        <w:tab/>
      </w:r>
      <w:r w:rsidRPr="00AF3116">
        <w:rPr>
          <w:rtl/>
        </w:rPr>
        <w:tab/>
        <w:t>الصحة</w:t>
      </w:r>
    </w:p>
    <w:p w14:paraId="5092EDD9" w14:textId="77777777" w:rsidR="00DE3D9F" w:rsidRPr="001B6C67" w:rsidRDefault="00DE3D9F" w:rsidP="00DE3D9F">
      <w:pPr>
        <w:pStyle w:val="SingleTxtGA"/>
        <w:rPr>
          <w:lang w:val="ar-SA" w:eastAsia="zh-TW" w:bidi="en-GB"/>
        </w:rPr>
      </w:pPr>
      <w:r w:rsidRPr="00AF3116">
        <w:rPr>
          <w:rtl/>
        </w:rPr>
        <w:t>22</w:t>
      </w:r>
      <w:r w:rsidRPr="001B6C67">
        <w:rPr>
          <w:rtl/>
        </w:rPr>
        <w:t>-</w:t>
      </w:r>
      <w:r w:rsidRPr="001B6C67">
        <w:rPr>
          <w:rtl/>
        </w:rPr>
        <w:tab/>
        <w:t xml:space="preserve">بلغت النفقات الصحية للبلاد حوالي </w:t>
      </w:r>
      <w:r w:rsidRPr="00AF3116">
        <w:rPr>
          <w:rtl/>
        </w:rPr>
        <w:t>3</w:t>
      </w:r>
      <w:r w:rsidRPr="001B6C67">
        <w:rPr>
          <w:rtl/>
        </w:rPr>
        <w:t>,</w:t>
      </w:r>
      <w:r w:rsidRPr="00AF3116">
        <w:rPr>
          <w:rtl/>
        </w:rPr>
        <w:t>7</w:t>
      </w:r>
      <w:r w:rsidRPr="001B6C67">
        <w:rPr>
          <w:rtl/>
        </w:rPr>
        <w:t xml:space="preserve"> في المائة من الناتج المحلي الإجمالي في عام </w:t>
      </w:r>
      <w:r w:rsidRPr="00AF3116">
        <w:rPr>
          <w:rtl/>
        </w:rPr>
        <w:t>2017</w:t>
      </w:r>
      <w:r w:rsidRPr="001B6C67">
        <w:rPr>
          <w:rtl/>
        </w:rPr>
        <w:t xml:space="preserve">. وكما ورد في الفقرة </w:t>
      </w:r>
      <w:r w:rsidRPr="00AF3116">
        <w:rPr>
          <w:rtl/>
        </w:rPr>
        <w:t>20</w:t>
      </w:r>
      <w:r w:rsidRPr="001B6C67">
        <w:rPr>
          <w:rtl/>
        </w:rPr>
        <w:t xml:space="preserve">، مثلت النفقات الصحية للأسر المعيشية </w:t>
      </w:r>
      <w:r w:rsidRPr="00AF3116">
        <w:rPr>
          <w:rtl/>
        </w:rPr>
        <w:t>1</w:t>
      </w:r>
      <w:r w:rsidRPr="001B6C67">
        <w:rPr>
          <w:rtl/>
        </w:rPr>
        <w:t>,</w:t>
      </w:r>
      <w:r w:rsidRPr="00AF3116">
        <w:rPr>
          <w:rtl/>
        </w:rPr>
        <w:t>78</w:t>
      </w:r>
      <w:r w:rsidRPr="001B6C67">
        <w:rPr>
          <w:rtl/>
        </w:rPr>
        <w:t xml:space="preserve"> في المائة من النفقات الاستهلاكية للأسر المعيشية.</w:t>
      </w:r>
    </w:p>
    <w:p w14:paraId="2FBB8F33" w14:textId="3A9A2718" w:rsidR="00DE3D9F" w:rsidRPr="001B6C67" w:rsidRDefault="00DE3D9F" w:rsidP="00DE3D9F">
      <w:pPr>
        <w:pStyle w:val="SingleTxtGA"/>
        <w:rPr>
          <w:lang w:val="ar-SA" w:eastAsia="zh-TW" w:bidi="en-GB"/>
        </w:rPr>
      </w:pPr>
      <w:r w:rsidRPr="00AF3116">
        <w:rPr>
          <w:rtl/>
        </w:rPr>
        <w:t>23</w:t>
      </w:r>
      <w:r w:rsidRPr="001B6C67">
        <w:rPr>
          <w:rtl/>
        </w:rPr>
        <w:t>-</w:t>
      </w:r>
      <w:r w:rsidRPr="001B6C67">
        <w:rPr>
          <w:rtl/>
        </w:rPr>
        <w:tab/>
        <w:t>وتفخر تايلاند بتحقيق التغطية الصحية الشاملة. ويغطي مخطط التغطية الصحية الشاملة ما</w:t>
      </w:r>
      <w:r w:rsidR="007B06D9">
        <w:rPr>
          <w:rFonts w:hint="cs"/>
          <w:rtl/>
        </w:rPr>
        <w:t> </w:t>
      </w:r>
      <w:r w:rsidRPr="001B6C67">
        <w:rPr>
          <w:rtl/>
        </w:rPr>
        <w:t>يقرب من مائة في المائة من السكان. وعلى الرغم من أن تايلند بلد متوسط الدخل، فإنها تحظى بالاعتراف كنموذج للتغطية الصحية الشاملة يمكن تقاسم خبرته مع بلدان أخرى. وفي الوقت نفسه، يلتزم البلد</w:t>
      </w:r>
      <w:r w:rsidR="007B06D9">
        <w:rPr>
          <w:rFonts w:hint="cs"/>
          <w:rtl/>
        </w:rPr>
        <w:t> </w:t>
      </w:r>
      <w:r w:rsidRPr="001B6C67">
        <w:rPr>
          <w:rtl/>
        </w:rPr>
        <w:t>بمواصلة تحسين مخططه الخاص بالتغطية الصحية الشاملة لضمان حصول الجميع عليها بقدر أكبر من الإنصاف.</w:t>
      </w:r>
    </w:p>
    <w:p w14:paraId="49716A8C" w14:textId="77777777" w:rsidR="00DE3D9F" w:rsidRPr="001B6C67" w:rsidRDefault="00DE3D9F" w:rsidP="00DE3D9F">
      <w:pPr>
        <w:pStyle w:val="SingleTxtGA"/>
        <w:rPr>
          <w:lang w:val="ar-SA" w:eastAsia="zh-TW" w:bidi="en-GB"/>
        </w:rPr>
      </w:pPr>
      <w:r w:rsidRPr="00AF3116">
        <w:rPr>
          <w:rtl/>
        </w:rPr>
        <w:t>24</w:t>
      </w:r>
      <w:r w:rsidRPr="001B6C67">
        <w:rPr>
          <w:rtl/>
        </w:rPr>
        <w:t>-</w:t>
      </w:r>
      <w:r w:rsidRPr="001B6C67">
        <w:rPr>
          <w:rtl/>
        </w:rPr>
        <w:tab/>
        <w:t xml:space="preserve">وفيما يتعلق بالصحة الجنسية والإنجابية، نفذت تايلند تدريجياً الأهداف والغايات ذات الصلة من خطة التنمية المستدامة لعام </w:t>
      </w:r>
      <w:r w:rsidRPr="00AF3116">
        <w:rPr>
          <w:rtl/>
        </w:rPr>
        <w:t>2030</w:t>
      </w:r>
      <w:r w:rsidRPr="001B6C67">
        <w:rPr>
          <w:rtl/>
        </w:rPr>
        <w:t xml:space="preserve">. في عام </w:t>
      </w:r>
      <w:r w:rsidRPr="00AF3116">
        <w:rPr>
          <w:rtl/>
        </w:rPr>
        <w:t>2019</w:t>
      </w:r>
      <w:r w:rsidRPr="001B6C67">
        <w:rPr>
          <w:rtl/>
        </w:rPr>
        <w:t>، بلغت النسبة المئوية للنساء في سن الإنجاب/الحمل اللا</w:t>
      </w:r>
      <w:r>
        <w:rPr>
          <w:rtl/>
        </w:rPr>
        <w:t>ئ</w:t>
      </w:r>
      <w:r w:rsidRPr="001B6C67">
        <w:rPr>
          <w:rtl/>
        </w:rPr>
        <w:t>ي يستخدمن وسائل منع الحمل أو اللا</w:t>
      </w:r>
      <w:r>
        <w:rPr>
          <w:rtl/>
        </w:rPr>
        <w:t>ئ</w:t>
      </w:r>
      <w:r w:rsidRPr="001B6C67">
        <w:rPr>
          <w:rtl/>
        </w:rPr>
        <w:t xml:space="preserve">ي يستخدم شريكهن وسائل منع الحمل </w:t>
      </w:r>
      <w:r w:rsidRPr="00AF3116">
        <w:rPr>
          <w:rtl/>
        </w:rPr>
        <w:t>78</w:t>
      </w:r>
      <w:r w:rsidRPr="001B6C67">
        <w:rPr>
          <w:rtl/>
        </w:rPr>
        <w:t>,</w:t>
      </w:r>
      <w:r w:rsidRPr="00AF3116">
        <w:rPr>
          <w:rtl/>
        </w:rPr>
        <w:t>4</w:t>
      </w:r>
      <w:r w:rsidRPr="001B6C67">
        <w:rPr>
          <w:rtl/>
        </w:rPr>
        <w:t xml:space="preserve"> في المائة، </w:t>
      </w:r>
      <w:r w:rsidRPr="001B6C67">
        <w:rPr>
          <w:rtl/>
        </w:rPr>
        <w:lastRenderedPageBreak/>
        <w:t xml:space="preserve">بالمقارنة مع </w:t>
      </w:r>
      <w:r w:rsidRPr="00AF3116">
        <w:rPr>
          <w:rtl/>
        </w:rPr>
        <w:t>72</w:t>
      </w:r>
      <w:r w:rsidRPr="001B6C67">
        <w:rPr>
          <w:rtl/>
        </w:rPr>
        <w:t xml:space="preserve"> في المائة في عام </w:t>
      </w:r>
      <w:r w:rsidRPr="00AF3116">
        <w:rPr>
          <w:rtl/>
        </w:rPr>
        <w:t>1994</w:t>
      </w:r>
      <w:r w:rsidRPr="001B6C67">
        <w:rPr>
          <w:rtl/>
        </w:rPr>
        <w:t xml:space="preserve">. واعترف صندوق الأمم المتحدة للسكان بأن تايلند "من البلدان الرائدة والسباقة في تحقيق الغايات السكانية والإنمائية على مدى السنوات الـ </w:t>
      </w:r>
      <w:r w:rsidRPr="00AF3116">
        <w:rPr>
          <w:rtl/>
        </w:rPr>
        <w:t>25</w:t>
      </w:r>
      <w:r w:rsidRPr="001B6C67">
        <w:rPr>
          <w:rtl/>
        </w:rPr>
        <w:t xml:space="preserve"> الماضية".</w:t>
      </w:r>
    </w:p>
    <w:p w14:paraId="1F116097" w14:textId="77777777" w:rsidR="00DE3D9F" w:rsidRPr="001B6C67" w:rsidRDefault="00DE3D9F" w:rsidP="00DE3D9F">
      <w:pPr>
        <w:pStyle w:val="SingleTxtGA"/>
        <w:rPr>
          <w:lang w:val="ar-SA" w:eastAsia="zh-TW" w:bidi="en-GB"/>
        </w:rPr>
      </w:pPr>
      <w:r w:rsidRPr="00AF3116">
        <w:rPr>
          <w:rtl/>
        </w:rPr>
        <w:t>25</w:t>
      </w:r>
      <w:r w:rsidRPr="001B6C67">
        <w:rPr>
          <w:rtl/>
        </w:rPr>
        <w:t>-</w:t>
      </w:r>
      <w:r w:rsidRPr="001B6C67">
        <w:rPr>
          <w:rtl/>
        </w:rPr>
        <w:tab/>
        <w:t xml:space="preserve">كانت هناك </w:t>
      </w:r>
      <w:r w:rsidRPr="00AF3116">
        <w:rPr>
          <w:rtl/>
        </w:rPr>
        <w:t>043</w:t>
      </w:r>
      <w:r w:rsidRPr="001B6C67">
        <w:rPr>
          <w:rtl/>
        </w:rPr>
        <w:t xml:space="preserve"> </w:t>
      </w:r>
      <w:r w:rsidRPr="00AF3116">
        <w:rPr>
          <w:rtl/>
        </w:rPr>
        <w:t>5</w:t>
      </w:r>
      <w:r w:rsidRPr="001B6C67">
        <w:rPr>
          <w:rtl/>
        </w:rPr>
        <w:t xml:space="preserve"> حالة من حالات الإنهاء الطبي للحمل من خلال أقراص </w:t>
      </w:r>
      <w:proofErr w:type="spellStart"/>
      <w:r w:rsidRPr="001B6C67">
        <w:rPr>
          <w:rtl/>
        </w:rPr>
        <w:t>ميدابون</w:t>
      </w:r>
      <w:proofErr w:type="spellEnd"/>
      <w:r w:rsidRPr="001B6C67">
        <w:rPr>
          <w:rtl/>
        </w:rPr>
        <w:t xml:space="preserve"> التي وزعتها وزارة الصحة في عام </w:t>
      </w:r>
      <w:r w:rsidRPr="00AF3116">
        <w:rPr>
          <w:rtl/>
        </w:rPr>
        <w:t>2018</w:t>
      </w:r>
      <w:r w:rsidRPr="001B6C67">
        <w:rPr>
          <w:rtl/>
        </w:rPr>
        <w:t>.</w:t>
      </w:r>
    </w:p>
    <w:p w14:paraId="78B351A0" w14:textId="6EB96D18" w:rsidR="00DE3D9F" w:rsidRPr="001B6C67" w:rsidRDefault="00DE3D9F" w:rsidP="00DE3D9F">
      <w:pPr>
        <w:pStyle w:val="SingleTxtGA"/>
        <w:rPr>
          <w:lang w:val="ar-SA" w:eastAsia="zh-TW" w:bidi="en-GB"/>
        </w:rPr>
      </w:pPr>
      <w:r w:rsidRPr="00AF3116">
        <w:rPr>
          <w:rtl/>
        </w:rPr>
        <w:t>26</w:t>
      </w:r>
      <w:r w:rsidRPr="001B6C67">
        <w:rPr>
          <w:rtl/>
        </w:rPr>
        <w:t>-</w:t>
      </w:r>
      <w:r w:rsidRPr="001B6C67">
        <w:rPr>
          <w:rtl/>
        </w:rPr>
        <w:tab/>
        <w:t xml:space="preserve">وتشمل الأسباب الرئيسية للوفاة (لكل </w:t>
      </w:r>
      <w:r w:rsidRPr="00AF3116">
        <w:rPr>
          <w:rtl/>
        </w:rPr>
        <w:t>000</w:t>
      </w:r>
      <w:r w:rsidRPr="001B6C67">
        <w:rPr>
          <w:rtl/>
        </w:rPr>
        <w:t xml:space="preserve"> </w:t>
      </w:r>
      <w:r w:rsidRPr="00AF3116">
        <w:rPr>
          <w:rtl/>
        </w:rPr>
        <w:t>100</w:t>
      </w:r>
      <w:r w:rsidRPr="001B6C67">
        <w:rPr>
          <w:rtl/>
        </w:rPr>
        <w:t xml:space="preserve"> نسمة) الأورام الخبيثة بجميع أشكالها (</w:t>
      </w:r>
      <w:r w:rsidRPr="00AF3116">
        <w:rPr>
          <w:rtl/>
        </w:rPr>
        <w:t>120</w:t>
      </w:r>
      <w:r w:rsidRPr="001B6C67">
        <w:rPr>
          <w:rtl/>
        </w:rPr>
        <w:t>,</w:t>
      </w:r>
      <w:r w:rsidRPr="00AF3116">
        <w:rPr>
          <w:rtl/>
        </w:rPr>
        <w:t>5</w:t>
      </w:r>
      <w:r w:rsidRPr="001B6C67">
        <w:rPr>
          <w:rtl/>
        </w:rPr>
        <w:t>)، وأمراض الدورة الدموية (</w:t>
      </w:r>
      <w:r w:rsidRPr="00AF3116">
        <w:rPr>
          <w:rtl/>
        </w:rPr>
        <w:t>103</w:t>
      </w:r>
      <w:r w:rsidRPr="001B6C67">
        <w:rPr>
          <w:rtl/>
        </w:rPr>
        <w:t>,</w:t>
      </w:r>
      <w:r w:rsidRPr="00AF3116">
        <w:rPr>
          <w:rtl/>
        </w:rPr>
        <w:t>7</w:t>
      </w:r>
      <w:r w:rsidRPr="001B6C67">
        <w:rPr>
          <w:rtl/>
        </w:rPr>
        <w:t>)، وأمراض الجهاز التنفسي (</w:t>
      </w:r>
      <w:r w:rsidRPr="00AF3116">
        <w:rPr>
          <w:rtl/>
        </w:rPr>
        <w:t>64</w:t>
      </w:r>
      <w:r w:rsidRPr="001B6C67">
        <w:rPr>
          <w:rtl/>
        </w:rPr>
        <w:t>,</w:t>
      </w:r>
      <w:r w:rsidRPr="00AF3116">
        <w:rPr>
          <w:rtl/>
        </w:rPr>
        <w:t>0</w:t>
      </w:r>
      <w:r w:rsidRPr="001B6C67">
        <w:rPr>
          <w:rtl/>
        </w:rPr>
        <w:t>)، والأسباب الخارجية للمرضة والوفيات (</w:t>
      </w:r>
      <w:r w:rsidRPr="00AF3116">
        <w:rPr>
          <w:rtl/>
        </w:rPr>
        <w:t>59</w:t>
      </w:r>
      <w:r w:rsidRPr="001B6C67">
        <w:rPr>
          <w:rtl/>
        </w:rPr>
        <w:t>,</w:t>
      </w:r>
      <w:r w:rsidRPr="00AF3116">
        <w:rPr>
          <w:rtl/>
        </w:rPr>
        <w:t>7</w:t>
      </w:r>
      <w:r w:rsidRPr="001B6C67">
        <w:rPr>
          <w:rtl/>
        </w:rPr>
        <w:t>)، وبعض الأمراض المعدية والطفيلية (</w:t>
      </w:r>
      <w:r w:rsidRPr="00AF3116">
        <w:rPr>
          <w:rtl/>
        </w:rPr>
        <w:t>56</w:t>
      </w:r>
      <w:r w:rsidRPr="001B6C67">
        <w:rPr>
          <w:rtl/>
        </w:rPr>
        <w:t>,</w:t>
      </w:r>
      <w:r w:rsidRPr="00AF3116">
        <w:rPr>
          <w:rtl/>
        </w:rPr>
        <w:t>7</w:t>
      </w:r>
      <w:r w:rsidRPr="001B6C67">
        <w:rPr>
          <w:rtl/>
        </w:rPr>
        <w:t>)، وأمراض الجهاز البولي التناسلي (</w:t>
      </w:r>
      <w:r w:rsidRPr="00AF3116">
        <w:rPr>
          <w:rtl/>
        </w:rPr>
        <w:t>35</w:t>
      </w:r>
      <w:r w:rsidRPr="001B6C67">
        <w:rPr>
          <w:rtl/>
        </w:rPr>
        <w:t>,</w:t>
      </w:r>
      <w:r w:rsidRPr="00AF3116">
        <w:rPr>
          <w:rtl/>
        </w:rPr>
        <w:t>2</w:t>
      </w:r>
      <w:r w:rsidRPr="001B6C67">
        <w:rPr>
          <w:rtl/>
        </w:rPr>
        <w:t>)، وأمراض الجهاز الهضمي (</w:t>
      </w:r>
      <w:r w:rsidRPr="00AF3116">
        <w:rPr>
          <w:rtl/>
        </w:rPr>
        <w:t>29</w:t>
      </w:r>
      <w:r w:rsidRPr="001B6C67">
        <w:rPr>
          <w:rtl/>
        </w:rPr>
        <w:t>,</w:t>
      </w:r>
      <w:r w:rsidRPr="00AF3116">
        <w:rPr>
          <w:rtl/>
        </w:rPr>
        <w:t>7</w:t>
      </w:r>
      <w:r w:rsidRPr="001B6C67">
        <w:rPr>
          <w:rtl/>
        </w:rPr>
        <w:t>)، والغدد الصماء والأمراض الغذائية والأيضية (</w:t>
      </w:r>
      <w:r w:rsidRPr="00AF3116">
        <w:rPr>
          <w:rtl/>
        </w:rPr>
        <w:t>23</w:t>
      </w:r>
      <w:r w:rsidRPr="001B6C67">
        <w:rPr>
          <w:rtl/>
        </w:rPr>
        <w:t>,</w:t>
      </w:r>
      <w:r w:rsidRPr="00AF3116">
        <w:rPr>
          <w:rtl/>
        </w:rPr>
        <w:t>9</w:t>
      </w:r>
      <w:r w:rsidRPr="001B6C67">
        <w:rPr>
          <w:rtl/>
        </w:rPr>
        <w:t>)، وأمراض الجهاز العصبي (</w:t>
      </w:r>
      <w:r w:rsidRPr="00AF3116">
        <w:rPr>
          <w:rtl/>
        </w:rPr>
        <w:t>17</w:t>
      </w:r>
      <w:r w:rsidRPr="001B6C67">
        <w:rPr>
          <w:rtl/>
        </w:rPr>
        <w:t>,</w:t>
      </w:r>
      <w:r w:rsidRPr="00AF3116">
        <w:rPr>
          <w:rtl/>
        </w:rPr>
        <w:t>6</w:t>
      </w:r>
      <w:r w:rsidRPr="001B6C67">
        <w:rPr>
          <w:rtl/>
        </w:rPr>
        <w:t>)، وأمراض الدم والأعضاء التي تشكل الدم وبعض الاضطرابات التي تنطوي على آلية المناعة (</w:t>
      </w:r>
      <w:r w:rsidRPr="00AF3116">
        <w:rPr>
          <w:rtl/>
        </w:rPr>
        <w:t>1</w:t>
      </w:r>
      <w:r w:rsidRPr="001B6C67">
        <w:rPr>
          <w:rtl/>
        </w:rPr>
        <w:t>,</w:t>
      </w:r>
      <w:r w:rsidRPr="00AF3116">
        <w:rPr>
          <w:rtl/>
        </w:rPr>
        <w:t>7</w:t>
      </w:r>
      <w:r w:rsidRPr="001B6C67">
        <w:rPr>
          <w:rtl/>
        </w:rPr>
        <w:t>).</w:t>
      </w:r>
    </w:p>
    <w:p w14:paraId="124F5FFD" w14:textId="77777777" w:rsidR="00DE3D9F" w:rsidRPr="001B6C67" w:rsidRDefault="00DE3D9F" w:rsidP="00DE3D9F">
      <w:pPr>
        <w:pStyle w:val="SingleTxtGA"/>
        <w:rPr>
          <w:lang w:val="ar-SA" w:eastAsia="zh-TW" w:bidi="en-GB"/>
        </w:rPr>
      </w:pPr>
      <w:r w:rsidRPr="00AF3116">
        <w:rPr>
          <w:rtl/>
        </w:rPr>
        <w:t>27</w:t>
      </w:r>
      <w:r w:rsidRPr="001B6C67">
        <w:rPr>
          <w:rtl/>
        </w:rPr>
        <w:t>-</w:t>
      </w:r>
      <w:r w:rsidRPr="001B6C67">
        <w:rPr>
          <w:rtl/>
        </w:rPr>
        <w:tab/>
        <w:t xml:space="preserve">وفي عام </w:t>
      </w:r>
      <w:r w:rsidRPr="00AF3116">
        <w:rPr>
          <w:rtl/>
        </w:rPr>
        <w:t>2019</w:t>
      </w:r>
      <w:r w:rsidRPr="001B6C67">
        <w:rPr>
          <w:rtl/>
        </w:rPr>
        <w:t xml:space="preserve">، كان انتشار الأمراض غير المعدية الرئيسية في تايلاند لكل </w:t>
      </w:r>
      <w:r w:rsidRPr="00AF3116">
        <w:rPr>
          <w:rtl/>
        </w:rPr>
        <w:t>000</w:t>
      </w:r>
      <w:r w:rsidRPr="001B6C67">
        <w:rPr>
          <w:rtl/>
        </w:rPr>
        <w:t xml:space="preserve"> </w:t>
      </w:r>
      <w:r w:rsidRPr="00AF3116">
        <w:rPr>
          <w:rtl/>
        </w:rPr>
        <w:t>100</w:t>
      </w:r>
      <w:r w:rsidRPr="001B6C67">
        <w:rPr>
          <w:rtl/>
        </w:rPr>
        <w:t xml:space="preserve"> شخص عولجوا في المستشفيات التابعة لوزارة الصحة العامة كما يلي: ’</w:t>
      </w:r>
      <w:r w:rsidRPr="00AF3116">
        <w:rPr>
          <w:rtl/>
        </w:rPr>
        <w:t>1</w:t>
      </w:r>
      <w:r w:rsidRPr="001B6C67">
        <w:rPr>
          <w:rtl/>
        </w:rPr>
        <w:t>‘ مرض الشريان التاجي (</w:t>
      </w:r>
      <w:r w:rsidRPr="00AF3116">
        <w:rPr>
          <w:rtl/>
        </w:rPr>
        <w:t>610</w:t>
      </w:r>
      <w:r w:rsidRPr="001B6C67">
        <w:rPr>
          <w:rtl/>
        </w:rPr>
        <w:t>,</w:t>
      </w:r>
      <w:r w:rsidRPr="00AF3116">
        <w:rPr>
          <w:rtl/>
        </w:rPr>
        <w:t>2</w:t>
      </w:r>
      <w:r w:rsidRPr="001B6C67">
        <w:rPr>
          <w:rtl/>
        </w:rPr>
        <w:t>)، ’</w:t>
      </w:r>
      <w:r w:rsidRPr="00AF3116">
        <w:rPr>
          <w:rtl/>
        </w:rPr>
        <w:t>2</w:t>
      </w:r>
      <w:r w:rsidRPr="001B6C67">
        <w:rPr>
          <w:rtl/>
        </w:rPr>
        <w:t>‘ مرض الانسداد الرئوي المزمن (</w:t>
      </w:r>
      <w:r w:rsidRPr="00AF3116">
        <w:rPr>
          <w:rtl/>
        </w:rPr>
        <w:t>473</w:t>
      </w:r>
      <w:r w:rsidRPr="001B6C67">
        <w:rPr>
          <w:rtl/>
        </w:rPr>
        <w:t>,</w:t>
      </w:r>
      <w:r w:rsidRPr="00AF3116">
        <w:rPr>
          <w:rtl/>
        </w:rPr>
        <w:t>6</w:t>
      </w:r>
      <w:r w:rsidRPr="001B6C67">
        <w:rPr>
          <w:rtl/>
        </w:rPr>
        <w:t>)، ’</w:t>
      </w:r>
      <w:r w:rsidRPr="00AF3116">
        <w:rPr>
          <w:rtl/>
        </w:rPr>
        <w:t>3</w:t>
      </w:r>
      <w:r w:rsidRPr="001B6C67">
        <w:rPr>
          <w:rtl/>
        </w:rPr>
        <w:t>‘ مرض السكري (</w:t>
      </w:r>
      <w:r w:rsidRPr="00AF3116">
        <w:rPr>
          <w:rtl/>
        </w:rPr>
        <w:t>440</w:t>
      </w:r>
      <w:r w:rsidRPr="001B6C67">
        <w:rPr>
          <w:rtl/>
        </w:rPr>
        <w:t>,</w:t>
      </w:r>
      <w:r w:rsidRPr="00AF3116">
        <w:rPr>
          <w:rtl/>
        </w:rPr>
        <w:t>8</w:t>
      </w:r>
      <w:r w:rsidRPr="001B6C67">
        <w:rPr>
          <w:rtl/>
        </w:rPr>
        <w:t xml:space="preserve"> </w:t>
      </w:r>
      <w:r w:rsidRPr="00AF3116">
        <w:rPr>
          <w:rtl/>
        </w:rPr>
        <w:t>5</w:t>
      </w:r>
      <w:r w:rsidRPr="001B6C67">
        <w:rPr>
          <w:rtl/>
        </w:rPr>
        <w:t xml:space="preserve">). </w:t>
      </w:r>
    </w:p>
    <w:p w14:paraId="0A221FF1" w14:textId="77777777" w:rsidR="00DE3D9F" w:rsidRPr="001B6C67" w:rsidRDefault="00DE3D9F" w:rsidP="00DE3D9F">
      <w:pPr>
        <w:pStyle w:val="SingleTxtGA"/>
        <w:rPr>
          <w:lang w:val="ar-SA" w:eastAsia="zh-TW" w:bidi="en-GB"/>
        </w:rPr>
      </w:pPr>
      <w:r w:rsidRPr="00AF3116">
        <w:rPr>
          <w:rtl/>
        </w:rPr>
        <w:t>28</w:t>
      </w:r>
      <w:r w:rsidRPr="001B6C67">
        <w:rPr>
          <w:rtl/>
        </w:rPr>
        <w:t>-</w:t>
      </w:r>
      <w:r w:rsidRPr="001B6C67">
        <w:rPr>
          <w:rtl/>
        </w:rPr>
        <w:tab/>
        <w:t xml:space="preserve">وفي تشرين الأول/أكتوبر </w:t>
      </w:r>
      <w:r w:rsidRPr="00AF3116">
        <w:rPr>
          <w:rtl/>
        </w:rPr>
        <w:t>2018</w:t>
      </w:r>
      <w:r w:rsidRPr="001B6C67">
        <w:rPr>
          <w:rtl/>
        </w:rPr>
        <w:t xml:space="preserve">، كان </w:t>
      </w:r>
      <w:r w:rsidRPr="00AF3116">
        <w:rPr>
          <w:rtl/>
        </w:rPr>
        <w:t>573</w:t>
      </w:r>
      <w:r w:rsidRPr="001B6C67">
        <w:rPr>
          <w:rtl/>
        </w:rPr>
        <w:t xml:space="preserve"> </w:t>
      </w:r>
      <w:r w:rsidRPr="00AF3116">
        <w:rPr>
          <w:rtl/>
        </w:rPr>
        <w:t>450</w:t>
      </w:r>
      <w:r w:rsidRPr="001B6C67">
        <w:rPr>
          <w:rtl/>
        </w:rPr>
        <w:t xml:space="preserve"> شخصاً في تايلاند مصابين بفيروس نقص المناعة البشرية/الإيدز.</w:t>
      </w:r>
    </w:p>
    <w:p w14:paraId="5A300869" w14:textId="77777777" w:rsidR="00DE3D9F" w:rsidRPr="00AF3116" w:rsidRDefault="00DE3D9F" w:rsidP="00AD7242">
      <w:pPr>
        <w:pStyle w:val="H23GA"/>
        <w:rPr>
          <w:lang w:val="ar-SA" w:eastAsia="zh-TW" w:bidi="en-GB"/>
        </w:rPr>
      </w:pPr>
      <w:r w:rsidRPr="00AF3116">
        <w:rPr>
          <w:rtl/>
        </w:rPr>
        <w:tab/>
      </w:r>
      <w:r w:rsidRPr="00AF3116">
        <w:rPr>
          <w:rtl/>
        </w:rPr>
        <w:tab/>
        <w:t>التعليم</w:t>
      </w:r>
    </w:p>
    <w:p w14:paraId="7FBF9642" w14:textId="77777777" w:rsidR="00DE3D9F" w:rsidRPr="001B6C67" w:rsidRDefault="00DE3D9F" w:rsidP="00DE3D9F">
      <w:pPr>
        <w:pStyle w:val="SingleTxtGA"/>
        <w:rPr>
          <w:lang w:val="ar-SA" w:eastAsia="zh-TW" w:bidi="en-GB"/>
        </w:rPr>
      </w:pPr>
      <w:bookmarkStart w:id="7" w:name="_Ref45066167"/>
      <w:r w:rsidRPr="00AF3116">
        <w:rPr>
          <w:rtl/>
        </w:rPr>
        <w:t>29</w:t>
      </w:r>
      <w:r w:rsidRPr="001B6C67">
        <w:rPr>
          <w:rtl/>
        </w:rPr>
        <w:t>-</w:t>
      </w:r>
      <w:r w:rsidRPr="001B6C67">
        <w:rPr>
          <w:rtl/>
        </w:rPr>
        <w:tab/>
        <w:t xml:space="preserve">اعتمدت تايلند سياسة "التعليم للجميع" (انظر الفقرة </w:t>
      </w:r>
      <w:r w:rsidRPr="00AF3116">
        <w:rPr>
          <w:rtl/>
        </w:rPr>
        <w:t>114</w:t>
      </w:r>
      <w:r w:rsidRPr="001B6C67">
        <w:rPr>
          <w:rtl/>
        </w:rPr>
        <w:t>). وبلغ</w:t>
      </w:r>
      <w:r>
        <w:rPr>
          <w:rtl/>
        </w:rPr>
        <w:t xml:space="preserve"> صافي</w:t>
      </w:r>
      <w:r w:rsidRPr="001B6C67">
        <w:rPr>
          <w:rtl/>
        </w:rPr>
        <w:t xml:space="preserve"> نسبة الالتحاق بالتعليم الابتدائي والثانوي، ال</w:t>
      </w:r>
      <w:r>
        <w:rPr>
          <w:rtl/>
        </w:rPr>
        <w:t>ذ</w:t>
      </w:r>
      <w:r w:rsidRPr="001B6C67">
        <w:rPr>
          <w:rtl/>
        </w:rPr>
        <w:t xml:space="preserve">ي </w:t>
      </w:r>
      <w:r>
        <w:rPr>
          <w:rtl/>
        </w:rPr>
        <w:t>حُسِب من ا</w:t>
      </w:r>
      <w:r w:rsidRPr="001B6C67">
        <w:rPr>
          <w:rtl/>
        </w:rPr>
        <w:t xml:space="preserve">لطلاب كنسبة مئوية من السكان في سن الدراسة، نسبة </w:t>
      </w:r>
      <w:r w:rsidRPr="00AF3116">
        <w:rPr>
          <w:rtl/>
        </w:rPr>
        <w:t>102</w:t>
      </w:r>
      <w:r w:rsidRPr="001B6C67">
        <w:rPr>
          <w:rtl/>
        </w:rPr>
        <w:t>,</w:t>
      </w:r>
      <w:r w:rsidRPr="00AF3116">
        <w:rPr>
          <w:rtl/>
        </w:rPr>
        <w:t>74</w:t>
      </w:r>
      <w:r w:rsidRPr="001B6C67">
        <w:rPr>
          <w:rtl/>
        </w:rPr>
        <w:t xml:space="preserve"> في المائة (</w:t>
      </w:r>
      <w:r w:rsidRPr="00AF3116">
        <w:rPr>
          <w:rtl/>
        </w:rPr>
        <w:t>46</w:t>
      </w:r>
      <w:r w:rsidRPr="001B6C67">
        <w:rPr>
          <w:rtl/>
        </w:rPr>
        <w:t>,</w:t>
      </w:r>
      <w:r w:rsidRPr="00AF3116">
        <w:rPr>
          <w:rtl/>
        </w:rPr>
        <w:t>72</w:t>
      </w:r>
      <w:r w:rsidRPr="001B6C67">
        <w:rPr>
          <w:rtl/>
        </w:rPr>
        <w:t xml:space="preserve"> في المائة من الإناث و</w:t>
      </w:r>
      <w:r w:rsidRPr="00AF3116">
        <w:rPr>
          <w:rtl/>
        </w:rPr>
        <w:t>53</w:t>
      </w:r>
      <w:r w:rsidRPr="001B6C67">
        <w:rPr>
          <w:rtl/>
        </w:rPr>
        <w:t>,</w:t>
      </w:r>
      <w:r w:rsidRPr="00AF3116">
        <w:rPr>
          <w:rtl/>
        </w:rPr>
        <w:t>28</w:t>
      </w:r>
      <w:r w:rsidRPr="001B6C67">
        <w:rPr>
          <w:rtl/>
        </w:rPr>
        <w:t xml:space="preserve"> في المائة من الذكور) و</w:t>
      </w:r>
      <w:r w:rsidRPr="00AF3116">
        <w:rPr>
          <w:rtl/>
        </w:rPr>
        <w:t>87</w:t>
      </w:r>
      <w:r w:rsidRPr="001B6C67">
        <w:rPr>
          <w:rtl/>
        </w:rPr>
        <w:t>,</w:t>
      </w:r>
      <w:r w:rsidRPr="00AF3116">
        <w:rPr>
          <w:rtl/>
        </w:rPr>
        <w:t>52</w:t>
      </w:r>
      <w:r w:rsidRPr="001B6C67">
        <w:rPr>
          <w:rtl/>
        </w:rPr>
        <w:t xml:space="preserve"> في المائة (</w:t>
      </w:r>
      <w:r w:rsidRPr="00AF3116">
        <w:rPr>
          <w:rtl/>
        </w:rPr>
        <w:t>50</w:t>
      </w:r>
      <w:r w:rsidRPr="001B6C67">
        <w:rPr>
          <w:rtl/>
        </w:rPr>
        <w:t>,</w:t>
      </w:r>
      <w:r w:rsidRPr="00AF3116">
        <w:rPr>
          <w:rtl/>
        </w:rPr>
        <w:t>25</w:t>
      </w:r>
      <w:r w:rsidRPr="001B6C67">
        <w:rPr>
          <w:rtl/>
        </w:rPr>
        <w:t xml:space="preserve"> في المائة من الإناث و</w:t>
      </w:r>
      <w:r w:rsidRPr="00AF3116">
        <w:rPr>
          <w:rtl/>
        </w:rPr>
        <w:t>49</w:t>
      </w:r>
      <w:r w:rsidRPr="001B6C67">
        <w:rPr>
          <w:rtl/>
        </w:rPr>
        <w:t>,</w:t>
      </w:r>
      <w:r w:rsidRPr="00AF3116">
        <w:rPr>
          <w:rtl/>
        </w:rPr>
        <w:t>75</w:t>
      </w:r>
      <w:r w:rsidRPr="001B6C67">
        <w:rPr>
          <w:rtl/>
        </w:rPr>
        <w:t xml:space="preserve"> في المائة من الذكور)، على التوالي. </w:t>
      </w:r>
      <w:bookmarkEnd w:id="7"/>
    </w:p>
    <w:p w14:paraId="73F45450" w14:textId="154E9FF6" w:rsidR="00DE3D9F" w:rsidRPr="001B6C67" w:rsidRDefault="00DE3D9F" w:rsidP="00DE3D9F">
      <w:pPr>
        <w:pStyle w:val="SingleTxtGA"/>
        <w:rPr>
          <w:lang w:val="ar-SA" w:eastAsia="zh-TW" w:bidi="en-GB"/>
        </w:rPr>
      </w:pPr>
      <w:r w:rsidRPr="00AF3116">
        <w:rPr>
          <w:rtl/>
        </w:rPr>
        <w:t>30</w:t>
      </w:r>
      <w:r w:rsidRPr="001B6C67">
        <w:rPr>
          <w:rtl/>
        </w:rPr>
        <w:t>-</w:t>
      </w:r>
      <w:r w:rsidRPr="001B6C67">
        <w:rPr>
          <w:rtl/>
        </w:rPr>
        <w:tab/>
        <w:t xml:space="preserve">وبلغت معدلات التسرب في عام </w:t>
      </w:r>
      <w:r w:rsidRPr="00AF3116">
        <w:rPr>
          <w:rtl/>
        </w:rPr>
        <w:t>2016</w:t>
      </w:r>
      <w:r w:rsidRPr="001B6C67">
        <w:rPr>
          <w:rtl/>
        </w:rPr>
        <w:t xml:space="preserve"> نسبة </w:t>
      </w:r>
      <w:r w:rsidRPr="00AF3116">
        <w:rPr>
          <w:rtl/>
        </w:rPr>
        <w:t>0</w:t>
      </w:r>
      <w:r w:rsidRPr="001B6C67">
        <w:rPr>
          <w:rtl/>
        </w:rPr>
        <w:t>,</w:t>
      </w:r>
      <w:r w:rsidRPr="00AF3116">
        <w:rPr>
          <w:rtl/>
        </w:rPr>
        <w:t>04</w:t>
      </w:r>
      <w:r w:rsidRPr="001B6C67">
        <w:rPr>
          <w:rtl/>
        </w:rPr>
        <w:t xml:space="preserve"> في المائة في التعليم الابتدائي و</w:t>
      </w:r>
      <w:r w:rsidRPr="00AF3116">
        <w:rPr>
          <w:rtl/>
        </w:rPr>
        <w:t>0</w:t>
      </w:r>
      <w:r w:rsidRPr="001B6C67">
        <w:rPr>
          <w:rtl/>
        </w:rPr>
        <w:t>,</w:t>
      </w:r>
      <w:r w:rsidRPr="00AF3116">
        <w:rPr>
          <w:rtl/>
        </w:rPr>
        <w:t>16</w:t>
      </w:r>
      <w:r w:rsidRPr="001B6C67">
        <w:rPr>
          <w:rtl/>
        </w:rPr>
        <w:t xml:space="preserve"> في</w:t>
      </w:r>
      <w:r w:rsidR="00AD7242">
        <w:rPr>
          <w:rFonts w:hint="cs"/>
          <w:rtl/>
        </w:rPr>
        <w:t> </w:t>
      </w:r>
      <w:r w:rsidRPr="001B6C67">
        <w:rPr>
          <w:rtl/>
        </w:rPr>
        <w:t>المائة في التعليم الثانوي الأدنى و</w:t>
      </w:r>
      <w:r w:rsidRPr="00AF3116">
        <w:rPr>
          <w:rtl/>
        </w:rPr>
        <w:t>0</w:t>
      </w:r>
      <w:r w:rsidRPr="001B6C67">
        <w:rPr>
          <w:rtl/>
        </w:rPr>
        <w:t>,</w:t>
      </w:r>
      <w:r w:rsidRPr="00AF3116">
        <w:rPr>
          <w:rtl/>
        </w:rPr>
        <w:t>13</w:t>
      </w:r>
      <w:r w:rsidRPr="001B6C67">
        <w:rPr>
          <w:rtl/>
        </w:rPr>
        <w:t xml:space="preserve"> في المائة في التعليم الثانوي العالي، مما يمثل </w:t>
      </w:r>
      <w:r w:rsidRPr="00AF3116">
        <w:rPr>
          <w:rtl/>
        </w:rPr>
        <w:t>377</w:t>
      </w:r>
      <w:r w:rsidRPr="001B6C67">
        <w:rPr>
          <w:rtl/>
        </w:rPr>
        <w:t xml:space="preserve"> </w:t>
      </w:r>
      <w:r w:rsidRPr="00AF3116">
        <w:rPr>
          <w:rtl/>
        </w:rPr>
        <w:t>5</w:t>
      </w:r>
      <w:r w:rsidRPr="001B6C67">
        <w:rPr>
          <w:rtl/>
        </w:rPr>
        <w:t xml:space="preserve"> طالباً في المجموع.</w:t>
      </w:r>
    </w:p>
    <w:p w14:paraId="7F538874" w14:textId="77777777" w:rsidR="00DE3D9F" w:rsidRPr="001B6C67" w:rsidRDefault="00DE3D9F" w:rsidP="00DE3D9F">
      <w:pPr>
        <w:pStyle w:val="SingleTxtGA"/>
        <w:rPr>
          <w:lang w:val="ar-SA" w:eastAsia="zh-TW" w:bidi="en-GB"/>
        </w:rPr>
      </w:pPr>
      <w:r w:rsidRPr="00AF3116">
        <w:rPr>
          <w:rtl/>
        </w:rPr>
        <w:t>31</w:t>
      </w:r>
      <w:r w:rsidRPr="001B6C67">
        <w:rPr>
          <w:rtl/>
        </w:rPr>
        <w:t>-</w:t>
      </w:r>
      <w:r w:rsidRPr="001B6C67">
        <w:rPr>
          <w:rtl/>
        </w:rPr>
        <w:tab/>
        <w:t xml:space="preserve">ووفقاً لمسح برنامج التقييم الدولي للطلاب لعام </w:t>
      </w:r>
      <w:r w:rsidRPr="00AF3116">
        <w:rPr>
          <w:rtl/>
        </w:rPr>
        <w:t>2018</w:t>
      </w:r>
      <w:r w:rsidRPr="001B6C67">
        <w:rPr>
          <w:rtl/>
        </w:rPr>
        <w:t xml:space="preserve">، كان متوسط درجات الطلاب التايلانديين في القراءة والرياضيات والعلوم </w:t>
      </w:r>
      <w:r w:rsidRPr="00AF3116">
        <w:rPr>
          <w:rtl/>
        </w:rPr>
        <w:t>393</w:t>
      </w:r>
      <w:r w:rsidRPr="001B6C67">
        <w:rPr>
          <w:rtl/>
        </w:rPr>
        <w:t xml:space="preserve"> و</w:t>
      </w:r>
      <w:r w:rsidRPr="00AF3116">
        <w:rPr>
          <w:rtl/>
        </w:rPr>
        <w:t>419</w:t>
      </w:r>
      <w:r w:rsidRPr="001B6C67">
        <w:rPr>
          <w:rtl/>
        </w:rPr>
        <w:t xml:space="preserve"> و</w:t>
      </w:r>
      <w:r w:rsidRPr="00AF3116">
        <w:rPr>
          <w:rtl/>
        </w:rPr>
        <w:t>426</w:t>
      </w:r>
      <w:r w:rsidRPr="001B6C67">
        <w:rPr>
          <w:rtl/>
        </w:rPr>
        <w:t xml:space="preserve">، أي أقل من متوسط </w:t>
      </w:r>
      <w:r w:rsidRPr="008972FC">
        <w:rPr>
          <w:rtl/>
        </w:rPr>
        <w:t xml:space="preserve">منظمة التعاون والتنمية في </w:t>
      </w:r>
      <w:r w:rsidRPr="00FE57EB">
        <w:rPr>
          <w:spacing w:val="4"/>
          <w:rtl/>
        </w:rPr>
        <w:t xml:space="preserve">الميدان الاقتصادي الذي بلغ </w:t>
      </w:r>
      <w:r w:rsidRPr="00AF3116">
        <w:rPr>
          <w:spacing w:val="4"/>
          <w:rtl/>
        </w:rPr>
        <w:t>487</w:t>
      </w:r>
      <w:r w:rsidRPr="00FE57EB">
        <w:rPr>
          <w:spacing w:val="4"/>
          <w:rtl/>
        </w:rPr>
        <w:t xml:space="preserve"> و</w:t>
      </w:r>
      <w:r w:rsidRPr="00AF3116">
        <w:rPr>
          <w:spacing w:val="4"/>
          <w:rtl/>
        </w:rPr>
        <w:t>489</w:t>
      </w:r>
      <w:r w:rsidRPr="00FE57EB">
        <w:rPr>
          <w:spacing w:val="4"/>
          <w:rtl/>
        </w:rPr>
        <w:t xml:space="preserve"> </w:t>
      </w:r>
      <w:proofErr w:type="spellStart"/>
      <w:r w:rsidRPr="00FE57EB">
        <w:rPr>
          <w:spacing w:val="4"/>
          <w:rtl/>
        </w:rPr>
        <w:t>و</w:t>
      </w:r>
      <w:r w:rsidRPr="00AF3116">
        <w:rPr>
          <w:spacing w:val="4"/>
          <w:rtl/>
        </w:rPr>
        <w:t>489</w:t>
      </w:r>
      <w:proofErr w:type="spellEnd"/>
      <w:r w:rsidRPr="00FE57EB">
        <w:rPr>
          <w:spacing w:val="4"/>
          <w:rtl/>
        </w:rPr>
        <w:t xml:space="preserve">، على التوالي. وكان متوسط درجة القراءة أقل بمقدار </w:t>
      </w:r>
      <w:r w:rsidRPr="00AF3116">
        <w:rPr>
          <w:spacing w:val="4"/>
          <w:rtl/>
        </w:rPr>
        <w:t>16</w:t>
      </w:r>
      <w:r w:rsidRPr="00FE57EB">
        <w:rPr>
          <w:spacing w:val="4"/>
          <w:rtl/>
        </w:rPr>
        <w:t xml:space="preserve"> نقطة</w:t>
      </w:r>
      <w:r w:rsidRPr="001B6C67">
        <w:rPr>
          <w:rtl/>
        </w:rPr>
        <w:t xml:space="preserve"> مما كان عليه في مسح برنامج التقييم الدولي للطلاب لعام </w:t>
      </w:r>
      <w:r w:rsidRPr="00AF3116">
        <w:rPr>
          <w:rtl/>
        </w:rPr>
        <w:t>2015</w:t>
      </w:r>
      <w:r w:rsidRPr="001B6C67">
        <w:rPr>
          <w:rtl/>
        </w:rPr>
        <w:t xml:space="preserve">، في حين زاد متوسط الدرجات في الرياضيات والعلوم بمقدار </w:t>
      </w:r>
      <w:r w:rsidRPr="00AF3116">
        <w:rPr>
          <w:rtl/>
        </w:rPr>
        <w:t>4</w:t>
      </w:r>
      <w:r w:rsidRPr="001B6C67">
        <w:rPr>
          <w:rtl/>
        </w:rPr>
        <w:t xml:space="preserve"> و</w:t>
      </w:r>
      <w:r w:rsidRPr="00AF3116">
        <w:rPr>
          <w:rtl/>
        </w:rPr>
        <w:t>5</w:t>
      </w:r>
      <w:r w:rsidRPr="001B6C67">
        <w:rPr>
          <w:rtl/>
        </w:rPr>
        <w:t xml:space="preserve"> نقاط، على التوالي. وسجلت الفتيات درجات أعلى من الفتيان في القراءة بمقدار </w:t>
      </w:r>
      <w:r w:rsidRPr="00AF3116">
        <w:rPr>
          <w:rtl/>
        </w:rPr>
        <w:t>39</w:t>
      </w:r>
      <w:r w:rsidRPr="001B6C67">
        <w:rPr>
          <w:rtl/>
        </w:rPr>
        <w:t xml:space="preserve"> نقطة، وفي الرياضيات بمقدار </w:t>
      </w:r>
      <w:r w:rsidRPr="00AF3116">
        <w:rPr>
          <w:rtl/>
        </w:rPr>
        <w:t>16</w:t>
      </w:r>
      <w:r w:rsidRPr="001B6C67">
        <w:rPr>
          <w:rtl/>
        </w:rPr>
        <w:t xml:space="preserve"> نقطة، وفي العلوم بمقدار </w:t>
      </w:r>
      <w:r w:rsidRPr="00AF3116">
        <w:rPr>
          <w:rtl/>
        </w:rPr>
        <w:t>20</w:t>
      </w:r>
      <w:r w:rsidRPr="001B6C67">
        <w:rPr>
          <w:rtl/>
        </w:rPr>
        <w:t xml:space="preserve"> نقطة. </w:t>
      </w:r>
    </w:p>
    <w:p w14:paraId="42A6D309" w14:textId="77777777" w:rsidR="00DE3D9F" w:rsidRPr="001B6C67" w:rsidRDefault="00DE3D9F" w:rsidP="00DE3D9F">
      <w:pPr>
        <w:pStyle w:val="SingleTxtGA"/>
        <w:rPr>
          <w:lang w:val="ar-SA" w:eastAsia="zh-TW" w:bidi="en-GB"/>
        </w:rPr>
      </w:pPr>
      <w:r w:rsidRPr="00AF3116">
        <w:rPr>
          <w:rtl/>
        </w:rPr>
        <w:t>32</w:t>
      </w:r>
      <w:r w:rsidRPr="001B6C67">
        <w:rPr>
          <w:rtl/>
        </w:rPr>
        <w:t>-</w:t>
      </w:r>
      <w:r w:rsidRPr="001B6C67">
        <w:rPr>
          <w:rtl/>
        </w:rPr>
        <w:tab/>
        <w:t xml:space="preserve">وفي العام الدراسي </w:t>
      </w:r>
      <w:r w:rsidRPr="00AF3116">
        <w:rPr>
          <w:rtl/>
        </w:rPr>
        <w:t>2018</w:t>
      </w:r>
      <w:r w:rsidRPr="001B6C67">
        <w:rPr>
          <w:rtl/>
        </w:rPr>
        <w:t xml:space="preserve">، تلقى </w:t>
      </w:r>
      <w:r w:rsidRPr="00AF3116">
        <w:rPr>
          <w:rtl/>
        </w:rPr>
        <w:t>040</w:t>
      </w:r>
      <w:r w:rsidRPr="001B6C67">
        <w:rPr>
          <w:rtl/>
        </w:rPr>
        <w:t xml:space="preserve"> </w:t>
      </w:r>
      <w:r w:rsidRPr="00AF3116">
        <w:rPr>
          <w:rtl/>
        </w:rPr>
        <w:t>510</w:t>
      </w:r>
      <w:r w:rsidRPr="001B6C67">
        <w:rPr>
          <w:rtl/>
        </w:rPr>
        <w:t xml:space="preserve"> طالباً يعانون من ظروف خاصة في </w:t>
      </w:r>
      <w:r w:rsidRPr="00AF3116">
        <w:rPr>
          <w:rtl/>
        </w:rPr>
        <w:t>557</w:t>
      </w:r>
      <w:r w:rsidRPr="001B6C67">
        <w:rPr>
          <w:rtl/>
        </w:rPr>
        <w:t xml:space="preserve"> </w:t>
      </w:r>
      <w:r w:rsidRPr="00AF3116">
        <w:rPr>
          <w:rtl/>
        </w:rPr>
        <w:t>26</w:t>
      </w:r>
      <w:r w:rsidRPr="001B6C67">
        <w:rPr>
          <w:rtl/>
        </w:rPr>
        <w:t xml:space="preserve"> مدرسة تابعة لمكتب لجنة التعليم الأساسي منحاً من صندوق التعليم المنصف. ويمكن الاطلاع على مزيد من المعلومات عن برنامج صندوق التعليم المنصف في الفقرة </w:t>
      </w:r>
      <w:r w:rsidRPr="00AF3116">
        <w:rPr>
          <w:rtl/>
        </w:rPr>
        <w:t>115</w:t>
      </w:r>
      <w:r w:rsidRPr="001B6C67">
        <w:rPr>
          <w:rtl/>
        </w:rPr>
        <w:t>.</w:t>
      </w:r>
    </w:p>
    <w:p w14:paraId="14FAD4B7" w14:textId="77777777" w:rsidR="00DE3D9F" w:rsidRPr="00AF3116" w:rsidRDefault="00DE3D9F" w:rsidP="00AD7242">
      <w:pPr>
        <w:pStyle w:val="H1GA"/>
        <w:rPr>
          <w:lang w:val="ar-SA" w:eastAsia="zh-TW" w:bidi="en-GB"/>
        </w:rPr>
      </w:pPr>
      <w:r w:rsidRPr="00AF3116">
        <w:rPr>
          <w:rtl/>
        </w:rPr>
        <w:lastRenderedPageBreak/>
        <w:tab/>
      </w:r>
      <w:bookmarkStart w:id="8" w:name="_Toc92899415"/>
      <w:r w:rsidRPr="00AF3116">
        <w:rPr>
          <w:rtl/>
        </w:rPr>
        <w:t>باء-</w:t>
      </w:r>
      <w:r w:rsidRPr="00AF3116">
        <w:rPr>
          <w:rtl/>
        </w:rPr>
        <w:tab/>
        <w:t>الهيكل الدستوري والسياسي والقانوني</w:t>
      </w:r>
      <w:bookmarkStart w:id="9" w:name="_Toc89701534"/>
      <w:bookmarkEnd w:id="9"/>
      <w:bookmarkEnd w:id="8"/>
    </w:p>
    <w:p w14:paraId="75BF3F27" w14:textId="77777777" w:rsidR="00DE3D9F" w:rsidRPr="001B6C67" w:rsidRDefault="00DE3D9F" w:rsidP="00DE3D9F">
      <w:pPr>
        <w:pStyle w:val="SingleTxtGA"/>
        <w:rPr>
          <w:lang w:val="ar-SA" w:eastAsia="zh-TW" w:bidi="en-GB"/>
        </w:rPr>
      </w:pPr>
      <w:r w:rsidRPr="00AF3116">
        <w:rPr>
          <w:rtl/>
        </w:rPr>
        <w:t>33</w:t>
      </w:r>
      <w:r w:rsidRPr="001B6C67">
        <w:rPr>
          <w:rtl/>
        </w:rPr>
        <w:t>-</w:t>
      </w:r>
      <w:r w:rsidRPr="001B6C67">
        <w:rPr>
          <w:rtl/>
        </w:rPr>
        <w:tab/>
        <w:t xml:space="preserve">كانت تايلاند (المعروفة سابقاً باسم سيام) تخضع لحكم نظام ملكي مطلق وأصبحت ملكية دستورية في عام </w:t>
      </w:r>
      <w:r w:rsidRPr="00AF3116">
        <w:rPr>
          <w:rtl/>
        </w:rPr>
        <w:t>1932</w:t>
      </w:r>
      <w:r w:rsidRPr="001B6C67">
        <w:rPr>
          <w:rtl/>
        </w:rPr>
        <w:t xml:space="preserve">. والملك الحاكم هو صاحب الجلالة الملك مها </w:t>
      </w:r>
      <w:proofErr w:type="spellStart"/>
      <w:r w:rsidRPr="001B6C67">
        <w:rPr>
          <w:rtl/>
        </w:rPr>
        <w:t>فاجيرالونغكورن</w:t>
      </w:r>
      <w:proofErr w:type="spellEnd"/>
      <w:r w:rsidRPr="001B6C67">
        <w:rPr>
          <w:rtl/>
        </w:rPr>
        <w:t xml:space="preserve"> فرا </w:t>
      </w:r>
      <w:proofErr w:type="spellStart"/>
      <w:r w:rsidRPr="001B6C67">
        <w:rPr>
          <w:rtl/>
        </w:rPr>
        <w:t>فاجيراكالاوتشاويوهوا</w:t>
      </w:r>
      <w:proofErr w:type="spellEnd"/>
      <w:r w:rsidRPr="001B6C67">
        <w:rPr>
          <w:rtl/>
        </w:rPr>
        <w:t xml:space="preserve">، الملك العاشر </w:t>
      </w:r>
      <w:r>
        <w:rPr>
          <w:rtl/>
        </w:rPr>
        <w:t xml:space="preserve">من </w:t>
      </w:r>
      <w:r w:rsidRPr="001B6C67">
        <w:rPr>
          <w:rtl/>
        </w:rPr>
        <w:t xml:space="preserve">أسرة شاكري. </w:t>
      </w:r>
    </w:p>
    <w:p w14:paraId="44E6B0BB" w14:textId="26ADFF8B" w:rsidR="00DE3D9F" w:rsidRPr="001B6C67" w:rsidRDefault="00DE3D9F" w:rsidP="00DE3D9F">
      <w:pPr>
        <w:pStyle w:val="SingleTxtGA"/>
        <w:rPr>
          <w:lang w:val="ar-SA" w:eastAsia="zh-TW" w:bidi="en-GB"/>
        </w:rPr>
      </w:pPr>
      <w:r w:rsidRPr="00AF3116">
        <w:rPr>
          <w:rtl/>
        </w:rPr>
        <w:t>34</w:t>
      </w:r>
      <w:r w:rsidRPr="001B6C67">
        <w:rPr>
          <w:rtl/>
        </w:rPr>
        <w:t>-</w:t>
      </w:r>
      <w:r w:rsidRPr="001B6C67">
        <w:rPr>
          <w:rtl/>
        </w:rPr>
        <w:tab/>
        <w:t xml:space="preserve">وصدر </w:t>
      </w:r>
      <w:r>
        <w:rPr>
          <w:rtl/>
        </w:rPr>
        <w:t>ال</w:t>
      </w:r>
      <w:r w:rsidRPr="001B6C67">
        <w:rPr>
          <w:rtl/>
        </w:rPr>
        <w:t xml:space="preserve">دستور </w:t>
      </w:r>
      <w:r>
        <w:rPr>
          <w:rtl/>
        </w:rPr>
        <w:t>الحالي</w:t>
      </w:r>
      <w:r w:rsidRPr="001B6C67">
        <w:rPr>
          <w:rtl/>
        </w:rPr>
        <w:t xml:space="preserve"> في </w:t>
      </w:r>
      <w:r w:rsidRPr="00AF3116">
        <w:rPr>
          <w:rtl/>
        </w:rPr>
        <w:t>6</w:t>
      </w:r>
      <w:r w:rsidRPr="001B6C67">
        <w:rPr>
          <w:rtl/>
        </w:rPr>
        <w:t xml:space="preserve"> نيسان/أبريل </w:t>
      </w:r>
      <w:r w:rsidRPr="00AF3116">
        <w:rPr>
          <w:rtl/>
        </w:rPr>
        <w:t>2017</w:t>
      </w:r>
      <w:r w:rsidRPr="001B6C67">
        <w:rPr>
          <w:rtl/>
        </w:rPr>
        <w:t xml:space="preserve"> ليحل محل الدستور المؤقت لعام </w:t>
      </w:r>
      <w:r w:rsidRPr="00AF3116">
        <w:rPr>
          <w:rtl/>
        </w:rPr>
        <w:t>2014</w:t>
      </w:r>
      <w:r w:rsidRPr="001B6C67">
        <w:rPr>
          <w:rtl/>
        </w:rPr>
        <w:t xml:space="preserve">. وشددت صياغة دستور عام </w:t>
      </w:r>
      <w:r w:rsidRPr="00AF3116">
        <w:rPr>
          <w:rtl/>
        </w:rPr>
        <w:t>2017</w:t>
      </w:r>
      <w:r w:rsidRPr="001B6C67">
        <w:rPr>
          <w:rtl/>
        </w:rPr>
        <w:t xml:space="preserve"> على المشاركة العامة، بما في ذلك من خلال وسائل التواصل الاجتماعي. وأُقِر المشروع من خلال استفتاء وطني في آب/أغسطس </w:t>
      </w:r>
      <w:r w:rsidRPr="00AF3116">
        <w:rPr>
          <w:rtl/>
        </w:rPr>
        <w:t>2016</w:t>
      </w:r>
      <w:r w:rsidRPr="001B6C67">
        <w:rPr>
          <w:rtl/>
        </w:rPr>
        <w:t xml:space="preserve"> بتأييد </w:t>
      </w:r>
      <w:r w:rsidRPr="00AF3116">
        <w:rPr>
          <w:rtl/>
        </w:rPr>
        <w:t>61</w:t>
      </w:r>
      <w:r w:rsidRPr="001B6C67">
        <w:rPr>
          <w:rtl/>
        </w:rPr>
        <w:t>,</w:t>
      </w:r>
      <w:r w:rsidRPr="00AF3116">
        <w:rPr>
          <w:rtl/>
        </w:rPr>
        <w:t>35</w:t>
      </w:r>
      <w:r w:rsidRPr="001B6C67">
        <w:rPr>
          <w:rtl/>
        </w:rPr>
        <w:t xml:space="preserve"> في المئة من</w:t>
      </w:r>
      <w:r w:rsidR="00AD7242">
        <w:rPr>
          <w:rFonts w:hint="eastAsia"/>
          <w:rtl/>
        </w:rPr>
        <w:t> </w:t>
      </w:r>
      <w:r w:rsidRPr="001B6C67">
        <w:rPr>
          <w:rtl/>
        </w:rPr>
        <w:t>الأصوات.</w:t>
      </w:r>
    </w:p>
    <w:p w14:paraId="6116CF9F" w14:textId="07E54621" w:rsidR="00DE3D9F" w:rsidRPr="00AD7242" w:rsidRDefault="00DE3D9F" w:rsidP="00DE3D9F">
      <w:pPr>
        <w:pStyle w:val="SingleTxtGA"/>
        <w:rPr>
          <w:lang w:val="en-US" w:eastAsia="zh-TW" w:bidi="en-GB"/>
        </w:rPr>
      </w:pPr>
      <w:r w:rsidRPr="00AF3116">
        <w:rPr>
          <w:rtl/>
        </w:rPr>
        <w:t>35</w:t>
      </w:r>
      <w:r w:rsidRPr="001B6C67">
        <w:rPr>
          <w:rtl/>
        </w:rPr>
        <w:t>-</w:t>
      </w:r>
      <w:r w:rsidRPr="00FE57EB">
        <w:rPr>
          <w:spacing w:val="-4"/>
          <w:rtl/>
        </w:rPr>
        <w:tab/>
        <w:t xml:space="preserve">ووفقاً لدستور عام </w:t>
      </w:r>
      <w:r w:rsidRPr="00AF3116">
        <w:rPr>
          <w:spacing w:val="-4"/>
          <w:rtl/>
        </w:rPr>
        <w:t>2017</w:t>
      </w:r>
      <w:r w:rsidRPr="00FE57EB">
        <w:rPr>
          <w:spacing w:val="-4"/>
          <w:rtl/>
        </w:rPr>
        <w:t xml:space="preserve">، يجسد النظام السياسي التايلاندي الخصائص الأربع التالية. </w:t>
      </w:r>
      <w:r w:rsidRPr="00FE57EB">
        <w:rPr>
          <w:spacing w:val="-4"/>
        </w:rPr>
        <w:t>’</w:t>
      </w:r>
      <w:r w:rsidRPr="00AF3116">
        <w:rPr>
          <w:spacing w:val="-4"/>
          <w:rtl/>
        </w:rPr>
        <w:t>1</w:t>
      </w:r>
      <w:r w:rsidRPr="00FE57EB">
        <w:rPr>
          <w:spacing w:val="-4"/>
          <w:rtl/>
        </w:rPr>
        <w:t>‘ نظام ملكي دستوري، ’</w:t>
      </w:r>
      <w:r w:rsidRPr="00AF3116">
        <w:rPr>
          <w:spacing w:val="-4"/>
          <w:rtl/>
        </w:rPr>
        <w:t>2</w:t>
      </w:r>
      <w:r w:rsidRPr="00FE57EB">
        <w:rPr>
          <w:spacing w:val="-4"/>
          <w:rtl/>
        </w:rPr>
        <w:t>‘ دولة نظام وحدوي، ’</w:t>
      </w:r>
      <w:r w:rsidRPr="00AF3116">
        <w:rPr>
          <w:spacing w:val="-4"/>
          <w:rtl/>
        </w:rPr>
        <w:t>3</w:t>
      </w:r>
      <w:r w:rsidRPr="00FE57EB">
        <w:rPr>
          <w:spacing w:val="-4"/>
          <w:rtl/>
        </w:rPr>
        <w:t>‘ نظام فصل بين السلطات، ’</w:t>
      </w:r>
      <w:r w:rsidRPr="00AF3116">
        <w:rPr>
          <w:spacing w:val="-4"/>
          <w:rtl/>
        </w:rPr>
        <w:t>4</w:t>
      </w:r>
      <w:r w:rsidRPr="00FE57EB">
        <w:rPr>
          <w:spacing w:val="-4"/>
          <w:rtl/>
        </w:rPr>
        <w:t>‘ نظام برلماني ذو</w:t>
      </w:r>
      <w:r w:rsidR="00AD7242" w:rsidRPr="00FE57EB">
        <w:rPr>
          <w:rFonts w:hint="cs"/>
          <w:spacing w:val="-4"/>
          <w:rtl/>
        </w:rPr>
        <w:t> </w:t>
      </w:r>
      <w:r w:rsidRPr="00FE57EB">
        <w:rPr>
          <w:spacing w:val="-4"/>
          <w:rtl/>
        </w:rPr>
        <w:t>مجلسين</w:t>
      </w:r>
      <w:r w:rsidRPr="001B6C67">
        <w:rPr>
          <w:rtl/>
        </w:rPr>
        <w:t>.</w:t>
      </w:r>
    </w:p>
    <w:p w14:paraId="4327F0DC" w14:textId="77777777" w:rsidR="00DE3D9F" w:rsidRPr="001B6C67" w:rsidRDefault="00DE3D9F" w:rsidP="00DE3D9F">
      <w:pPr>
        <w:pStyle w:val="SingleTxtGA"/>
        <w:rPr>
          <w:lang w:val="ar-SA" w:eastAsia="zh-TW" w:bidi="en-GB"/>
        </w:rPr>
      </w:pPr>
      <w:r w:rsidRPr="00AF3116">
        <w:rPr>
          <w:rtl/>
        </w:rPr>
        <w:t>36</w:t>
      </w:r>
      <w:r w:rsidRPr="001B6C67">
        <w:rPr>
          <w:rtl/>
        </w:rPr>
        <w:t>-</w:t>
      </w:r>
      <w:r w:rsidRPr="001B6C67">
        <w:rPr>
          <w:rtl/>
        </w:rPr>
        <w:tab/>
        <w:t>وتعود السلطة السيادية للشعب التايلندي. ويمارس الملك بصفته رئيساً للدولة السلطات التشريعية والتنفيذية والقضائية من خلال البرلمان والحكومة والمحاكم على التوالي وفقاً لأحكام هذا الدستور. والطابع الديمقراطي للنظام السياسي التايلندي مضمون بالفصل التام بين السلطة القضائية والفروع الأخرى، وبالتالي استقلال المحاكم.</w:t>
      </w:r>
    </w:p>
    <w:p w14:paraId="6E50098D" w14:textId="77777777" w:rsidR="00DE3D9F" w:rsidRPr="00AF3116" w:rsidRDefault="00DE3D9F" w:rsidP="00AD7242">
      <w:pPr>
        <w:pStyle w:val="H23GA"/>
        <w:rPr>
          <w:lang w:val="ar-SA" w:eastAsia="zh-TW" w:bidi="en-GB"/>
        </w:rPr>
      </w:pPr>
      <w:r w:rsidRPr="00AF3116">
        <w:rPr>
          <w:rtl/>
        </w:rPr>
        <w:tab/>
      </w:r>
      <w:r w:rsidRPr="00AF3116">
        <w:rPr>
          <w:rtl/>
        </w:rPr>
        <w:tab/>
        <w:t>السلطة التشريعية: نظام برلماني ذو مجلسين</w:t>
      </w:r>
    </w:p>
    <w:p w14:paraId="0F8B5A11" w14:textId="411F093F" w:rsidR="00DE3D9F" w:rsidRPr="00AD7242" w:rsidRDefault="00DE3D9F" w:rsidP="00DE3D9F">
      <w:pPr>
        <w:pStyle w:val="SingleTxtGA"/>
        <w:rPr>
          <w:lang w:val="en-US" w:eastAsia="zh-TW" w:bidi="en-GB"/>
        </w:rPr>
      </w:pPr>
      <w:r w:rsidRPr="00AF3116">
        <w:rPr>
          <w:rtl/>
        </w:rPr>
        <w:t>37</w:t>
      </w:r>
      <w:r w:rsidRPr="001B6C67">
        <w:rPr>
          <w:rtl/>
        </w:rPr>
        <w:t>-</w:t>
      </w:r>
      <w:r w:rsidRPr="001B6C67">
        <w:rPr>
          <w:rtl/>
        </w:rPr>
        <w:tab/>
        <w:t xml:space="preserve">ينص دستور عام </w:t>
      </w:r>
      <w:r w:rsidRPr="00AF3116">
        <w:rPr>
          <w:rtl/>
        </w:rPr>
        <w:t>2017</w:t>
      </w:r>
      <w:r w:rsidRPr="001B6C67">
        <w:rPr>
          <w:rtl/>
        </w:rPr>
        <w:t xml:space="preserve"> على أن البرلمان يتكون من مجلسين هما مجلس النواب ومجلس</w:t>
      </w:r>
      <w:r w:rsidR="00AD7242">
        <w:rPr>
          <w:rFonts w:hint="eastAsia"/>
          <w:rtl/>
        </w:rPr>
        <w:t> </w:t>
      </w:r>
      <w:r w:rsidRPr="001B6C67">
        <w:rPr>
          <w:rtl/>
        </w:rPr>
        <w:t>الشيوخ.</w:t>
      </w:r>
    </w:p>
    <w:p w14:paraId="700AEAC1" w14:textId="77777777" w:rsidR="00DE3D9F" w:rsidRPr="001B6C67" w:rsidRDefault="00DE3D9F" w:rsidP="00DE3D9F">
      <w:pPr>
        <w:pStyle w:val="SingleTxtGA"/>
        <w:rPr>
          <w:lang w:val="ar-SA" w:eastAsia="zh-TW" w:bidi="en-GB"/>
        </w:rPr>
      </w:pPr>
      <w:r w:rsidRPr="00AF3116">
        <w:rPr>
          <w:rtl/>
        </w:rPr>
        <w:t>38</w:t>
      </w:r>
      <w:r w:rsidRPr="001B6C67">
        <w:rPr>
          <w:rtl/>
        </w:rPr>
        <w:t>-</w:t>
      </w:r>
      <w:r w:rsidRPr="001B6C67">
        <w:rPr>
          <w:rtl/>
        </w:rPr>
        <w:tab/>
        <w:t xml:space="preserve">ويضم مجلس النواب خمسمائة عضو يتألفون من </w:t>
      </w:r>
      <w:r w:rsidRPr="00AF3116">
        <w:rPr>
          <w:rtl/>
        </w:rPr>
        <w:t>350</w:t>
      </w:r>
      <w:r w:rsidRPr="001B6C67">
        <w:rPr>
          <w:rtl/>
        </w:rPr>
        <w:t xml:space="preserve"> نائباً </w:t>
      </w:r>
      <w:r>
        <w:rPr>
          <w:rtl/>
        </w:rPr>
        <w:t>برلمانياً ل</w:t>
      </w:r>
      <w:r w:rsidRPr="001B6C67">
        <w:rPr>
          <w:rtl/>
        </w:rPr>
        <w:t>لدوائر الانتخابية و</w:t>
      </w:r>
      <w:r w:rsidRPr="00AF3116">
        <w:rPr>
          <w:rtl/>
        </w:rPr>
        <w:t>150</w:t>
      </w:r>
      <w:r w:rsidRPr="001B6C67">
        <w:rPr>
          <w:rtl/>
        </w:rPr>
        <w:t xml:space="preserve"> نائباً </w:t>
      </w:r>
      <w:r>
        <w:rPr>
          <w:rtl/>
        </w:rPr>
        <w:t xml:space="preserve">برلمانياً </w:t>
      </w:r>
      <w:r w:rsidRPr="001B6C67">
        <w:rPr>
          <w:rtl/>
        </w:rPr>
        <w:t>من قائمة الأحزاب يتم اختيارهم وفقاً للتمثيل النسبي.</w:t>
      </w:r>
    </w:p>
    <w:p w14:paraId="6DDCF13C" w14:textId="77777777" w:rsidR="00DE3D9F" w:rsidRPr="001B6C67" w:rsidRDefault="00DE3D9F" w:rsidP="00DE3D9F">
      <w:pPr>
        <w:pStyle w:val="SingleTxtGA"/>
        <w:rPr>
          <w:lang w:val="ar-SA" w:eastAsia="zh-TW" w:bidi="en-GB"/>
        </w:rPr>
      </w:pPr>
      <w:r w:rsidRPr="00AF3116">
        <w:rPr>
          <w:rtl/>
        </w:rPr>
        <w:t>39</w:t>
      </w:r>
      <w:r w:rsidRPr="001B6C67">
        <w:rPr>
          <w:rtl/>
        </w:rPr>
        <w:t>-</w:t>
      </w:r>
      <w:r w:rsidRPr="001B6C67">
        <w:rPr>
          <w:rtl/>
        </w:rPr>
        <w:tab/>
        <w:t xml:space="preserve">ويتألف مجلس الشيوخ من </w:t>
      </w:r>
      <w:r w:rsidRPr="00AF3116">
        <w:rPr>
          <w:rtl/>
        </w:rPr>
        <w:t>200</w:t>
      </w:r>
      <w:r w:rsidRPr="001B6C67">
        <w:rPr>
          <w:rtl/>
        </w:rPr>
        <w:t xml:space="preserve"> عضو </w:t>
      </w:r>
      <w:r>
        <w:rPr>
          <w:rtl/>
        </w:rPr>
        <w:t>تقوم</w:t>
      </w:r>
      <w:r w:rsidRPr="001B6C67">
        <w:rPr>
          <w:rtl/>
        </w:rPr>
        <w:t xml:space="preserve"> </w:t>
      </w:r>
      <w:r>
        <w:rPr>
          <w:rtl/>
        </w:rPr>
        <w:t>ب</w:t>
      </w:r>
      <w:r w:rsidRPr="001B6C67">
        <w:rPr>
          <w:rtl/>
        </w:rPr>
        <w:t>تنصيبهم من بين</w:t>
      </w:r>
      <w:r>
        <w:rPr>
          <w:rtl/>
        </w:rPr>
        <w:t>ها</w:t>
      </w:r>
      <w:r w:rsidRPr="001B6C67">
        <w:rPr>
          <w:rtl/>
        </w:rPr>
        <w:t xml:space="preserve"> مجموعة مختارة من الأشخاص لديهم المعرفة أو الخبرة أو التجربة أو المهنة أو الخصائص أو مصالح مشتركة أو يعملون أو عملوا في مجالات متنوعة من المجتمع. ويتم تقسيم المجموعات بطريقة تمكن كل شخص من أن يكون له الحق في التقدم بطلب لاختياره لكي ينتمي إلى أي مجموعة. غير أن مجلس الشيوخ الأولي الذي له ولاية مدتها خمس سنوات يتألف من </w:t>
      </w:r>
      <w:r w:rsidRPr="00AF3116">
        <w:rPr>
          <w:rtl/>
        </w:rPr>
        <w:t>250</w:t>
      </w:r>
      <w:r w:rsidRPr="001B6C67">
        <w:rPr>
          <w:rtl/>
        </w:rPr>
        <w:t xml:space="preserve"> عضواً يعينهم الملك بناءً على مشورة المجلس الوطني للسلام والنظام.</w:t>
      </w:r>
    </w:p>
    <w:p w14:paraId="501F8634" w14:textId="77777777" w:rsidR="00DE3D9F" w:rsidRPr="001B6C67" w:rsidRDefault="00DE3D9F" w:rsidP="00DE3D9F">
      <w:pPr>
        <w:pStyle w:val="SingleTxtGA"/>
        <w:rPr>
          <w:lang w:val="ar-SA" w:eastAsia="zh-TW" w:bidi="en-GB"/>
        </w:rPr>
      </w:pPr>
      <w:r w:rsidRPr="00AF3116">
        <w:rPr>
          <w:rtl/>
        </w:rPr>
        <w:t>40</w:t>
      </w:r>
      <w:r w:rsidRPr="001B6C67">
        <w:rPr>
          <w:rtl/>
        </w:rPr>
        <w:t>-</w:t>
      </w:r>
      <w:r w:rsidRPr="001B6C67">
        <w:rPr>
          <w:rtl/>
        </w:rPr>
        <w:tab/>
        <w:t xml:space="preserve">وفي الوقت الراهن، هناك </w:t>
      </w:r>
      <w:r w:rsidRPr="00AF3116">
        <w:rPr>
          <w:rtl/>
        </w:rPr>
        <w:t>78</w:t>
      </w:r>
      <w:r w:rsidRPr="001B6C67">
        <w:rPr>
          <w:rtl/>
        </w:rPr>
        <w:t xml:space="preserve"> عضوة في البرلمان (</w:t>
      </w:r>
      <w:r w:rsidRPr="00AF3116">
        <w:rPr>
          <w:rtl/>
        </w:rPr>
        <w:t>15</w:t>
      </w:r>
      <w:r w:rsidRPr="001B6C67">
        <w:rPr>
          <w:rtl/>
        </w:rPr>
        <w:t>,</w:t>
      </w:r>
      <w:r w:rsidRPr="00AF3116">
        <w:rPr>
          <w:rtl/>
        </w:rPr>
        <w:t>6</w:t>
      </w:r>
      <w:r w:rsidRPr="001B6C67">
        <w:rPr>
          <w:rtl/>
        </w:rPr>
        <w:t xml:space="preserve"> في المائة) و</w:t>
      </w:r>
      <w:r w:rsidRPr="00AF3116">
        <w:rPr>
          <w:rtl/>
        </w:rPr>
        <w:t>25</w:t>
      </w:r>
      <w:r w:rsidRPr="001B6C67">
        <w:rPr>
          <w:rtl/>
        </w:rPr>
        <w:t xml:space="preserve"> عضوة في مجلس الشيوخ (</w:t>
      </w:r>
      <w:r w:rsidRPr="00AF3116">
        <w:rPr>
          <w:rtl/>
        </w:rPr>
        <w:t>10</w:t>
      </w:r>
      <w:r w:rsidRPr="001B6C67">
        <w:rPr>
          <w:rtl/>
        </w:rPr>
        <w:t xml:space="preserve"> في المائة).</w:t>
      </w:r>
    </w:p>
    <w:p w14:paraId="646C5906" w14:textId="77777777" w:rsidR="00DE3D9F" w:rsidRPr="00AF3116" w:rsidRDefault="00DE3D9F" w:rsidP="00AD7242">
      <w:pPr>
        <w:pStyle w:val="H23GA"/>
        <w:rPr>
          <w:lang w:val="ar-SA" w:eastAsia="zh-TW" w:bidi="en-GB"/>
        </w:rPr>
      </w:pPr>
      <w:r w:rsidRPr="00AF3116">
        <w:rPr>
          <w:rtl/>
        </w:rPr>
        <w:tab/>
      </w:r>
      <w:r w:rsidRPr="00AF3116">
        <w:rPr>
          <w:rtl/>
        </w:rPr>
        <w:tab/>
        <w:t>السلطة التنفيذية</w:t>
      </w:r>
    </w:p>
    <w:p w14:paraId="2BA016BE" w14:textId="77777777" w:rsidR="00DE3D9F" w:rsidRPr="001B6C67" w:rsidRDefault="00DE3D9F" w:rsidP="00DE3D9F">
      <w:pPr>
        <w:pStyle w:val="SingleTxtGA"/>
        <w:rPr>
          <w:lang w:val="ar-SA" w:eastAsia="zh-TW" w:bidi="en-GB"/>
        </w:rPr>
      </w:pPr>
      <w:r w:rsidRPr="00AF3116">
        <w:rPr>
          <w:rtl/>
        </w:rPr>
        <w:t>41</w:t>
      </w:r>
      <w:r w:rsidRPr="001B6C67">
        <w:rPr>
          <w:rtl/>
        </w:rPr>
        <w:t>-</w:t>
      </w:r>
      <w:r w:rsidRPr="001B6C67">
        <w:rPr>
          <w:rtl/>
        </w:rPr>
        <w:tab/>
        <w:t xml:space="preserve">السلطة التنفيذية برئاسة رئيس الوزراء مسؤولة عن إدارة شؤون الدولة وتنفيذ القوانين. وهي مسؤولة أمام البرلمان عن جميع إجراءاتها وقراراتها. </w:t>
      </w:r>
    </w:p>
    <w:p w14:paraId="37954F84" w14:textId="03F2F33B" w:rsidR="00DE3D9F" w:rsidRPr="001B6C67" w:rsidRDefault="00DE3D9F" w:rsidP="00DE3D9F">
      <w:pPr>
        <w:pStyle w:val="SingleTxtGA"/>
        <w:rPr>
          <w:lang w:val="ar-SA" w:eastAsia="zh-TW" w:bidi="en-GB"/>
        </w:rPr>
      </w:pPr>
      <w:r w:rsidRPr="00AF3116">
        <w:rPr>
          <w:rtl/>
        </w:rPr>
        <w:t>42</w:t>
      </w:r>
      <w:r w:rsidRPr="001B6C67">
        <w:rPr>
          <w:rtl/>
        </w:rPr>
        <w:t>-</w:t>
      </w:r>
      <w:r w:rsidRPr="001B6C67">
        <w:rPr>
          <w:rtl/>
        </w:rPr>
        <w:tab/>
        <w:t>وينقسم الهيكل الإداري للبلد إلى ثلاثة مستويات: الإدارة المركزية، والإدارة الإقليمية، والإدارة</w:t>
      </w:r>
      <w:r w:rsidR="00AD7242">
        <w:rPr>
          <w:rFonts w:hint="cs"/>
          <w:rtl/>
        </w:rPr>
        <w:t> </w:t>
      </w:r>
      <w:r w:rsidRPr="001B6C67">
        <w:rPr>
          <w:rtl/>
        </w:rPr>
        <w:t>المحلية:</w:t>
      </w:r>
    </w:p>
    <w:p w14:paraId="76184248" w14:textId="77777777" w:rsidR="00DE3D9F" w:rsidRPr="001B6C67" w:rsidRDefault="00DE3D9F" w:rsidP="00FE57EB">
      <w:pPr>
        <w:pStyle w:val="SingleTxtGA"/>
        <w:numPr>
          <w:ilvl w:val="0"/>
          <w:numId w:val="32"/>
        </w:numPr>
        <w:tabs>
          <w:tab w:val="clear" w:pos="1928"/>
          <w:tab w:val="left" w:pos="1968"/>
        </w:tabs>
        <w:rPr>
          <w:lang w:val="ar-SA" w:eastAsia="zh-TW" w:bidi="en-GB"/>
        </w:rPr>
      </w:pPr>
      <w:r w:rsidRPr="001B6C67">
        <w:rPr>
          <w:rtl/>
        </w:rPr>
        <w:t>الإدارة المركزية</w:t>
      </w:r>
      <w:r>
        <w:rPr>
          <w:rtl/>
        </w:rPr>
        <w:t>.</w:t>
      </w:r>
      <w:r w:rsidRPr="001B6C67">
        <w:rPr>
          <w:rtl/>
        </w:rPr>
        <w:t xml:space="preserve"> تتألف الإدارة المركزية من </w:t>
      </w:r>
      <w:r w:rsidRPr="00AF3116">
        <w:rPr>
          <w:rtl/>
        </w:rPr>
        <w:t>20</w:t>
      </w:r>
      <w:r w:rsidRPr="001B6C67">
        <w:rPr>
          <w:rtl/>
        </w:rPr>
        <w:t xml:space="preserve"> وزارة مسؤولة عن أداء مهامها وفقاً لقانون إعادة هيكلة الحكومة</w:t>
      </w:r>
      <w:r>
        <w:rPr>
          <w:rtl/>
        </w:rPr>
        <w:t xml:space="preserve"> </w:t>
      </w:r>
      <w:r w:rsidRPr="00AD7242">
        <w:rPr>
          <w:rFonts w:cs="Times New Roman"/>
          <w:rtl/>
        </w:rPr>
        <w:t>B.E</w:t>
      </w:r>
      <w:r w:rsidRPr="001B6C67">
        <w:rPr>
          <w:rtl/>
        </w:rPr>
        <w:t xml:space="preserve">. </w:t>
      </w:r>
      <w:r w:rsidRPr="00AF3116">
        <w:rPr>
          <w:rtl/>
        </w:rPr>
        <w:t>2534</w:t>
      </w:r>
      <w:r w:rsidRPr="001B6C67">
        <w:rPr>
          <w:rtl/>
        </w:rPr>
        <w:t xml:space="preserve"> (</w:t>
      </w:r>
      <w:r w:rsidRPr="00AF3116">
        <w:rPr>
          <w:rtl/>
        </w:rPr>
        <w:t>1991</w:t>
      </w:r>
      <w:r w:rsidRPr="001B6C67">
        <w:rPr>
          <w:rtl/>
        </w:rPr>
        <w:t>) في تقديم الخدمات العامة. ورئيس الحكومة هو رئيس الوزراء، وهو مسؤول عن جميع الوزارات؛</w:t>
      </w:r>
    </w:p>
    <w:p w14:paraId="1BB3C15D" w14:textId="6B19FCCE" w:rsidR="00DE3D9F" w:rsidRPr="001B6C67" w:rsidRDefault="00DE3D9F" w:rsidP="00FE57EB">
      <w:pPr>
        <w:pStyle w:val="SingleTxtGA"/>
        <w:numPr>
          <w:ilvl w:val="0"/>
          <w:numId w:val="32"/>
        </w:numPr>
        <w:tabs>
          <w:tab w:val="clear" w:pos="1928"/>
          <w:tab w:val="left" w:pos="1968"/>
        </w:tabs>
        <w:rPr>
          <w:lang w:val="ar-SA" w:eastAsia="zh-TW" w:bidi="en-GB"/>
        </w:rPr>
      </w:pPr>
      <w:r w:rsidRPr="001B6C67">
        <w:rPr>
          <w:rtl/>
        </w:rPr>
        <w:lastRenderedPageBreak/>
        <w:t>الإدارة الإقليمية</w:t>
      </w:r>
      <w:r>
        <w:rPr>
          <w:rtl/>
        </w:rPr>
        <w:t>.</w:t>
      </w:r>
      <w:r w:rsidRPr="001B6C67">
        <w:rPr>
          <w:rtl/>
        </w:rPr>
        <w:t xml:space="preserve"> ينقسم البلد إدارياً إلى </w:t>
      </w:r>
      <w:r w:rsidRPr="00AF3116">
        <w:rPr>
          <w:rtl/>
        </w:rPr>
        <w:t>76</w:t>
      </w:r>
      <w:r w:rsidRPr="001B6C67">
        <w:rPr>
          <w:rtl/>
        </w:rPr>
        <w:t xml:space="preserve"> محافظة و</w:t>
      </w:r>
      <w:r w:rsidRPr="00AF3116">
        <w:rPr>
          <w:rtl/>
        </w:rPr>
        <w:t>878</w:t>
      </w:r>
      <w:r w:rsidRPr="001B6C67">
        <w:rPr>
          <w:rtl/>
        </w:rPr>
        <w:t xml:space="preserve"> مقاطعة و</w:t>
      </w:r>
      <w:r w:rsidRPr="00AF3116">
        <w:rPr>
          <w:rtl/>
        </w:rPr>
        <w:t>255</w:t>
      </w:r>
      <w:r w:rsidRPr="001B6C67">
        <w:rPr>
          <w:rtl/>
        </w:rPr>
        <w:t xml:space="preserve"> </w:t>
      </w:r>
      <w:r w:rsidRPr="00AF3116">
        <w:rPr>
          <w:rtl/>
        </w:rPr>
        <w:t>7</w:t>
      </w:r>
      <w:r w:rsidRPr="001B6C67">
        <w:rPr>
          <w:rtl/>
        </w:rPr>
        <w:t xml:space="preserve"> منطقة فرعية </w:t>
      </w:r>
      <w:r>
        <w:rPr>
          <w:rtl/>
        </w:rPr>
        <w:br/>
      </w:r>
      <w:r w:rsidRPr="001B6C67">
        <w:rPr>
          <w:rtl/>
        </w:rPr>
        <w:t>و</w:t>
      </w:r>
      <w:r w:rsidRPr="00AF3116">
        <w:rPr>
          <w:rtl/>
        </w:rPr>
        <w:t>032</w:t>
      </w:r>
      <w:r w:rsidRPr="001B6C67">
        <w:rPr>
          <w:rtl/>
        </w:rPr>
        <w:t xml:space="preserve"> </w:t>
      </w:r>
      <w:r w:rsidRPr="00AF3116">
        <w:rPr>
          <w:rtl/>
        </w:rPr>
        <w:t>75</w:t>
      </w:r>
      <w:r w:rsidRPr="001B6C67">
        <w:rPr>
          <w:rtl/>
        </w:rPr>
        <w:t xml:space="preserve"> قرية. والقرية هي أبسط شكل من أشكال الإدارة، يقودها رئيس قرية مسؤول عن حفظ القانون والنظام. والمنطقة الفرعية مجموعة من القرى، يرأسها رئيس المنطقة الفرعية (كامنان). ورؤساء القرى ورؤساء المناطق الفرعية ممثلون حكوميون، ولكن ينتخبهم السكان المحليون، ويخضعون مباشرة لرؤساء المقاطعات الذين يقعون تحت المسؤولية المباشرة </w:t>
      </w:r>
      <w:r>
        <w:rPr>
          <w:rtl/>
        </w:rPr>
        <w:t>لحكام</w:t>
      </w:r>
      <w:r w:rsidRPr="001B6C67">
        <w:rPr>
          <w:rtl/>
        </w:rPr>
        <w:t xml:space="preserve"> المحافظ</w:t>
      </w:r>
      <w:r>
        <w:rPr>
          <w:rtl/>
        </w:rPr>
        <w:t>ات</w:t>
      </w:r>
      <w:r w:rsidRPr="001B6C67">
        <w:rPr>
          <w:rtl/>
        </w:rPr>
        <w:t>. ورؤساء المقاطعات وحكام المحافظات موظفون مدنيون تعينهم وزارة الداخلية</w:t>
      </w:r>
      <w:r w:rsidR="00FE57EB">
        <w:rPr>
          <w:rFonts w:hint="cs"/>
          <w:rtl/>
        </w:rPr>
        <w:t> </w:t>
      </w:r>
      <w:r w:rsidRPr="001B6C67">
        <w:rPr>
          <w:rtl/>
        </w:rPr>
        <w:t>مركزياً؛</w:t>
      </w:r>
    </w:p>
    <w:p w14:paraId="5A0DD457" w14:textId="643BB80F" w:rsidR="00DE3D9F" w:rsidRPr="00FE57EB" w:rsidRDefault="00DE3D9F" w:rsidP="00FE57EB">
      <w:pPr>
        <w:pStyle w:val="SingleTxtGA"/>
        <w:numPr>
          <w:ilvl w:val="0"/>
          <w:numId w:val="32"/>
        </w:numPr>
        <w:tabs>
          <w:tab w:val="clear" w:pos="1928"/>
          <w:tab w:val="left" w:pos="1968"/>
        </w:tabs>
        <w:rPr>
          <w:spacing w:val="-4"/>
          <w:lang w:val="ar-SA" w:eastAsia="zh-TW" w:bidi="en-GB"/>
        </w:rPr>
      </w:pPr>
      <w:r w:rsidRPr="001B6C67">
        <w:rPr>
          <w:rtl/>
        </w:rPr>
        <w:t>الإدارة المحلية</w:t>
      </w:r>
      <w:r>
        <w:rPr>
          <w:rtl/>
        </w:rPr>
        <w:t>،</w:t>
      </w:r>
      <w:r w:rsidRPr="001B6C67">
        <w:rPr>
          <w:rtl/>
        </w:rPr>
        <w:t xml:space="preserve"> الإدارة المحلية هي الآلية الرئيسية لرعاية الخدمات العامة وتوفيرها لفائدة السكان في الجماعات المحلية. ولديها القدرة على الحكم الذاتي لشؤونها الخاصة. وتتمتع كل منظمة إدارية محلية بالشرعية لوضع سياساتها الإدارية والمالية والضريبية الخاصة بها بصورة مستقلة، وتنفيذ سلطتها وواجباتها المحددة، ولكن مع إيلاء الاعتبار الواجب لسياسات التنمية الإقليمية والوطنية. ولن توفر الحكومة إلا</w:t>
      </w:r>
      <w:r w:rsidR="00D55C97">
        <w:rPr>
          <w:rFonts w:hint="cs"/>
          <w:rtl/>
        </w:rPr>
        <w:t> </w:t>
      </w:r>
      <w:r w:rsidRPr="001B6C67">
        <w:rPr>
          <w:rtl/>
        </w:rPr>
        <w:t xml:space="preserve">الإشراف اللازم على النحو المنصوص عليه في القانون من أجل مواصلة تعزيز عملية اللامركزية. </w:t>
      </w:r>
      <w:r>
        <w:rPr>
          <w:rtl/>
        </w:rPr>
        <w:t>و</w:t>
      </w:r>
      <w:r w:rsidRPr="001B6C67">
        <w:rPr>
          <w:rtl/>
        </w:rPr>
        <w:t xml:space="preserve">في عام </w:t>
      </w:r>
      <w:r w:rsidRPr="00AF3116">
        <w:rPr>
          <w:rtl/>
        </w:rPr>
        <w:t>2018</w:t>
      </w:r>
      <w:r w:rsidRPr="001B6C67">
        <w:rPr>
          <w:rtl/>
        </w:rPr>
        <w:t xml:space="preserve">، ترأس رؤساء تنفيذيون </w:t>
      </w:r>
      <w:r w:rsidRPr="00FE57EB">
        <w:rPr>
          <w:spacing w:val="-4"/>
          <w:rtl/>
        </w:rPr>
        <w:t xml:space="preserve">منتخبون بالتصويت الشعبي المنظمات الإدارية المحلية المكونة من إدارة العاصمة بانكوك، ومدينة </w:t>
      </w:r>
      <w:proofErr w:type="spellStart"/>
      <w:r w:rsidRPr="00FE57EB">
        <w:rPr>
          <w:spacing w:val="-4"/>
          <w:rtl/>
        </w:rPr>
        <w:t>باتايا</w:t>
      </w:r>
      <w:proofErr w:type="spellEnd"/>
      <w:r w:rsidRPr="00FE57EB">
        <w:rPr>
          <w:spacing w:val="-4"/>
          <w:rtl/>
        </w:rPr>
        <w:t>، و</w:t>
      </w:r>
      <w:r w:rsidRPr="00AF3116">
        <w:rPr>
          <w:spacing w:val="-4"/>
          <w:rtl/>
        </w:rPr>
        <w:t>76</w:t>
      </w:r>
      <w:r w:rsidRPr="00FE57EB">
        <w:rPr>
          <w:spacing w:val="-4"/>
          <w:rtl/>
        </w:rPr>
        <w:t xml:space="preserve"> منظمة إدارية إقليمية، و</w:t>
      </w:r>
      <w:r w:rsidRPr="00AF3116">
        <w:rPr>
          <w:spacing w:val="-4"/>
          <w:rtl/>
        </w:rPr>
        <w:t>442</w:t>
      </w:r>
      <w:r w:rsidRPr="00FE57EB">
        <w:rPr>
          <w:spacing w:val="-4"/>
          <w:rtl/>
        </w:rPr>
        <w:t xml:space="preserve"> </w:t>
      </w:r>
      <w:r w:rsidRPr="00AF3116">
        <w:rPr>
          <w:spacing w:val="-4"/>
          <w:rtl/>
        </w:rPr>
        <w:t>2</w:t>
      </w:r>
      <w:r w:rsidRPr="00FE57EB">
        <w:rPr>
          <w:spacing w:val="-4"/>
          <w:rtl/>
        </w:rPr>
        <w:t xml:space="preserve"> بلدية، و</w:t>
      </w:r>
      <w:r w:rsidRPr="00AF3116">
        <w:rPr>
          <w:spacing w:val="-4"/>
          <w:rtl/>
        </w:rPr>
        <w:t>332</w:t>
      </w:r>
      <w:r w:rsidRPr="00FE57EB">
        <w:rPr>
          <w:spacing w:val="-4"/>
          <w:rtl/>
        </w:rPr>
        <w:t xml:space="preserve"> </w:t>
      </w:r>
      <w:r w:rsidRPr="00AF3116">
        <w:rPr>
          <w:spacing w:val="-4"/>
          <w:rtl/>
        </w:rPr>
        <w:t>5</w:t>
      </w:r>
      <w:r w:rsidRPr="00FE57EB">
        <w:rPr>
          <w:spacing w:val="-4"/>
          <w:rtl/>
        </w:rPr>
        <w:t xml:space="preserve"> منظمة إدارية للمناطق الفرعية.</w:t>
      </w:r>
    </w:p>
    <w:p w14:paraId="5F97F95A" w14:textId="77777777" w:rsidR="00DE3D9F" w:rsidRPr="001B6C67" w:rsidRDefault="00DE3D9F" w:rsidP="00DE3D9F">
      <w:pPr>
        <w:pStyle w:val="SingleTxtGA"/>
        <w:rPr>
          <w:lang w:val="ar-SA" w:eastAsia="zh-TW" w:bidi="en-GB"/>
        </w:rPr>
      </w:pPr>
      <w:r w:rsidRPr="00AF3116">
        <w:rPr>
          <w:rtl/>
        </w:rPr>
        <w:t>43</w:t>
      </w:r>
      <w:r w:rsidRPr="001B6C67">
        <w:rPr>
          <w:rtl/>
        </w:rPr>
        <w:t>-</w:t>
      </w:r>
      <w:r w:rsidRPr="001B6C67">
        <w:rPr>
          <w:rtl/>
        </w:rPr>
        <w:tab/>
        <w:t xml:space="preserve">وتنفذ الإدارة الحكومية في إطار نظام الميزانية الوطنية، مع فحص البرلمان لمخصصات الميزانية السنوية وإقراره لها. وتبدأ السنة المالية في </w:t>
      </w:r>
      <w:r w:rsidRPr="00AF3116">
        <w:rPr>
          <w:rtl/>
        </w:rPr>
        <w:t>1</w:t>
      </w:r>
      <w:r w:rsidRPr="001B6C67">
        <w:rPr>
          <w:rtl/>
        </w:rPr>
        <w:t xml:space="preserve"> تشرين الأول/أكتوبر وتنتهي في </w:t>
      </w:r>
      <w:r w:rsidRPr="00AF3116">
        <w:rPr>
          <w:rtl/>
        </w:rPr>
        <w:t>30</w:t>
      </w:r>
      <w:r w:rsidRPr="001B6C67">
        <w:rPr>
          <w:rtl/>
        </w:rPr>
        <w:t xml:space="preserve"> أيلول/سبتمبر من العام التالي.</w:t>
      </w:r>
    </w:p>
    <w:p w14:paraId="6445D32D" w14:textId="77777777" w:rsidR="00DE3D9F" w:rsidRPr="001B6C67" w:rsidRDefault="00DE3D9F" w:rsidP="00DE3D9F">
      <w:pPr>
        <w:pStyle w:val="SingleTxtGA"/>
        <w:rPr>
          <w:lang w:val="ar-SA" w:eastAsia="zh-TW" w:bidi="en-GB"/>
        </w:rPr>
      </w:pPr>
      <w:r w:rsidRPr="00AF3116">
        <w:rPr>
          <w:rtl/>
        </w:rPr>
        <w:t>44</w:t>
      </w:r>
      <w:r w:rsidRPr="001B6C67">
        <w:rPr>
          <w:rtl/>
        </w:rPr>
        <w:t>-</w:t>
      </w:r>
      <w:r w:rsidRPr="001B6C67">
        <w:rPr>
          <w:rtl/>
        </w:rPr>
        <w:tab/>
        <w:t xml:space="preserve">وقد تخفق الحكومة في مجلس النواب </w:t>
      </w:r>
      <w:r>
        <w:rPr>
          <w:rtl/>
        </w:rPr>
        <w:t>من خلال تصويت عدم الثقة</w:t>
      </w:r>
      <w:r w:rsidRPr="001B6C67">
        <w:rPr>
          <w:rtl/>
        </w:rPr>
        <w:t>، وفي هذه الحالة يكون على رئيس المجلس أن يعين زعيماً آخر يستطيع الحفاظ على ثقة البرلمان، وإلا استطاع رئيس الوزراء أن يقوم بحل البرلمان عن طريق إصدار أمر بإجراء انتخابات.</w:t>
      </w:r>
    </w:p>
    <w:p w14:paraId="65C34B40" w14:textId="77777777" w:rsidR="00DE3D9F" w:rsidRPr="00AF3116" w:rsidRDefault="00DE3D9F" w:rsidP="00AD7242">
      <w:pPr>
        <w:pStyle w:val="H23GA"/>
        <w:rPr>
          <w:lang w:val="ar-SA" w:eastAsia="zh-TW" w:bidi="en-GB"/>
        </w:rPr>
      </w:pPr>
      <w:r w:rsidRPr="00AF3116">
        <w:rPr>
          <w:rtl/>
        </w:rPr>
        <w:tab/>
      </w:r>
      <w:r w:rsidRPr="00AF3116">
        <w:rPr>
          <w:rtl/>
        </w:rPr>
        <w:tab/>
        <w:t>السلطة القضائية</w:t>
      </w:r>
    </w:p>
    <w:p w14:paraId="102AB14B" w14:textId="5289B5CA" w:rsidR="00DE3D9F" w:rsidRPr="001B6C67" w:rsidRDefault="00DE3D9F" w:rsidP="00DE3D9F">
      <w:pPr>
        <w:pStyle w:val="SingleTxtGA"/>
        <w:rPr>
          <w:lang w:val="ar-SA" w:eastAsia="zh-TW" w:bidi="en-GB"/>
        </w:rPr>
      </w:pPr>
      <w:r w:rsidRPr="00AF3116">
        <w:rPr>
          <w:rtl/>
        </w:rPr>
        <w:t>45</w:t>
      </w:r>
      <w:r w:rsidRPr="001B6C67">
        <w:rPr>
          <w:rtl/>
        </w:rPr>
        <w:t>-</w:t>
      </w:r>
      <w:r w:rsidRPr="001B6C67">
        <w:rPr>
          <w:rtl/>
        </w:rPr>
        <w:tab/>
        <w:t>تتألف السلطة القضائية من المحكمة الدستورية ومحاكم العدل والمحكمة الإدارية والمحكمة</w:t>
      </w:r>
      <w:r w:rsidR="00AD7242">
        <w:rPr>
          <w:rFonts w:hint="cs"/>
          <w:rtl/>
        </w:rPr>
        <w:t> </w:t>
      </w:r>
      <w:r w:rsidRPr="001B6C67">
        <w:rPr>
          <w:rtl/>
        </w:rPr>
        <w:t>العسكرية.</w:t>
      </w:r>
    </w:p>
    <w:p w14:paraId="50E031F5" w14:textId="64EE72CF" w:rsidR="00DE3D9F" w:rsidRPr="001B6C67" w:rsidRDefault="00DE3D9F" w:rsidP="00DE3D9F">
      <w:pPr>
        <w:pStyle w:val="SingleTxtGA"/>
        <w:rPr>
          <w:lang w:val="ar-SA" w:eastAsia="zh-TW" w:bidi="en-GB"/>
        </w:rPr>
      </w:pPr>
      <w:r w:rsidRPr="00AF3116">
        <w:rPr>
          <w:rtl/>
        </w:rPr>
        <w:t>46</w:t>
      </w:r>
      <w:r w:rsidRPr="001B6C67">
        <w:rPr>
          <w:rtl/>
        </w:rPr>
        <w:t>-</w:t>
      </w:r>
      <w:r w:rsidRPr="001B6C67">
        <w:rPr>
          <w:rtl/>
        </w:rPr>
        <w:tab/>
        <w:t>والمحكمة الدستورية مسؤولة عن التداول بشأن ما إذا كانت أحكام القانون مخالفة للدستور أو</w:t>
      </w:r>
      <w:r w:rsidR="00AD7242">
        <w:rPr>
          <w:rFonts w:hint="cs"/>
          <w:rtl/>
        </w:rPr>
        <w:t> </w:t>
      </w:r>
      <w:r w:rsidRPr="001B6C67">
        <w:rPr>
          <w:rtl/>
        </w:rPr>
        <w:t xml:space="preserve">غير متسقة معه. </w:t>
      </w:r>
    </w:p>
    <w:p w14:paraId="43E9682F" w14:textId="77777777" w:rsidR="00DE3D9F" w:rsidRPr="001B6C67" w:rsidRDefault="00DE3D9F" w:rsidP="00DE3D9F">
      <w:pPr>
        <w:pStyle w:val="SingleTxtGA"/>
        <w:rPr>
          <w:lang w:val="ar-SA" w:eastAsia="zh-TW" w:bidi="en-GB"/>
        </w:rPr>
      </w:pPr>
      <w:r w:rsidRPr="00AF3116">
        <w:rPr>
          <w:rtl/>
        </w:rPr>
        <w:t>47</w:t>
      </w:r>
      <w:r w:rsidRPr="001B6C67">
        <w:rPr>
          <w:rtl/>
        </w:rPr>
        <w:t>-</w:t>
      </w:r>
      <w:r w:rsidRPr="001B6C67">
        <w:rPr>
          <w:rtl/>
        </w:rPr>
        <w:tab/>
        <w:t>وتتمتع محاكم العدل بسلطة النظر في جميع القضايا والبت فيها باستثناء القضايا التي يحددها هذا الدستور أو القانون الذي يكون ضمن اختصاص المحاكم الأخرى. واستناداً إلى القانون الذي أصدر قانون تنظيم محكمة العدل</w:t>
      </w:r>
      <w:r>
        <w:rPr>
          <w:rtl/>
        </w:rPr>
        <w:t xml:space="preserve"> </w:t>
      </w:r>
      <w:r w:rsidRPr="001B6C67">
        <w:t xml:space="preserve">B.E. </w:t>
      </w:r>
      <w:r w:rsidRPr="00AF3116">
        <w:t>2543</w:t>
      </w:r>
      <w:r w:rsidRPr="001B6C67">
        <w:t xml:space="preserve"> (</w:t>
      </w:r>
      <w:r w:rsidRPr="00AF3116">
        <w:t>2000</w:t>
      </w:r>
      <w:r w:rsidRPr="001B6C67">
        <w:t>)</w:t>
      </w:r>
      <w:r w:rsidRPr="001B6C67">
        <w:rPr>
          <w:rtl/>
        </w:rPr>
        <w:t>، هناك ثلاثة مستويات من محاكم العدل في تايلند: محاكم الدرجة الأولى، ومحاكم الاستئناف، والمحكمة العليا. ولما كان بعض أنواع القضايا يتطلب خبرة وإجراءات خاصة، فإن محاكم وشعب خاصة تُنشأ لمعالجة القضايا المتعلقة بالانتخابات، والمخدرات، والعمل، والضرائب، والإفلاس، والاتجار بالبشر، والملكية الفكرية، والقضايا البيئية، والتجارة الدولية، و</w:t>
      </w:r>
      <w:r>
        <w:rPr>
          <w:rtl/>
        </w:rPr>
        <w:t xml:space="preserve">قضايا </w:t>
      </w:r>
      <w:r w:rsidRPr="001B6C67">
        <w:rPr>
          <w:rtl/>
        </w:rPr>
        <w:t>الأحداث والأسرة، والفساد وسوء السلوك، فضلاً عن القضايا الجنائية للأشخاص الذين يشغلون مناصب سياسية.</w:t>
      </w:r>
    </w:p>
    <w:p w14:paraId="6C4EA74B" w14:textId="77777777" w:rsidR="00DE3D9F" w:rsidRPr="001B6C67" w:rsidRDefault="00DE3D9F" w:rsidP="00DE3D9F">
      <w:pPr>
        <w:pStyle w:val="SingleTxtGA"/>
        <w:rPr>
          <w:lang w:val="ar-SA" w:eastAsia="zh-TW" w:bidi="en-GB"/>
        </w:rPr>
      </w:pPr>
      <w:r w:rsidRPr="00AF3116">
        <w:rPr>
          <w:rtl/>
        </w:rPr>
        <w:lastRenderedPageBreak/>
        <w:t>48</w:t>
      </w:r>
      <w:r w:rsidRPr="001B6C67">
        <w:rPr>
          <w:rtl/>
        </w:rPr>
        <w:t>-</w:t>
      </w:r>
      <w:r w:rsidRPr="001B6C67">
        <w:rPr>
          <w:rtl/>
        </w:rPr>
        <w:tab/>
        <w:t>وتتمتع المحاكم الإدارية بسلطة النظر في القضايا المتنازع عليها بين الوكالات الحكومية ومسؤولي الدولة والأفراد الخواص، أو بين مسؤولي الدولة أنفسهم، والبت فيها. وهناك محاكم إدارية ابتدائية والمحكمة الإدارية العليا.</w:t>
      </w:r>
    </w:p>
    <w:p w14:paraId="2074C862" w14:textId="77777777" w:rsidR="00DE3D9F" w:rsidRPr="001B6C67" w:rsidRDefault="00DE3D9F" w:rsidP="00DE3D9F">
      <w:pPr>
        <w:pStyle w:val="SingleTxtGA"/>
        <w:rPr>
          <w:lang w:val="ar-SA" w:eastAsia="zh-TW" w:bidi="en-GB"/>
        </w:rPr>
      </w:pPr>
      <w:r w:rsidRPr="00AF3116">
        <w:rPr>
          <w:rtl/>
        </w:rPr>
        <w:t>49</w:t>
      </w:r>
      <w:r w:rsidRPr="001B6C67">
        <w:rPr>
          <w:rtl/>
        </w:rPr>
        <w:t>-</w:t>
      </w:r>
      <w:r w:rsidRPr="001B6C67">
        <w:rPr>
          <w:rtl/>
        </w:rPr>
        <w:tab/>
        <w:t>وتتمتع المحاكم العسكرية بسلطة النظر في القضايا التي يخضع فيها الجناة لولاية المحاكم العسكرية والبت فيها.</w:t>
      </w:r>
    </w:p>
    <w:p w14:paraId="3B380CE0" w14:textId="77777777" w:rsidR="00DE3D9F" w:rsidRPr="00AF3116" w:rsidRDefault="00DE3D9F" w:rsidP="00AD7242">
      <w:pPr>
        <w:pStyle w:val="H23GA"/>
        <w:rPr>
          <w:lang w:val="ar-SA" w:eastAsia="zh-TW" w:bidi="en-GB"/>
        </w:rPr>
      </w:pPr>
      <w:r w:rsidRPr="00AF3116">
        <w:rPr>
          <w:rtl/>
        </w:rPr>
        <w:tab/>
      </w:r>
      <w:r w:rsidRPr="00AF3116">
        <w:rPr>
          <w:rtl/>
        </w:rPr>
        <w:tab/>
        <w:t>المنظمات المستقلة بموجب الدستور</w:t>
      </w:r>
    </w:p>
    <w:p w14:paraId="7052CCD5" w14:textId="77777777" w:rsidR="00DE3D9F" w:rsidRPr="001B6C67" w:rsidRDefault="00DE3D9F" w:rsidP="00DE3D9F">
      <w:pPr>
        <w:pStyle w:val="SingleTxtGA"/>
        <w:rPr>
          <w:lang w:val="ar-SA" w:eastAsia="zh-TW" w:bidi="en-GB"/>
        </w:rPr>
      </w:pPr>
      <w:r w:rsidRPr="00AF3116">
        <w:rPr>
          <w:rtl/>
        </w:rPr>
        <w:t>50</w:t>
      </w:r>
      <w:r w:rsidRPr="001B6C67">
        <w:rPr>
          <w:rtl/>
        </w:rPr>
        <w:t>-</w:t>
      </w:r>
      <w:r w:rsidRPr="001B6C67">
        <w:rPr>
          <w:rtl/>
        </w:rPr>
        <w:tab/>
        <w:t xml:space="preserve">بموجب الفصل </w:t>
      </w:r>
      <w:r w:rsidRPr="00AF3116">
        <w:rPr>
          <w:rtl/>
        </w:rPr>
        <w:t>12</w:t>
      </w:r>
      <w:r w:rsidRPr="001B6C67">
        <w:rPr>
          <w:rtl/>
        </w:rPr>
        <w:t xml:space="preserve"> من دستور عام </w:t>
      </w:r>
      <w:r w:rsidRPr="00AF3116">
        <w:rPr>
          <w:rtl/>
        </w:rPr>
        <w:t>2017</w:t>
      </w:r>
      <w:r w:rsidRPr="001B6C67">
        <w:rPr>
          <w:rtl/>
        </w:rPr>
        <w:t>، أُنشِئت خمس منظمات مستقلة كآليات للقيام بمهام تحتاج إلى التخصص والنزاهة، وهي لجنة الانتخابات، وأمناء المظالم، واللجنة الوطنية لمكافحة الفساد، ولجنة الدولة لمراجعة الحسابات، واللجنة الوطنية لحقوق الإنسان.</w:t>
      </w:r>
    </w:p>
    <w:p w14:paraId="3388F0F4" w14:textId="77777777" w:rsidR="00DE3D9F" w:rsidRPr="001B6C67" w:rsidRDefault="00DE3D9F" w:rsidP="00DE3D9F">
      <w:pPr>
        <w:pStyle w:val="SingleTxtGA"/>
        <w:rPr>
          <w:lang w:val="ar-SA" w:eastAsia="zh-TW" w:bidi="en-GB"/>
        </w:rPr>
      </w:pPr>
      <w:r w:rsidRPr="00AF3116">
        <w:rPr>
          <w:rtl/>
        </w:rPr>
        <w:t>51</w:t>
      </w:r>
      <w:r w:rsidRPr="001B6C67">
        <w:rPr>
          <w:rtl/>
        </w:rPr>
        <w:t>-</w:t>
      </w:r>
      <w:r w:rsidRPr="001B6C67">
        <w:rPr>
          <w:rtl/>
        </w:rPr>
        <w:tab/>
        <w:t>وتتولى لجنة الانتخابات مسؤولية مراقبة الانتخابات و/أو اختيار أعضاء مجلس النواب ومجلس الشيوخ والجمعية المحلية والإداريين المحليين، حسب الحالة. وتحدد أيضاً واجبات الحكومة المؤقتة وتشرف على التصويت في الاستفتاء لضمان سيره بطريقة نزيهة وعادلة.</w:t>
      </w:r>
    </w:p>
    <w:p w14:paraId="279097EF" w14:textId="77777777" w:rsidR="00DE3D9F" w:rsidRPr="001B6C67" w:rsidRDefault="00DE3D9F" w:rsidP="00DE3D9F">
      <w:pPr>
        <w:pStyle w:val="SingleTxtGA"/>
        <w:rPr>
          <w:lang w:val="ar-SA" w:eastAsia="zh-TW" w:bidi="en-GB"/>
        </w:rPr>
      </w:pPr>
      <w:r w:rsidRPr="00AF3116">
        <w:rPr>
          <w:rtl/>
        </w:rPr>
        <w:t>52</w:t>
      </w:r>
      <w:r w:rsidRPr="001B6C67">
        <w:rPr>
          <w:rtl/>
        </w:rPr>
        <w:t>-</w:t>
      </w:r>
      <w:r w:rsidRPr="001B6C67">
        <w:rPr>
          <w:rtl/>
        </w:rPr>
        <w:tab/>
        <w:t>وأمناء المظالم مسؤولون عن ’</w:t>
      </w:r>
      <w:r w:rsidRPr="00AF3116">
        <w:rPr>
          <w:rtl/>
        </w:rPr>
        <w:t>1</w:t>
      </w:r>
      <w:r w:rsidRPr="001B6C67">
        <w:rPr>
          <w:rtl/>
        </w:rPr>
        <w:t xml:space="preserve">‘ النظر في الشكاوى والتحقيق فيها لتقصي الحقائق في الحالات التالية: (أ) عدم الامتثال للقانون في أداء الواجبات أو أدائها بطريقة تتجاوز السلطات والواجبات المنصوص عليها في القانون من جانب مسؤول حكومي أو مسؤول أو موظف في وكالة حكومية أو وكالة تابعة للدولة أو مؤسسة مملوكة للدولة أو منظمة حكومية محلية؛ (ب) أداء أو إغفال أداء واجبات موظف حكومي أو موظف أو </w:t>
      </w:r>
      <w:r>
        <w:rPr>
          <w:rtl/>
        </w:rPr>
        <w:t>مستخدم</w:t>
      </w:r>
      <w:r w:rsidRPr="001B6C67">
        <w:rPr>
          <w:rtl/>
        </w:rPr>
        <w:t xml:space="preserve"> في وكالة حكومية أو وكالة تابعة للدولة أو مؤسسة مملوكة للدولة أو منظمة حكومية محلية، مما يتسبب ظلماً في ضرر للمشتكي أو الجمهور؛ </w:t>
      </w:r>
      <w:r w:rsidRPr="001B6C67">
        <w:t>’</w:t>
      </w:r>
      <w:r w:rsidRPr="00AF3116">
        <w:rPr>
          <w:rtl/>
        </w:rPr>
        <w:t>2</w:t>
      </w:r>
      <w:r w:rsidRPr="001B6C67">
        <w:rPr>
          <w:rtl/>
        </w:rPr>
        <w:t xml:space="preserve">‘ اتخاذ إجراءات فيما يتعلق بأخلاقيات شاغلي المناصب السياسية ومسؤولي الدولة؛ </w:t>
      </w:r>
      <w:r w:rsidRPr="001B6C67">
        <w:t>’</w:t>
      </w:r>
      <w:r w:rsidRPr="00AF3116">
        <w:rPr>
          <w:rtl/>
        </w:rPr>
        <w:t>3</w:t>
      </w:r>
      <w:r w:rsidRPr="001B6C67">
        <w:rPr>
          <w:rtl/>
        </w:rPr>
        <w:t xml:space="preserve">‘ رصد وتقييم وإعداد التوصيات المتعلقة بالامتثال للدستور؛ </w:t>
      </w:r>
      <w:r w:rsidRPr="001B6C67">
        <w:t>’</w:t>
      </w:r>
      <w:r w:rsidRPr="00AF3116">
        <w:rPr>
          <w:rtl/>
        </w:rPr>
        <w:t>4</w:t>
      </w:r>
      <w:r w:rsidRPr="001B6C67">
        <w:rPr>
          <w:rtl/>
        </w:rPr>
        <w:t>‘ إجراء تحريات في الحالات التي تهدد فيها هذه الإجراءات بإلحاق ضرر بالجمهور بشكل عام أو إذا كانت هناك حاجة إلى حماية المصالح العامة.</w:t>
      </w:r>
    </w:p>
    <w:p w14:paraId="712176C0" w14:textId="77777777" w:rsidR="00DE3D9F" w:rsidRPr="001B6C67" w:rsidRDefault="00DE3D9F" w:rsidP="00DE3D9F">
      <w:pPr>
        <w:pStyle w:val="SingleTxtGA"/>
        <w:rPr>
          <w:lang w:val="ar-SA" w:eastAsia="zh-TW" w:bidi="en-GB"/>
        </w:rPr>
      </w:pPr>
      <w:r w:rsidRPr="00AF3116">
        <w:rPr>
          <w:rtl/>
        </w:rPr>
        <w:t>53</w:t>
      </w:r>
      <w:r w:rsidRPr="001B6C67">
        <w:rPr>
          <w:rtl/>
        </w:rPr>
        <w:t>-</w:t>
      </w:r>
      <w:r w:rsidRPr="001B6C67">
        <w:rPr>
          <w:rtl/>
        </w:rPr>
        <w:tab/>
        <w:t xml:space="preserve">واللجنة الوطنية لمكافحة الفساد مسؤولة عن التحقيق في الوقائع وإعداد الآراء المتعلقة بعزل شاغلي المناصب السياسية وكبار المسؤولين من مناصبهم لتقديمها إلى مجلس الشيوخ أو الشعبة الجنائية للأشخاص الذين يشغلون مناصب سياسية في محكمة العدل العليا؛ وتفتيش أصول وخصوم الأشخاص الذين يشغلون مناصب سياسية؛ ورصد أخلاق وأخلاقيات الأشخاص الذين يشغلون مناصب سياسية. </w:t>
      </w:r>
    </w:p>
    <w:p w14:paraId="2BD5962B" w14:textId="77777777" w:rsidR="00DE3D9F" w:rsidRPr="001B6C67" w:rsidRDefault="00DE3D9F" w:rsidP="00DE3D9F">
      <w:pPr>
        <w:pStyle w:val="SingleTxtGA"/>
        <w:rPr>
          <w:lang w:val="ar-SA" w:eastAsia="zh-TW" w:bidi="en-GB"/>
        </w:rPr>
      </w:pPr>
      <w:r w:rsidRPr="00AF3116">
        <w:rPr>
          <w:rtl/>
        </w:rPr>
        <w:t>54</w:t>
      </w:r>
      <w:r w:rsidRPr="001B6C67">
        <w:rPr>
          <w:rtl/>
        </w:rPr>
        <w:t>-</w:t>
      </w:r>
      <w:r w:rsidRPr="001B6C67">
        <w:rPr>
          <w:rtl/>
        </w:rPr>
        <w:tab/>
        <w:t>ولجنة الدولة لمراجعة الحسابات مسؤولة عن عمليات التفتيش، ووضع المعايير والقواعد اللازمة لمراجعة حسابات الدولة، وتقديم المشورة والتوصية بتدابير علاجية بشأن عمليات مراجعة حسابات الدولة بطريقة مستقلة ومحايدة.</w:t>
      </w:r>
    </w:p>
    <w:p w14:paraId="3BEEB12F" w14:textId="435823C4" w:rsidR="00DE3D9F" w:rsidRPr="001B6C67" w:rsidRDefault="00DE3D9F" w:rsidP="00DE3D9F">
      <w:pPr>
        <w:pStyle w:val="SingleTxtGA"/>
        <w:rPr>
          <w:lang w:val="ar-SA" w:eastAsia="zh-TW" w:bidi="en-GB"/>
        </w:rPr>
      </w:pPr>
      <w:r w:rsidRPr="00AF3116">
        <w:rPr>
          <w:rtl/>
        </w:rPr>
        <w:t>55</w:t>
      </w:r>
      <w:r w:rsidRPr="00C4076A">
        <w:rPr>
          <w:rtl/>
        </w:rPr>
        <w:t>-</w:t>
      </w:r>
      <w:r w:rsidRPr="00C4076A">
        <w:rPr>
          <w:rtl/>
        </w:rPr>
        <w:tab/>
        <w:t xml:space="preserve">واللجنة الوطنية لحقوق الإنسان مسؤولة عن فحص الوقائع المتعلقة بانتهاكات حقوق الإنسان </w:t>
      </w:r>
      <w:r>
        <w:rPr>
          <w:rtl/>
        </w:rPr>
        <w:t>وإبلاغها</w:t>
      </w:r>
      <w:r w:rsidRPr="00C4076A">
        <w:rPr>
          <w:rtl/>
        </w:rPr>
        <w:t xml:space="preserve"> إلى الوكالات الحكومية ذات الصلة و/أو القطاع الخاص؛ و</w:t>
      </w:r>
      <w:r>
        <w:rPr>
          <w:rtl/>
        </w:rPr>
        <w:t xml:space="preserve">عن </w:t>
      </w:r>
      <w:r w:rsidRPr="00C4076A">
        <w:rPr>
          <w:rtl/>
        </w:rPr>
        <w:t xml:space="preserve">تقديم توصيات إلى الجمعية الوطنية ومجلس الوزراء والوكالات ذات الصلة بشأن التدابير أو المبادئ التوجيهية </w:t>
      </w:r>
      <w:r>
        <w:rPr>
          <w:rtl/>
        </w:rPr>
        <w:t xml:space="preserve">اللازم اتخاذها </w:t>
      </w:r>
      <w:r w:rsidRPr="00C4076A">
        <w:rPr>
          <w:rtl/>
        </w:rPr>
        <w:t>لتعزيز وحماية حقوق الإنسان. ويعكس القانون الأساسي للجنة الوطنية لحقوق الإنسان، الذي دخل حيز النفاذ في</w:t>
      </w:r>
      <w:r w:rsidR="00D55C97">
        <w:rPr>
          <w:rFonts w:hint="cs"/>
          <w:rtl/>
        </w:rPr>
        <w:t> </w:t>
      </w:r>
      <w:r w:rsidRPr="00AF3116">
        <w:rPr>
          <w:rtl/>
        </w:rPr>
        <w:t>13</w:t>
      </w:r>
      <w:r w:rsidRPr="00C4076A">
        <w:rPr>
          <w:rtl/>
        </w:rPr>
        <w:t xml:space="preserve"> كانون الأول/ديسمبر </w:t>
      </w:r>
      <w:r w:rsidRPr="00AF3116">
        <w:rPr>
          <w:rtl/>
        </w:rPr>
        <w:t>2017</w:t>
      </w:r>
      <w:r w:rsidRPr="00C4076A">
        <w:rPr>
          <w:rtl/>
        </w:rPr>
        <w:t xml:space="preserve">، </w:t>
      </w:r>
      <w:r>
        <w:rPr>
          <w:rtl/>
        </w:rPr>
        <w:t>ال</w:t>
      </w:r>
      <w:r w:rsidRPr="00C4076A">
        <w:rPr>
          <w:rtl/>
        </w:rPr>
        <w:t>جهود</w:t>
      </w:r>
      <w:r>
        <w:rPr>
          <w:rtl/>
        </w:rPr>
        <w:t xml:space="preserve"> التي يبذلها</w:t>
      </w:r>
      <w:r w:rsidRPr="00C4076A">
        <w:rPr>
          <w:rtl/>
        </w:rPr>
        <w:t xml:space="preserve"> البلد لتنشيط قوة هذه الآلية الرئيسية لحقوق الإنسان وفقاً للمبادئ المتعلقة </w:t>
      </w:r>
      <w:r>
        <w:rPr>
          <w:rtl/>
        </w:rPr>
        <w:t>بمركز</w:t>
      </w:r>
      <w:r w:rsidRPr="00C4076A">
        <w:rPr>
          <w:rtl/>
        </w:rPr>
        <w:t xml:space="preserve"> المؤسسات الوطنية (مبادئ باريس).</w:t>
      </w:r>
    </w:p>
    <w:p w14:paraId="4F102F71" w14:textId="77777777" w:rsidR="00DE3D9F" w:rsidRPr="00AF3116" w:rsidRDefault="00DE3D9F" w:rsidP="00AD7242">
      <w:pPr>
        <w:pStyle w:val="H23GA"/>
        <w:rPr>
          <w:lang w:val="ar-SA" w:eastAsia="zh-TW" w:bidi="en-GB"/>
        </w:rPr>
      </w:pPr>
      <w:r w:rsidRPr="00AF3116">
        <w:rPr>
          <w:rtl/>
        </w:rPr>
        <w:lastRenderedPageBreak/>
        <w:tab/>
      </w:r>
      <w:r w:rsidRPr="00AF3116">
        <w:rPr>
          <w:rtl/>
        </w:rPr>
        <w:tab/>
        <w:t>المدعي العام للدولة</w:t>
      </w:r>
    </w:p>
    <w:p w14:paraId="3AF8D3F3" w14:textId="4AAA9654" w:rsidR="00DE3D9F" w:rsidRPr="001B6C67" w:rsidRDefault="00DE3D9F" w:rsidP="00DE3D9F">
      <w:pPr>
        <w:pStyle w:val="SingleTxtGA"/>
        <w:rPr>
          <w:lang w:val="ar-SA" w:eastAsia="zh-TW" w:bidi="en-GB"/>
        </w:rPr>
      </w:pPr>
      <w:r w:rsidRPr="00AF3116">
        <w:rPr>
          <w:rtl/>
        </w:rPr>
        <w:t>56</w:t>
      </w:r>
      <w:r w:rsidRPr="001B6C67">
        <w:rPr>
          <w:rtl/>
        </w:rPr>
        <w:t>-</w:t>
      </w:r>
      <w:r w:rsidRPr="001B6C67">
        <w:rPr>
          <w:rtl/>
        </w:rPr>
        <w:tab/>
        <w:t xml:space="preserve">يتمتع مكتب المدعي العام بسلطة واستقلالية مضمونة دستورياً ليقرر ما إذا كان سينظر في قضية أم لا ويؤدي مهامه بموجب الدستور بطريقة عادلة. والمكتب </w:t>
      </w:r>
      <w:r>
        <w:rPr>
          <w:rtl/>
        </w:rPr>
        <w:t>فاعل</w:t>
      </w:r>
      <w:r w:rsidRPr="001B6C67">
        <w:rPr>
          <w:rtl/>
        </w:rPr>
        <w:t xml:space="preserve"> رئيسي في حماية حقوق الإنسان</w:t>
      </w:r>
      <w:r w:rsidR="007B06D9">
        <w:rPr>
          <w:rFonts w:hint="cs"/>
          <w:rtl/>
        </w:rPr>
        <w:t> </w:t>
      </w:r>
      <w:r w:rsidRPr="001B6C67">
        <w:rPr>
          <w:rtl/>
        </w:rPr>
        <w:t>للمواطنين.</w:t>
      </w:r>
    </w:p>
    <w:p w14:paraId="76E7D935" w14:textId="77777777" w:rsidR="00DE3D9F" w:rsidRPr="00AF3116" w:rsidRDefault="00DE3D9F" w:rsidP="00AD7242">
      <w:pPr>
        <w:pStyle w:val="H23GA"/>
        <w:rPr>
          <w:lang w:val="ar-SA" w:eastAsia="zh-TW" w:bidi="en-GB"/>
        </w:rPr>
      </w:pPr>
      <w:r w:rsidRPr="00AF3116">
        <w:rPr>
          <w:rtl/>
        </w:rPr>
        <w:tab/>
      </w:r>
      <w:r w:rsidRPr="00AF3116">
        <w:rPr>
          <w:rtl/>
        </w:rPr>
        <w:tab/>
        <w:t>النظام الانتخابي</w:t>
      </w:r>
    </w:p>
    <w:p w14:paraId="3784AE7B" w14:textId="77777777" w:rsidR="00DE3D9F" w:rsidRPr="001B6C67" w:rsidRDefault="00DE3D9F" w:rsidP="00DE3D9F">
      <w:pPr>
        <w:pStyle w:val="SingleTxtGA"/>
        <w:rPr>
          <w:lang w:val="ar-SA" w:eastAsia="zh-TW" w:bidi="en-GB"/>
        </w:rPr>
      </w:pPr>
      <w:r w:rsidRPr="00AF3116">
        <w:rPr>
          <w:rtl/>
        </w:rPr>
        <w:t>57</w:t>
      </w:r>
      <w:r w:rsidRPr="001B6C67">
        <w:rPr>
          <w:rtl/>
        </w:rPr>
        <w:t>-</w:t>
      </w:r>
      <w:r w:rsidRPr="001B6C67">
        <w:rPr>
          <w:rtl/>
        </w:rPr>
        <w:tab/>
        <w:t>لكي يحق ل</w:t>
      </w:r>
      <w:r>
        <w:rPr>
          <w:rtl/>
        </w:rPr>
        <w:t xml:space="preserve">أي </w:t>
      </w:r>
      <w:r w:rsidRPr="001B6C67">
        <w:rPr>
          <w:rtl/>
        </w:rPr>
        <w:t>شخص أن يصوت في الانتخابات، يجب أن يكون مواطناً تايلندياً (إ</w:t>
      </w:r>
      <w:r>
        <w:rPr>
          <w:rtl/>
        </w:rPr>
        <w:t>ن</w:t>
      </w:r>
      <w:r w:rsidRPr="001B6C67">
        <w:rPr>
          <w:rtl/>
        </w:rPr>
        <w:t xml:space="preserve"> اكتُسِبت الجنسية التايلندية عن طريق التجنس، يجب أن يحملها لمدة لا تقل عن خمس سنوات) وأن يكون قد بلغ </w:t>
      </w:r>
      <w:r w:rsidRPr="00AF3116">
        <w:rPr>
          <w:rtl/>
        </w:rPr>
        <w:t>الثامنة عشرة من</w:t>
      </w:r>
      <w:r w:rsidRPr="001B6C67">
        <w:rPr>
          <w:rtl/>
        </w:rPr>
        <w:t xml:space="preserve"> العمر في يوم الانتخابات.</w:t>
      </w:r>
    </w:p>
    <w:p w14:paraId="782671A2" w14:textId="77777777" w:rsidR="00DE3D9F" w:rsidRPr="00AD7242" w:rsidRDefault="00DE3D9F" w:rsidP="00DE3D9F">
      <w:pPr>
        <w:pStyle w:val="SingleTxtGA"/>
        <w:rPr>
          <w:lang w:val="en-US" w:eastAsia="zh-TW" w:bidi="en-GB"/>
        </w:rPr>
      </w:pPr>
      <w:r w:rsidRPr="00AF3116">
        <w:rPr>
          <w:rtl/>
        </w:rPr>
        <w:t>58</w:t>
      </w:r>
      <w:r w:rsidRPr="001B6C67">
        <w:rPr>
          <w:rtl/>
        </w:rPr>
        <w:t>-</w:t>
      </w:r>
      <w:r w:rsidRPr="001B6C67">
        <w:rPr>
          <w:rtl/>
        </w:rPr>
        <w:tab/>
      </w:r>
      <w:r w:rsidRPr="00AD7242">
        <w:rPr>
          <w:spacing w:val="-4"/>
          <w:rtl/>
        </w:rPr>
        <w:t xml:space="preserve">وفي انتخابات عام </w:t>
      </w:r>
      <w:r w:rsidRPr="00AF3116">
        <w:rPr>
          <w:spacing w:val="-4"/>
          <w:rtl/>
        </w:rPr>
        <w:t>2019</w:t>
      </w:r>
      <w:r w:rsidRPr="00AD7242">
        <w:rPr>
          <w:spacing w:val="-4"/>
          <w:rtl/>
        </w:rPr>
        <w:t xml:space="preserve">، كان </w:t>
      </w:r>
      <w:r w:rsidRPr="00AF3116">
        <w:rPr>
          <w:spacing w:val="-4"/>
          <w:rtl/>
        </w:rPr>
        <w:t>975</w:t>
      </w:r>
      <w:r w:rsidRPr="00AD7242">
        <w:rPr>
          <w:spacing w:val="-4"/>
          <w:rtl/>
        </w:rPr>
        <w:t xml:space="preserve"> </w:t>
      </w:r>
      <w:r w:rsidRPr="00AF3116">
        <w:rPr>
          <w:spacing w:val="-4"/>
          <w:rtl/>
        </w:rPr>
        <w:t>419</w:t>
      </w:r>
      <w:r w:rsidRPr="00AD7242">
        <w:rPr>
          <w:spacing w:val="-4"/>
          <w:rtl/>
        </w:rPr>
        <w:t xml:space="preserve"> </w:t>
      </w:r>
      <w:r w:rsidRPr="00AF3116">
        <w:rPr>
          <w:spacing w:val="-4"/>
          <w:rtl/>
        </w:rPr>
        <w:t>51</w:t>
      </w:r>
      <w:r w:rsidRPr="00AD7242">
        <w:rPr>
          <w:spacing w:val="-4"/>
          <w:rtl/>
        </w:rPr>
        <w:t xml:space="preserve"> شخصاً مؤهلين للتصويت، منهم </w:t>
      </w:r>
      <w:r w:rsidRPr="00AF3116">
        <w:rPr>
          <w:spacing w:val="-4"/>
          <w:rtl/>
        </w:rPr>
        <w:t>448</w:t>
      </w:r>
      <w:r w:rsidRPr="00AD7242">
        <w:rPr>
          <w:spacing w:val="-4"/>
          <w:rtl/>
        </w:rPr>
        <w:t xml:space="preserve"> </w:t>
      </w:r>
      <w:r w:rsidRPr="00AF3116">
        <w:rPr>
          <w:spacing w:val="-4"/>
          <w:rtl/>
        </w:rPr>
        <w:t>618</w:t>
      </w:r>
      <w:r w:rsidRPr="00AD7242">
        <w:rPr>
          <w:spacing w:val="-4"/>
          <w:rtl/>
        </w:rPr>
        <w:t xml:space="preserve"> </w:t>
      </w:r>
      <w:r w:rsidRPr="00AF3116">
        <w:rPr>
          <w:spacing w:val="-4"/>
          <w:rtl/>
        </w:rPr>
        <w:t>26</w:t>
      </w:r>
      <w:r w:rsidRPr="00AD7242">
        <w:rPr>
          <w:spacing w:val="-4"/>
          <w:rtl/>
        </w:rPr>
        <w:t xml:space="preserve"> من</w:t>
      </w:r>
      <w:r w:rsidRPr="001B6C67">
        <w:rPr>
          <w:rtl/>
        </w:rPr>
        <w:t xml:space="preserve"> الإناث و</w:t>
      </w:r>
      <w:r w:rsidRPr="00AF3116">
        <w:rPr>
          <w:rtl/>
        </w:rPr>
        <w:t>527</w:t>
      </w:r>
      <w:r w:rsidRPr="001B6C67">
        <w:rPr>
          <w:rtl/>
        </w:rPr>
        <w:t xml:space="preserve"> </w:t>
      </w:r>
      <w:r w:rsidRPr="00AF3116">
        <w:rPr>
          <w:rtl/>
        </w:rPr>
        <w:t>801</w:t>
      </w:r>
      <w:r w:rsidRPr="001B6C67">
        <w:rPr>
          <w:rtl/>
        </w:rPr>
        <w:t xml:space="preserve"> </w:t>
      </w:r>
      <w:r w:rsidRPr="00AF3116">
        <w:rPr>
          <w:rtl/>
        </w:rPr>
        <w:t>24</w:t>
      </w:r>
      <w:r w:rsidRPr="001B6C67">
        <w:rPr>
          <w:rtl/>
        </w:rPr>
        <w:t xml:space="preserve"> من الذكور.</w:t>
      </w:r>
    </w:p>
    <w:p w14:paraId="75E24298" w14:textId="77777777" w:rsidR="00DE3D9F" w:rsidRPr="001B6C67" w:rsidRDefault="00DE3D9F" w:rsidP="00DE3D9F">
      <w:pPr>
        <w:pStyle w:val="SingleTxtGA"/>
        <w:rPr>
          <w:lang w:val="ar-SA" w:eastAsia="zh-TW" w:bidi="en-GB"/>
        </w:rPr>
      </w:pPr>
      <w:r w:rsidRPr="00AF3116">
        <w:rPr>
          <w:rtl/>
        </w:rPr>
        <w:t>59</w:t>
      </w:r>
      <w:r w:rsidRPr="001B6C67">
        <w:rPr>
          <w:rtl/>
        </w:rPr>
        <w:t>-</w:t>
      </w:r>
      <w:r w:rsidRPr="001B6C67">
        <w:rPr>
          <w:rtl/>
        </w:rPr>
        <w:tab/>
        <w:t xml:space="preserve">وحتى </w:t>
      </w:r>
      <w:r w:rsidRPr="00AF3116">
        <w:rPr>
          <w:rtl/>
        </w:rPr>
        <w:t>13</w:t>
      </w:r>
      <w:r w:rsidRPr="001B6C67">
        <w:rPr>
          <w:rtl/>
        </w:rPr>
        <w:t xml:space="preserve"> أيار/مايو </w:t>
      </w:r>
      <w:r w:rsidRPr="00AF3116">
        <w:rPr>
          <w:rtl/>
        </w:rPr>
        <w:t>2019</w:t>
      </w:r>
      <w:r w:rsidRPr="001B6C67">
        <w:rPr>
          <w:rtl/>
        </w:rPr>
        <w:t xml:space="preserve">، </w:t>
      </w:r>
      <w:r>
        <w:rPr>
          <w:rtl/>
        </w:rPr>
        <w:t xml:space="preserve">كان </w:t>
      </w:r>
      <w:r w:rsidRPr="001B6C67">
        <w:rPr>
          <w:rtl/>
        </w:rPr>
        <w:t xml:space="preserve">هناك </w:t>
      </w:r>
      <w:r w:rsidRPr="00AF3116">
        <w:rPr>
          <w:rtl/>
        </w:rPr>
        <w:t>88</w:t>
      </w:r>
      <w:r w:rsidRPr="001B6C67">
        <w:rPr>
          <w:rtl/>
        </w:rPr>
        <w:t xml:space="preserve"> حزباً سياسياً معترفاً به على الصعيد الوطني. وتتوزع مقاعد الجهاز التشريعي بحسب الأحزاب </w:t>
      </w:r>
      <w:r>
        <w:rPr>
          <w:rtl/>
        </w:rPr>
        <w:t>كما يلي</w:t>
      </w:r>
      <w:r w:rsidRPr="001B6C67">
        <w:rPr>
          <w:rtl/>
        </w:rPr>
        <w:t>:</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972"/>
        <w:gridCol w:w="1398"/>
      </w:tblGrid>
      <w:tr w:rsidR="00DE3D9F" w:rsidRPr="001C785F" w14:paraId="40E88448" w14:textId="77777777" w:rsidTr="00DE3D9F">
        <w:trPr>
          <w:tblHeader/>
        </w:trPr>
        <w:tc>
          <w:tcPr>
            <w:tcW w:w="5054" w:type="dxa"/>
            <w:tcBorders>
              <w:top w:val="single" w:sz="4" w:space="0" w:color="auto"/>
              <w:bottom w:val="single" w:sz="12" w:space="0" w:color="auto"/>
            </w:tcBorders>
            <w:shd w:val="clear" w:color="auto" w:fill="auto"/>
            <w:vAlign w:val="bottom"/>
          </w:tcPr>
          <w:p w14:paraId="0421AD0B" w14:textId="77777777" w:rsidR="00DE3D9F" w:rsidRPr="00E90634" w:rsidRDefault="00DE3D9F" w:rsidP="00E90634">
            <w:pPr>
              <w:spacing w:before="40" w:after="40" w:line="340" w:lineRule="exact"/>
              <w:ind w:left="108" w:right="113" w:firstLine="28"/>
              <w:textDirection w:val="tbRlV"/>
              <w:rPr>
                <w:rFonts w:ascii="Simplified Arabic" w:hAnsi="Simplified Arabic"/>
                <w:i/>
                <w:sz w:val="22"/>
                <w:lang w:val="ar-SA" w:eastAsia="zh-TW" w:bidi="en-GB"/>
              </w:rPr>
            </w:pPr>
            <w:r w:rsidRPr="00AF3116">
              <w:rPr>
                <w:rFonts w:ascii="Simplified Arabic" w:hAnsi="Simplified Arabic"/>
                <w:i/>
                <w:iCs/>
                <w:sz w:val="22"/>
                <w:rtl/>
              </w:rPr>
              <w:t>الحزب</w:t>
            </w:r>
          </w:p>
        </w:tc>
        <w:tc>
          <w:tcPr>
            <w:tcW w:w="1183" w:type="dxa"/>
            <w:tcBorders>
              <w:top w:val="single" w:sz="4" w:space="0" w:color="auto"/>
              <w:bottom w:val="single" w:sz="12" w:space="0" w:color="auto"/>
            </w:tcBorders>
            <w:shd w:val="clear" w:color="auto" w:fill="auto"/>
            <w:vAlign w:val="bottom"/>
          </w:tcPr>
          <w:p w14:paraId="1AF84129" w14:textId="77777777" w:rsidR="00DE3D9F" w:rsidRPr="00AF3116" w:rsidRDefault="00DE3D9F" w:rsidP="00E90634">
            <w:pPr>
              <w:spacing w:before="40" w:after="40" w:line="340" w:lineRule="exact"/>
              <w:ind w:left="108" w:right="426" w:firstLine="28"/>
              <w:jc w:val="right"/>
              <w:textDirection w:val="tbRlV"/>
              <w:rPr>
                <w:rFonts w:ascii="Simplified Arabic" w:hAnsi="Simplified Arabic"/>
                <w:i/>
                <w:sz w:val="22"/>
                <w:lang w:val="ar-SA" w:eastAsia="zh-TW" w:bidi="en-GB"/>
              </w:rPr>
            </w:pPr>
            <w:r w:rsidRPr="00AF3116">
              <w:rPr>
                <w:rFonts w:ascii="Simplified Arabic" w:hAnsi="Simplified Arabic"/>
                <w:i/>
                <w:iCs/>
                <w:sz w:val="22"/>
                <w:rtl/>
              </w:rPr>
              <w:t>المقاعد</w:t>
            </w:r>
          </w:p>
        </w:tc>
      </w:tr>
      <w:tr w:rsidR="00DE3D9F" w:rsidRPr="001C785F" w14:paraId="780916CE" w14:textId="77777777" w:rsidTr="00DE3D9F">
        <w:trPr>
          <w:trHeight w:hRule="exact" w:val="113"/>
          <w:tblHeader/>
        </w:trPr>
        <w:tc>
          <w:tcPr>
            <w:tcW w:w="5054" w:type="dxa"/>
            <w:tcBorders>
              <w:top w:val="single" w:sz="12" w:space="0" w:color="auto"/>
            </w:tcBorders>
            <w:shd w:val="clear" w:color="auto" w:fill="auto"/>
          </w:tcPr>
          <w:p w14:paraId="33279573" w14:textId="77777777" w:rsidR="00DE3D9F" w:rsidRPr="00E90634" w:rsidRDefault="00DE3D9F" w:rsidP="00E90634">
            <w:pPr>
              <w:spacing w:before="40" w:after="40" w:line="340" w:lineRule="exact"/>
              <w:ind w:left="108" w:right="113" w:firstLine="28"/>
              <w:rPr>
                <w:rFonts w:ascii="Simplified Arabic" w:hAnsi="Simplified Arabic"/>
                <w:sz w:val="22"/>
              </w:rPr>
            </w:pPr>
          </w:p>
        </w:tc>
        <w:tc>
          <w:tcPr>
            <w:tcW w:w="1183" w:type="dxa"/>
            <w:tcBorders>
              <w:top w:val="single" w:sz="12" w:space="0" w:color="auto"/>
            </w:tcBorders>
            <w:shd w:val="clear" w:color="auto" w:fill="auto"/>
            <w:vAlign w:val="bottom"/>
          </w:tcPr>
          <w:p w14:paraId="109D27B5" w14:textId="77777777" w:rsidR="00DE3D9F" w:rsidRPr="00E90634" w:rsidRDefault="00DE3D9F" w:rsidP="00E90634">
            <w:pPr>
              <w:spacing w:before="40" w:after="40" w:line="340" w:lineRule="exact"/>
              <w:ind w:left="108" w:right="113" w:firstLine="28"/>
              <w:jc w:val="right"/>
              <w:rPr>
                <w:rFonts w:ascii="Simplified Arabic" w:hAnsi="Simplified Arabic"/>
                <w:sz w:val="22"/>
              </w:rPr>
            </w:pPr>
          </w:p>
        </w:tc>
      </w:tr>
      <w:tr w:rsidR="00DE3D9F" w:rsidRPr="001C785F" w14:paraId="3D65CD00" w14:textId="77777777" w:rsidTr="00DE3D9F">
        <w:tc>
          <w:tcPr>
            <w:tcW w:w="5054" w:type="dxa"/>
            <w:shd w:val="clear" w:color="auto" w:fill="auto"/>
          </w:tcPr>
          <w:p w14:paraId="0FBCC4B1" w14:textId="77777777" w:rsidR="00DE3D9F" w:rsidRPr="00E90634" w:rsidRDefault="00DE3D9F" w:rsidP="00E90634">
            <w:pPr>
              <w:spacing w:before="40" w:after="40" w:line="340" w:lineRule="exact"/>
              <w:ind w:left="108" w:right="113" w:firstLine="28"/>
              <w:textDirection w:val="tbRlV"/>
              <w:rPr>
                <w:rFonts w:ascii="Simplified Arabic" w:hAnsi="Simplified Arabic"/>
                <w:sz w:val="22"/>
                <w:lang w:val="ar-SA" w:eastAsia="zh-TW" w:bidi="en-GB"/>
              </w:rPr>
            </w:pPr>
            <w:r w:rsidRPr="00E90634">
              <w:rPr>
                <w:rFonts w:ascii="Simplified Arabic" w:hAnsi="Simplified Arabic"/>
                <w:sz w:val="22"/>
                <w:rtl/>
              </w:rPr>
              <w:t>حزب فيو التايلاندي</w:t>
            </w:r>
          </w:p>
        </w:tc>
        <w:tc>
          <w:tcPr>
            <w:tcW w:w="1183" w:type="dxa"/>
            <w:shd w:val="clear" w:color="auto" w:fill="auto"/>
            <w:vAlign w:val="bottom"/>
          </w:tcPr>
          <w:p w14:paraId="57D2647C" w14:textId="77777777" w:rsidR="00DE3D9F" w:rsidRPr="00E90634" w:rsidRDefault="00DE3D9F" w:rsidP="00E90634">
            <w:pPr>
              <w:spacing w:before="40" w:after="40" w:line="340" w:lineRule="exact"/>
              <w:ind w:left="108" w:right="113" w:firstLine="432"/>
              <w:jc w:val="left"/>
              <w:textDirection w:val="tbRlV"/>
              <w:rPr>
                <w:rFonts w:ascii="Simplified Arabic" w:hAnsi="Simplified Arabic"/>
                <w:sz w:val="22"/>
                <w:lang w:val="ar-SA" w:eastAsia="zh-TW" w:bidi="en-GB"/>
              </w:rPr>
            </w:pPr>
            <w:r w:rsidRPr="00AF3116">
              <w:rPr>
                <w:rFonts w:ascii="Simplified Arabic" w:hAnsi="Simplified Arabic"/>
                <w:sz w:val="22"/>
                <w:rtl/>
              </w:rPr>
              <w:t>136</w:t>
            </w:r>
          </w:p>
        </w:tc>
      </w:tr>
      <w:tr w:rsidR="00DE3D9F" w:rsidRPr="001C785F" w14:paraId="0BC2AD69" w14:textId="77777777" w:rsidTr="00DE3D9F">
        <w:tc>
          <w:tcPr>
            <w:tcW w:w="5054" w:type="dxa"/>
            <w:shd w:val="clear" w:color="auto" w:fill="auto"/>
          </w:tcPr>
          <w:p w14:paraId="05765EAE" w14:textId="77777777" w:rsidR="00DE3D9F" w:rsidRPr="00E90634" w:rsidRDefault="00DE3D9F" w:rsidP="00E90634">
            <w:pPr>
              <w:spacing w:before="40" w:after="40" w:line="340" w:lineRule="exact"/>
              <w:ind w:left="108" w:right="113" w:firstLine="28"/>
              <w:textDirection w:val="tbRlV"/>
              <w:rPr>
                <w:rFonts w:ascii="Simplified Arabic" w:hAnsi="Simplified Arabic"/>
                <w:sz w:val="22"/>
                <w:lang w:val="ar-SA" w:eastAsia="zh-TW" w:bidi="en-GB"/>
              </w:rPr>
            </w:pPr>
            <w:r w:rsidRPr="00E90634">
              <w:rPr>
                <w:rFonts w:ascii="Simplified Arabic" w:hAnsi="Simplified Arabic"/>
                <w:sz w:val="22"/>
                <w:rtl/>
              </w:rPr>
              <w:t xml:space="preserve">حزب </w:t>
            </w:r>
            <w:proofErr w:type="spellStart"/>
            <w:r w:rsidRPr="00E90634">
              <w:rPr>
                <w:rFonts w:ascii="Simplified Arabic" w:hAnsi="Simplified Arabic"/>
                <w:sz w:val="22"/>
                <w:rtl/>
              </w:rPr>
              <w:t>بالانغبراشاراث</w:t>
            </w:r>
            <w:proofErr w:type="spellEnd"/>
          </w:p>
        </w:tc>
        <w:tc>
          <w:tcPr>
            <w:tcW w:w="1183" w:type="dxa"/>
            <w:shd w:val="clear" w:color="auto" w:fill="auto"/>
            <w:vAlign w:val="bottom"/>
          </w:tcPr>
          <w:p w14:paraId="291AFF58" w14:textId="77777777" w:rsidR="00DE3D9F" w:rsidRPr="00E90634" w:rsidRDefault="00DE3D9F" w:rsidP="00E90634">
            <w:pPr>
              <w:spacing w:before="40" w:after="40" w:line="340" w:lineRule="exact"/>
              <w:ind w:left="108" w:right="113" w:firstLine="432"/>
              <w:jc w:val="left"/>
              <w:textDirection w:val="tbRlV"/>
              <w:rPr>
                <w:rFonts w:ascii="Simplified Arabic" w:hAnsi="Simplified Arabic"/>
                <w:sz w:val="22"/>
                <w:lang w:val="ar-SA" w:eastAsia="zh-TW" w:bidi="en-GB"/>
              </w:rPr>
            </w:pPr>
            <w:r w:rsidRPr="00AF3116">
              <w:rPr>
                <w:rFonts w:ascii="Simplified Arabic" w:hAnsi="Simplified Arabic"/>
                <w:sz w:val="22"/>
                <w:rtl/>
              </w:rPr>
              <w:t>116</w:t>
            </w:r>
          </w:p>
        </w:tc>
      </w:tr>
      <w:tr w:rsidR="00DE3D9F" w:rsidRPr="001C785F" w14:paraId="64FBD543" w14:textId="77777777" w:rsidTr="00DE3D9F">
        <w:tc>
          <w:tcPr>
            <w:tcW w:w="5054" w:type="dxa"/>
            <w:shd w:val="clear" w:color="auto" w:fill="auto"/>
          </w:tcPr>
          <w:p w14:paraId="468351D6" w14:textId="77777777" w:rsidR="00DE3D9F" w:rsidRPr="00E90634" w:rsidRDefault="00DE3D9F" w:rsidP="00E90634">
            <w:pPr>
              <w:spacing w:before="40" w:after="40" w:line="340" w:lineRule="exact"/>
              <w:ind w:left="108" w:right="113" w:firstLine="28"/>
              <w:textDirection w:val="tbRlV"/>
              <w:rPr>
                <w:rFonts w:ascii="Simplified Arabic" w:hAnsi="Simplified Arabic"/>
                <w:sz w:val="22"/>
                <w:lang w:val="ar-SA" w:eastAsia="zh-TW" w:bidi="en-GB"/>
              </w:rPr>
            </w:pPr>
            <w:r w:rsidRPr="00E90634">
              <w:rPr>
                <w:rFonts w:ascii="Simplified Arabic" w:hAnsi="Simplified Arabic"/>
                <w:sz w:val="22"/>
                <w:rtl/>
              </w:rPr>
              <w:t>حزب المستقبل إلى الأمام</w:t>
            </w:r>
          </w:p>
        </w:tc>
        <w:tc>
          <w:tcPr>
            <w:tcW w:w="1183" w:type="dxa"/>
            <w:shd w:val="clear" w:color="auto" w:fill="auto"/>
            <w:vAlign w:val="bottom"/>
          </w:tcPr>
          <w:p w14:paraId="36E75D87" w14:textId="77777777" w:rsidR="00DE3D9F" w:rsidRPr="00E90634" w:rsidRDefault="00DE3D9F" w:rsidP="00E90634">
            <w:pPr>
              <w:spacing w:before="40" w:after="40" w:line="340" w:lineRule="exact"/>
              <w:ind w:left="108" w:right="113" w:firstLine="432"/>
              <w:jc w:val="left"/>
              <w:textDirection w:val="tbRlV"/>
              <w:rPr>
                <w:rFonts w:ascii="Simplified Arabic" w:hAnsi="Simplified Arabic"/>
                <w:sz w:val="22"/>
                <w:lang w:eastAsia="zh-TW" w:bidi="en-GB"/>
              </w:rPr>
            </w:pPr>
            <w:r w:rsidRPr="00AF3116">
              <w:rPr>
                <w:rFonts w:ascii="Simplified Arabic" w:hAnsi="Simplified Arabic"/>
                <w:sz w:val="22"/>
                <w:rtl/>
              </w:rPr>
              <w:t>80</w:t>
            </w:r>
          </w:p>
        </w:tc>
      </w:tr>
      <w:tr w:rsidR="00DE3D9F" w:rsidRPr="001C785F" w14:paraId="126F19B3" w14:textId="77777777" w:rsidTr="00DE3D9F">
        <w:tc>
          <w:tcPr>
            <w:tcW w:w="5054" w:type="dxa"/>
            <w:shd w:val="clear" w:color="auto" w:fill="auto"/>
          </w:tcPr>
          <w:p w14:paraId="2C3167A6" w14:textId="77777777" w:rsidR="00DE3D9F" w:rsidRPr="00E90634" w:rsidRDefault="00DE3D9F" w:rsidP="00E90634">
            <w:pPr>
              <w:spacing w:before="40" w:after="40" w:line="340" w:lineRule="exact"/>
              <w:ind w:left="108" w:right="113" w:firstLine="28"/>
              <w:textDirection w:val="tbRlV"/>
              <w:rPr>
                <w:rFonts w:ascii="Simplified Arabic" w:hAnsi="Simplified Arabic"/>
                <w:sz w:val="22"/>
                <w:lang w:val="ar-SA" w:eastAsia="zh-TW" w:bidi="en-GB"/>
              </w:rPr>
            </w:pPr>
            <w:r w:rsidRPr="00E90634">
              <w:rPr>
                <w:rFonts w:ascii="Simplified Arabic" w:hAnsi="Simplified Arabic"/>
                <w:sz w:val="22"/>
                <w:rtl/>
              </w:rPr>
              <w:t>الحزب الديمقراطي</w:t>
            </w:r>
          </w:p>
        </w:tc>
        <w:tc>
          <w:tcPr>
            <w:tcW w:w="1183" w:type="dxa"/>
            <w:shd w:val="clear" w:color="auto" w:fill="auto"/>
            <w:vAlign w:val="bottom"/>
          </w:tcPr>
          <w:p w14:paraId="7E620BE4" w14:textId="77777777" w:rsidR="00DE3D9F" w:rsidRPr="00E90634" w:rsidRDefault="00DE3D9F" w:rsidP="00E90634">
            <w:pPr>
              <w:spacing w:before="40" w:after="40" w:line="340" w:lineRule="exact"/>
              <w:ind w:left="108" w:right="113" w:firstLine="432"/>
              <w:jc w:val="left"/>
              <w:textDirection w:val="tbRlV"/>
              <w:rPr>
                <w:rFonts w:ascii="Simplified Arabic" w:hAnsi="Simplified Arabic"/>
                <w:sz w:val="22"/>
                <w:lang w:val="ar-SA" w:eastAsia="zh-TW" w:bidi="en-GB"/>
              </w:rPr>
            </w:pPr>
            <w:r w:rsidRPr="00AF3116">
              <w:rPr>
                <w:rFonts w:ascii="Simplified Arabic" w:hAnsi="Simplified Arabic"/>
                <w:sz w:val="22"/>
                <w:rtl/>
              </w:rPr>
              <w:t>53</w:t>
            </w:r>
          </w:p>
        </w:tc>
      </w:tr>
      <w:tr w:rsidR="00DE3D9F" w:rsidRPr="001C785F" w14:paraId="2F116B72" w14:textId="77777777" w:rsidTr="00DE3D9F">
        <w:tc>
          <w:tcPr>
            <w:tcW w:w="5054" w:type="dxa"/>
            <w:shd w:val="clear" w:color="auto" w:fill="auto"/>
          </w:tcPr>
          <w:p w14:paraId="4B39A2D8" w14:textId="77777777" w:rsidR="00DE3D9F" w:rsidRPr="00E90634" w:rsidRDefault="00DE3D9F" w:rsidP="00E90634">
            <w:pPr>
              <w:spacing w:before="40" w:after="40" w:line="340" w:lineRule="exact"/>
              <w:ind w:left="108" w:right="113" w:firstLine="28"/>
              <w:textDirection w:val="tbRlV"/>
              <w:rPr>
                <w:rFonts w:ascii="Simplified Arabic" w:hAnsi="Simplified Arabic"/>
                <w:sz w:val="22"/>
                <w:lang w:val="ar-SA" w:eastAsia="zh-TW" w:bidi="en-GB"/>
              </w:rPr>
            </w:pPr>
            <w:r w:rsidRPr="00E90634">
              <w:rPr>
                <w:rFonts w:ascii="Simplified Arabic" w:hAnsi="Simplified Arabic"/>
                <w:sz w:val="22"/>
                <w:rtl/>
              </w:rPr>
              <w:t xml:space="preserve">حزب </w:t>
            </w:r>
            <w:proofErr w:type="spellStart"/>
            <w:r w:rsidRPr="00E90634">
              <w:rPr>
                <w:rFonts w:ascii="Simplified Arabic" w:hAnsi="Simplified Arabic"/>
                <w:sz w:val="22"/>
                <w:rtl/>
              </w:rPr>
              <w:t>بومجايثاي</w:t>
            </w:r>
            <w:proofErr w:type="spellEnd"/>
          </w:p>
        </w:tc>
        <w:tc>
          <w:tcPr>
            <w:tcW w:w="1183" w:type="dxa"/>
            <w:shd w:val="clear" w:color="auto" w:fill="auto"/>
            <w:vAlign w:val="bottom"/>
          </w:tcPr>
          <w:p w14:paraId="7D2928DC" w14:textId="77777777" w:rsidR="00DE3D9F" w:rsidRPr="00E90634" w:rsidRDefault="00DE3D9F" w:rsidP="00E90634">
            <w:pPr>
              <w:spacing w:before="40" w:after="40" w:line="340" w:lineRule="exact"/>
              <w:ind w:left="108" w:right="113" w:firstLine="432"/>
              <w:jc w:val="left"/>
              <w:textDirection w:val="tbRlV"/>
              <w:rPr>
                <w:rFonts w:ascii="Simplified Arabic" w:hAnsi="Simplified Arabic"/>
                <w:sz w:val="22"/>
                <w:lang w:val="ar-SA" w:eastAsia="zh-TW" w:bidi="en-GB"/>
              </w:rPr>
            </w:pPr>
            <w:r w:rsidRPr="00AF3116">
              <w:rPr>
                <w:rFonts w:ascii="Simplified Arabic" w:hAnsi="Simplified Arabic"/>
                <w:sz w:val="22"/>
                <w:rtl/>
              </w:rPr>
              <w:t>51</w:t>
            </w:r>
          </w:p>
        </w:tc>
      </w:tr>
      <w:tr w:rsidR="00DE3D9F" w:rsidRPr="001C785F" w14:paraId="67FDAE26" w14:textId="77777777" w:rsidTr="00DE3D9F">
        <w:tc>
          <w:tcPr>
            <w:tcW w:w="5054" w:type="dxa"/>
            <w:shd w:val="clear" w:color="auto" w:fill="auto"/>
          </w:tcPr>
          <w:p w14:paraId="4A53C111" w14:textId="77777777" w:rsidR="00DE3D9F" w:rsidRPr="00E90634" w:rsidRDefault="00DE3D9F" w:rsidP="00E90634">
            <w:pPr>
              <w:spacing w:before="40" w:after="40" w:line="340" w:lineRule="exact"/>
              <w:ind w:left="108" w:right="113" w:firstLine="28"/>
              <w:textDirection w:val="tbRlV"/>
              <w:rPr>
                <w:rFonts w:ascii="Simplified Arabic" w:hAnsi="Simplified Arabic"/>
                <w:sz w:val="22"/>
                <w:lang w:val="ar-SA" w:eastAsia="zh-TW" w:bidi="en-GB"/>
              </w:rPr>
            </w:pPr>
            <w:r w:rsidRPr="00E90634">
              <w:rPr>
                <w:rFonts w:ascii="Simplified Arabic" w:hAnsi="Simplified Arabic"/>
                <w:sz w:val="22"/>
                <w:rtl/>
              </w:rPr>
              <w:t>الحزب الليبرالي التايلاندي</w:t>
            </w:r>
          </w:p>
        </w:tc>
        <w:tc>
          <w:tcPr>
            <w:tcW w:w="1183" w:type="dxa"/>
            <w:shd w:val="clear" w:color="auto" w:fill="auto"/>
            <w:vAlign w:val="bottom"/>
          </w:tcPr>
          <w:p w14:paraId="0A227C0D" w14:textId="77777777" w:rsidR="00DE3D9F" w:rsidRPr="00E90634" w:rsidRDefault="00DE3D9F" w:rsidP="00E90634">
            <w:pPr>
              <w:spacing w:before="40" w:after="40" w:line="340" w:lineRule="exact"/>
              <w:ind w:left="108" w:right="113" w:firstLine="432"/>
              <w:jc w:val="left"/>
              <w:textDirection w:val="tbRlV"/>
              <w:rPr>
                <w:rFonts w:ascii="Simplified Arabic" w:hAnsi="Simplified Arabic"/>
                <w:sz w:val="22"/>
                <w:lang w:val="ar-SA" w:eastAsia="zh-TW" w:bidi="en-GB"/>
              </w:rPr>
            </w:pPr>
            <w:r w:rsidRPr="00AF3116">
              <w:rPr>
                <w:rFonts w:ascii="Simplified Arabic" w:hAnsi="Simplified Arabic"/>
                <w:sz w:val="22"/>
                <w:rtl/>
              </w:rPr>
              <w:t>10</w:t>
            </w:r>
          </w:p>
        </w:tc>
      </w:tr>
      <w:tr w:rsidR="00DE3D9F" w:rsidRPr="001C785F" w14:paraId="2349A3A6" w14:textId="77777777" w:rsidTr="00DE3D9F">
        <w:tc>
          <w:tcPr>
            <w:tcW w:w="5054" w:type="dxa"/>
            <w:shd w:val="clear" w:color="auto" w:fill="auto"/>
          </w:tcPr>
          <w:p w14:paraId="0A0EE730" w14:textId="77777777" w:rsidR="00DE3D9F" w:rsidRPr="00E90634" w:rsidRDefault="00DE3D9F" w:rsidP="00E90634">
            <w:pPr>
              <w:spacing w:before="40" w:after="40" w:line="340" w:lineRule="exact"/>
              <w:ind w:left="108" w:right="113" w:firstLine="28"/>
              <w:textDirection w:val="tbRlV"/>
              <w:rPr>
                <w:rFonts w:ascii="Simplified Arabic" w:hAnsi="Simplified Arabic"/>
                <w:sz w:val="22"/>
                <w:lang w:val="ar-SA" w:eastAsia="zh-TW" w:bidi="en-GB"/>
              </w:rPr>
            </w:pPr>
            <w:r w:rsidRPr="00E90634">
              <w:rPr>
                <w:rFonts w:ascii="Simplified Arabic" w:hAnsi="Simplified Arabic"/>
                <w:sz w:val="22"/>
                <w:rtl/>
              </w:rPr>
              <w:t xml:space="preserve">حزب </w:t>
            </w:r>
            <w:proofErr w:type="spellStart"/>
            <w:r w:rsidRPr="00E90634">
              <w:rPr>
                <w:rFonts w:ascii="Simplified Arabic" w:hAnsi="Simplified Arabic"/>
                <w:sz w:val="22"/>
                <w:rtl/>
              </w:rPr>
              <w:t>شارتثايباتانا</w:t>
            </w:r>
            <w:proofErr w:type="spellEnd"/>
          </w:p>
        </w:tc>
        <w:tc>
          <w:tcPr>
            <w:tcW w:w="1183" w:type="dxa"/>
            <w:shd w:val="clear" w:color="auto" w:fill="auto"/>
            <w:vAlign w:val="bottom"/>
          </w:tcPr>
          <w:p w14:paraId="78C7C7D1" w14:textId="77777777" w:rsidR="00DE3D9F" w:rsidRPr="00E90634" w:rsidRDefault="00DE3D9F" w:rsidP="00E90634">
            <w:pPr>
              <w:spacing w:before="40" w:after="40" w:line="340" w:lineRule="exact"/>
              <w:ind w:left="108" w:right="113" w:firstLine="432"/>
              <w:jc w:val="left"/>
              <w:textDirection w:val="tbRlV"/>
              <w:rPr>
                <w:rFonts w:ascii="Simplified Arabic" w:hAnsi="Simplified Arabic"/>
                <w:sz w:val="22"/>
                <w:lang w:val="ar-SA" w:eastAsia="zh-TW" w:bidi="en-GB"/>
              </w:rPr>
            </w:pPr>
            <w:r w:rsidRPr="00AF3116">
              <w:rPr>
                <w:rFonts w:ascii="Simplified Arabic" w:hAnsi="Simplified Arabic"/>
                <w:sz w:val="22"/>
                <w:rtl/>
              </w:rPr>
              <w:t>10</w:t>
            </w:r>
          </w:p>
        </w:tc>
      </w:tr>
      <w:tr w:rsidR="00DE3D9F" w:rsidRPr="001C785F" w14:paraId="130E2AAB" w14:textId="77777777" w:rsidTr="00DE3D9F">
        <w:tc>
          <w:tcPr>
            <w:tcW w:w="5054" w:type="dxa"/>
            <w:shd w:val="clear" w:color="auto" w:fill="auto"/>
          </w:tcPr>
          <w:p w14:paraId="5B17E18F" w14:textId="77777777" w:rsidR="00DE3D9F" w:rsidRPr="00E90634" w:rsidRDefault="00DE3D9F" w:rsidP="00E90634">
            <w:pPr>
              <w:spacing w:before="40" w:after="40" w:line="340" w:lineRule="exact"/>
              <w:ind w:left="108" w:right="113" w:firstLine="28"/>
              <w:textDirection w:val="tbRlV"/>
              <w:rPr>
                <w:rFonts w:ascii="Simplified Arabic" w:hAnsi="Simplified Arabic"/>
                <w:sz w:val="22"/>
                <w:lang w:eastAsia="zh-TW" w:bidi="en-GB"/>
              </w:rPr>
            </w:pPr>
            <w:r w:rsidRPr="00E90634">
              <w:rPr>
                <w:rFonts w:ascii="Simplified Arabic" w:hAnsi="Simplified Arabic"/>
                <w:sz w:val="22"/>
                <w:rtl/>
              </w:rPr>
              <w:t>حزب الاقتصاد الجديد</w:t>
            </w:r>
          </w:p>
        </w:tc>
        <w:tc>
          <w:tcPr>
            <w:tcW w:w="1183" w:type="dxa"/>
            <w:shd w:val="clear" w:color="auto" w:fill="auto"/>
            <w:vAlign w:val="bottom"/>
          </w:tcPr>
          <w:p w14:paraId="3E350503" w14:textId="77777777" w:rsidR="00DE3D9F" w:rsidRPr="00E90634" w:rsidRDefault="00DE3D9F" w:rsidP="00E90634">
            <w:pPr>
              <w:spacing w:before="40" w:after="40" w:line="340" w:lineRule="exact"/>
              <w:ind w:left="108" w:right="113" w:firstLine="432"/>
              <w:jc w:val="left"/>
              <w:textDirection w:val="tbRlV"/>
              <w:rPr>
                <w:rFonts w:ascii="Simplified Arabic" w:hAnsi="Simplified Arabic"/>
                <w:sz w:val="22"/>
                <w:lang w:val="ar-SA" w:eastAsia="zh-TW" w:bidi="en-GB"/>
              </w:rPr>
            </w:pPr>
            <w:r w:rsidRPr="00AF3116">
              <w:rPr>
                <w:rFonts w:ascii="Simplified Arabic" w:hAnsi="Simplified Arabic"/>
                <w:sz w:val="22"/>
                <w:rtl/>
              </w:rPr>
              <w:t>6</w:t>
            </w:r>
          </w:p>
        </w:tc>
      </w:tr>
      <w:tr w:rsidR="00DE3D9F" w:rsidRPr="001C785F" w14:paraId="40AD03B8" w14:textId="77777777" w:rsidTr="00DE3D9F">
        <w:tc>
          <w:tcPr>
            <w:tcW w:w="5054" w:type="dxa"/>
            <w:shd w:val="clear" w:color="auto" w:fill="auto"/>
          </w:tcPr>
          <w:p w14:paraId="2187AF26" w14:textId="77777777" w:rsidR="00DE3D9F" w:rsidRPr="00E90634" w:rsidRDefault="00DE3D9F" w:rsidP="00E90634">
            <w:pPr>
              <w:spacing w:before="40" w:after="40" w:line="340" w:lineRule="exact"/>
              <w:ind w:left="108" w:right="113" w:firstLine="28"/>
              <w:textDirection w:val="tbRlV"/>
              <w:rPr>
                <w:rFonts w:ascii="Simplified Arabic" w:hAnsi="Simplified Arabic"/>
                <w:sz w:val="22"/>
                <w:lang w:val="ar-SA" w:eastAsia="zh-TW" w:bidi="en-GB"/>
              </w:rPr>
            </w:pPr>
            <w:r w:rsidRPr="00E90634">
              <w:rPr>
                <w:rFonts w:ascii="Simplified Arabic" w:hAnsi="Simplified Arabic"/>
                <w:sz w:val="22"/>
                <w:rtl/>
              </w:rPr>
              <w:t xml:space="preserve">حزب </w:t>
            </w:r>
            <w:proofErr w:type="spellStart"/>
            <w:r w:rsidRPr="00E90634">
              <w:rPr>
                <w:rFonts w:ascii="Simplified Arabic" w:hAnsi="Simplified Arabic"/>
                <w:sz w:val="22"/>
                <w:rtl/>
              </w:rPr>
              <w:t>براشاشارت</w:t>
            </w:r>
            <w:proofErr w:type="spellEnd"/>
          </w:p>
        </w:tc>
        <w:tc>
          <w:tcPr>
            <w:tcW w:w="1183" w:type="dxa"/>
            <w:shd w:val="clear" w:color="auto" w:fill="auto"/>
            <w:vAlign w:val="bottom"/>
          </w:tcPr>
          <w:p w14:paraId="6D571427" w14:textId="77777777" w:rsidR="00DE3D9F" w:rsidRPr="00E90634" w:rsidRDefault="00DE3D9F" w:rsidP="00E90634">
            <w:pPr>
              <w:spacing w:before="40" w:after="40" w:line="340" w:lineRule="exact"/>
              <w:ind w:left="108" w:right="113" w:firstLine="432"/>
              <w:jc w:val="left"/>
              <w:textDirection w:val="tbRlV"/>
              <w:rPr>
                <w:rFonts w:ascii="Simplified Arabic" w:hAnsi="Simplified Arabic"/>
                <w:sz w:val="22"/>
                <w:lang w:val="ar-SA" w:eastAsia="zh-TW" w:bidi="en-GB"/>
              </w:rPr>
            </w:pPr>
            <w:r w:rsidRPr="00AF3116">
              <w:rPr>
                <w:rFonts w:ascii="Simplified Arabic" w:hAnsi="Simplified Arabic"/>
                <w:sz w:val="22"/>
                <w:rtl/>
              </w:rPr>
              <w:t>7</w:t>
            </w:r>
          </w:p>
        </w:tc>
      </w:tr>
      <w:tr w:rsidR="00DE3D9F" w:rsidRPr="001C785F" w14:paraId="4D7FC287" w14:textId="77777777" w:rsidTr="00DE3D9F">
        <w:tc>
          <w:tcPr>
            <w:tcW w:w="5054" w:type="dxa"/>
            <w:shd w:val="clear" w:color="auto" w:fill="auto"/>
          </w:tcPr>
          <w:p w14:paraId="487484E2" w14:textId="77777777" w:rsidR="00DE3D9F" w:rsidRPr="00E90634" w:rsidRDefault="00DE3D9F" w:rsidP="00E90634">
            <w:pPr>
              <w:spacing w:before="40" w:after="40" w:line="340" w:lineRule="exact"/>
              <w:ind w:left="108" w:right="113" w:firstLine="28"/>
              <w:textDirection w:val="tbRlV"/>
              <w:rPr>
                <w:rFonts w:ascii="Simplified Arabic" w:hAnsi="Simplified Arabic"/>
                <w:sz w:val="22"/>
                <w:lang w:val="ar-SA" w:eastAsia="zh-TW" w:bidi="en-GB"/>
              </w:rPr>
            </w:pPr>
            <w:r w:rsidRPr="00E90634">
              <w:rPr>
                <w:rFonts w:ascii="Simplified Arabic" w:hAnsi="Simplified Arabic"/>
                <w:sz w:val="22"/>
                <w:rtl/>
              </w:rPr>
              <w:t>حزب بويا تشات</w:t>
            </w:r>
          </w:p>
        </w:tc>
        <w:tc>
          <w:tcPr>
            <w:tcW w:w="1183" w:type="dxa"/>
            <w:shd w:val="clear" w:color="auto" w:fill="auto"/>
            <w:vAlign w:val="bottom"/>
          </w:tcPr>
          <w:p w14:paraId="391AA02D" w14:textId="77777777" w:rsidR="00DE3D9F" w:rsidRPr="00E90634" w:rsidRDefault="00DE3D9F" w:rsidP="00E90634">
            <w:pPr>
              <w:spacing w:before="40" w:after="40" w:line="340" w:lineRule="exact"/>
              <w:ind w:left="108" w:right="113" w:firstLine="432"/>
              <w:jc w:val="left"/>
              <w:textDirection w:val="tbRlV"/>
              <w:rPr>
                <w:rFonts w:ascii="Simplified Arabic" w:hAnsi="Simplified Arabic"/>
                <w:sz w:val="22"/>
                <w:lang w:val="ar-SA" w:eastAsia="zh-TW" w:bidi="en-GB"/>
              </w:rPr>
            </w:pPr>
            <w:r w:rsidRPr="00AF3116">
              <w:rPr>
                <w:rFonts w:ascii="Simplified Arabic" w:hAnsi="Simplified Arabic"/>
                <w:sz w:val="22"/>
                <w:rtl/>
              </w:rPr>
              <w:t>5</w:t>
            </w:r>
          </w:p>
        </w:tc>
      </w:tr>
      <w:tr w:rsidR="00DE3D9F" w:rsidRPr="001C785F" w14:paraId="78449084" w14:textId="77777777" w:rsidTr="00DE3D9F">
        <w:tc>
          <w:tcPr>
            <w:tcW w:w="5054" w:type="dxa"/>
            <w:shd w:val="clear" w:color="auto" w:fill="auto"/>
          </w:tcPr>
          <w:p w14:paraId="39568943" w14:textId="77777777" w:rsidR="00DE3D9F" w:rsidRPr="00E90634" w:rsidRDefault="00DE3D9F" w:rsidP="00E90634">
            <w:pPr>
              <w:spacing w:before="40" w:after="40" w:line="340" w:lineRule="exact"/>
              <w:ind w:left="108" w:right="113" w:firstLine="28"/>
              <w:textDirection w:val="tbRlV"/>
              <w:rPr>
                <w:rFonts w:ascii="Simplified Arabic" w:hAnsi="Simplified Arabic"/>
                <w:sz w:val="22"/>
                <w:lang w:val="ar-SA" w:eastAsia="zh-TW" w:bidi="en-GB"/>
              </w:rPr>
            </w:pPr>
            <w:r w:rsidRPr="00E90634">
              <w:rPr>
                <w:rFonts w:ascii="Simplified Arabic" w:hAnsi="Simplified Arabic"/>
                <w:sz w:val="22"/>
                <w:rtl/>
              </w:rPr>
              <w:t>تحالف العمل من أجل تايلاند</w:t>
            </w:r>
          </w:p>
        </w:tc>
        <w:tc>
          <w:tcPr>
            <w:tcW w:w="1183" w:type="dxa"/>
            <w:shd w:val="clear" w:color="auto" w:fill="auto"/>
            <w:vAlign w:val="bottom"/>
          </w:tcPr>
          <w:p w14:paraId="47DCAF79" w14:textId="77777777" w:rsidR="00DE3D9F" w:rsidRPr="00E90634" w:rsidRDefault="00DE3D9F" w:rsidP="00E90634">
            <w:pPr>
              <w:spacing w:before="40" w:after="40" w:line="340" w:lineRule="exact"/>
              <w:ind w:left="108" w:right="113" w:firstLine="432"/>
              <w:jc w:val="left"/>
              <w:textDirection w:val="tbRlV"/>
              <w:rPr>
                <w:rFonts w:ascii="Simplified Arabic" w:hAnsi="Simplified Arabic"/>
                <w:sz w:val="22"/>
                <w:lang w:val="ar-SA" w:eastAsia="zh-TW" w:bidi="en-GB"/>
              </w:rPr>
            </w:pPr>
            <w:r w:rsidRPr="00AF3116">
              <w:rPr>
                <w:rFonts w:ascii="Simplified Arabic" w:hAnsi="Simplified Arabic"/>
                <w:sz w:val="22"/>
                <w:rtl/>
              </w:rPr>
              <w:t>5</w:t>
            </w:r>
          </w:p>
        </w:tc>
      </w:tr>
      <w:tr w:rsidR="00DE3D9F" w:rsidRPr="001C785F" w14:paraId="4D157A31" w14:textId="77777777" w:rsidTr="00DE3D9F">
        <w:tc>
          <w:tcPr>
            <w:tcW w:w="5054" w:type="dxa"/>
            <w:shd w:val="clear" w:color="auto" w:fill="auto"/>
          </w:tcPr>
          <w:p w14:paraId="796916CE" w14:textId="77777777" w:rsidR="00DE3D9F" w:rsidRPr="00E90634" w:rsidRDefault="00DE3D9F" w:rsidP="00E90634">
            <w:pPr>
              <w:spacing w:before="40" w:after="40" w:line="340" w:lineRule="exact"/>
              <w:ind w:left="108" w:right="113" w:firstLine="28"/>
              <w:textDirection w:val="tbRlV"/>
              <w:rPr>
                <w:rFonts w:ascii="Simplified Arabic" w:hAnsi="Simplified Arabic"/>
                <w:sz w:val="22"/>
                <w:lang w:val="ar-SA" w:eastAsia="zh-TW" w:bidi="en-GB"/>
              </w:rPr>
            </w:pPr>
            <w:r w:rsidRPr="00E90634">
              <w:rPr>
                <w:rFonts w:ascii="Simplified Arabic" w:hAnsi="Simplified Arabic"/>
                <w:sz w:val="22"/>
                <w:rtl/>
              </w:rPr>
              <w:t xml:space="preserve">حزب شارت </w:t>
            </w:r>
            <w:proofErr w:type="spellStart"/>
            <w:r w:rsidRPr="00E90634">
              <w:rPr>
                <w:rFonts w:ascii="Simplified Arabic" w:hAnsi="Simplified Arabic"/>
                <w:sz w:val="22"/>
                <w:rtl/>
              </w:rPr>
              <w:t>باتانا</w:t>
            </w:r>
            <w:proofErr w:type="spellEnd"/>
          </w:p>
        </w:tc>
        <w:tc>
          <w:tcPr>
            <w:tcW w:w="1183" w:type="dxa"/>
            <w:shd w:val="clear" w:color="auto" w:fill="auto"/>
            <w:vAlign w:val="bottom"/>
          </w:tcPr>
          <w:p w14:paraId="4F9CCA9B" w14:textId="77777777" w:rsidR="00DE3D9F" w:rsidRPr="00E90634" w:rsidRDefault="00DE3D9F" w:rsidP="00E90634">
            <w:pPr>
              <w:spacing w:before="40" w:after="40" w:line="340" w:lineRule="exact"/>
              <w:ind w:left="108" w:right="113" w:firstLine="432"/>
              <w:jc w:val="left"/>
              <w:textDirection w:val="tbRlV"/>
              <w:rPr>
                <w:rFonts w:ascii="Simplified Arabic" w:hAnsi="Simplified Arabic"/>
                <w:sz w:val="22"/>
                <w:lang w:val="ar-SA" w:eastAsia="zh-TW" w:bidi="en-GB"/>
              </w:rPr>
            </w:pPr>
            <w:r w:rsidRPr="00AF3116">
              <w:rPr>
                <w:rFonts w:ascii="Simplified Arabic" w:hAnsi="Simplified Arabic"/>
                <w:sz w:val="22"/>
                <w:rtl/>
              </w:rPr>
              <w:t>3</w:t>
            </w:r>
          </w:p>
        </w:tc>
      </w:tr>
      <w:tr w:rsidR="00DE3D9F" w:rsidRPr="001C785F" w14:paraId="7751254A" w14:textId="77777777" w:rsidTr="00DE3D9F">
        <w:tc>
          <w:tcPr>
            <w:tcW w:w="5054" w:type="dxa"/>
            <w:shd w:val="clear" w:color="auto" w:fill="auto"/>
          </w:tcPr>
          <w:p w14:paraId="4BFD9A7E" w14:textId="77777777" w:rsidR="00DE3D9F" w:rsidRPr="00E90634" w:rsidRDefault="00DE3D9F" w:rsidP="00E90634">
            <w:pPr>
              <w:spacing w:before="40" w:after="40" w:line="340" w:lineRule="exact"/>
              <w:ind w:left="108" w:right="113" w:firstLine="28"/>
              <w:textDirection w:val="tbRlV"/>
              <w:rPr>
                <w:rFonts w:ascii="Simplified Arabic" w:hAnsi="Simplified Arabic"/>
                <w:sz w:val="22"/>
                <w:lang w:val="ar-SA" w:eastAsia="zh-TW" w:bidi="en-GB"/>
              </w:rPr>
            </w:pPr>
            <w:r w:rsidRPr="00E90634">
              <w:rPr>
                <w:rFonts w:ascii="Simplified Arabic" w:hAnsi="Simplified Arabic"/>
                <w:sz w:val="22"/>
                <w:rtl/>
              </w:rPr>
              <w:t>حزب السلطة المحلية التايلاندي</w:t>
            </w:r>
          </w:p>
        </w:tc>
        <w:tc>
          <w:tcPr>
            <w:tcW w:w="1183" w:type="dxa"/>
            <w:shd w:val="clear" w:color="auto" w:fill="auto"/>
            <w:vAlign w:val="bottom"/>
          </w:tcPr>
          <w:p w14:paraId="5B1CB4CE" w14:textId="77777777" w:rsidR="00DE3D9F" w:rsidRPr="00E90634" w:rsidRDefault="00DE3D9F" w:rsidP="00E90634">
            <w:pPr>
              <w:spacing w:before="40" w:after="40" w:line="340" w:lineRule="exact"/>
              <w:ind w:left="108" w:right="113" w:firstLine="432"/>
              <w:jc w:val="left"/>
              <w:textDirection w:val="tbRlV"/>
              <w:rPr>
                <w:rFonts w:ascii="Simplified Arabic" w:hAnsi="Simplified Arabic"/>
                <w:sz w:val="22"/>
                <w:lang w:val="ar-SA" w:eastAsia="zh-TW" w:bidi="en-GB"/>
              </w:rPr>
            </w:pPr>
            <w:r w:rsidRPr="00AF3116">
              <w:rPr>
                <w:rFonts w:ascii="Simplified Arabic" w:hAnsi="Simplified Arabic"/>
                <w:sz w:val="22"/>
                <w:rtl/>
              </w:rPr>
              <w:t>3</w:t>
            </w:r>
          </w:p>
        </w:tc>
      </w:tr>
      <w:tr w:rsidR="00DE3D9F" w:rsidRPr="001C785F" w14:paraId="430BDA3E" w14:textId="77777777" w:rsidTr="00DE3D9F">
        <w:tc>
          <w:tcPr>
            <w:tcW w:w="5054" w:type="dxa"/>
            <w:shd w:val="clear" w:color="auto" w:fill="auto"/>
          </w:tcPr>
          <w:p w14:paraId="7F107BA5" w14:textId="77777777" w:rsidR="00DE3D9F" w:rsidRPr="00E90634" w:rsidRDefault="00DE3D9F" w:rsidP="00E90634">
            <w:pPr>
              <w:spacing w:before="40" w:after="40" w:line="340" w:lineRule="exact"/>
              <w:ind w:left="108" w:right="113" w:firstLine="28"/>
              <w:textDirection w:val="tbRlV"/>
              <w:rPr>
                <w:rFonts w:ascii="Simplified Arabic" w:hAnsi="Simplified Arabic"/>
                <w:sz w:val="22"/>
                <w:lang w:val="ar-SA" w:eastAsia="zh-TW" w:bidi="en-GB"/>
              </w:rPr>
            </w:pPr>
            <w:r w:rsidRPr="00E90634">
              <w:rPr>
                <w:rFonts w:ascii="Simplified Arabic" w:hAnsi="Simplified Arabic"/>
                <w:sz w:val="22"/>
                <w:rtl/>
              </w:rPr>
              <w:t>حزب الحفاظ على الغابات التايلاندي</w:t>
            </w:r>
          </w:p>
        </w:tc>
        <w:tc>
          <w:tcPr>
            <w:tcW w:w="1183" w:type="dxa"/>
            <w:shd w:val="clear" w:color="auto" w:fill="auto"/>
            <w:vAlign w:val="bottom"/>
          </w:tcPr>
          <w:p w14:paraId="36645B35" w14:textId="77777777" w:rsidR="00DE3D9F" w:rsidRPr="00E90634" w:rsidRDefault="00DE3D9F" w:rsidP="00E90634">
            <w:pPr>
              <w:spacing w:before="40" w:after="40" w:line="340" w:lineRule="exact"/>
              <w:ind w:left="108" w:right="113" w:firstLine="432"/>
              <w:jc w:val="left"/>
              <w:textDirection w:val="tbRlV"/>
              <w:rPr>
                <w:rFonts w:ascii="Simplified Arabic" w:hAnsi="Simplified Arabic"/>
                <w:sz w:val="22"/>
                <w:lang w:val="ar-SA" w:eastAsia="zh-TW" w:bidi="en-GB"/>
              </w:rPr>
            </w:pPr>
            <w:r w:rsidRPr="00AF3116">
              <w:rPr>
                <w:rFonts w:ascii="Simplified Arabic" w:hAnsi="Simplified Arabic"/>
                <w:sz w:val="22"/>
                <w:rtl/>
              </w:rPr>
              <w:t>2</w:t>
            </w:r>
          </w:p>
        </w:tc>
      </w:tr>
      <w:tr w:rsidR="00DE3D9F" w:rsidRPr="001C785F" w14:paraId="502BDE79" w14:textId="77777777" w:rsidTr="00DE3D9F">
        <w:tc>
          <w:tcPr>
            <w:tcW w:w="5054" w:type="dxa"/>
            <w:shd w:val="clear" w:color="auto" w:fill="auto"/>
          </w:tcPr>
          <w:p w14:paraId="38C05C22" w14:textId="77777777" w:rsidR="00DE3D9F" w:rsidRPr="00E90634" w:rsidRDefault="00DE3D9F" w:rsidP="00E90634">
            <w:pPr>
              <w:spacing w:before="40" w:after="40" w:line="340" w:lineRule="exact"/>
              <w:ind w:left="108" w:right="113" w:firstLine="28"/>
              <w:textDirection w:val="tbRlV"/>
              <w:rPr>
                <w:rFonts w:ascii="Simplified Arabic" w:hAnsi="Simplified Arabic"/>
                <w:sz w:val="22"/>
                <w:lang w:val="ar-SA" w:eastAsia="zh-TW" w:bidi="en-GB"/>
              </w:rPr>
            </w:pPr>
            <w:r w:rsidRPr="00E90634">
              <w:rPr>
                <w:rFonts w:ascii="Simplified Arabic" w:hAnsi="Simplified Arabic"/>
                <w:sz w:val="22"/>
                <w:rtl/>
              </w:rPr>
              <w:t>حزب سلطة الشعب التايلاندي</w:t>
            </w:r>
          </w:p>
        </w:tc>
        <w:tc>
          <w:tcPr>
            <w:tcW w:w="1183" w:type="dxa"/>
            <w:shd w:val="clear" w:color="auto" w:fill="auto"/>
            <w:vAlign w:val="bottom"/>
          </w:tcPr>
          <w:p w14:paraId="469B5580" w14:textId="77777777" w:rsidR="00DE3D9F" w:rsidRPr="00E90634" w:rsidRDefault="00DE3D9F" w:rsidP="00E90634">
            <w:pPr>
              <w:spacing w:before="40" w:after="40" w:line="340" w:lineRule="exact"/>
              <w:ind w:left="108" w:right="113" w:firstLine="432"/>
              <w:jc w:val="left"/>
              <w:textDirection w:val="tbRlV"/>
              <w:rPr>
                <w:rFonts w:ascii="Simplified Arabic" w:hAnsi="Simplified Arabic"/>
                <w:sz w:val="22"/>
                <w:lang w:val="ar-SA" w:eastAsia="zh-TW" w:bidi="en-GB"/>
              </w:rPr>
            </w:pPr>
            <w:r w:rsidRPr="00AF3116">
              <w:rPr>
                <w:rFonts w:ascii="Simplified Arabic" w:hAnsi="Simplified Arabic"/>
                <w:sz w:val="22"/>
                <w:rtl/>
              </w:rPr>
              <w:t>1</w:t>
            </w:r>
          </w:p>
        </w:tc>
      </w:tr>
      <w:tr w:rsidR="00DE3D9F" w:rsidRPr="001C785F" w14:paraId="3DD054E6" w14:textId="77777777" w:rsidTr="00DE3D9F">
        <w:tc>
          <w:tcPr>
            <w:tcW w:w="5054" w:type="dxa"/>
            <w:shd w:val="clear" w:color="auto" w:fill="auto"/>
          </w:tcPr>
          <w:p w14:paraId="3E02B308" w14:textId="77777777" w:rsidR="00DE3D9F" w:rsidRPr="00E90634" w:rsidRDefault="00DE3D9F" w:rsidP="00E90634">
            <w:pPr>
              <w:spacing w:before="40" w:after="40" w:line="340" w:lineRule="exact"/>
              <w:ind w:left="108" w:right="113" w:firstLine="28"/>
              <w:textDirection w:val="tbRlV"/>
              <w:rPr>
                <w:rFonts w:ascii="Simplified Arabic" w:hAnsi="Simplified Arabic"/>
                <w:sz w:val="22"/>
                <w:lang w:val="ar-SA" w:eastAsia="zh-TW" w:bidi="en-GB"/>
              </w:rPr>
            </w:pPr>
            <w:r w:rsidRPr="00E90634">
              <w:rPr>
                <w:rFonts w:ascii="Simplified Arabic" w:hAnsi="Simplified Arabic"/>
                <w:sz w:val="22"/>
                <w:rtl/>
              </w:rPr>
              <w:t xml:space="preserve">حزب سلطة الأمة التايلاندية </w:t>
            </w:r>
          </w:p>
        </w:tc>
        <w:tc>
          <w:tcPr>
            <w:tcW w:w="1183" w:type="dxa"/>
            <w:shd w:val="clear" w:color="auto" w:fill="auto"/>
            <w:vAlign w:val="bottom"/>
          </w:tcPr>
          <w:p w14:paraId="089B030A" w14:textId="77777777" w:rsidR="00DE3D9F" w:rsidRPr="00E90634" w:rsidRDefault="00DE3D9F" w:rsidP="00E90634">
            <w:pPr>
              <w:spacing w:before="40" w:after="40" w:line="340" w:lineRule="exact"/>
              <w:ind w:left="108" w:right="113" w:firstLine="432"/>
              <w:jc w:val="left"/>
              <w:textDirection w:val="tbRlV"/>
              <w:rPr>
                <w:rFonts w:ascii="Simplified Arabic" w:hAnsi="Simplified Arabic"/>
                <w:sz w:val="22"/>
                <w:lang w:val="ar-SA" w:eastAsia="zh-TW" w:bidi="en-GB"/>
              </w:rPr>
            </w:pPr>
            <w:r w:rsidRPr="00AF3116">
              <w:rPr>
                <w:rFonts w:ascii="Simplified Arabic" w:hAnsi="Simplified Arabic"/>
                <w:sz w:val="22"/>
                <w:rtl/>
              </w:rPr>
              <w:t>1</w:t>
            </w:r>
          </w:p>
        </w:tc>
      </w:tr>
      <w:tr w:rsidR="00DE3D9F" w:rsidRPr="001C785F" w14:paraId="0525AB6D" w14:textId="77777777" w:rsidTr="00DE3D9F">
        <w:tc>
          <w:tcPr>
            <w:tcW w:w="5054" w:type="dxa"/>
            <w:shd w:val="clear" w:color="auto" w:fill="auto"/>
          </w:tcPr>
          <w:p w14:paraId="7C55D338" w14:textId="77777777" w:rsidR="00DE3D9F" w:rsidRPr="00E90634" w:rsidRDefault="00DE3D9F" w:rsidP="00E90634">
            <w:pPr>
              <w:spacing w:before="40" w:after="40" w:line="340" w:lineRule="exact"/>
              <w:ind w:left="108" w:right="113" w:firstLine="28"/>
              <w:textDirection w:val="tbRlV"/>
              <w:rPr>
                <w:rFonts w:ascii="Simplified Arabic" w:hAnsi="Simplified Arabic"/>
                <w:sz w:val="22"/>
                <w:lang w:val="ar-SA" w:eastAsia="zh-TW" w:bidi="en-GB"/>
              </w:rPr>
            </w:pPr>
            <w:r w:rsidRPr="00E90634">
              <w:rPr>
                <w:rFonts w:ascii="Simplified Arabic" w:hAnsi="Simplified Arabic"/>
                <w:sz w:val="22"/>
                <w:rtl/>
              </w:rPr>
              <w:t>حزب الشعب التقدمي</w:t>
            </w:r>
          </w:p>
        </w:tc>
        <w:tc>
          <w:tcPr>
            <w:tcW w:w="1183" w:type="dxa"/>
            <w:shd w:val="clear" w:color="auto" w:fill="auto"/>
            <w:vAlign w:val="bottom"/>
          </w:tcPr>
          <w:p w14:paraId="0394F91E" w14:textId="77777777" w:rsidR="00DE3D9F" w:rsidRPr="00E90634" w:rsidRDefault="00DE3D9F" w:rsidP="00E90634">
            <w:pPr>
              <w:spacing w:before="40" w:after="40" w:line="340" w:lineRule="exact"/>
              <w:ind w:left="108" w:right="113" w:firstLine="432"/>
              <w:jc w:val="left"/>
              <w:textDirection w:val="tbRlV"/>
              <w:rPr>
                <w:rFonts w:ascii="Simplified Arabic" w:hAnsi="Simplified Arabic"/>
                <w:sz w:val="22"/>
                <w:lang w:val="ar-SA" w:eastAsia="zh-TW" w:bidi="en-GB"/>
              </w:rPr>
            </w:pPr>
            <w:r w:rsidRPr="00AF3116">
              <w:rPr>
                <w:rFonts w:ascii="Simplified Arabic" w:hAnsi="Simplified Arabic"/>
                <w:sz w:val="22"/>
                <w:rtl/>
              </w:rPr>
              <w:t>1</w:t>
            </w:r>
          </w:p>
        </w:tc>
      </w:tr>
      <w:tr w:rsidR="00DE3D9F" w:rsidRPr="001C785F" w14:paraId="00E56B6E" w14:textId="77777777" w:rsidTr="00E90634">
        <w:tc>
          <w:tcPr>
            <w:tcW w:w="5054" w:type="dxa"/>
            <w:tcBorders>
              <w:bottom w:val="nil"/>
            </w:tcBorders>
            <w:shd w:val="clear" w:color="auto" w:fill="auto"/>
          </w:tcPr>
          <w:p w14:paraId="112E1891" w14:textId="77777777" w:rsidR="00DE3D9F" w:rsidRPr="00E90634" w:rsidRDefault="00DE3D9F" w:rsidP="00E90634">
            <w:pPr>
              <w:spacing w:before="40" w:after="40" w:line="340" w:lineRule="exact"/>
              <w:ind w:left="108" w:right="113" w:firstLine="28"/>
              <w:textDirection w:val="tbRlV"/>
              <w:rPr>
                <w:rFonts w:ascii="Simplified Arabic" w:hAnsi="Simplified Arabic"/>
                <w:sz w:val="22"/>
                <w:lang w:val="ar-SA" w:eastAsia="zh-TW" w:bidi="en-GB"/>
              </w:rPr>
            </w:pPr>
            <w:r w:rsidRPr="00E90634">
              <w:rPr>
                <w:rFonts w:ascii="Simplified Arabic" w:hAnsi="Simplified Arabic"/>
                <w:sz w:val="22"/>
                <w:rtl/>
              </w:rPr>
              <w:t>الحزب المتحضر التايلاندي</w:t>
            </w:r>
          </w:p>
        </w:tc>
        <w:tc>
          <w:tcPr>
            <w:tcW w:w="1183" w:type="dxa"/>
            <w:tcBorders>
              <w:bottom w:val="nil"/>
            </w:tcBorders>
            <w:shd w:val="clear" w:color="auto" w:fill="auto"/>
            <w:vAlign w:val="bottom"/>
          </w:tcPr>
          <w:p w14:paraId="30712D59" w14:textId="77777777" w:rsidR="00DE3D9F" w:rsidRPr="00E90634" w:rsidRDefault="00DE3D9F" w:rsidP="00E90634">
            <w:pPr>
              <w:spacing w:before="40" w:after="40" w:line="340" w:lineRule="exact"/>
              <w:ind w:left="108" w:right="113" w:firstLine="432"/>
              <w:jc w:val="left"/>
              <w:textDirection w:val="tbRlV"/>
              <w:rPr>
                <w:rFonts w:ascii="Simplified Arabic" w:hAnsi="Simplified Arabic"/>
                <w:sz w:val="22"/>
                <w:lang w:val="ar-SA" w:eastAsia="zh-TW" w:bidi="en-GB"/>
              </w:rPr>
            </w:pPr>
            <w:r w:rsidRPr="00AF3116">
              <w:rPr>
                <w:rFonts w:ascii="Simplified Arabic" w:hAnsi="Simplified Arabic"/>
                <w:sz w:val="22"/>
                <w:rtl/>
              </w:rPr>
              <w:t>1</w:t>
            </w:r>
          </w:p>
        </w:tc>
      </w:tr>
      <w:tr w:rsidR="00DE3D9F" w:rsidRPr="001C785F" w14:paraId="2FBEF480" w14:textId="77777777" w:rsidTr="00E90634">
        <w:tc>
          <w:tcPr>
            <w:tcW w:w="5054" w:type="dxa"/>
            <w:tcBorders>
              <w:top w:val="nil"/>
              <w:bottom w:val="nil"/>
            </w:tcBorders>
            <w:shd w:val="clear" w:color="auto" w:fill="auto"/>
          </w:tcPr>
          <w:p w14:paraId="7C5701FF" w14:textId="77777777" w:rsidR="00DE3D9F" w:rsidRPr="00E90634" w:rsidRDefault="00DE3D9F" w:rsidP="00E90634">
            <w:pPr>
              <w:spacing w:before="40" w:after="40" w:line="340" w:lineRule="exact"/>
              <w:ind w:left="108" w:right="113" w:firstLine="28"/>
              <w:textDirection w:val="tbRlV"/>
              <w:rPr>
                <w:rFonts w:ascii="Simplified Arabic" w:hAnsi="Simplified Arabic"/>
                <w:sz w:val="22"/>
                <w:lang w:val="ar-SA" w:eastAsia="zh-TW" w:bidi="en-GB"/>
              </w:rPr>
            </w:pPr>
            <w:r w:rsidRPr="00E90634">
              <w:rPr>
                <w:rFonts w:ascii="Simplified Arabic" w:hAnsi="Simplified Arabic"/>
                <w:sz w:val="22"/>
                <w:rtl/>
              </w:rPr>
              <w:t xml:space="preserve">حزب </w:t>
            </w:r>
            <w:proofErr w:type="spellStart"/>
            <w:r w:rsidRPr="00E90634">
              <w:rPr>
                <w:rFonts w:ascii="Simplified Arabic" w:hAnsi="Simplified Arabic"/>
                <w:sz w:val="22"/>
                <w:rtl/>
              </w:rPr>
              <w:t>بالانج</w:t>
            </w:r>
            <w:proofErr w:type="spellEnd"/>
            <w:r w:rsidRPr="00E90634">
              <w:rPr>
                <w:rFonts w:ascii="Simplified Arabic" w:hAnsi="Simplified Arabic"/>
                <w:sz w:val="22"/>
                <w:rtl/>
              </w:rPr>
              <w:t xml:space="preserve"> تاي راك التايلندي</w:t>
            </w:r>
          </w:p>
        </w:tc>
        <w:tc>
          <w:tcPr>
            <w:tcW w:w="1183" w:type="dxa"/>
            <w:tcBorders>
              <w:top w:val="nil"/>
              <w:bottom w:val="nil"/>
            </w:tcBorders>
            <w:shd w:val="clear" w:color="auto" w:fill="auto"/>
            <w:vAlign w:val="bottom"/>
          </w:tcPr>
          <w:p w14:paraId="30F485D4" w14:textId="77777777" w:rsidR="00DE3D9F" w:rsidRPr="00E90634" w:rsidRDefault="00DE3D9F" w:rsidP="00E90634">
            <w:pPr>
              <w:spacing w:before="40" w:after="40" w:line="340" w:lineRule="exact"/>
              <w:ind w:left="108" w:right="113" w:firstLine="432"/>
              <w:jc w:val="left"/>
              <w:textDirection w:val="tbRlV"/>
              <w:rPr>
                <w:rFonts w:ascii="Simplified Arabic" w:hAnsi="Simplified Arabic"/>
                <w:sz w:val="22"/>
                <w:lang w:val="ar-SA" w:eastAsia="zh-TW" w:bidi="en-GB"/>
              </w:rPr>
            </w:pPr>
            <w:r w:rsidRPr="00AF3116">
              <w:rPr>
                <w:rFonts w:ascii="Simplified Arabic" w:hAnsi="Simplified Arabic"/>
                <w:sz w:val="22"/>
                <w:rtl/>
              </w:rPr>
              <w:t>1</w:t>
            </w:r>
          </w:p>
        </w:tc>
      </w:tr>
      <w:tr w:rsidR="00DE3D9F" w:rsidRPr="001C785F" w14:paraId="32476F73" w14:textId="77777777" w:rsidTr="00E90634">
        <w:tc>
          <w:tcPr>
            <w:tcW w:w="5054" w:type="dxa"/>
            <w:tcBorders>
              <w:top w:val="nil"/>
              <w:bottom w:val="nil"/>
            </w:tcBorders>
            <w:shd w:val="clear" w:color="auto" w:fill="auto"/>
          </w:tcPr>
          <w:p w14:paraId="4BB6AE36" w14:textId="77777777" w:rsidR="00DE3D9F" w:rsidRPr="00E90634" w:rsidRDefault="00DE3D9F" w:rsidP="00E90634">
            <w:pPr>
              <w:spacing w:before="40" w:after="40" w:line="340" w:lineRule="exact"/>
              <w:ind w:left="108" w:right="113" w:firstLine="28"/>
              <w:textDirection w:val="tbRlV"/>
              <w:rPr>
                <w:rFonts w:ascii="Simplified Arabic" w:hAnsi="Simplified Arabic"/>
                <w:sz w:val="22"/>
                <w:lang w:val="ar-SA" w:eastAsia="zh-TW" w:bidi="en-GB"/>
              </w:rPr>
            </w:pPr>
            <w:r w:rsidRPr="00E90634">
              <w:rPr>
                <w:rFonts w:ascii="Simplified Arabic" w:hAnsi="Simplified Arabic"/>
                <w:sz w:val="22"/>
                <w:rtl/>
              </w:rPr>
              <w:t>حزب المعلمين من أجل الشعب التايلندي</w:t>
            </w:r>
          </w:p>
        </w:tc>
        <w:tc>
          <w:tcPr>
            <w:tcW w:w="1183" w:type="dxa"/>
            <w:tcBorders>
              <w:top w:val="nil"/>
              <w:bottom w:val="nil"/>
            </w:tcBorders>
            <w:shd w:val="clear" w:color="auto" w:fill="auto"/>
            <w:vAlign w:val="bottom"/>
          </w:tcPr>
          <w:p w14:paraId="3A46340B" w14:textId="77777777" w:rsidR="00DE3D9F" w:rsidRPr="00E90634" w:rsidRDefault="00DE3D9F" w:rsidP="00E90634">
            <w:pPr>
              <w:spacing w:before="40" w:after="40" w:line="340" w:lineRule="exact"/>
              <w:ind w:left="108" w:right="113" w:firstLine="432"/>
              <w:jc w:val="left"/>
              <w:textDirection w:val="tbRlV"/>
              <w:rPr>
                <w:rFonts w:ascii="Simplified Arabic" w:hAnsi="Simplified Arabic"/>
                <w:sz w:val="22"/>
                <w:lang w:val="ar-SA" w:eastAsia="zh-TW" w:bidi="en-GB"/>
              </w:rPr>
            </w:pPr>
            <w:r w:rsidRPr="00AF3116">
              <w:rPr>
                <w:rFonts w:ascii="Simplified Arabic" w:hAnsi="Simplified Arabic"/>
                <w:sz w:val="22"/>
                <w:rtl/>
              </w:rPr>
              <w:t>1</w:t>
            </w:r>
          </w:p>
        </w:tc>
      </w:tr>
      <w:tr w:rsidR="00DE3D9F" w:rsidRPr="001C785F" w14:paraId="6827EE35" w14:textId="77777777" w:rsidTr="00E90634">
        <w:tc>
          <w:tcPr>
            <w:tcW w:w="5054" w:type="dxa"/>
            <w:tcBorders>
              <w:top w:val="nil"/>
              <w:bottom w:val="nil"/>
            </w:tcBorders>
            <w:shd w:val="clear" w:color="auto" w:fill="auto"/>
          </w:tcPr>
          <w:p w14:paraId="798B665E" w14:textId="77777777" w:rsidR="00DE3D9F" w:rsidRPr="00E90634" w:rsidRDefault="00DE3D9F" w:rsidP="00E90634">
            <w:pPr>
              <w:spacing w:before="40" w:after="40" w:line="340" w:lineRule="exact"/>
              <w:ind w:left="108" w:right="113" w:firstLine="28"/>
              <w:textDirection w:val="tbRlV"/>
              <w:rPr>
                <w:rFonts w:ascii="Simplified Arabic" w:hAnsi="Simplified Arabic"/>
                <w:sz w:val="22"/>
                <w:lang w:eastAsia="zh-TW" w:bidi="en-GB"/>
              </w:rPr>
            </w:pPr>
            <w:r w:rsidRPr="00E90634">
              <w:rPr>
                <w:rFonts w:ascii="Simplified Arabic" w:hAnsi="Simplified Arabic"/>
                <w:sz w:val="22"/>
                <w:rtl/>
              </w:rPr>
              <w:lastRenderedPageBreak/>
              <w:t xml:space="preserve">حزب </w:t>
            </w:r>
            <w:proofErr w:type="spellStart"/>
            <w:r w:rsidRPr="00E90634">
              <w:rPr>
                <w:rFonts w:ascii="Simplified Arabic" w:hAnsi="Simplified Arabic"/>
                <w:sz w:val="22"/>
                <w:rtl/>
              </w:rPr>
              <w:t>براشانيوم</w:t>
            </w:r>
            <w:proofErr w:type="spellEnd"/>
          </w:p>
        </w:tc>
        <w:tc>
          <w:tcPr>
            <w:tcW w:w="1183" w:type="dxa"/>
            <w:tcBorders>
              <w:top w:val="nil"/>
              <w:bottom w:val="nil"/>
            </w:tcBorders>
            <w:shd w:val="clear" w:color="auto" w:fill="auto"/>
            <w:vAlign w:val="bottom"/>
          </w:tcPr>
          <w:p w14:paraId="73E30AF2" w14:textId="77777777" w:rsidR="00DE3D9F" w:rsidRPr="00E90634" w:rsidRDefault="00DE3D9F" w:rsidP="00E90634">
            <w:pPr>
              <w:spacing w:before="40" w:after="40" w:line="340" w:lineRule="exact"/>
              <w:ind w:left="108" w:right="113" w:firstLine="432"/>
              <w:jc w:val="left"/>
              <w:textDirection w:val="tbRlV"/>
              <w:rPr>
                <w:rFonts w:ascii="Simplified Arabic" w:hAnsi="Simplified Arabic"/>
                <w:sz w:val="22"/>
                <w:lang w:val="ar-SA" w:eastAsia="zh-TW" w:bidi="en-GB"/>
              </w:rPr>
            </w:pPr>
            <w:r w:rsidRPr="00AF3116">
              <w:rPr>
                <w:rFonts w:ascii="Simplified Arabic" w:hAnsi="Simplified Arabic"/>
                <w:sz w:val="22"/>
                <w:rtl/>
              </w:rPr>
              <w:t>1</w:t>
            </w:r>
          </w:p>
        </w:tc>
      </w:tr>
      <w:tr w:rsidR="00DE3D9F" w:rsidRPr="001C785F" w14:paraId="6FEE69F9" w14:textId="77777777" w:rsidTr="00DE3D9F">
        <w:tc>
          <w:tcPr>
            <w:tcW w:w="5054" w:type="dxa"/>
            <w:tcBorders>
              <w:top w:val="nil"/>
              <w:bottom w:val="nil"/>
            </w:tcBorders>
            <w:shd w:val="clear" w:color="auto" w:fill="auto"/>
          </w:tcPr>
          <w:p w14:paraId="5EEA50AD" w14:textId="77777777" w:rsidR="00DE3D9F" w:rsidRPr="00E90634" w:rsidRDefault="00DE3D9F" w:rsidP="00E90634">
            <w:pPr>
              <w:spacing w:before="40" w:after="40" w:line="340" w:lineRule="exact"/>
              <w:ind w:left="108" w:right="113" w:firstLine="28"/>
              <w:textDirection w:val="tbRlV"/>
              <w:rPr>
                <w:rFonts w:ascii="Simplified Arabic" w:hAnsi="Simplified Arabic"/>
                <w:sz w:val="22"/>
                <w:lang w:val="ar-SA" w:eastAsia="zh-TW" w:bidi="en-GB"/>
              </w:rPr>
            </w:pPr>
            <w:r w:rsidRPr="00E90634">
              <w:rPr>
                <w:rFonts w:ascii="Simplified Arabic" w:hAnsi="Simplified Arabic"/>
                <w:sz w:val="22"/>
                <w:rtl/>
              </w:rPr>
              <w:t>حزب العدالة للشعب التايلاندي</w:t>
            </w:r>
          </w:p>
        </w:tc>
        <w:tc>
          <w:tcPr>
            <w:tcW w:w="1183" w:type="dxa"/>
            <w:tcBorders>
              <w:top w:val="nil"/>
              <w:bottom w:val="nil"/>
            </w:tcBorders>
            <w:shd w:val="clear" w:color="auto" w:fill="auto"/>
            <w:vAlign w:val="bottom"/>
          </w:tcPr>
          <w:p w14:paraId="5E25EC7D" w14:textId="77777777" w:rsidR="00DE3D9F" w:rsidRPr="00E90634" w:rsidRDefault="00DE3D9F" w:rsidP="00E90634">
            <w:pPr>
              <w:spacing w:before="40" w:after="40" w:line="340" w:lineRule="exact"/>
              <w:ind w:left="108" w:right="113" w:firstLine="432"/>
              <w:jc w:val="left"/>
              <w:textDirection w:val="tbRlV"/>
              <w:rPr>
                <w:rFonts w:ascii="Simplified Arabic" w:hAnsi="Simplified Arabic"/>
                <w:sz w:val="22"/>
                <w:lang w:val="ar-SA" w:eastAsia="zh-TW" w:bidi="en-GB"/>
              </w:rPr>
            </w:pPr>
            <w:r w:rsidRPr="00AF3116">
              <w:rPr>
                <w:rFonts w:ascii="Simplified Arabic" w:hAnsi="Simplified Arabic"/>
                <w:sz w:val="22"/>
                <w:rtl/>
              </w:rPr>
              <w:t>1</w:t>
            </w:r>
          </w:p>
        </w:tc>
      </w:tr>
      <w:tr w:rsidR="00DE3D9F" w:rsidRPr="001C785F" w14:paraId="6D6E34C3" w14:textId="77777777" w:rsidTr="00DE3D9F">
        <w:tc>
          <w:tcPr>
            <w:tcW w:w="5054" w:type="dxa"/>
            <w:tcBorders>
              <w:top w:val="nil"/>
              <w:bottom w:val="nil"/>
            </w:tcBorders>
            <w:shd w:val="clear" w:color="auto" w:fill="auto"/>
          </w:tcPr>
          <w:p w14:paraId="28646B3F" w14:textId="77777777" w:rsidR="00DE3D9F" w:rsidRPr="00FE57EB" w:rsidRDefault="00DE3D9F" w:rsidP="00E90634">
            <w:pPr>
              <w:spacing w:before="40" w:after="40" w:line="340" w:lineRule="exact"/>
              <w:ind w:left="108" w:right="113" w:firstLine="28"/>
              <w:textDirection w:val="tbRlV"/>
              <w:rPr>
                <w:rFonts w:ascii="Simplified Arabic" w:hAnsi="Simplified Arabic"/>
                <w:sz w:val="22"/>
                <w:lang w:eastAsia="zh-TW" w:bidi="en-GB"/>
              </w:rPr>
            </w:pPr>
            <w:r w:rsidRPr="00E90634">
              <w:rPr>
                <w:rFonts w:ascii="Simplified Arabic" w:hAnsi="Simplified Arabic"/>
                <w:sz w:val="22"/>
                <w:rtl/>
              </w:rPr>
              <w:t>حزب الإصلاح الشعبي</w:t>
            </w:r>
          </w:p>
        </w:tc>
        <w:tc>
          <w:tcPr>
            <w:tcW w:w="1183" w:type="dxa"/>
            <w:tcBorders>
              <w:top w:val="nil"/>
              <w:bottom w:val="nil"/>
            </w:tcBorders>
            <w:shd w:val="clear" w:color="auto" w:fill="auto"/>
            <w:vAlign w:val="bottom"/>
          </w:tcPr>
          <w:p w14:paraId="2F73180B" w14:textId="77777777" w:rsidR="00DE3D9F" w:rsidRPr="00E90634" w:rsidRDefault="00DE3D9F" w:rsidP="00E90634">
            <w:pPr>
              <w:spacing w:before="40" w:after="40" w:line="340" w:lineRule="exact"/>
              <w:ind w:left="108" w:right="113" w:firstLine="432"/>
              <w:jc w:val="left"/>
              <w:textDirection w:val="tbRlV"/>
              <w:rPr>
                <w:rFonts w:ascii="Simplified Arabic" w:hAnsi="Simplified Arabic"/>
                <w:sz w:val="22"/>
                <w:lang w:val="ar-SA" w:eastAsia="zh-TW" w:bidi="en-GB"/>
              </w:rPr>
            </w:pPr>
            <w:r w:rsidRPr="00AF3116">
              <w:rPr>
                <w:rFonts w:ascii="Simplified Arabic" w:hAnsi="Simplified Arabic"/>
                <w:sz w:val="22"/>
                <w:rtl/>
              </w:rPr>
              <w:t>1</w:t>
            </w:r>
          </w:p>
        </w:tc>
      </w:tr>
      <w:tr w:rsidR="00DE3D9F" w:rsidRPr="001C785F" w14:paraId="1B1F8A57" w14:textId="77777777" w:rsidTr="00DE3D9F">
        <w:tc>
          <w:tcPr>
            <w:tcW w:w="5054" w:type="dxa"/>
            <w:tcBorders>
              <w:top w:val="nil"/>
              <w:bottom w:val="nil"/>
            </w:tcBorders>
            <w:shd w:val="clear" w:color="auto" w:fill="auto"/>
          </w:tcPr>
          <w:p w14:paraId="37EB03B8" w14:textId="77777777" w:rsidR="00DE3D9F" w:rsidRPr="00E90634" w:rsidRDefault="00DE3D9F" w:rsidP="00E90634">
            <w:pPr>
              <w:spacing w:before="40" w:after="40" w:line="340" w:lineRule="exact"/>
              <w:ind w:left="108" w:right="113" w:firstLine="28"/>
              <w:textDirection w:val="tbRlV"/>
              <w:rPr>
                <w:rFonts w:ascii="Simplified Arabic" w:hAnsi="Simplified Arabic"/>
                <w:sz w:val="22"/>
                <w:lang w:val="ar-SA" w:eastAsia="zh-TW" w:bidi="en-GB"/>
              </w:rPr>
            </w:pPr>
            <w:r w:rsidRPr="00E90634">
              <w:rPr>
                <w:rFonts w:ascii="Simplified Arabic" w:hAnsi="Simplified Arabic"/>
                <w:sz w:val="22"/>
                <w:rtl/>
              </w:rPr>
              <w:t>حزب سلطة المواطنين التايلانديين</w:t>
            </w:r>
          </w:p>
        </w:tc>
        <w:tc>
          <w:tcPr>
            <w:tcW w:w="1183" w:type="dxa"/>
            <w:tcBorders>
              <w:top w:val="nil"/>
              <w:bottom w:val="nil"/>
            </w:tcBorders>
            <w:shd w:val="clear" w:color="auto" w:fill="auto"/>
            <w:vAlign w:val="bottom"/>
          </w:tcPr>
          <w:p w14:paraId="4DFA6C74" w14:textId="77777777" w:rsidR="00DE3D9F" w:rsidRPr="00E90634" w:rsidRDefault="00DE3D9F" w:rsidP="00E90634">
            <w:pPr>
              <w:spacing w:before="40" w:after="40" w:line="340" w:lineRule="exact"/>
              <w:ind w:left="108" w:right="113" w:firstLine="432"/>
              <w:jc w:val="left"/>
              <w:textDirection w:val="tbRlV"/>
              <w:rPr>
                <w:rFonts w:ascii="Simplified Arabic" w:hAnsi="Simplified Arabic"/>
                <w:sz w:val="22"/>
                <w:lang w:val="ar-SA" w:eastAsia="zh-TW" w:bidi="en-GB"/>
              </w:rPr>
            </w:pPr>
            <w:r w:rsidRPr="00AF3116">
              <w:rPr>
                <w:rFonts w:ascii="Simplified Arabic" w:hAnsi="Simplified Arabic"/>
                <w:sz w:val="22"/>
                <w:rtl/>
              </w:rPr>
              <w:t>1</w:t>
            </w:r>
          </w:p>
        </w:tc>
      </w:tr>
      <w:tr w:rsidR="00DE3D9F" w:rsidRPr="001C785F" w14:paraId="43706D2E" w14:textId="77777777" w:rsidTr="00DE3D9F">
        <w:tc>
          <w:tcPr>
            <w:tcW w:w="5054" w:type="dxa"/>
            <w:tcBorders>
              <w:top w:val="nil"/>
            </w:tcBorders>
            <w:shd w:val="clear" w:color="auto" w:fill="auto"/>
          </w:tcPr>
          <w:p w14:paraId="240AEA2C" w14:textId="77777777" w:rsidR="00DE3D9F" w:rsidRPr="00E90634" w:rsidRDefault="00DE3D9F" w:rsidP="00E90634">
            <w:pPr>
              <w:keepNext/>
              <w:keepLines/>
              <w:spacing w:before="40" w:after="40" w:line="340" w:lineRule="exact"/>
              <w:ind w:left="108" w:right="113" w:firstLine="28"/>
              <w:textDirection w:val="tbRlV"/>
              <w:rPr>
                <w:rFonts w:ascii="Simplified Arabic" w:hAnsi="Simplified Arabic"/>
                <w:sz w:val="22"/>
                <w:lang w:val="ar-SA" w:eastAsia="zh-TW" w:bidi="en-GB"/>
              </w:rPr>
            </w:pPr>
            <w:r w:rsidRPr="00E90634">
              <w:rPr>
                <w:rFonts w:ascii="Simplified Arabic" w:hAnsi="Simplified Arabic"/>
                <w:sz w:val="22"/>
                <w:rtl/>
              </w:rPr>
              <w:t>حزب الديمقراطية الجديدة</w:t>
            </w:r>
          </w:p>
        </w:tc>
        <w:tc>
          <w:tcPr>
            <w:tcW w:w="1183" w:type="dxa"/>
            <w:tcBorders>
              <w:top w:val="nil"/>
            </w:tcBorders>
            <w:shd w:val="clear" w:color="auto" w:fill="auto"/>
            <w:vAlign w:val="bottom"/>
          </w:tcPr>
          <w:p w14:paraId="51C66729" w14:textId="77777777" w:rsidR="00DE3D9F" w:rsidRPr="00E90634" w:rsidRDefault="00DE3D9F" w:rsidP="00E90634">
            <w:pPr>
              <w:keepNext/>
              <w:keepLines/>
              <w:spacing w:before="40" w:after="40" w:line="340" w:lineRule="exact"/>
              <w:ind w:left="108" w:right="113" w:firstLine="432"/>
              <w:jc w:val="left"/>
              <w:textDirection w:val="tbRlV"/>
              <w:rPr>
                <w:rFonts w:ascii="Simplified Arabic" w:hAnsi="Simplified Arabic"/>
                <w:sz w:val="22"/>
                <w:lang w:val="ar-SA" w:eastAsia="zh-TW" w:bidi="en-GB"/>
              </w:rPr>
            </w:pPr>
            <w:r w:rsidRPr="00AF3116">
              <w:rPr>
                <w:rFonts w:ascii="Simplified Arabic" w:hAnsi="Simplified Arabic"/>
                <w:sz w:val="22"/>
                <w:rtl/>
              </w:rPr>
              <w:t>1</w:t>
            </w:r>
          </w:p>
        </w:tc>
      </w:tr>
      <w:tr w:rsidR="00DE3D9F" w:rsidRPr="001C785F" w14:paraId="07A4959A" w14:textId="77777777" w:rsidTr="00DE3D9F">
        <w:tc>
          <w:tcPr>
            <w:tcW w:w="5054" w:type="dxa"/>
            <w:shd w:val="clear" w:color="auto" w:fill="auto"/>
          </w:tcPr>
          <w:p w14:paraId="4B195D05" w14:textId="77777777" w:rsidR="00DE3D9F" w:rsidRPr="00E90634" w:rsidRDefault="00DE3D9F" w:rsidP="00E90634">
            <w:pPr>
              <w:keepNext/>
              <w:keepLines/>
              <w:spacing w:before="40" w:after="40" w:line="340" w:lineRule="exact"/>
              <w:ind w:left="108" w:right="113" w:firstLine="28"/>
              <w:textDirection w:val="tbRlV"/>
              <w:rPr>
                <w:rFonts w:ascii="Simplified Arabic" w:hAnsi="Simplified Arabic"/>
                <w:sz w:val="22"/>
                <w:lang w:val="ar-SA" w:eastAsia="zh-TW" w:bidi="en-GB"/>
              </w:rPr>
            </w:pPr>
            <w:r w:rsidRPr="00E90634">
              <w:rPr>
                <w:rFonts w:ascii="Simplified Arabic" w:hAnsi="Simplified Arabic"/>
                <w:sz w:val="22"/>
                <w:rtl/>
              </w:rPr>
              <w:t xml:space="preserve">حزب </w:t>
            </w:r>
            <w:proofErr w:type="spellStart"/>
            <w:r w:rsidRPr="00E90634">
              <w:rPr>
                <w:rFonts w:ascii="Simplified Arabic" w:hAnsi="Simplified Arabic"/>
                <w:sz w:val="22"/>
                <w:rtl/>
              </w:rPr>
              <w:t>بالانغدارما</w:t>
            </w:r>
            <w:proofErr w:type="spellEnd"/>
            <w:r w:rsidRPr="00E90634">
              <w:rPr>
                <w:rFonts w:ascii="Simplified Arabic" w:hAnsi="Simplified Arabic"/>
                <w:sz w:val="22"/>
                <w:rtl/>
              </w:rPr>
              <w:t xml:space="preserve"> الجديد</w:t>
            </w:r>
          </w:p>
        </w:tc>
        <w:tc>
          <w:tcPr>
            <w:tcW w:w="1183" w:type="dxa"/>
            <w:shd w:val="clear" w:color="auto" w:fill="auto"/>
            <w:vAlign w:val="bottom"/>
          </w:tcPr>
          <w:p w14:paraId="27126475" w14:textId="77777777" w:rsidR="00DE3D9F" w:rsidRPr="00E90634" w:rsidRDefault="00DE3D9F" w:rsidP="00E90634">
            <w:pPr>
              <w:keepNext/>
              <w:keepLines/>
              <w:spacing w:before="40" w:after="40" w:line="340" w:lineRule="exact"/>
              <w:ind w:left="108" w:right="113" w:firstLine="432"/>
              <w:jc w:val="left"/>
              <w:textDirection w:val="tbRlV"/>
              <w:rPr>
                <w:rFonts w:ascii="Simplified Arabic" w:hAnsi="Simplified Arabic"/>
                <w:sz w:val="22"/>
                <w:lang w:val="ar-SA" w:eastAsia="zh-TW" w:bidi="en-GB"/>
              </w:rPr>
            </w:pPr>
            <w:r w:rsidRPr="00AF3116">
              <w:rPr>
                <w:rFonts w:ascii="Simplified Arabic" w:hAnsi="Simplified Arabic"/>
                <w:sz w:val="22"/>
                <w:rtl/>
              </w:rPr>
              <w:t>1</w:t>
            </w:r>
          </w:p>
        </w:tc>
      </w:tr>
    </w:tbl>
    <w:p w14:paraId="500BF828" w14:textId="77777777" w:rsidR="00DE3D9F" w:rsidRPr="00AF3116" w:rsidRDefault="00DE3D9F" w:rsidP="00DE3D9F">
      <w:pPr>
        <w:pStyle w:val="H23GA"/>
        <w:rPr>
          <w:lang w:val="ar-SA" w:eastAsia="zh-TW" w:bidi="en-GB"/>
        </w:rPr>
      </w:pPr>
      <w:r w:rsidRPr="00AF3116">
        <w:rPr>
          <w:rtl/>
        </w:rPr>
        <w:tab/>
      </w:r>
      <w:r w:rsidRPr="00AF3116">
        <w:rPr>
          <w:rtl/>
        </w:rPr>
        <w:tab/>
        <w:t>الجريمة وإقامة العدل</w:t>
      </w:r>
    </w:p>
    <w:p w14:paraId="763BEDBF" w14:textId="77777777" w:rsidR="00DE3D9F" w:rsidRPr="001B6C67" w:rsidRDefault="00DE3D9F" w:rsidP="00DE3D9F">
      <w:pPr>
        <w:pStyle w:val="SingleTxtGA"/>
        <w:rPr>
          <w:lang w:val="ar-SA" w:eastAsia="zh-TW" w:bidi="en-GB"/>
        </w:rPr>
      </w:pPr>
      <w:r w:rsidRPr="00AF3116">
        <w:rPr>
          <w:rtl/>
        </w:rPr>
        <w:t>60</w:t>
      </w:r>
      <w:r w:rsidRPr="001B6C67">
        <w:rPr>
          <w:rtl/>
        </w:rPr>
        <w:t>-</w:t>
      </w:r>
      <w:r w:rsidRPr="001B6C67">
        <w:rPr>
          <w:rtl/>
        </w:rPr>
        <w:tab/>
        <w:t xml:space="preserve">في عام </w:t>
      </w:r>
      <w:r w:rsidRPr="00AF3116">
        <w:rPr>
          <w:rtl/>
        </w:rPr>
        <w:t>2019</w:t>
      </w:r>
      <w:r w:rsidRPr="001B6C67">
        <w:rPr>
          <w:rtl/>
        </w:rPr>
        <w:t xml:space="preserve">، زادت القضايا الجنائية بنسبة </w:t>
      </w:r>
      <w:r w:rsidRPr="00AF3116">
        <w:rPr>
          <w:rtl/>
        </w:rPr>
        <w:t>23</w:t>
      </w:r>
      <w:r w:rsidRPr="001B6C67">
        <w:rPr>
          <w:rtl/>
        </w:rPr>
        <w:t xml:space="preserve"> في المائة عن العام السابق. ومن بين</w:t>
      </w:r>
      <w:r>
        <w:rPr>
          <w:rtl/>
        </w:rPr>
        <w:t xml:space="preserve"> </w:t>
      </w:r>
      <w:r w:rsidRPr="001B6C67">
        <w:rPr>
          <w:rtl/>
        </w:rPr>
        <w:t>ه</w:t>
      </w:r>
      <w:r>
        <w:rPr>
          <w:rtl/>
        </w:rPr>
        <w:t xml:space="preserve">ذه </w:t>
      </w:r>
      <w:r w:rsidRPr="001B6C67">
        <w:rPr>
          <w:rtl/>
        </w:rPr>
        <w:t>ا</w:t>
      </w:r>
      <w:r>
        <w:rPr>
          <w:rtl/>
        </w:rPr>
        <w:t>لقضايا الجنائية</w:t>
      </w:r>
      <w:r w:rsidRPr="001B6C67">
        <w:rPr>
          <w:rtl/>
        </w:rPr>
        <w:t xml:space="preserve">، زادت قضايا المخدرات وقضايا الجرائم المرتكبة ضد الممتلكات بنسبة </w:t>
      </w:r>
      <w:r w:rsidRPr="00AF3116">
        <w:rPr>
          <w:rtl/>
        </w:rPr>
        <w:t>27</w:t>
      </w:r>
      <w:r w:rsidRPr="001B6C67">
        <w:rPr>
          <w:rtl/>
        </w:rPr>
        <w:t>,</w:t>
      </w:r>
      <w:r w:rsidRPr="00AF3116">
        <w:rPr>
          <w:rtl/>
        </w:rPr>
        <w:t>7</w:t>
      </w:r>
      <w:r w:rsidRPr="001B6C67">
        <w:rPr>
          <w:rtl/>
        </w:rPr>
        <w:t xml:space="preserve"> في المائة و</w:t>
      </w:r>
      <w:r w:rsidRPr="00AF3116">
        <w:rPr>
          <w:rtl/>
        </w:rPr>
        <w:t>4</w:t>
      </w:r>
      <w:r w:rsidRPr="001B6C67">
        <w:rPr>
          <w:rtl/>
        </w:rPr>
        <w:t>,</w:t>
      </w:r>
      <w:r w:rsidRPr="00AF3116">
        <w:rPr>
          <w:rtl/>
        </w:rPr>
        <w:t>3</w:t>
      </w:r>
      <w:r w:rsidRPr="001B6C67">
        <w:rPr>
          <w:rtl/>
        </w:rPr>
        <w:t xml:space="preserve"> في المائة، على التوالي. غير أن الجرائم المرتكبة ضد الحياة والجسم والاعتداءات الجنسية انخفضت بنسبة </w:t>
      </w:r>
      <w:r w:rsidRPr="00AF3116">
        <w:rPr>
          <w:rtl/>
        </w:rPr>
        <w:t>6</w:t>
      </w:r>
      <w:r w:rsidRPr="001B6C67">
        <w:rPr>
          <w:rtl/>
        </w:rPr>
        <w:t>,</w:t>
      </w:r>
      <w:r w:rsidRPr="00AF3116">
        <w:rPr>
          <w:rtl/>
        </w:rPr>
        <w:t>1</w:t>
      </w:r>
      <w:r w:rsidRPr="001B6C67">
        <w:rPr>
          <w:rtl/>
        </w:rPr>
        <w:t xml:space="preserve"> في المائة. وتستند الأرقام الواردة في الجداول التالية إلى البيانات المتاحة في آذار/مارس </w:t>
      </w:r>
      <w:r w:rsidRPr="00AF3116">
        <w:rPr>
          <w:rtl/>
        </w:rPr>
        <w:t>2019</w:t>
      </w:r>
      <w:r w:rsidRPr="001B6C67">
        <w:rPr>
          <w:rtl/>
        </w:rPr>
        <w:t>.</w:t>
      </w:r>
    </w:p>
    <w:tbl>
      <w:tblPr>
        <w:bidiVisual/>
        <w:tblW w:w="7567"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043"/>
        <w:gridCol w:w="1568"/>
        <w:gridCol w:w="714"/>
        <w:gridCol w:w="728"/>
        <w:gridCol w:w="208"/>
        <w:gridCol w:w="603"/>
        <w:gridCol w:w="703"/>
      </w:tblGrid>
      <w:tr w:rsidR="00DE3D9F" w:rsidRPr="00E90634" w14:paraId="18040E4F" w14:textId="77777777" w:rsidTr="003B756C">
        <w:trPr>
          <w:tblHeader/>
        </w:trPr>
        <w:tc>
          <w:tcPr>
            <w:tcW w:w="3043" w:type="dxa"/>
            <w:tcBorders>
              <w:top w:val="single" w:sz="4" w:space="0" w:color="auto"/>
              <w:bottom w:val="single" w:sz="4" w:space="0" w:color="auto"/>
            </w:tcBorders>
            <w:shd w:val="clear" w:color="auto" w:fill="auto"/>
            <w:vAlign w:val="bottom"/>
          </w:tcPr>
          <w:p w14:paraId="741CA2B5" w14:textId="77777777" w:rsidR="00DE3D9F" w:rsidRPr="00E90634" w:rsidRDefault="00DE3D9F" w:rsidP="003B756C">
            <w:pPr>
              <w:spacing w:before="80" w:after="80" w:line="320" w:lineRule="exact"/>
              <w:ind w:left="57" w:right="57"/>
              <w:textDirection w:val="tbRlV"/>
              <w:rPr>
                <w:rFonts w:ascii="Simplified Arabic" w:hAnsi="Simplified Arabic"/>
                <w:i/>
                <w:iCs/>
                <w:szCs w:val="20"/>
                <w:highlight w:val="cyan"/>
                <w:lang w:val="ar-SA" w:eastAsia="zh-TW" w:bidi="en-GB"/>
              </w:rPr>
            </w:pPr>
            <w:r w:rsidRPr="00AF3116">
              <w:rPr>
                <w:rFonts w:ascii="Simplified Arabic" w:hAnsi="Simplified Arabic"/>
                <w:i/>
                <w:iCs/>
                <w:szCs w:val="20"/>
                <w:rtl/>
              </w:rPr>
              <w:t>حالات الوفاة من جراء العنف والجرائم المهددة للحياة، والجرائم المرتكبة ضد الجسم، والجرائم الجنسية المبلغ عنها لكل 000 100 شخص</w:t>
            </w:r>
          </w:p>
        </w:tc>
        <w:tc>
          <w:tcPr>
            <w:tcW w:w="4524" w:type="dxa"/>
            <w:gridSpan w:val="6"/>
            <w:tcBorders>
              <w:top w:val="single" w:sz="4" w:space="0" w:color="auto"/>
              <w:bottom w:val="single" w:sz="4" w:space="0" w:color="auto"/>
            </w:tcBorders>
            <w:shd w:val="clear" w:color="auto" w:fill="auto"/>
            <w:vAlign w:val="bottom"/>
          </w:tcPr>
          <w:p w14:paraId="099AF05E" w14:textId="77777777" w:rsidR="00DE3D9F" w:rsidRPr="00AF3116" w:rsidRDefault="00DE3D9F" w:rsidP="003B756C">
            <w:pPr>
              <w:spacing w:before="80" w:after="80" w:line="320" w:lineRule="exact"/>
              <w:ind w:left="57" w:right="57"/>
              <w:jc w:val="right"/>
              <w:textDirection w:val="tbRlV"/>
              <w:rPr>
                <w:rFonts w:ascii="Simplified Arabic" w:hAnsi="Simplified Arabic"/>
                <w:i/>
                <w:iCs/>
                <w:szCs w:val="20"/>
                <w:cs/>
                <w:lang w:val="ar-SA" w:eastAsia="zh-TW" w:bidi="en-GB"/>
              </w:rPr>
            </w:pPr>
            <w:r w:rsidRPr="00AF3116">
              <w:rPr>
                <w:rFonts w:ascii="Simplified Arabic" w:hAnsi="Simplified Arabic"/>
                <w:i/>
                <w:iCs/>
                <w:szCs w:val="20"/>
                <w:rtl/>
              </w:rPr>
              <w:t>6</w:t>
            </w:r>
            <w:r w:rsidRPr="00E90634">
              <w:rPr>
                <w:rFonts w:ascii="Simplified Arabic" w:hAnsi="Simplified Arabic"/>
                <w:i/>
                <w:iCs/>
                <w:szCs w:val="20"/>
                <w:rtl/>
              </w:rPr>
              <w:t>,</w:t>
            </w:r>
            <w:r w:rsidRPr="00AF3116">
              <w:rPr>
                <w:rFonts w:ascii="Simplified Arabic" w:hAnsi="Simplified Arabic"/>
                <w:i/>
                <w:iCs/>
                <w:szCs w:val="20"/>
                <w:rtl/>
              </w:rPr>
              <w:t>98</w:t>
            </w:r>
          </w:p>
        </w:tc>
      </w:tr>
      <w:tr w:rsidR="00DE3D9F" w:rsidRPr="00E90634" w14:paraId="4BA21A33" w14:textId="77777777" w:rsidTr="003B756C">
        <w:tc>
          <w:tcPr>
            <w:tcW w:w="3043" w:type="dxa"/>
            <w:vMerge w:val="restart"/>
            <w:tcBorders>
              <w:top w:val="single" w:sz="4" w:space="0" w:color="auto"/>
              <w:bottom w:val="single" w:sz="12" w:space="0" w:color="auto"/>
            </w:tcBorders>
            <w:shd w:val="clear" w:color="auto" w:fill="auto"/>
          </w:tcPr>
          <w:p w14:paraId="6EA59D1A" w14:textId="77777777" w:rsidR="00DE3D9F" w:rsidRPr="00E90634" w:rsidRDefault="00DE3D9F" w:rsidP="003B756C">
            <w:pPr>
              <w:spacing w:before="40" w:after="40" w:line="320" w:lineRule="exact"/>
              <w:ind w:left="57" w:right="57"/>
              <w:textDirection w:val="tbRlV"/>
              <w:rPr>
                <w:rFonts w:ascii="Simplified Arabic" w:hAnsi="Simplified Arabic"/>
                <w:szCs w:val="20"/>
                <w:lang w:eastAsia="zh-TW" w:bidi="en-GB"/>
              </w:rPr>
            </w:pPr>
            <w:r w:rsidRPr="00E90634">
              <w:rPr>
                <w:rFonts w:ascii="Simplified Arabic" w:hAnsi="Simplified Arabic"/>
                <w:szCs w:val="20"/>
                <w:rtl/>
              </w:rPr>
              <w:t xml:space="preserve">عدد ومعدل الأشخاص (لكل </w:t>
            </w:r>
            <w:r w:rsidRPr="00AF3116">
              <w:rPr>
                <w:rFonts w:ascii="Simplified Arabic" w:hAnsi="Simplified Arabic"/>
                <w:szCs w:val="20"/>
                <w:rtl/>
              </w:rPr>
              <w:t>000</w:t>
            </w:r>
            <w:r w:rsidRPr="00E90634">
              <w:rPr>
                <w:rFonts w:ascii="Simplified Arabic" w:hAnsi="Simplified Arabic"/>
                <w:szCs w:val="20"/>
                <w:rtl/>
              </w:rPr>
              <w:t xml:space="preserve"> </w:t>
            </w:r>
            <w:r w:rsidRPr="00AF3116">
              <w:rPr>
                <w:rFonts w:ascii="Simplified Arabic" w:hAnsi="Simplified Arabic"/>
                <w:szCs w:val="20"/>
                <w:rtl/>
              </w:rPr>
              <w:t>100</w:t>
            </w:r>
            <w:r w:rsidRPr="00E90634">
              <w:rPr>
                <w:rFonts w:ascii="Simplified Arabic" w:hAnsi="Simplified Arabic"/>
                <w:szCs w:val="20"/>
                <w:rtl/>
              </w:rPr>
              <w:t xml:space="preserve"> شخص) الذين اعتُقِلوا/قُدِّموا أمام المحكمة بتهمة ارتكاب جرائم عنيفة أو غيرها من الجرائم الخطيرة (مثل القتل والسرقة والاعتداء والاتجار).</w:t>
            </w:r>
          </w:p>
        </w:tc>
        <w:tc>
          <w:tcPr>
            <w:tcW w:w="1568" w:type="dxa"/>
            <w:vMerge w:val="restart"/>
            <w:tcBorders>
              <w:top w:val="single" w:sz="4" w:space="0" w:color="auto"/>
              <w:bottom w:val="nil"/>
            </w:tcBorders>
            <w:shd w:val="clear" w:color="auto" w:fill="auto"/>
            <w:vAlign w:val="bottom"/>
          </w:tcPr>
          <w:p w14:paraId="6288D552" w14:textId="263277D9" w:rsidR="00DE3D9F" w:rsidRPr="00E90634" w:rsidRDefault="00FE57EB" w:rsidP="003B756C">
            <w:pPr>
              <w:spacing w:before="80" w:after="80" w:line="320" w:lineRule="exact"/>
              <w:ind w:left="57" w:right="57"/>
              <w:textDirection w:val="tbRlV"/>
              <w:rPr>
                <w:rFonts w:ascii="Simplified Arabic" w:hAnsi="Simplified Arabic"/>
                <w:i/>
                <w:iCs/>
                <w:szCs w:val="20"/>
                <w:lang w:val="ar-SA" w:eastAsia="zh-TW" w:bidi="en-GB"/>
              </w:rPr>
            </w:pPr>
            <w:r w:rsidRPr="00AF3116">
              <w:rPr>
                <w:rFonts w:ascii="Simplified Arabic" w:hAnsi="Simplified Arabic" w:hint="cs"/>
                <w:i/>
                <w:iCs/>
                <w:szCs w:val="20"/>
                <w:rtl/>
              </w:rPr>
              <w:t xml:space="preserve"> </w:t>
            </w:r>
            <w:r w:rsidR="00DE3D9F" w:rsidRPr="00AF3116">
              <w:rPr>
                <w:rFonts w:ascii="Simplified Arabic" w:hAnsi="Simplified Arabic"/>
                <w:i/>
                <w:iCs/>
                <w:szCs w:val="20"/>
                <w:rtl/>
              </w:rPr>
              <w:t>الجرائم</w:t>
            </w:r>
          </w:p>
        </w:tc>
        <w:tc>
          <w:tcPr>
            <w:tcW w:w="1650" w:type="dxa"/>
            <w:gridSpan w:val="3"/>
            <w:tcBorders>
              <w:top w:val="single" w:sz="4" w:space="0" w:color="auto"/>
              <w:bottom w:val="single" w:sz="4" w:space="0" w:color="auto"/>
              <w:right w:val="single" w:sz="24" w:space="0" w:color="FFFFFF" w:themeColor="background1"/>
            </w:tcBorders>
            <w:shd w:val="clear" w:color="auto" w:fill="auto"/>
            <w:vAlign w:val="bottom"/>
          </w:tcPr>
          <w:p w14:paraId="366C93C4" w14:textId="77777777" w:rsidR="00DE3D9F" w:rsidRPr="00E90634" w:rsidRDefault="00DE3D9F" w:rsidP="003B756C">
            <w:pPr>
              <w:spacing w:before="80" w:after="80" w:line="320" w:lineRule="exact"/>
              <w:ind w:left="57" w:right="57"/>
              <w:jc w:val="right"/>
              <w:textDirection w:val="tbRlV"/>
              <w:rPr>
                <w:rFonts w:ascii="Simplified Arabic" w:hAnsi="Simplified Arabic"/>
                <w:i/>
                <w:iCs/>
                <w:szCs w:val="20"/>
                <w:lang w:val="ar-SA" w:eastAsia="zh-TW" w:bidi="en-GB"/>
              </w:rPr>
            </w:pPr>
            <w:r w:rsidRPr="00AF3116">
              <w:rPr>
                <w:rFonts w:ascii="Simplified Arabic" w:hAnsi="Simplified Arabic"/>
                <w:i/>
                <w:iCs/>
                <w:szCs w:val="20"/>
                <w:rtl/>
              </w:rPr>
              <w:t>المؤكدة</w:t>
            </w:r>
          </w:p>
        </w:tc>
        <w:tc>
          <w:tcPr>
            <w:tcW w:w="1306" w:type="dxa"/>
            <w:gridSpan w:val="2"/>
            <w:tcBorders>
              <w:top w:val="single" w:sz="4" w:space="0" w:color="auto"/>
              <w:left w:val="single" w:sz="24" w:space="0" w:color="FFFFFF" w:themeColor="background1"/>
              <w:bottom w:val="single" w:sz="4" w:space="0" w:color="auto"/>
            </w:tcBorders>
            <w:shd w:val="clear" w:color="auto" w:fill="auto"/>
            <w:vAlign w:val="bottom"/>
          </w:tcPr>
          <w:p w14:paraId="7E6D8C08" w14:textId="77777777" w:rsidR="00DE3D9F" w:rsidRPr="00AF3116" w:rsidRDefault="00DE3D9F" w:rsidP="003B756C">
            <w:pPr>
              <w:spacing w:before="80" w:after="80" w:line="320" w:lineRule="exact"/>
              <w:ind w:left="57" w:right="57"/>
              <w:jc w:val="right"/>
              <w:textDirection w:val="tbRlV"/>
              <w:rPr>
                <w:rFonts w:ascii="Simplified Arabic" w:hAnsi="Simplified Arabic"/>
                <w:i/>
                <w:iCs/>
                <w:szCs w:val="20"/>
                <w:lang w:val="ar-SA" w:eastAsia="zh-TW" w:bidi="en-GB"/>
              </w:rPr>
            </w:pPr>
            <w:r w:rsidRPr="00AF3116">
              <w:rPr>
                <w:rFonts w:ascii="Simplified Arabic" w:hAnsi="Simplified Arabic"/>
                <w:i/>
                <w:iCs/>
                <w:szCs w:val="20"/>
                <w:rtl/>
              </w:rPr>
              <w:t>المحاكمة</w:t>
            </w:r>
          </w:p>
        </w:tc>
      </w:tr>
      <w:tr w:rsidR="00DE3D9F" w:rsidRPr="00E90634" w14:paraId="7E5617AD" w14:textId="77777777" w:rsidTr="003B756C">
        <w:tc>
          <w:tcPr>
            <w:tcW w:w="3043" w:type="dxa"/>
            <w:vMerge/>
            <w:tcBorders>
              <w:top w:val="nil"/>
              <w:bottom w:val="single" w:sz="12" w:space="0" w:color="auto"/>
            </w:tcBorders>
            <w:shd w:val="clear" w:color="auto" w:fill="auto"/>
          </w:tcPr>
          <w:p w14:paraId="24D3E3C8" w14:textId="77777777" w:rsidR="00DE3D9F" w:rsidRPr="00E90634" w:rsidRDefault="00DE3D9F" w:rsidP="003B756C">
            <w:pPr>
              <w:spacing w:before="40" w:after="40" w:line="320" w:lineRule="exact"/>
              <w:ind w:left="57" w:right="57"/>
              <w:rPr>
                <w:rFonts w:ascii="Simplified Arabic" w:hAnsi="Simplified Arabic"/>
                <w:szCs w:val="20"/>
              </w:rPr>
            </w:pPr>
          </w:p>
        </w:tc>
        <w:tc>
          <w:tcPr>
            <w:tcW w:w="1568" w:type="dxa"/>
            <w:vMerge/>
            <w:tcBorders>
              <w:top w:val="nil"/>
              <w:bottom w:val="single" w:sz="12" w:space="0" w:color="auto"/>
            </w:tcBorders>
            <w:shd w:val="clear" w:color="auto" w:fill="auto"/>
            <w:vAlign w:val="bottom"/>
          </w:tcPr>
          <w:p w14:paraId="6FD62D8B" w14:textId="77777777" w:rsidR="00DE3D9F" w:rsidRPr="00E90634" w:rsidRDefault="00DE3D9F" w:rsidP="003B756C">
            <w:pPr>
              <w:spacing w:before="80" w:after="80" w:line="320" w:lineRule="exact"/>
              <w:ind w:left="57" w:right="57"/>
              <w:jc w:val="right"/>
              <w:rPr>
                <w:rFonts w:ascii="Simplified Arabic" w:hAnsi="Simplified Arabic"/>
                <w:i/>
                <w:iCs/>
                <w:szCs w:val="20"/>
              </w:rPr>
            </w:pPr>
          </w:p>
        </w:tc>
        <w:tc>
          <w:tcPr>
            <w:tcW w:w="714" w:type="dxa"/>
            <w:tcBorders>
              <w:top w:val="single" w:sz="4" w:space="0" w:color="auto"/>
              <w:bottom w:val="single" w:sz="12" w:space="0" w:color="auto"/>
            </w:tcBorders>
            <w:shd w:val="clear" w:color="auto" w:fill="auto"/>
            <w:vAlign w:val="bottom"/>
          </w:tcPr>
          <w:p w14:paraId="069E2F0D" w14:textId="5E2E8ACE" w:rsidR="00DE3D9F" w:rsidRPr="00E90634" w:rsidRDefault="00E85C72" w:rsidP="003B756C">
            <w:pPr>
              <w:spacing w:before="80" w:after="80" w:line="320" w:lineRule="exact"/>
              <w:ind w:left="57" w:right="57"/>
              <w:jc w:val="left"/>
              <w:textDirection w:val="tbRlV"/>
              <w:rPr>
                <w:rFonts w:ascii="Simplified Arabic" w:hAnsi="Simplified Arabic"/>
                <w:i/>
                <w:iCs/>
                <w:szCs w:val="20"/>
                <w:lang w:val="ar-SA" w:eastAsia="zh-TW" w:bidi="en-GB"/>
              </w:rPr>
            </w:pPr>
            <w:r w:rsidRPr="00AF3116">
              <w:rPr>
                <w:rFonts w:ascii="Simplified Arabic" w:hAnsi="Simplified Arabic" w:hint="cs"/>
                <w:i/>
                <w:iCs/>
                <w:szCs w:val="20"/>
                <w:rtl/>
              </w:rPr>
              <w:t xml:space="preserve"> </w:t>
            </w:r>
            <w:r w:rsidR="00DE3D9F" w:rsidRPr="00AF3116">
              <w:rPr>
                <w:rFonts w:ascii="Simplified Arabic" w:hAnsi="Simplified Arabic"/>
                <w:i/>
                <w:iCs/>
                <w:szCs w:val="20"/>
                <w:rtl/>
              </w:rPr>
              <w:t>العدد</w:t>
            </w:r>
          </w:p>
        </w:tc>
        <w:tc>
          <w:tcPr>
            <w:tcW w:w="728" w:type="dxa"/>
            <w:tcBorders>
              <w:top w:val="single" w:sz="4" w:space="0" w:color="auto"/>
              <w:bottom w:val="single" w:sz="12" w:space="0" w:color="auto"/>
              <w:right w:val="single" w:sz="24" w:space="0" w:color="FFFFFF" w:themeColor="background1"/>
            </w:tcBorders>
            <w:shd w:val="clear" w:color="auto" w:fill="auto"/>
            <w:vAlign w:val="bottom"/>
          </w:tcPr>
          <w:p w14:paraId="7D7FBB71" w14:textId="77777777" w:rsidR="00DE3D9F" w:rsidRPr="00E90634" w:rsidRDefault="00DE3D9F" w:rsidP="003B756C">
            <w:pPr>
              <w:spacing w:before="80" w:after="80" w:line="320" w:lineRule="exact"/>
              <w:ind w:left="57" w:right="57"/>
              <w:jc w:val="left"/>
              <w:textDirection w:val="tbRlV"/>
              <w:rPr>
                <w:rFonts w:ascii="Simplified Arabic" w:hAnsi="Simplified Arabic"/>
                <w:i/>
                <w:iCs/>
                <w:szCs w:val="20"/>
                <w:lang w:val="ar-SA" w:eastAsia="zh-TW" w:bidi="en-GB"/>
              </w:rPr>
            </w:pPr>
            <w:r w:rsidRPr="00AF3116">
              <w:rPr>
                <w:rFonts w:ascii="Simplified Arabic" w:hAnsi="Simplified Arabic"/>
                <w:i/>
                <w:iCs/>
                <w:szCs w:val="20"/>
                <w:rtl/>
              </w:rPr>
              <w:t>المعدل</w:t>
            </w:r>
          </w:p>
        </w:tc>
        <w:tc>
          <w:tcPr>
            <w:tcW w:w="811" w:type="dxa"/>
            <w:gridSpan w:val="2"/>
            <w:tcBorders>
              <w:top w:val="single" w:sz="4" w:space="0" w:color="auto"/>
              <w:left w:val="single" w:sz="24" w:space="0" w:color="FFFFFF" w:themeColor="background1"/>
              <w:bottom w:val="single" w:sz="12" w:space="0" w:color="auto"/>
            </w:tcBorders>
            <w:shd w:val="clear" w:color="auto" w:fill="auto"/>
            <w:vAlign w:val="bottom"/>
          </w:tcPr>
          <w:p w14:paraId="2846E752" w14:textId="0F22F0EB" w:rsidR="00DE3D9F" w:rsidRPr="00E85C72" w:rsidRDefault="00E85C72" w:rsidP="003B756C">
            <w:pPr>
              <w:spacing w:before="80" w:after="80" w:line="320" w:lineRule="exact"/>
              <w:ind w:left="57" w:right="57"/>
              <w:jc w:val="left"/>
              <w:textDirection w:val="tbRlV"/>
              <w:rPr>
                <w:rFonts w:ascii="Simplified Arabic" w:hAnsi="Simplified Arabic"/>
                <w:i/>
                <w:iCs/>
                <w:szCs w:val="20"/>
                <w:lang w:eastAsia="zh-TW" w:bidi="en-GB"/>
              </w:rPr>
            </w:pPr>
            <w:r w:rsidRPr="00AF3116">
              <w:rPr>
                <w:rFonts w:ascii="Simplified Arabic" w:hAnsi="Simplified Arabic" w:hint="cs"/>
                <w:i/>
                <w:iCs/>
                <w:szCs w:val="20"/>
                <w:rtl/>
              </w:rPr>
              <w:t xml:space="preserve"> </w:t>
            </w:r>
            <w:r w:rsidR="00DE3D9F" w:rsidRPr="00AF3116">
              <w:rPr>
                <w:rFonts w:ascii="Simplified Arabic" w:hAnsi="Simplified Arabic"/>
                <w:i/>
                <w:iCs/>
                <w:szCs w:val="20"/>
                <w:rtl/>
              </w:rPr>
              <w:t>العدد</w:t>
            </w:r>
          </w:p>
        </w:tc>
        <w:tc>
          <w:tcPr>
            <w:tcW w:w="703" w:type="dxa"/>
            <w:tcBorders>
              <w:top w:val="single" w:sz="4" w:space="0" w:color="auto"/>
              <w:bottom w:val="single" w:sz="12" w:space="0" w:color="auto"/>
            </w:tcBorders>
            <w:shd w:val="clear" w:color="auto" w:fill="auto"/>
            <w:vAlign w:val="bottom"/>
          </w:tcPr>
          <w:p w14:paraId="432505A3" w14:textId="77777777" w:rsidR="00DE3D9F" w:rsidRPr="00AF3116" w:rsidRDefault="00DE3D9F" w:rsidP="003B756C">
            <w:pPr>
              <w:spacing w:before="80" w:after="80" w:line="320" w:lineRule="exact"/>
              <w:ind w:left="57" w:right="57"/>
              <w:jc w:val="right"/>
              <w:textDirection w:val="tbRlV"/>
              <w:rPr>
                <w:rFonts w:ascii="Simplified Arabic" w:hAnsi="Simplified Arabic"/>
                <w:i/>
                <w:iCs/>
                <w:szCs w:val="20"/>
                <w:lang w:val="ar-SA" w:eastAsia="zh-TW" w:bidi="en-GB"/>
              </w:rPr>
            </w:pPr>
            <w:r w:rsidRPr="00AF3116">
              <w:rPr>
                <w:rFonts w:ascii="Simplified Arabic" w:hAnsi="Simplified Arabic"/>
                <w:i/>
                <w:iCs/>
                <w:szCs w:val="20"/>
                <w:rtl/>
              </w:rPr>
              <w:t>المعدل</w:t>
            </w:r>
          </w:p>
        </w:tc>
      </w:tr>
      <w:tr w:rsidR="00DE3D9F" w:rsidRPr="00E90634" w14:paraId="4CCAC4BC" w14:textId="77777777" w:rsidTr="003B756C">
        <w:tc>
          <w:tcPr>
            <w:tcW w:w="3043" w:type="dxa"/>
            <w:vMerge/>
            <w:tcBorders>
              <w:top w:val="nil"/>
              <w:bottom w:val="single" w:sz="12" w:space="0" w:color="auto"/>
            </w:tcBorders>
            <w:shd w:val="clear" w:color="auto" w:fill="auto"/>
          </w:tcPr>
          <w:p w14:paraId="47D74367" w14:textId="77777777" w:rsidR="00DE3D9F" w:rsidRPr="00E90634" w:rsidRDefault="00DE3D9F" w:rsidP="003B756C">
            <w:pPr>
              <w:spacing w:before="40" w:after="40" w:line="320" w:lineRule="exact"/>
              <w:ind w:left="57" w:right="57"/>
              <w:rPr>
                <w:rFonts w:ascii="Simplified Arabic" w:hAnsi="Simplified Arabic"/>
                <w:szCs w:val="20"/>
              </w:rPr>
            </w:pPr>
          </w:p>
        </w:tc>
        <w:tc>
          <w:tcPr>
            <w:tcW w:w="1568" w:type="dxa"/>
            <w:tcBorders>
              <w:top w:val="single" w:sz="12" w:space="0" w:color="auto"/>
            </w:tcBorders>
            <w:shd w:val="clear" w:color="auto" w:fill="auto"/>
            <w:vAlign w:val="bottom"/>
          </w:tcPr>
          <w:p w14:paraId="2841B47D"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eastAsia="zh-TW" w:bidi="en-GB"/>
              </w:rPr>
            </w:pPr>
            <w:r w:rsidRPr="00E90634">
              <w:rPr>
                <w:rFonts w:ascii="Simplified Arabic" w:hAnsi="Simplified Arabic"/>
                <w:szCs w:val="20"/>
                <w:rtl/>
              </w:rPr>
              <w:t>الحرق عمداً</w:t>
            </w:r>
          </w:p>
        </w:tc>
        <w:tc>
          <w:tcPr>
            <w:tcW w:w="714" w:type="dxa"/>
            <w:tcBorders>
              <w:top w:val="single" w:sz="12" w:space="0" w:color="auto"/>
            </w:tcBorders>
            <w:shd w:val="clear" w:color="auto" w:fill="auto"/>
            <w:vAlign w:val="bottom"/>
          </w:tcPr>
          <w:p w14:paraId="7BB5F2BA"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AF3116">
              <w:rPr>
                <w:rFonts w:ascii="Simplified Arabic" w:hAnsi="Simplified Arabic"/>
                <w:szCs w:val="20"/>
                <w:rtl/>
              </w:rPr>
              <w:t>317</w:t>
            </w:r>
          </w:p>
        </w:tc>
        <w:tc>
          <w:tcPr>
            <w:tcW w:w="728" w:type="dxa"/>
            <w:tcBorders>
              <w:top w:val="single" w:sz="12" w:space="0" w:color="auto"/>
            </w:tcBorders>
            <w:shd w:val="clear" w:color="auto" w:fill="auto"/>
            <w:vAlign w:val="bottom"/>
          </w:tcPr>
          <w:p w14:paraId="0E2DC92D"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AF3116">
              <w:rPr>
                <w:rFonts w:ascii="Simplified Arabic" w:hAnsi="Simplified Arabic"/>
                <w:szCs w:val="20"/>
                <w:rtl/>
              </w:rPr>
              <w:t>0</w:t>
            </w:r>
            <w:r w:rsidRPr="00E90634">
              <w:rPr>
                <w:rFonts w:ascii="Simplified Arabic" w:hAnsi="Simplified Arabic"/>
                <w:szCs w:val="20"/>
                <w:rtl/>
              </w:rPr>
              <w:t>,</w:t>
            </w:r>
            <w:r w:rsidRPr="00AF3116">
              <w:rPr>
                <w:rFonts w:ascii="Simplified Arabic" w:hAnsi="Simplified Arabic"/>
                <w:szCs w:val="20"/>
                <w:rtl/>
              </w:rPr>
              <w:t>55</w:t>
            </w:r>
          </w:p>
        </w:tc>
        <w:tc>
          <w:tcPr>
            <w:tcW w:w="811" w:type="dxa"/>
            <w:gridSpan w:val="2"/>
            <w:tcBorders>
              <w:top w:val="single" w:sz="12" w:space="0" w:color="auto"/>
            </w:tcBorders>
            <w:shd w:val="clear" w:color="auto" w:fill="auto"/>
            <w:vAlign w:val="bottom"/>
          </w:tcPr>
          <w:p w14:paraId="0D8B83B7"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AF3116">
              <w:rPr>
                <w:rFonts w:ascii="Simplified Arabic" w:hAnsi="Simplified Arabic"/>
                <w:szCs w:val="20"/>
                <w:rtl/>
              </w:rPr>
              <w:t>594</w:t>
            </w:r>
          </w:p>
        </w:tc>
        <w:tc>
          <w:tcPr>
            <w:tcW w:w="703" w:type="dxa"/>
            <w:tcBorders>
              <w:top w:val="single" w:sz="12" w:space="0" w:color="auto"/>
            </w:tcBorders>
            <w:shd w:val="clear" w:color="auto" w:fill="auto"/>
            <w:vAlign w:val="bottom"/>
          </w:tcPr>
          <w:p w14:paraId="3C48B815"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AF3116">
              <w:rPr>
                <w:rFonts w:ascii="Simplified Arabic" w:hAnsi="Simplified Arabic"/>
                <w:szCs w:val="20"/>
                <w:rtl/>
              </w:rPr>
              <w:t>0</w:t>
            </w:r>
            <w:r w:rsidRPr="00E90634">
              <w:rPr>
                <w:rFonts w:ascii="Simplified Arabic" w:hAnsi="Simplified Arabic"/>
                <w:szCs w:val="20"/>
                <w:rtl/>
              </w:rPr>
              <w:t>,</w:t>
            </w:r>
            <w:r w:rsidRPr="00AF3116">
              <w:rPr>
                <w:rFonts w:ascii="Simplified Arabic" w:hAnsi="Simplified Arabic"/>
                <w:szCs w:val="20"/>
                <w:rtl/>
              </w:rPr>
              <w:t>89</w:t>
            </w:r>
          </w:p>
        </w:tc>
      </w:tr>
      <w:tr w:rsidR="00DE3D9F" w:rsidRPr="00E90634" w14:paraId="65C30379" w14:textId="77777777" w:rsidTr="003B756C">
        <w:tc>
          <w:tcPr>
            <w:tcW w:w="3043" w:type="dxa"/>
            <w:vMerge/>
            <w:tcBorders>
              <w:top w:val="nil"/>
              <w:bottom w:val="single" w:sz="12" w:space="0" w:color="auto"/>
            </w:tcBorders>
            <w:shd w:val="clear" w:color="auto" w:fill="auto"/>
          </w:tcPr>
          <w:p w14:paraId="19EA489A" w14:textId="77777777" w:rsidR="00DE3D9F" w:rsidRPr="00E90634" w:rsidRDefault="00DE3D9F" w:rsidP="003B756C">
            <w:pPr>
              <w:spacing w:before="40" w:after="40" w:line="320" w:lineRule="exact"/>
              <w:ind w:left="57" w:right="57"/>
              <w:rPr>
                <w:rFonts w:ascii="Simplified Arabic" w:hAnsi="Simplified Arabic"/>
                <w:szCs w:val="20"/>
              </w:rPr>
            </w:pPr>
          </w:p>
        </w:tc>
        <w:tc>
          <w:tcPr>
            <w:tcW w:w="1568" w:type="dxa"/>
            <w:shd w:val="clear" w:color="auto" w:fill="auto"/>
            <w:vAlign w:val="bottom"/>
          </w:tcPr>
          <w:p w14:paraId="4BEFE96D" w14:textId="77777777" w:rsidR="00DE3D9F" w:rsidRPr="003B756C" w:rsidRDefault="00DE3D9F" w:rsidP="003B756C">
            <w:pPr>
              <w:spacing w:before="40" w:after="40" w:line="320" w:lineRule="exact"/>
              <w:ind w:left="57" w:right="57"/>
              <w:jc w:val="left"/>
              <w:textDirection w:val="tbRlV"/>
              <w:rPr>
                <w:rFonts w:ascii="Simplified Arabic" w:hAnsi="Simplified Arabic"/>
                <w:szCs w:val="20"/>
                <w:lang w:eastAsia="zh-TW" w:bidi="en-GB"/>
              </w:rPr>
            </w:pPr>
            <w:r w:rsidRPr="00E90634">
              <w:rPr>
                <w:rFonts w:ascii="Simplified Arabic" w:hAnsi="Simplified Arabic"/>
                <w:szCs w:val="20"/>
                <w:rtl/>
              </w:rPr>
              <w:t>الاغتصاب</w:t>
            </w:r>
          </w:p>
        </w:tc>
        <w:tc>
          <w:tcPr>
            <w:tcW w:w="714" w:type="dxa"/>
            <w:shd w:val="clear" w:color="auto" w:fill="auto"/>
            <w:vAlign w:val="bottom"/>
          </w:tcPr>
          <w:p w14:paraId="4DDADE40"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AF3116">
              <w:rPr>
                <w:rFonts w:ascii="Simplified Arabic" w:hAnsi="Simplified Arabic"/>
                <w:szCs w:val="20"/>
                <w:rtl/>
              </w:rPr>
              <w:t>523</w:t>
            </w:r>
            <w:r w:rsidRPr="00E90634">
              <w:rPr>
                <w:rFonts w:ascii="Simplified Arabic" w:hAnsi="Simplified Arabic"/>
                <w:szCs w:val="20"/>
                <w:rtl/>
              </w:rPr>
              <w:t xml:space="preserve"> </w:t>
            </w:r>
            <w:r w:rsidRPr="00AF3116">
              <w:rPr>
                <w:rFonts w:ascii="Simplified Arabic" w:hAnsi="Simplified Arabic"/>
                <w:szCs w:val="20"/>
                <w:rtl/>
              </w:rPr>
              <w:t>3</w:t>
            </w:r>
          </w:p>
        </w:tc>
        <w:tc>
          <w:tcPr>
            <w:tcW w:w="728" w:type="dxa"/>
            <w:shd w:val="clear" w:color="auto" w:fill="auto"/>
            <w:vAlign w:val="bottom"/>
          </w:tcPr>
          <w:p w14:paraId="608D2D6A"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AF3116">
              <w:rPr>
                <w:rFonts w:ascii="Simplified Arabic" w:hAnsi="Simplified Arabic"/>
                <w:szCs w:val="20"/>
                <w:rtl/>
              </w:rPr>
              <w:t>5</w:t>
            </w:r>
            <w:r w:rsidRPr="00E90634">
              <w:rPr>
                <w:rFonts w:ascii="Simplified Arabic" w:hAnsi="Simplified Arabic"/>
                <w:szCs w:val="20"/>
                <w:rtl/>
              </w:rPr>
              <w:t>,</w:t>
            </w:r>
            <w:r w:rsidRPr="00AF3116">
              <w:rPr>
                <w:rFonts w:ascii="Simplified Arabic" w:hAnsi="Simplified Arabic"/>
                <w:szCs w:val="20"/>
                <w:rtl/>
              </w:rPr>
              <w:t>3</w:t>
            </w:r>
          </w:p>
        </w:tc>
        <w:tc>
          <w:tcPr>
            <w:tcW w:w="811" w:type="dxa"/>
            <w:gridSpan w:val="2"/>
            <w:shd w:val="clear" w:color="auto" w:fill="auto"/>
            <w:vAlign w:val="bottom"/>
          </w:tcPr>
          <w:p w14:paraId="2314387E"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AF3116">
              <w:rPr>
                <w:rFonts w:ascii="Simplified Arabic" w:hAnsi="Simplified Arabic"/>
                <w:szCs w:val="20"/>
                <w:rtl/>
              </w:rPr>
              <w:t>334</w:t>
            </w:r>
            <w:r w:rsidRPr="00E90634">
              <w:rPr>
                <w:rFonts w:ascii="Simplified Arabic" w:hAnsi="Simplified Arabic"/>
                <w:szCs w:val="20"/>
                <w:rtl/>
              </w:rPr>
              <w:t xml:space="preserve"> </w:t>
            </w:r>
            <w:r w:rsidRPr="00AF3116">
              <w:rPr>
                <w:rFonts w:ascii="Simplified Arabic" w:hAnsi="Simplified Arabic"/>
                <w:szCs w:val="20"/>
                <w:rtl/>
              </w:rPr>
              <w:t>7</w:t>
            </w:r>
          </w:p>
        </w:tc>
        <w:tc>
          <w:tcPr>
            <w:tcW w:w="703" w:type="dxa"/>
            <w:shd w:val="clear" w:color="auto" w:fill="auto"/>
            <w:vAlign w:val="bottom"/>
          </w:tcPr>
          <w:p w14:paraId="59C7EC59"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AF3116">
              <w:rPr>
                <w:rFonts w:ascii="Simplified Arabic" w:hAnsi="Simplified Arabic"/>
                <w:szCs w:val="20"/>
                <w:rtl/>
              </w:rPr>
              <w:t>11</w:t>
            </w:r>
          </w:p>
        </w:tc>
      </w:tr>
      <w:tr w:rsidR="00DE3D9F" w:rsidRPr="00E90634" w14:paraId="2BDA341A" w14:textId="77777777" w:rsidTr="003B756C">
        <w:tc>
          <w:tcPr>
            <w:tcW w:w="3043" w:type="dxa"/>
            <w:vMerge/>
            <w:tcBorders>
              <w:top w:val="nil"/>
              <w:bottom w:val="single" w:sz="12" w:space="0" w:color="auto"/>
            </w:tcBorders>
            <w:shd w:val="clear" w:color="auto" w:fill="auto"/>
          </w:tcPr>
          <w:p w14:paraId="05691D71" w14:textId="77777777" w:rsidR="00DE3D9F" w:rsidRPr="00E90634" w:rsidRDefault="00DE3D9F" w:rsidP="003B756C">
            <w:pPr>
              <w:spacing w:before="40" w:after="40" w:line="320" w:lineRule="exact"/>
              <w:ind w:left="57" w:right="57"/>
              <w:rPr>
                <w:rFonts w:ascii="Simplified Arabic" w:hAnsi="Simplified Arabic"/>
                <w:szCs w:val="20"/>
              </w:rPr>
            </w:pPr>
          </w:p>
        </w:tc>
        <w:tc>
          <w:tcPr>
            <w:tcW w:w="1568" w:type="dxa"/>
            <w:shd w:val="clear" w:color="auto" w:fill="auto"/>
            <w:vAlign w:val="bottom"/>
          </w:tcPr>
          <w:p w14:paraId="2C9B1B6B"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E90634">
              <w:rPr>
                <w:rFonts w:ascii="Simplified Arabic" w:hAnsi="Simplified Arabic"/>
                <w:szCs w:val="20"/>
                <w:rtl/>
              </w:rPr>
              <w:t>الجرائم الجنسية الأخرى</w:t>
            </w:r>
          </w:p>
        </w:tc>
        <w:tc>
          <w:tcPr>
            <w:tcW w:w="714" w:type="dxa"/>
            <w:shd w:val="clear" w:color="auto" w:fill="auto"/>
            <w:vAlign w:val="bottom"/>
          </w:tcPr>
          <w:p w14:paraId="5577A785"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AF3116">
              <w:rPr>
                <w:rFonts w:ascii="Simplified Arabic" w:hAnsi="Simplified Arabic"/>
                <w:szCs w:val="20"/>
                <w:rtl/>
              </w:rPr>
              <w:t>559</w:t>
            </w:r>
            <w:r w:rsidRPr="00E90634">
              <w:rPr>
                <w:rFonts w:ascii="Simplified Arabic" w:hAnsi="Simplified Arabic"/>
                <w:szCs w:val="20"/>
                <w:rtl/>
              </w:rPr>
              <w:t xml:space="preserve"> </w:t>
            </w:r>
            <w:r w:rsidRPr="00AF3116">
              <w:rPr>
                <w:rFonts w:ascii="Simplified Arabic" w:hAnsi="Simplified Arabic"/>
                <w:szCs w:val="20"/>
                <w:rtl/>
              </w:rPr>
              <w:t>1</w:t>
            </w:r>
          </w:p>
        </w:tc>
        <w:tc>
          <w:tcPr>
            <w:tcW w:w="728" w:type="dxa"/>
            <w:shd w:val="clear" w:color="auto" w:fill="auto"/>
            <w:vAlign w:val="bottom"/>
          </w:tcPr>
          <w:p w14:paraId="6A627660"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AF3116">
              <w:rPr>
                <w:rFonts w:ascii="Simplified Arabic" w:hAnsi="Simplified Arabic"/>
                <w:szCs w:val="20"/>
                <w:rtl/>
              </w:rPr>
              <w:t>2</w:t>
            </w:r>
            <w:r w:rsidRPr="00E90634">
              <w:rPr>
                <w:rFonts w:ascii="Simplified Arabic" w:hAnsi="Simplified Arabic"/>
                <w:szCs w:val="20"/>
                <w:rtl/>
              </w:rPr>
              <w:t>,</w:t>
            </w:r>
            <w:r w:rsidRPr="00AF3116">
              <w:rPr>
                <w:rFonts w:ascii="Simplified Arabic" w:hAnsi="Simplified Arabic"/>
                <w:szCs w:val="20"/>
                <w:rtl/>
              </w:rPr>
              <w:t>35</w:t>
            </w:r>
          </w:p>
        </w:tc>
        <w:tc>
          <w:tcPr>
            <w:tcW w:w="811" w:type="dxa"/>
            <w:gridSpan w:val="2"/>
            <w:shd w:val="clear" w:color="auto" w:fill="auto"/>
            <w:vAlign w:val="bottom"/>
          </w:tcPr>
          <w:p w14:paraId="5E6431A4"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AF3116">
              <w:rPr>
                <w:rFonts w:ascii="Simplified Arabic" w:hAnsi="Simplified Arabic"/>
                <w:szCs w:val="20"/>
                <w:rtl/>
              </w:rPr>
              <w:t>078</w:t>
            </w:r>
            <w:r w:rsidRPr="00E90634">
              <w:rPr>
                <w:rFonts w:ascii="Simplified Arabic" w:hAnsi="Simplified Arabic"/>
                <w:szCs w:val="20"/>
                <w:rtl/>
              </w:rPr>
              <w:t xml:space="preserve"> </w:t>
            </w:r>
            <w:r w:rsidRPr="00AF3116">
              <w:rPr>
                <w:rFonts w:ascii="Simplified Arabic" w:hAnsi="Simplified Arabic"/>
                <w:szCs w:val="20"/>
                <w:rtl/>
              </w:rPr>
              <w:t>3</w:t>
            </w:r>
          </w:p>
        </w:tc>
        <w:tc>
          <w:tcPr>
            <w:tcW w:w="703" w:type="dxa"/>
            <w:shd w:val="clear" w:color="auto" w:fill="auto"/>
            <w:vAlign w:val="bottom"/>
          </w:tcPr>
          <w:p w14:paraId="44D14894"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AF3116">
              <w:rPr>
                <w:rFonts w:ascii="Simplified Arabic" w:hAnsi="Simplified Arabic"/>
                <w:szCs w:val="20"/>
                <w:rtl/>
              </w:rPr>
              <w:t>4</w:t>
            </w:r>
            <w:r w:rsidRPr="00E90634">
              <w:rPr>
                <w:rFonts w:ascii="Simplified Arabic" w:hAnsi="Simplified Arabic"/>
                <w:szCs w:val="20"/>
                <w:rtl/>
              </w:rPr>
              <w:t>,</w:t>
            </w:r>
            <w:r w:rsidRPr="00AF3116">
              <w:rPr>
                <w:rFonts w:ascii="Simplified Arabic" w:hAnsi="Simplified Arabic"/>
                <w:szCs w:val="20"/>
                <w:rtl/>
              </w:rPr>
              <w:t>6</w:t>
            </w:r>
          </w:p>
        </w:tc>
      </w:tr>
      <w:tr w:rsidR="00DE3D9F" w:rsidRPr="00E90634" w14:paraId="065448E1" w14:textId="77777777" w:rsidTr="003B756C">
        <w:tc>
          <w:tcPr>
            <w:tcW w:w="3043" w:type="dxa"/>
            <w:vMerge/>
            <w:tcBorders>
              <w:top w:val="nil"/>
              <w:bottom w:val="single" w:sz="12" w:space="0" w:color="auto"/>
            </w:tcBorders>
            <w:shd w:val="clear" w:color="auto" w:fill="auto"/>
          </w:tcPr>
          <w:p w14:paraId="6D0D9738" w14:textId="77777777" w:rsidR="00DE3D9F" w:rsidRPr="00E90634" w:rsidRDefault="00DE3D9F" w:rsidP="003B756C">
            <w:pPr>
              <w:spacing w:before="40" w:after="40" w:line="320" w:lineRule="exact"/>
              <w:ind w:left="57" w:right="57"/>
              <w:rPr>
                <w:rFonts w:ascii="Simplified Arabic" w:hAnsi="Simplified Arabic"/>
                <w:szCs w:val="20"/>
              </w:rPr>
            </w:pPr>
          </w:p>
        </w:tc>
        <w:tc>
          <w:tcPr>
            <w:tcW w:w="1568" w:type="dxa"/>
            <w:shd w:val="clear" w:color="auto" w:fill="auto"/>
            <w:vAlign w:val="bottom"/>
          </w:tcPr>
          <w:p w14:paraId="3D6F2E03" w14:textId="77777777" w:rsidR="00DE3D9F" w:rsidRPr="003B756C" w:rsidRDefault="00DE3D9F" w:rsidP="003B756C">
            <w:pPr>
              <w:spacing w:before="40" w:after="40" w:line="320" w:lineRule="exact"/>
              <w:ind w:left="57" w:right="57"/>
              <w:jc w:val="left"/>
              <w:textDirection w:val="tbRlV"/>
              <w:rPr>
                <w:rFonts w:ascii="Simplified Arabic" w:hAnsi="Simplified Arabic"/>
                <w:szCs w:val="20"/>
                <w:lang w:eastAsia="zh-TW" w:bidi="en-GB"/>
              </w:rPr>
            </w:pPr>
            <w:r w:rsidRPr="00E90634">
              <w:rPr>
                <w:rFonts w:ascii="Simplified Arabic" w:hAnsi="Simplified Arabic"/>
                <w:szCs w:val="20"/>
                <w:rtl/>
              </w:rPr>
              <w:t>القتل العمد</w:t>
            </w:r>
          </w:p>
        </w:tc>
        <w:tc>
          <w:tcPr>
            <w:tcW w:w="714" w:type="dxa"/>
            <w:shd w:val="clear" w:color="auto" w:fill="auto"/>
            <w:vAlign w:val="bottom"/>
          </w:tcPr>
          <w:p w14:paraId="6D450DDE"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AF3116">
              <w:rPr>
                <w:rFonts w:ascii="Simplified Arabic" w:hAnsi="Simplified Arabic"/>
                <w:szCs w:val="20"/>
                <w:rtl/>
              </w:rPr>
              <w:t>660</w:t>
            </w:r>
            <w:r w:rsidRPr="00E90634">
              <w:rPr>
                <w:rFonts w:ascii="Simplified Arabic" w:hAnsi="Simplified Arabic"/>
                <w:szCs w:val="20"/>
                <w:rtl/>
              </w:rPr>
              <w:t xml:space="preserve"> </w:t>
            </w:r>
            <w:r w:rsidRPr="00AF3116">
              <w:rPr>
                <w:rFonts w:ascii="Simplified Arabic" w:hAnsi="Simplified Arabic"/>
                <w:szCs w:val="20"/>
                <w:rtl/>
              </w:rPr>
              <w:t>2</w:t>
            </w:r>
          </w:p>
        </w:tc>
        <w:tc>
          <w:tcPr>
            <w:tcW w:w="728" w:type="dxa"/>
            <w:shd w:val="clear" w:color="auto" w:fill="auto"/>
            <w:vAlign w:val="bottom"/>
          </w:tcPr>
          <w:p w14:paraId="0D31E341" w14:textId="77777777" w:rsidR="00DE3D9F" w:rsidRPr="00E85C72" w:rsidRDefault="00DE3D9F" w:rsidP="003B756C">
            <w:pPr>
              <w:spacing w:before="40" w:after="40" w:line="320" w:lineRule="exact"/>
              <w:ind w:left="57" w:right="57"/>
              <w:jc w:val="left"/>
              <w:textDirection w:val="tbRlV"/>
              <w:rPr>
                <w:rFonts w:ascii="Simplified Arabic" w:hAnsi="Simplified Arabic"/>
                <w:szCs w:val="20"/>
                <w:lang w:eastAsia="zh-TW" w:bidi="en-GB"/>
              </w:rPr>
            </w:pPr>
            <w:r w:rsidRPr="00AF3116">
              <w:rPr>
                <w:rFonts w:ascii="Simplified Arabic" w:hAnsi="Simplified Arabic"/>
                <w:szCs w:val="20"/>
                <w:rtl/>
              </w:rPr>
              <w:t>4</w:t>
            </w:r>
          </w:p>
        </w:tc>
        <w:tc>
          <w:tcPr>
            <w:tcW w:w="811" w:type="dxa"/>
            <w:gridSpan w:val="2"/>
            <w:shd w:val="clear" w:color="auto" w:fill="auto"/>
            <w:vAlign w:val="bottom"/>
          </w:tcPr>
          <w:p w14:paraId="4DE7F3C7"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AF3116">
              <w:rPr>
                <w:rFonts w:ascii="Simplified Arabic" w:hAnsi="Simplified Arabic"/>
                <w:szCs w:val="20"/>
                <w:rtl/>
              </w:rPr>
              <w:t>242</w:t>
            </w:r>
            <w:r w:rsidRPr="00E90634">
              <w:rPr>
                <w:rFonts w:ascii="Simplified Arabic" w:hAnsi="Simplified Arabic"/>
                <w:szCs w:val="20"/>
                <w:rtl/>
              </w:rPr>
              <w:t xml:space="preserve"> </w:t>
            </w:r>
            <w:r w:rsidRPr="00AF3116">
              <w:rPr>
                <w:rFonts w:ascii="Simplified Arabic" w:hAnsi="Simplified Arabic"/>
                <w:szCs w:val="20"/>
                <w:rtl/>
              </w:rPr>
              <w:t>6</w:t>
            </w:r>
          </w:p>
        </w:tc>
        <w:tc>
          <w:tcPr>
            <w:tcW w:w="703" w:type="dxa"/>
            <w:shd w:val="clear" w:color="auto" w:fill="auto"/>
            <w:vAlign w:val="bottom"/>
          </w:tcPr>
          <w:p w14:paraId="567FF7DA"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AF3116">
              <w:rPr>
                <w:rFonts w:ascii="Simplified Arabic" w:hAnsi="Simplified Arabic"/>
                <w:szCs w:val="20"/>
                <w:rtl/>
              </w:rPr>
              <w:t>9</w:t>
            </w:r>
            <w:r w:rsidRPr="00E90634">
              <w:rPr>
                <w:rFonts w:ascii="Simplified Arabic" w:hAnsi="Simplified Arabic"/>
                <w:szCs w:val="20"/>
                <w:rtl/>
              </w:rPr>
              <w:t>,</w:t>
            </w:r>
            <w:r w:rsidRPr="00AF3116">
              <w:rPr>
                <w:rFonts w:ascii="Simplified Arabic" w:hAnsi="Simplified Arabic"/>
                <w:szCs w:val="20"/>
                <w:rtl/>
              </w:rPr>
              <w:t>4</w:t>
            </w:r>
          </w:p>
        </w:tc>
      </w:tr>
      <w:tr w:rsidR="00DE3D9F" w:rsidRPr="00E90634" w14:paraId="6F0F2641" w14:textId="77777777" w:rsidTr="003B756C">
        <w:tc>
          <w:tcPr>
            <w:tcW w:w="3043" w:type="dxa"/>
            <w:vMerge/>
            <w:tcBorders>
              <w:top w:val="nil"/>
              <w:bottom w:val="single" w:sz="12" w:space="0" w:color="auto"/>
            </w:tcBorders>
            <w:shd w:val="clear" w:color="auto" w:fill="auto"/>
          </w:tcPr>
          <w:p w14:paraId="6A7C9BAE" w14:textId="77777777" w:rsidR="00DE3D9F" w:rsidRPr="00E90634" w:rsidRDefault="00DE3D9F" w:rsidP="003B756C">
            <w:pPr>
              <w:spacing w:before="40" w:after="40" w:line="320" w:lineRule="exact"/>
              <w:ind w:left="57" w:right="57"/>
              <w:rPr>
                <w:rFonts w:ascii="Simplified Arabic" w:hAnsi="Simplified Arabic"/>
                <w:szCs w:val="20"/>
              </w:rPr>
            </w:pPr>
          </w:p>
        </w:tc>
        <w:tc>
          <w:tcPr>
            <w:tcW w:w="1568" w:type="dxa"/>
            <w:shd w:val="clear" w:color="auto" w:fill="auto"/>
            <w:vAlign w:val="bottom"/>
          </w:tcPr>
          <w:p w14:paraId="496D480A"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E90634">
              <w:rPr>
                <w:rFonts w:ascii="Simplified Arabic" w:hAnsi="Simplified Arabic"/>
                <w:szCs w:val="20"/>
                <w:rtl/>
              </w:rPr>
              <w:t>الشروع في القتل</w:t>
            </w:r>
          </w:p>
        </w:tc>
        <w:tc>
          <w:tcPr>
            <w:tcW w:w="714" w:type="dxa"/>
            <w:shd w:val="clear" w:color="auto" w:fill="auto"/>
            <w:vAlign w:val="bottom"/>
          </w:tcPr>
          <w:p w14:paraId="00717BB5"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AF3116">
              <w:rPr>
                <w:rFonts w:ascii="Simplified Arabic" w:hAnsi="Simplified Arabic"/>
                <w:szCs w:val="20"/>
                <w:rtl/>
              </w:rPr>
              <w:t>762</w:t>
            </w:r>
            <w:r w:rsidRPr="00E90634">
              <w:rPr>
                <w:rFonts w:ascii="Simplified Arabic" w:hAnsi="Simplified Arabic"/>
                <w:szCs w:val="20"/>
                <w:rtl/>
              </w:rPr>
              <w:t xml:space="preserve"> </w:t>
            </w:r>
            <w:r w:rsidRPr="00AF3116">
              <w:rPr>
                <w:rFonts w:ascii="Simplified Arabic" w:hAnsi="Simplified Arabic"/>
                <w:szCs w:val="20"/>
                <w:rtl/>
              </w:rPr>
              <w:t>4</w:t>
            </w:r>
          </w:p>
        </w:tc>
        <w:tc>
          <w:tcPr>
            <w:tcW w:w="728" w:type="dxa"/>
            <w:shd w:val="clear" w:color="auto" w:fill="auto"/>
            <w:vAlign w:val="bottom"/>
          </w:tcPr>
          <w:p w14:paraId="1CA37A97"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AF3116">
              <w:rPr>
                <w:rFonts w:ascii="Simplified Arabic" w:hAnsi="Simplified Arabic"/>
                <w:szCs w:val="20"/>
                <w:rtl/>
              </w:rPr>
              <w:t>7</w:t>
            </w:r>
            <w:r w:rsidRPr="00E90634">
              <w:rPr>
                <w:rFonts w:ascii="Simplified Arabic" w:hAnsi="Simplified Arabic"/>
                <w:szCs w:val="20"/>
                <w:rtl/>
              </w:rPr>
              <w:t>,</w:t>
            </w:r>
            <w:r w:rsidRPr="00AF3116">
              <w:rPr>
                <w:rFonts w:ascii="Simplified Arabic" w:hAnsi="Simplified Arabic"/>
                <w:szCs w:val="20"/>
                <w:rtl/>
              </w:rPr>
              <w:t>17</w:t>
            </w:r>
          </w:p>
        </w:tc>
        <w:tc>
          <w:tcPr>
            <w:tcW w:w="811" w:type="dxa"/>
            <w:gridSpan w:val="2"/>
            <w:shd w:val="clear" w:color="auto" w:fill="auto"/>
            <w:vAlign w:val="bottom"/>
          </w:tcPr>
          <w:p w14:paraId="46A2B04C"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AF3116">
              <w:rPr>
                <w:rFonts w:ascii="Simplified Arabic" w:hAnsi="Simplified Arabic"/>
                <w:szCs w:val="20"/>
                <w:rtl/>
              </w:rPr>
              <w:t>035</w:t>
            </w:r>
            <w:r w:rsidRPr="00E90634">
              <w:rPr>
                <w:rFonts w:ascii="Simplified Arabic" w:hAnsi="Simplified Arabic"/>
                <w:szCs w:val="20"/>
                <w:rtl/>
              </w:rPr>
              <w:t xml:space="preserve"> </w:t>
            </w:r>
            <w:r w:rsidRPr="00AF3116">
              <w:rPr>
                <w:rFonts w:ascii="Simplified Arabic" w:hAnsi="Simplified Arabic"/>
                <w:szCs w:val="20"/>
                <w:rtl/>
              </w:rPr>
              <w:t>12</w:t>
            </w:r>
          </w:p>
        </w:tc>
        <w:tc>
          <w:tcPr>
            <w:tcW w:w="703" w:type="dxa"/>
            <w:shd w:val="clear" w:color="auto" w:fill="auto"/>
            <w:vAlign w:val="bottom"/>
          </w:tcPr>
          <w:p w14:paraId="6A5236DA"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AF3116">
              <w:rPr>
                <w:rFonts w:ascii="Simplified Arabic" w:hAnsi="Simplified Arabic"/>
                <w:szCs w:val="20"/>
                <w:rtl/>
              </w:rPr>
              <w:t>18</w:t>
            </w:r>
            <w:r w:rsidRPr="00E90634">
              <w:rPr>
                <w:rFonts w:ascii="Simplified Arabic" w:hAnsi="Simplified Arabic"/>
                <w:szCs w:val="20"/>
                <w:rtl/>
              </w:rPr>
              <w:t>,</w:t>
            </w:r>
            <w:r w:rsidRPr="00AF3116">
              <w:rPr>
                <w:rFonts w:ascii="Simplified Arabic" w:hAnsi="Simplified Arabic"/>
                <w:szCs w:val="20"/>
                <w:rtl/>
              </w:rPr>
              <w:t>1</w:t>
            </w:r>
          </w:p>
        </w:tc>
      </w:tr>
      <w:tr w:rsidR="00DE3D9F" w:rsidRPr="00E90634" w14:paraId="7B8622BE" w14:textId="77777777" w:rsidTr="003B756C">
        <w:tc>
          <w:tcPr>
            <w:tcW w:w="3043" w:type="dxa"/>
            <w:vMerge/>
            <w:tcBorders>
              <w:top w:val="nil"/>
              <w:bottom w:val="single" w:sz="12" w:space="0" w:color="auto"/>
            </w:tcBorders>
            <w:shd w:val="clear" w:color="auto" w:fill="auto"/>
          </w:tcPr>
          <w:p w14:paraId="333B7C62" w14:textId="77777777" w:rsidR="00DE3D9F" w:rsidRPr="00E90634" w:rsidRDefault="00DE3D9F" w:rsidP="003B756C">
            <w:pPr>
              <w:spacing w:before="40" w:after="40" w:line="320" w:lineRule="exact"/>
              <w:ind w:left="57" w:right="57"/>
              <w:rPr>
                <w:rFonts w:ascii="Simplified Arabic" w:hAnsi="Simplified Arabic"/>
                <w:szCs w:val="20"/>
              </w:rPr>
            </w:pPr>
          </w:p>
        </w:tc>
        <w:tc>
          <w:tcPr>
            <w:tcW w:w="1568" w:type="dxa"/>
            <w:shd w:val="clear" w:color="auto" w:fill="auto"/>
            <w:vAlign w:val="bottom"/>
          </w:tcPr>
          <w:p w14:paraId="0C1F7D51"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E90634">
              <w:rPr>
                <w:rFonts w:ascii="Simplified Arabic" w:hAnsi="Simplified Arabic"/>
                <w:szCs w:val="20"/>
                <w:rtl/>
              </w:rPr>
              <w:t>القتل غير المتعمد</w:t>
            </w:r>
          </w:p>
        </w:tc>
        <w:tc>
          <w:tcPr>
            <w:tcW w:w="714" w:type="dxa"/>
            <w:shd w:val="clear" w:color="auto" w:fill="auto"/>
            <w:vAlign w:val="bottom"/>
          </w:tcPr>
          <w:p w14:paraId="2F174B5E"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AF3116">
              <w:rPr>
                <w:rFonts w:ascii="Simplified Arabic" w:hAnsi="Simplified Arabic"/>
                <w:szCs w:val="20"/>
                <w:rtl/>
              </w:rPr>
              <w:t>503</w:t>
            </w:r>
          </w:p>
        </w:tc>
        <w:tc>
          <w:tcPr>
            <w:tcW w:w="728" w:type="dxa"/>
            <w:shd w:val="clear" w:color="auto" w:fill="auto"/>
            <w:vAlign w:val="bottom"/>
          </w:tcPr>
          <w:p w14:paraId="2BB31ECE"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AF3116">
              <w:rPr>
                <w:rFonts w:ascii="Simplified Arabic" w:hAnsi="Simplified Arabic"/>
                <w:szCs w:val="20"/>
                <w:rtl/>
              </w:rPr>
              <w:t>0</w:t>
            </w:r>
            <w:r w:rsidRPr="00E90634">
              <w:rPr>
                <w:rFonts w:ascii="Simplified Arabic" w:hAnsi="Simplified Arabic"/>
                <w:szCs w:val="20"/>
                <w:rtl/>
              </w:rPr>
              <w:t>,</w:t>
            </w:r>
            <w:r w:rsidRPr="00AF3116">
              <w:rPr>
                <w:rFonts w:ascii="Simplified Arabic" w:hAnsi="Simplified Arabic"/>
                <w:szCs w:val="20"/>
                <w:rtl/>
              </w:rPr>
              <w:t>76</w:t>
            </w:r>
          </w:p>
        </w:tc>
        <w:tc>
          <w:tcPr>
            <w:tcW w:w="811" w:type="dxa"/>
            <w:gridSpan w:val="2"/>
            <w:shd w:val="clear" w:color="auto" w:fill="auto"/>
            <w:vAlign w:val="bottom"/>
          </w:tcPr>
          <w:p w14:paraId="11B18D85"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AF3116">
              <w:rPr>
                <w:rFonts w:ascii="Simplified Arabic" w:hAnsi="Simplified Arabic"/>
                <w:szCs w:val="20"/>
                <w:rtl/>
              </w:rPr>
              <w:t>309</w:t>
            </w:r>
            <w:r w:rsidRPr="00E90634">
              <w:rPr>
                <w:rFonts w:ascii="Simplified Arabic" w:hAnsi="Simplified Arabic"/>
                <w:szCs w:val="20"/>
                <w:rtl/>
              </w:rPr>
              <w:t xml:space="preserve"> </w:t>
            </w:r>
            <w:r w:rsidRPr="00AF3116">
              <w:rPr>
                <w:rFonts w:ascii="Simplified Arabic" w:hAnsi="Simplified Arabic"/>
                <w:szCs w:val="20"/>
                <w:rtl/>
              </w:rPr>
              <w:t>1</w:t>
            </w:r>
          </w:p>
        </w:tc>
        <w:tc>
          <w:tcPr>
            <w:tcW w:w="703" w:type="dxa"/>
            <w:shd w:val="clear" w:color="auto" w:fill="auto"/>
            <w:vAlign w:val="bottom"/>
          </w:tcPr>
          <w:p w14:paraId="638EE222"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AF3116">
              <w:rPr>
                <w:rFonts w:ascii="Simplified Arabic" w:hAnsi="Simplified Arabic"/>
                <w:szCs w:val="20"/>
                <w:rtl/>
              </w:rPr>
              <w:t>1</w:t>
            </w:r>
            <w:r w:rsidRPr="00E90634">
              <w:rPr>
                <w:rFonts w:ascii="Simplified Arabic" w:hAnsi="Simplified Arabic"/>
                <w:szCs w:val="20"/>
                <w:rtl/>
              </w:rPr>
              <w:t>,</w:t>
            </w:r>
            <w:r w:rsidRPr="00AF3116">
              <w:rPr>
                <w:rFonts w:ascii="Simplified Arabic" w:hAnsi="Simplified Arabic"/>
                <w:szCs w:val="20"/>
                <w:rtl/>
              </w:rPr>
              <w:t>97</w:t>
            </w:r>
          </w:p>
        </w:tc>
      </w:tr>
      <w:tr w:rsidR="00DE3D9F" w:rsidRPr="00E90634" w14:paraId="5B9F8197" w14:textId="77777777" w:rsidTr="003B756C">
        <w:tc>
          <w:tcPr>
            <w:tcW w:w="3043" w:type="dxa"/>
            <w:vMerge/>
            <w:tcBorders>
              <w:top w:val="nil"/>
              <w:bottom w:val="single" w:sz="12" w:space="0" w:color="auto"/>
            </w:tcBorders>
            <w:shd w:val="clear" w:color="auto" w:fill="auto"/>
          </w:tcPr>
          <w:p w14:paraId="63EFBE8B" w14:textId="77777777" w:rsidR="00DE3D9F" w:rsidRPr="00E90634" w:rsidRDefault="00DE3D9F" w:rsidP="003B756C">
            <w:pPr>
              <w:spacing w:before="40" w:after="40" w:line="320" w:lineRule="exact"/>
              <w:ind w:left="57" w:right="57"/>
              <w:rPr>
                <w:rFonts w:ascii="Simplified Arabic" w:hAnsi="Simplified Arabic"/>
                <w:szCs w:val="20"/>
              </w:rPr>
            </w:pPr>
          </w:p>
        </w:tc>
        <w:tc>
          <w:tcPr>
            <w:tcW w:w="1568" w:type="dxa"/>
            <w:shd w:val="clear" w:color="auto" w:fill="auto"/>
            <w:vAlign w:val="bottom"/>
          </w:tcPr>
          <w:p w14:paraId="7F6DCD82"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E90634">
              <w:rPr>
                <w:rFonts w:ascii="Simplified Arabic" w:hAnsi="Simplified Arabic"/>
                <w:szCs w:val="20"/>
                <w:rtl/>
              </w:rPr>
              <w:t>جرائم القتل الأخرى</w:t>
            </w:r>
          </w:p>
        </w:tc>
        <w:tc>
          <w:tcPr>
            <w:tcW w:w="714" w:type="dxa"/>
            <w:shd w:val="clear" w:color="auto" w:fill="auto"/>
            <w:vAlign w:val="bottom"/>
          </w:tcPr>
          <w:p w14:paraId="3271ED76"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AF3116">
              <w:rPr>
                <w:rFonts w:ascii="Simplified Arabic" w:hAnsi="Simplified Arabic"/>
                <w:szCs w:val="20"/>
                <w:rtl/>
              </w:rPr>
              <w:t>111</w:t>
            </w:r>
          </w:p>
        </w:tc>
        <w:tc>
          <w:tcPr>
            <w:tcW w:w="728" w:type="dxa"/>
            <w:shd w:val="clear" w:color="auto" w:fill="auto"/>
            <w:vAlign w:val="bottom"/>
          </w:tcPr>
          <w:p w14:paraId="57AF9DCF" w14:textId="77777777" w:rsidR="00DE3D9F" w:rsidRPr="00E85C72" w:rsidRDefault="00DE3D9F" w:rsidP="003B756C">
            <w:pPr>
              <w:spacing w:before="40" w:after="40" w:line="320" w:lineRule="exact"/>
              <w:ind w:left="57" w:right="57"/>
              <w:jc w:val="left"/>
              <w:textDirection w:val="tbRlV"/>
              <w:rPr>
                <w:rFonts w:ascii="Simplified Arabic" w:hAnsi="Simplified Arabic"/>
                <w:szCs w:val="20"/>
                <w:lang w:eastAsia="zh-TW" w:bidi="en-GB"/>
              </w:rPr>
            </w:pPr>
            <w:r w:rsidRPr="00AF3116">
              <w:rPr>
                <w:rFonts w:ascii="Simplified Arabic" w:hAnsi="Simplified Arabic"/>
                <w:szCs w:val="20"/>
                <w:rtl/>
              </w:rPr>
              <w:t>0</w:t>
            </w:r>
            <w:r w:rsidRPr="00E90634">
              <w:rPr>
                <w:rFonts w:ascii="Simplified Arabic" w:hAnsi="Simplified Arabic"/>
                <w:szCs w:val="20"/>
                <w:rtl/>
              </w:rPr>
              <w:t>,</w:t>
            </w:r>
            <w:r w:rsidRPr="00AF3116">
              <w:rPr>
                <w:rFonts w:ascii="Simplified Arabic" w:hAnsi="Simplified Arabic"/>
                <w:szCs w:val="20"/>
                <w:rtl/>
              </w:rPr>
              <w:t>17</w:t>
            </w:r>
          </w:p>
        </w:tc>
        <w:tc>
          <w:tcPr>
            <w:tcW w:w="811" w:type="dxa"/>
            <w:gridSpan w:val="2"/>
            <w:shd w:val="clear" w:color="auto" w:fill="auto"/>
            <w:vAlign w:val="bottom"/>
          </w:tcPr>
          <w:p w14:paraId="0745F528"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AF3116">
              <w:rPr>
                <w:rFonts w:ascii="Simplified Arabic" w:hAnsi="Simplified Arabic"/>
                <w:szCs w:val="20"/>
                <w:rtl/>
              </w:rPr>
              <w:t>257</w:t>
            </w:r>
          </w:p>
        </w:tc>
        <w:tc>
          <w:tcPr>
            <w:tcW w:w="703" w:type="dxa"/>
            <w:shd w:val="clear" w:color="auto" w:fill="auto"/>
            <w:vAlign w:val="bottom"/>
          </w:tcPr>
          <w:p w14:paraId="21DAA2AD"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AF3116">
              <w:rPr>
                <w:rFonts w:ascii="Simplified Arabic" w:hAnsi="Simplified Arabic"/>
                <w:szCs w:val="20"/>
                <w:rtl/>
              </w:rPr>
              <w:t>0</w:t>
            </w:r>
            <w:r w:rsidRPr="00E90634">
              <w:rPr>
                <w:rFonts w:ascii="Simplified Arabic" w:hAnsi="Simplified Arabic"/>
                <w:szCs w:val="20"/>
                <w:rtl/>
              </w:rPr>
              <w:t>,</w:t>
            </w:r>
            <w:r w:rsidRPr="00AF3116">
              <w:rPr>
                <w:rFonts w:ascii="Simplified Arabic" w:hAnsi="Simplified Arabic"/>
                <w:szCs w:val="20"/>
                <w:rtl/>
              </w:rPr>
              <w:t>39</w:t>
            </w:r>
          </w:p>
        </w:tc>
      </w:tr>
      <w:tr w:rsidR="00DE3D9F" w:rsidRPr="00AF3116" w14:paraId="7A3558E7" w14:textId="77777777" w:rsidTr="003B756C">
        <w:tc>
          <w:tcPr>
            <w:tcW w:w="3043" w:type="dxa"/>
            <w:vMerge/>
            <w:tcBorders>
              <w:top w:val="nil"/>
              <w:bottom w:val="single" w:sz="12" w:space="0" w:color="auto"/>
            </w:tcBorders>
            <w:shd w:val="clear" w:color="auto" w:fill="auto"/>
          </w:tcPr>
          <w:p w14:paraId="113B6748" w14:textId="77777777" w:rsidR="00DE3D9F" w:rsidRPr="00E90634" w:rsidRDefault="00DE3D9F" w:rsidP="003B756C">
            <w:pPr>
              <w:spacing w:before="40" w:after="40" w:line="320" w:lineRule="exact"/>
              <w:ind w:left="57" w:right="57"/>
              <w:rPr>
                <w:rFonts w:ascii="Simplified Arabic" w:hAnsi="Simplified Arabic"/>
                <w:szCs w:val="20"/>
              </w:rPr>
            </w:pPr>
          </w:p>
        </w:tc>
        <w:tc>
          <w:tcPr>
            <w:tcW w:w="1568" w:type="dxa"/>
            <w:shd w:val="clear" w:color="auto" w:fill="auto"/>
            <w:vAlign w:val="bottom"/>
          </w:tcPr>
          <w:p w14:paraId="2EF5FE70"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eastAsia="zh-TW" w:bidi="en-GB"/>
              </w:rPr>
            </w:pPr>
            <w:r w:rsidRPr="00E90634">
              <w:rPr>
                <w:rFonts w:ascii="Simplified Arabic" w:hAnsi="Simplified Arabic"/>
                <w:szCs w:val="20"/>
                <w:rtl/>
              </w:rPr>
              <w:t>الجرائم المرتكبة ضد الجسم</w:t>
            </w:r>
          </w:p>
        </w:tc>
        <w:tc>
          <w:tcPr>
            <w:tcW w:w="714" w:type="dxa"/>
            <w:shd w:val="clear" w:color="auto" w:fill="auto"/>
          </w:tcPr>
          <w:p w14:paraId="2E2EDAE4"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AF3116">
              <w:rPr>
                <w:rFonts w:ascii="Simplified Arabic" w:hAnsi="Simplified Arabic"/>
                <w:szCs w:val="20"/>
                <w:rtl/>
              </w:rPr>
              <w:t>770</w:t>
            </w:r>
            <w:r w:rsidRPr="00E90634">
              <w:rPr>
                <w:rFonts w:ascii="Simplified Arabic" w:hAnsi="Simplified Arabic"/>
                <w:szCs w:val="20"/>
                <w:rtl/>
              </w:rPr>
              <w:t xml:space="preserve"> </w:t>
            </w:r>
            <w:r w:rsidRPr="00AF3116">
              <w:rPr>
                <w:rFonts w:ascii="Simplified Arabic" w:hAnsi="Simplified Arabic"/>
                <w:szCs w:val="20"/>
                <w:rtl/>
              </w:rPr>
              <w:t>14</w:t>
            </w:r>
          </w:p>
        </w:tc>
        <w:tc>
          <w:tcPr>
            <w:tcW w:w="728" w:type="dxa"/>
            <w:shd w:val="clear" w:color="auto" w:fill="auto"/>
          </w:tcPr>
          <w:p w14:paraId="56902C40"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AF3116">
              <w:rPr>
                <w:rFonts w:ascii="Simplified Arabic" w:hAnsi="Simplified Arabic"/>
                <w:szCs w:val="20"/>
                <w:rtl/>
              </w:rPr>
              <w:t>22</w:t>
            </w:r>
            <w:r w:rsidRPr="00E90634">
              <w:rPr>
                <w:rFonts w:ascii="Simplified Arabic" w:hAnsi="Simplified Arabic"/>
                <w:szCs w:val="20"/>
                <w:rtl/>
              </w:rPr>
              <w:t>,</w:t>
            </w:r>
            <w:r w:rsidRPr="00AF3116">
              <w:rPr>
                <w:rFonts w:ascii="Simplified Arabic" w:hAnsi="Simplified Arabic"/>
                <w:szCs w:val="20"/>
                <w:rtl/>
              </w:rPr>
              <w:t>24</w:t>
            </w:r>
          </w:p>
        </w:tc>
        <w:tc>
          <w:tcPr>
            <w:tcW w:w="811" w:type="dxa"/>
            <w:gridSpan w:val="2"/>
            <w:shd w:val="clear" w:color="auto" w:fill="auto"/>
          </w:tcPr>
          <w:p w14:paraId="73FE81C4" w14:textId="77777777" w:rsidR="00DE3D9F" w:rsidRPr="00AF3116" w:rsidRDefault="00DE3D9F" w:rsidP="003B756C">
            <w:pPr>
              <w:spacing w:before="40" w:after="40" w:line="320" w:lineRule="exact"/>
              <w:ind w:left="57" w:right="57"/>
              <w:jc w:val="left"/>
              <w:textDirection w:val="tbRlV"/>
              <w:rPr>
                <w:rFonts w:ascii="Simplified Arabic" w:hAnsi="Simplified Arabic"/>
                <w:spacing w:val="-4"/>
                <w:szCs w:val="20"/>
                <w:lang w:val="ar-SA" w:eastAsia="zh-TW" w:bidi="en-GB"/>
              </w:rPr>
            </w:pPr>
            <w:r w:rsidRPr="00AF3116">
              <w:rPr>
                <w:rFonts w:ascii="Simplified Arabic" w:hAnsi="Simplified Arabic"/>
                <w:spacing w:val="-4"/>
                <w:szCs w:val="20"/>
                <w:rtl/>
              </w:rPr>
              <w:t>858 20</w:t>
            </w:r>
          </w:p>
        </w:tc>
        <w:tc>
          <w:tcPr>
            <w:tcW w:w="703" w:type="dxa"/>
            <w:shd w:val="clear" w:color="auto" w:fill="auto"/>
          </w:tcPr>
          <w:p w14:paraId="05C53956" w14:textId="77777777" w:rsidR="00DE3D9F" w:rsidRPr="00AF3116" w:rsidRDefault="00DE3D9F" w:rsidP="003B756C">
            <w:pPr>
              <w:spacing w:before="40" w:after="40" w:line="320" w:lineRule="exact"/>
              <w:ind w:left="57" w:right="57"/>
              <w:jc w:val="left"/>
              <w:textDirection w:val="tbRlV"/>
              <w:rPr>
                <w:rFonts w:ascii="Simplified Arabic" w:hAnsi="Simplified Arabic"/>
                <w:spacing w:val="-4"/>
                <w:szCs w:val="20"/>
                <w:lang w:eastAsia="zh-TW" w:bidi="en-GB"/>
              </w:rPr>
            </w:pPr>
            <w:r w:rsidRPr="00AF3116">
              <w:rPr>
                <w:rFonts w:ascii="Simplified Arabic" w:hAnsi="Simplified Arabic"/>
                <w:spacing w:val="-4"/>
                <w:szCs w:val="20"/>
                <w:rtl/>
              </w:rPr>
              <w:t>31,4</w:t>
            </w:r>
          </w:p>
        </w:tc>
      </w:tr>
      <w:tr w:rsidR="00DE3D9F" w:rsidRPr="00E90634" w14:paraId="58E16B25" w14:textId="77777777" w:rsidTr="003B756C">
        <w:tc>
          <w:tcPr>
            <w:tcW w:w="3043" w:type="dxa"/>
            <w:vMerge/>
            <w:tcBorders>
              <w:top w:val="nil"/>
              <w:bottom w:val="single" w:sz="12" w:space="0" w:color="auto"/>
            </w:tcBorders>
            <w:shd w:val="clear" w:color="auto" w:fill="auto"/>
          </w:tcPr>
          <w:p w14:paraId="6BA08CC0" w14:textId="77777777" w:rsidR="00DE3D9F" w:rsidRPr="00E90634" w:rsidRDefault="00DE3D9F" w:rsidP="003B756C">
            <w:pPr>
              <w:spacing w:before="40" w:after="40" w:line="320" w:lineRule="exact"/>
              <w:ind w:left="57" w:right="57"/>
              <w:rPr>
                <w:rFonts w:ascii="Simplified Arabic" w:hAnsi="Simplified Arabic"/>
                <w:szCs w:val="20"/>
              </w:rPr>
            </w:pPr>
          </w:p>
        </w:tc>
        <w:tc>
          <w:tcPr>
            <w:tcW w:w="1568" w:type="dxa"/>
            <w:shd w:val="clear" w:color="auto" w:fill="auto"/>
            <w:vAlign w:val="bottom"/>
          </w:tcPr>
          <w:p w14:paraId="0944A541"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E90634">
              <w:rPr>
                <w:rFonts w:ascii="Simplified Arabic" w:hAnsi="Simplified Arabic"/>
                <w:szCs w:val="20"/>
                <w:rtl/>
              </w:rPr>
              <w:t>السطو</w:t>
            </w:r>
          </w:p>
        </w:tc>
        <w:tc>
          <w:tcPr>
            <w:tcW w:w="714" w:type="dxa"/>
            <w:shd w:val="clear" w:color="auto" w:fill="auto"/>
            <w:vAlign w:val="bottom"/>
          </w:tcPr>
          <w:p w14:paraId="298459B3"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AF3116">
              <w:rPr>
                <w:rFonts w:ascii="Simplified Arabic" w:hAnsi="Simplified Arabic"/>
                <w:szCs w:val="20"/>
                <w:rtl/>
              </w:rPr>
              <w:t>005</w:t>
            </w:r>
            <w:r w:rsidRPr="00E90634">
              <w:rPr>
                <w:rFonts w:ascii="Simplified Arabic" w:hAnsi="Simplified Arabic"/>
                <w:szCs w:val="20"/>
                <w:rtl/>
              </w:rPr>
              <w:t xml:space="preserve"> </w:t>
            </w:r>
            <w:r w:rsidRPr="00AF3116">
              <w:rPr>
                <w:rFonts w:ascii="Simplified Arabic" w:hAnsi="Simplified Arabic"/>
                <w:szCs w:val="20"/>
                <w:rtl/>
              </w:rPr>
              <w:t>1</w:t>
            </w:r>
          </w:p>
        </w:tc>
        <w:tc>
          <w:tcPr>
            <w:tcW w:w="728" w:type="dxa"/>
            <w:shd w:val="clear" w:color="auto" w:fill="auto"/>
            <w:vAlign w:val="bottom"/>
          </w:tcPr>
          <w:p w14:paraId="5571EC83"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AF3116">
              <w:rPr>
                <w:rFonts w:ascii="Simplified Arabic" w:hAnsi="Simplified Arabic"/>
                <w:szCs w:val="20"/>
                <w:rtl/>
              </w:rPr>
              <w:t>1</w:t>
            </w:r>
            <w:r w:rsidRPr="00E90634">
              <w:rPr>
                <w:rFonts w:ascii="Simplified Arabic" w:hAnsi="Simplified Arabic"/>
                <w:szCs w:val="20"/>
                <w:rtl/>
              </w:rPr>
              <w:t>,</w:t>
            </w:r>
            <w:r w:rsidRPr="00AF3116">
              <w:rPr>
                <w:rFonts w:ascii="Simplified Arabic" w:hAnsi="Simplified Arabic"/>
                <w:szCs w:val="20"/>
                <w:rtl/>
              </w:rPr>
              <w:t>5</w:t>
            </w:r>
          </w:p>
        </w:tc>
        <w:tc>
          <w:tcPr>
            <w:tcW w:w="811" w:type="dxa"/>
            <w:gridSpan w:val="2"/>
            <w:shd w:val="clear" w:color="auto" w:fill="auto"/>
            <w:vAlign w:val="bottom"/>
          </w:tcPr>
          <w:p w14:paraId="0E8B382E"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AF3116">
              <w:rPr>
                <w:rFonts w:ascii="Simplified Arabic" w:hAnsi="Simplified Arabic"/>
                <w:szCs w:val="20"/>
                <w:rtl/>
              </w:rPr>
              <w:t>983</w:t>
            </w:r>
            <w:r w:rsidRPr="00E90634">
              <w:rPr>
                <w:rFonts w:ascii="Simplified Arabic" w:hAnsi="Simplified Arabic"/>
                <w:szCs w:val="20"/>
                <w:rtl/>
              </w:rPr>
              <w:t xml:space="preserve"> </w:t>
            </w:r>
            <w:r w:rsidRPr="00AF3116">
              <w:rPr>
                <w:rFonts w:ascii="Simplified Arabic" w:hAnsi="Simplified Arabic"/>
                <w:szCs w:val="20"/>
                <w:rtl/>
              </w:rPr>
              <w:t>2</w:t>
            </w:r>
          </w:p>
        </w:tc>
        <w:tc>
          <w:tcPr>
            <w:tcW w:w="703" w:type="dxa"/>
            <w:shd w:val="clear" w:color="auto" w:fill="auto"/>
            <w:vAlign w:val="bottom"/>
          </w:tcPr>
          <w:p w14:paraId="0DF70758"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AF3116">
              <w:rPr>
                <w:rFonts w:ascii="Simplified Arabic" w:hAnsi="Simplified Arabic"/>
                <w:szCs w:val="20"/>
                <w:rtl/>
              </w:rPr>
              <w:t>4</w:t>
            </w:r>
            <w:r w:rsidRPr="00E90634">
              <w:rPr>
                <w:rFonts w:ascii="Simplified Arabic" w:hAnsi="Simplified Arabic"/>
                <w:szCs w:val="20"/>
                <w:rtl/>
              </w:rPr>
              <w:t>,</w:t>
            </w:r>
            <w:r w:rsidRPr="00AF3116">
              <w:rPr>
                <w:rFonts w:ascii="Simplified Arabic" w:hAnsi="Simplified Arabic"/>
                <w:szCs w:val="20"/>
                <w:rtl/>
              </w:rPr>
              <w:t>5</w:t>
            </w:r>
          </w:p>
        </w:tc>
      </w:tr>
      <w:tr w:rsidR="00DE3D9F" w:rsidRPr="00E90634" w14:paraId="381AFBE7" w14:textId="77777777" w:rsidTr="003B756C">
        <w:tc>
          <w:tcPr>
            <w:tcW w:w="3043" w:type="dxa"/>
            <w:vMerge/>
            <w:tcBorders>
              <w:top w:val="nil"/>
              <w:bottom w:val="single" w:sz="12" w:space="0" w:color="auto"/>
            </w:tcBorders>
            <w:shd w:val="clear" w:color="auto" w:fill="auto"/>
          </w:tcPr>
          <w:p w14:paraId="5AD862C6" w14:textId="77777777" w:rsidR="00DE3D9F" w:rsidRPr="00E90634" w:rsidRDefault="00DE3D9F" w:rsidP="003B756C">
            <w:pPr>
              <w:spacing w:before="40" w:after="40" w:line="320" w:lineRule="exact"/>
              <w:ind w:left="57" w:right="57"/>
              <w:rPr>
                <w:rFonts w:ascii="Simplified Arabic" w:hAnsi="Simplified Arabic"/>
                <w:szCs w:val="20"/>
              </w:rPr>
            </w:pPr>
          </w:p>
        </w:tc>
        <w:tc>
          <w:tcPr>
            <w:tcW w:w="1568" w:type="dxa"/>
            <w:shd w:val="clear" w:color="auto" w:fill="auto"/>
            <w:vAlign w:val="bottom"/>
          </w:tcPr>
          <w:p w14:paraId="3A523B31"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E90634">
              <w:rPr>
                <w:rFonts w:ascii="Simplified Arabic" w:hAnsi="Simplified Arabic"/>
                <w:szCs w:val="20"/>
                <w:rtl/>
              </w:rPr>
              <w:t>السطو الجماعي</w:t>
            </w:r>
          </w:p>
        </w:tc>
        <w:tc>
          <w:tcPr>
            <w:tcW w:w="714" w:type="dxa"/>
            <w:shd w:val="clear" w:color="auto" w:fill="auto"/>
            <w:vAlign w:val="bottom"/>
          </w:tcPr>
          <w:p w14:paraId="7FB5AAE7"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AF3116">
              <w:rPr>
                <w:rFonts w:ascii="Simplified Arabic" w:hAnsi="Simplified Arabic"/>
                <w:szCs w:val="20"/>
                <w:rtl/>
              </w:rPr>
              <w:t>598</w:t>
            </w:r>
          </w:p>
        </w:tc>
        <w:tc>
          <w:tcPr>
            <w:tcW w:w="728" w:type="dxa"/>
            <w:shd w:val="clear" w:color="auto" w:fill="auto"/>
            <w:vAlign w:val="bottom"/>
          </w:tcPr>
          <w:p w14:paraId="776A5387"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AF3116">
              <w:rPr>
                <w:rFonts w:ascii="Simplified Arabic" w:hAnsi="Simplified Arabic"/>
                <w:szCs w:val="20"/>
                <w:rtl/>
              </w:rPr>
              <w:t>0</w:t>
            </w:r>
            <w:r w:rsidRPr="00E90634">
              <w:rPr>
                <w:rFonts w:ascii="Simplified Arabic" w:hAnsi="Simplified Arabic"/>
                <w:szCs w:val="20"/>
                <w:rtl/>
              </w:rPr>
              <w:t>,</w:t>
            </w:r>
            <w:r w:rsidRPr="00AF3116">
              <w:rPr>
                <w:rFonts w:ascii="Simplified Arabic" w:hAnsi="Simplified Arabic"/>
                <w:szCs w:val="20"/>
                <w:rtl/>
              </w:rPr>
              <w:t>9</w:t>
            </w:r>
          </w:p>
        </w:tc>
        <w:tc>
          <w:tcPr>
            <w:tcW w:w="811" w:type="dxa"/>
            <w:gridSpan w:val="2"/>
            <w:shd w:val="clear" w:color="auto" w:fill="auto"/>
            <w:vAlign w:val="bottom"/>
          </w:tcPr>
          <w:p w14:paraId="45136CBC"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AF3116">
              <w:rPr>
                <w:rFonts w:ascii="Simplified Arabic" w:hAnsi="Simplified Arabic"/>
                <w:szCs w:val="20"/>
                <w:rtl/>
              </w:rPr>
              <w:t>571</w:t>
            </w:r>
            <w:r w:rsidRPr="00E90634">
              <w:rPr>
                <w:rFonts w:ascii="Simplified Arabic" w:hAnsi="Simplified Arabic"/>
                <w:szCs w:val="20"/>
                <w:rtl/>
              </w:rPr>
              <w:t xml:space="preserve"> </w:t>
            </w:r>
            <w:r w:rsidRPr="00AF3116">
              <w:rPr>
                <w:rFonts w:ascii="Simplified Arabic" w:hAnsi="Simplified Arabic"/>
                <w:szCs w:val="20"/>
                <w:rtl/>
              </w:rPr>
              <w:t>2</w:t>
            </w:r>
          </w:p>
        </w:tc>
        <w:tc>
          <w:tcPr>
            <w:tcW w:w="703" w:type="dxa"/>
            <w:shd w:val="clear" w:color="auto" w:fill="auto"/>
            <w:vAlign w:val="bottom"/>
          </w:tcPr>
          <w:p w14:paraId="153F4A88"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eastAsia="zh-TW" w:bidi="en-GB"/>
              </w:rPr>
            </w:pPr>
            <w:r w:rsidRPr="00AF3116">
              <w:rPr>
                <w:rFonts w:ascii="Simplified Arabic" w:hAnsi="Simplified Arabic"/>
                <w:szCs w:val="20"/>
                <w:rtl/>
              </w:rPr>
              <w:t>3</w:t>
            </w:r>
            <w:r w:rsidRPr="00E90634">
              <w:rPr>
                <w:rFonts w:ascii="Simplified Arabic" w:hAnsi="Simplified Arabic"/>
                <w:szCs w:val="20"/>
                <w:rtl/>
              </w:rPr>
              <w:t>,</w:t>
            </w:r>
            <w:r w:rsidRPr="00AF3116">
              <w:rPr>
                <w:rFonts w:ascii="Simplified Arabic" w:hAnsi="Simplified Arabic"/>
                <w:szCs w:val="20"/>
                <w:rtl/>
              </w:rPr>
              <w:t>88</w:t>
            </w:r>
          </w:p>
        </w:tc>
      </w:tr>
      <w:tr w:rsidR="00DE3D9F" w:rsidRPr="00E90634" w14:paraId="6AFD4D09" w14:textId="77777777" w:rsidTr="003B756C">
        <w:tc>
          <w:tcPr>
            <w:tcW w:w="3043" w:type="dxa"/>
            <w:vMerge/>
            <w:tcBorders>
              <w:top w:val="nil"/>
              <w:bottom w:val="single" w:sz="12" w:space="0" w:color="auto"/>
            </w:tcBorders>
            <w:shd w:val="clear" w:color="auto" w:fill="auto"/>
          </w:tcPr>
          <w:p w14:paraId="7E3EA51B" w14:textId="77777777" w:rsidR="00DE3D9F" w:rsidRPr="00E90634" w:rsidRDefault="00DE3D9F" w:rsidP="003B756C">
            <w:pPr>
              <w:spacing w:before="40" w:after="40" w:line="320" w:lineRule="exact"/>
              <w:ind w:left="57" w:right="57"/>
              <w:rPr>
                <w:rFonts w:ascii="Simplified Arabic" w:hAnsi="Simplified Arabic"/>
                <w:szCs w:val="20"/>
              </w:rPr>
            </w:pPr>
          </w:p>
        </w:tc>
        <w:tc>
          <w:tcPr>
            <w:tcW w:w="1568" w:type="dxa"/>
            <w:shd w:val="clear" w:color="auto" w:fill="auto"/>
            <w:vAlign w:val="bottom"/>
          </w:tcPr>
          <w:p w14:paraId="4450F4FE"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E90634">
              <w:rPr>
                <w:rFonts w:ascii="Simplified Arabic" w:hAnsi="Simplified Arabic"/>
                <w:szCs w:val="20"/>
                <w:rtl/>
              </w:rPr>
              <w:t>الاتجار بالبشر</w:t>
            </w:r>
          </w:p>
        </w:tc>
        <w:tc>
          <w:tcPr>
            <w:tcW w:w="714" w:type="dxa"/>
            <w:shd w:val="clear" w:color="auto" w:fill="auto"/>
            <w:vAlign w:val="bottom"/>
          </w:tcPr>
          <w:p w14:paraId="70D39B99"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AF3116">
              <w:rPr>
                <w:rFonts w:ascii="Simplified Arabic" w:hAnsi="Simplified Arabic"/>
                <w:szCs w:val="20"/>
                <w:rtl/>
              </w:rPr>
              <w:t>555</w:t>
            </w:r>
          </w:p>
        </w:tc>
        <w:tc>
          <w:tcPr>
            <w:tcW w:w="728" w:type="dxa"/>
            <w:shd w:val="clear" w:color="auto" w:fill="auto"/>
            <w:vAlign w:val="bottom"/>
          </w:tcPr>
          <w:p w14:paraId="010528EF"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AF3116">
              <w:rPr>
                <w:rFonts w:ascii="Simplified Arabic" w:hAnsi="Simplified Arabic"/>
                <w:szCs w:val="20"/>
                <w:rtl/>
              </w:rPr>
              <w:t>0</w:t>
            </w:r>
            <w:r w:rsidRPr="00E90634">
              <w:rPr>
                <w:rFonts w:ascii="Simplified Arabic" w:hAnsi="Simplified Arabic"/>
                <w:szCs w:val="20"/>
                <w:rtl/>
              </w:rPr>
              <w:t>,</w:t>
            </w:r>
            <w:r w:rsidRPr="00AF3116">
              <w:rPr>
                <w:rFonts w:ascii="Simplified Arabic" w:hAnsi="Simplified Arabic"/>
                <w:szCs w:val="20"/>
                <w:rtl/>
              </w:rPr>
              <w:t>83</w:t>
            </w:r>
          </w:p>
        </w:tc>
        <w:tc>
          <w:tcPr>
            <w:tcW w:w="811" w:type="dxa"/>
            <w:gridSpan w:val="2"/>
            <w:shd w:val="clear" w:color="auto" w:fill="auto"/>
            <w:vAlign w:val="bottom"/>
          </w:tcPr>
          <w:p w14:paraId="3DFFFF1D"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AF3116">
              <w:rPr>
                <w:rFonts w:ascii="Simplified Arabic" w:hAnsi="Simplified Arabic"/>
                <w:szCs w:val="20"/>
                <w:rtl/>
              </w:rPr>
              <w:t>461</w:t>
            </w:r>
          </w:p>
        </w:tc>
        <w:tc>
          <w:tcPr>
            <w:tcW w:w="703" w:type="dxa"/>
            <w:shd w:val="clear" w:color="auto" w:fill="auto"/>
            <w:vAlign w:val="bottom"/>
          </w:tcPr>
          <w:p w14:paraId="20EACE69" w14:textId="77777777" w:rsidR="00DE3D9F" w:rsidRPr="00E90634" w:rsidRDefault="00DE3D9F" w:rsidP="003B756C">
            <w:pPr>
              <w:spacing w:before="40" w:after="40" w:line="320" w:lineRule="exact"/>
              <w:ind w:left="57" w:right="57"/>
              <w:jc w:val="left"/>
              <w:textDirection w:val="tbRlV"/>
              <w:rPr>
                <w:rFonts w:ascii="Simplified Arabic" w:hAnsi="Simplified Arabic"/>
                <w:szCs w:val="20"/>
                <w:lang w:val="ar-SA" w:eastAsia="zh-TW" w:bidi="en-GB"/>
              </w:rPr>
            </w:pPr>
            <w:r w:rsidRPr="00AF3116">
              <w:rPr>
                <w:rFonts w:ascii="Simplified Arabic" w:hAnsi="Simplified Arabic"/>
                <w:szCs w:val="20"/>
                <w:rtl/>
              </w:rPr>
              <w:t>0</w:t>
            </w:r>
            <w:r w:rsidRPr="00E90634">
              <w:rPr>
                <w:rFonts w:ascii="Simplified Arabic" w:hAnsi="Simplified Arabic"/>
                <w:szCs w:val="20"/>
                <w:rtl/>
              </w:rPr>
              <w:t>,</w:t>
            </w:r>
            <w:r w:rsidRPr="00AF3116">
              <w:rPr>
                <w:rFonts w:ascii="Simplified Arabic" w:hAnsi="Simplified Arabic"/>
                <w:szCs w:val="20"/>
                <w:rtl/>
              </w:rPr>
              <w:t>69</w:t>
            </w:r>
          </w:p>
        </w:tc>
      </w:tr>
    </w:tbl>
    <w:p w14:paraId="128149A2" w14:textId="77777777" w:rsidR="00DE3D9F" w:rsidRPr="001B6C67" w:rsidRDefault="00DE3D9F" w:rsidP="00DE3D9F">
      <w:pPr>
        <w:pStyle w:val="SingleTxtG"/>
        <w:spacing w:before="120"/>
        <w:rPr>
          <w:rFonts w:ascii="Simplified Arabic" w:hAnsi="Simplified Arabic"/>
          <w:sz w:val="22"/>
          <w:szCs w:val="22"/>
          <w:lang w:val="en-US"/>
        </w:rPr>
      </w:pP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25"/>
        <w:gridCol w:w="3745"/>
      </w:tblGrid>
      <w:tr w:rsidR="00DE3D9F" w:rsidRPr="006A1568" w14:paraId="49F6D1ED" w14:textId="77777777" w:rsidTr="00DE3D9F">
        <w:trPr>
          <w:tblHeader/>
        </w:trPr>
        <w:tc>
          <w:tcPr>
            <w:tcW w:w="3625" w:type="dxa"/>
            <w:tcBorders>
              <w:top w:val="single" w:sz="4" w:space="0" w:color="auto"/>
              <w:bottom w:val="single" w:sz="12" w:space="0" w:color="auto"/>
            </w:tcBorders>
            <w:shd w:val="clear" w:color="auto" w:fill="auto"/>
            <w:vAlign w:val="bottom"/>
          </w:tcPr>
          <w:p w14:paraId="04F28CF8" w14:textId="6A8CB04C" w:rsidR="00DE3D9F" w:rsidRPr="00E90634" w:rsidRDefault="00DE3D9F" w:rsidP="00E90634">
            <w:pPr>
              <w:spacing w:before="40" w:after="40" w:line="340" w:lineRule="exact"/>
              <w:ind w:right="113"/>
              <w:jc w:val="left"/>
              <w:textDirection w:val="tbRlV"/>
              <w:rPr>
                <w:rFonts w:ascii="Simplified Arabic" w:hAnsi="Simplified Arabic"/>
                <w:i/>
                <w:iCs/>
                <w:szCs w:val="20"/>
                <w:highlight w:val="cyan"/>
                <w:cs/>
                <w:lang w:val="ar-SA" w:eastAsia="zh-TW" w:bidi="en-GB"/>
              </w:rPr>
            </w:pPr>
            <w:r w:rsidRPr="00AF3116">
              <w:rPr>
                <w:rFonts w:ascii="Simplified Arabic" w:hAnsi="Simplified Arabic"/>
                <w:i/>
                <w:iCs/>
                <w:szCs w:val="20"/>
                <w:rtl/>
              </w:rPr>
              <w:lastRenderedPageBreak/>
              <w:t>حصة الإنفاق العام على الشرطة/الأمن والقضاء (بملايين</w:t>
            </w:r>
            <w:r w:rsidR="001B0794" w:rsidRPr="00AF3116">
              <w:rPr>
                <w:rFonts w:ascii="Simplified Arabic" w:hAnsi="Simplified Arabic" w:hint="cs"/>
                <w:i/>
                <w:iCs/>
                <w:szCs w:val="20"/>
                <w:rtl/>
              </w:rPr>
              <w:t> </w:t>
            </w:r>
            <w:r w:rsidRPr="00AF3116">
              <w:rPr>
                <w:rFonts w:ascii="Simplified Arabic" w:hAnsi="Simplified Arabic"/>
                <w:i/>
                <w:iCs/>
                <w:szCs w:val="20"/>
                <w:rtl/>
              </w:rPr>
              <w:t>الباتات)</w:t>
            </w:r>
          </w:p>
        </w:tc>
        <w:tc>
          <w:tcPr>
            <w:tcW w:w="3745" w:type="dxa"/>
            <w:tcBorders>
              <w:top w:val="single" w:sz="4" w:space="0" w:color="auto"/>
              <w:bottom w:val="single" w:sz="12" w:space="0" w:color="auto"/>
            </w:tcBorders>
            <w:shd w:val="clear" w:color="auto" w:fill="auto"/>
            <w:vAlign w:val="bottom"/>
          </w:tcPr>
          <w:p w14:paraId="6816B3A6" w14:textId="77777777" w:rsidR="00DE3D9F" w:rsidRPr="00AF3116" w:rsidRDefault="00DE3D9F" w:rsidP="00E90634">
            <w:pPr>
              <w:spacing w:before="40" w:after="40" w:line="340" w:lineRule="exact"/>
              <w:ind w:left="258" w:right="113"/>
              <w:jc w:val="left"/>
              <w:textDirection w:val="tbRlV"/>
              <w:rPr>
                <w:rFonts w:ascii="Simplified Arabic" w:hAnsi="Simplified Arabic"/>
                <w:i/>
                <w:iCs/>
                <w:szCs w:val="20"/>
                <w:lang w:val="ar-SA" w:eastAsia="zh-TW" w:bidi="en-GB"/>
              </w:rPr>
            </w:pPr>
            <w:r w:rsidRPr="00AF3116">
              <w:rPr>
                <w:rFonts w:ascii="Simplified Arabic" w:hAnsi="Simplified Arabic"/>
                <w:i/>
                <w:iCs/>
                <w:szCs w:val="20"/>
                <w:rtl/>
              </w:rPr>
              <w:t>569</w:t>
            </w:r>
            <w:r w:rsidRPr="00E90634">
              <w:rPr>
                <w:rFonts w:ascii="Simplified Arabic" w:hAnsi="Simplified Arabic"/>
                <w:i/>
                <w:iCs/>
                <w:szCs w:val="20"/>
                <w:rtl/>
              </w:rPr>
              <w:t>,</w:t>
            </w:r>
            <w:r w:rsidRPr="00AF3116">
              <w:rPr>
                <w:rFonts w:ascii="Simplified Arabic" w:hAnsi="Simplified Arabic"/>
                <w:i/>
                <w:iCs/>
                <w:szCs w:val="20"/>
                <w:rtl/>
              </w:rPr>
              <w:t>7</w:t>
            </w:r>
            <w:r w:rsidRPr="00E90634">
              <w:rPr>
                <w:rFonts w:ascii="Simplified Arabic" w:hAnsi="Simplified Arabic"/>
                <w:i/>
                <w:iCs/>
                <w:szCs w:val="20"/>
                <w:rtl/>
              </w:rPr>
              <w:t xml:space="preserve"> </w:t>
            </w:r>
            <w:r w:rsidRPr="00AF3116">
              <w:rPr>
                <w:rFonts w:ascii="Simplified Arabic" w:hAnsi="Simplified Arabic"/>
                <w:i/>
                <w:iCs/>
                <w:szCs w:val="20"/>
                <w:rtl/>
              </w:rPr>
              <w:t>408</w:t>
            </w:r>
            <w:r w:rsidRPr="00E90634">
              <w:rPr>
                <w:rFonts w:ascii="Simplified Arabic" w:hAnsi="Simplified Arabic"/>
                <w:i/>
                <w:iCs/>
                <w:szCs w:val="20"/>
                <w:rtl/>
              </w:rPr>
              <w:t xml:space="preserve"> (حوالي </w:t>
            </w:r>
            <w:r w:rsidRPr="00AF3116">
              <w:rPr>
                <w:rFonts w:ascii="Simplified Arabic" w:hAnsi="Simplified Arabic"/>
                <w:i/>
                <w:iCs/>
                <w:szCs w:val="20"/>
                <w:rtl/>
              </w:rPr>
              <w:t>14</w:t>
            </w:r>
            <w:r w:rsidRPr="00E90634">
              <w:rPr>
                <w:rFonts w:ascii="Simplified Arabic" w:hAnsi="Simplified Arabic"/>
                <w:i/>
                <w:iCs/>
                <w:szCs w:val="20"/>
                <w:rtl/>
              </w:rPr>
              <w:t xml:space="preserve"> في المائة من الميزانية الإجمالية)</w:t>
            </w:r>
          </w:p>
        </w:tc>
      </w:tr>
      <w:tr w:rsidR="00DE3D9F" w:rsidRPr="006A1568" w14:paraId="5F2916BE" w14:textId="77777777" w:rsidTr="00DE3D9F">
        <w:trPr>
          <w:trHeight w:hRule="exact" w:val="113"/>
          <w:tblHeader/>
        </w:trPr>
        <w:tc>
          <w:tcPr>
            <w:tcW w:w="3625" w:type="dxa"/>
            <w:tcBorders>
              <w:top w:val="single" w:sz="12" w:space="0" w:color="auto"/>
              <w:bottom w:val="nil"/>
            </w:tcBorders>
            <w:shd w:val="clear" w:color="auto" w:fill="auto"/>
          </w:tcPr>
          <w:p w14:paraId="1CE05D26" w14:textId="77777777" w:rsidR="00DE3D9F" w:rsidRPr="00E90634" w:rsidRDefault="00DE3D9F" w:rsidP="00E90634">
            <w:pPr>
              <w:spacing w:before="40" w:after="40" w:line="340" w:lineRule="exact"/>
              <w:ind w:right="113"/>
              <w:rPr>
                <w:rFonts w:ascii="Simplified Arabic" w:hAnsi="Simplified Arabic"/>
                <w:szCs w:val="20"/>
              </w:rPr>
            </w:pPr>
          </w:p>
        </w:tc>
        <w:tc>
          <w:tcPr>
            <w:tcW w:w="3745" w:type="dxa"/>
            <w:tcBorders>
              <w:top w:val="single" w:sz="12" w:space="0" w:color="auto"/>
              <w:bottom w:val="nil"/>
            </w:tcBorders>
            <w:shd w:val="clear" w:color="auto" w:fill="auto"/>
          </w:tcPr>
          <w:p w14:paraId="66622B6E" w14:textId="77777777" w:rsidR="00DE3D9F" w:rsidRPr="00E90634" w:rsidRDefault="00DE3D9F" w:rsidP="00E90634">
            <w:pPr>
              <w:spacing w:before="40" w:after="40" w:line="340" w:lineRule="exact"/>
              <w:ind w:left="200" w:right="113"/>
              <w:rPr>
                <w:rFonts w:ascii="Simplified Arabic" w:hAnsi="Simplified Arabic"/>
                <w:szCs w:val="20"/>
              </w:rPr>
            </w:pPr>
          </w:p>
        </w:tc>
      </w:tr>
      <w:tr w:rsidR="00DE3D9F" w:rsidRPr="006A1568" w14:paraId="3DFFBF37" w14:textId="77777777" w:rsidTr="00DE3D9F">
        <w:tc>
          <w:tcPr>
            <w:tcW w:w="3625" w:type="dxa"/>
            <w:tcBorders>
              <w:top w:val="nil"/>
              <w:bottom w:val="nil"/>
            </w:tcBorders>
            <w:shd w:val="clear" w:color="auto" w:fill="auto"/>
          </w:tcPr>
          <w:p w14:paraId="12447B4E" w14:textId="56BD1DDA" w:rsidR="00DE3D9F" w:rsidRPr="00E90634" w:rsidRDefault="00DE3D9F" w:rsidP="003B756C">
            <w:pPr>
              <w:spacing w:before="40" w:after="40" w:line="340" w:lineRule="exact"/>
              <w:ind w:right="367"/>
              <w:textDirection w:val="tbRlV"/>
              <w:rPr>
                <w:rFonts w:ascii="Simplified Arabic" w:hAnsi="Simplified Arabic"/>
                <w:szCs w:val="20"/>
                <w:lang w:eastAsia="zh-TW" w:bidi="en-GB"/>
              </w:rPr>
            </w:pPr>
            <w:r w:rsidRPr="00E90634">
              <w:rPr>
                <w:rFonts w:ascii="Simplified Arabic" w:hAnsi="Simplified Arabic"/>
                <w:spacing w:val="-4"/>
                <w:szCs w:val="20"/>
                <w:rtl/>
              </w:rPr>
              <w:t>السجناء المدانون، مصنفون حسب الجرائم وقرارات المحاكم</w:t>
            </w:r>
            <w:r w:rsidR="003B756C">
              <w:rPr>
                <w:rFonts w:ascii="Simplified Arabic" w:hAnsi="Simplified Arabic" w:hint="cs"/>
                <w:szCs w:val="20"/>
                <w:rtl/>
              </w:rPr>
              <w:t xml:space="preserve"> </w:t>
            </w:r>
            <w:r w:rsidRPr="00E90634">
              <w:rPr>
                <w:rFonts w:ascii="Simplified Arabic" w:hAnsi="Simplified Arabic"/>
                <w:szCs w:val="20"/>
                <w:rtl/>
              </w:rPr>
              <w:t xml:space="preserve">(في </w:t>
            </w:r>
            <w:r w:rsidRPr="00AF3116">
              <w:rPr>
                <w:rFonts w:ascii="Simplified Arabic" w:hAnsi="Simplified Arabic"/>
                <w:szCs w:val="20"/>
                <w:rtl/>
              </w:rPr>
              <w:t>3</w:t>
            </w:r>
            <w:r w:rsidRPr="00E90634">
              <w:rPr>
                <w:rFonts w:ascii="Simplified Arabic" w:hAnsi="Simplified Arabic"/>
                <w:szCs w:val="20"/>
                <w:rtl/>
              </w:rPr>
              <w:t xml:space="preserve"> نيسان/أبريل </w:t>
            </w:r>
            <w:r w:rsidRPr="00AF3116">
              <w:rPr>
                <w:rFonts w:ascii="Simplified Arabic" w:hAnsi="Simplified Arabic"/>
                <w:szCs w:val="20"/>
                <w:rtl/>
              </w:rPr>
              <w:t>2019</w:t>
            </w:r>
            <w:r w:rsidRPr="00E90634">
              <w:rPr>
                <w:rFonts w:ascii="Simplified Arabic" w:hAnsi="Simplified Arabic"/>
                <w:szCs w:val="20"/>
                <w:rtl/>
              </w:rPr>
              <w:t>)</w:t>
            </w:r>
          </w:p>
        </w:tc>
        <w:tc>
          <w:tcPr>
            <w:tcW w:w="3745" w:type="dxa"/>
            <w:tcBorders>
              <w:top w:val="nil"/>
              <w:bottom w:val="nil"/>
            </w:tcBorders>
            <w:shd w:val="clear" w:color="auto" w:fill="auto"/>
          </w:tcPr>
          <w:p w14:paraId="683B1775" w14:textId="77777777" w:rsidR="00DE3D9F" w:rsidRPr="00E90634" w:rsidRDefault="00DE3D9F" w:rsidP="00E90634">
            <w:pPr>
              <w:spacing w:before="40" w:after="40" w:line="340" w:lineRule="exact"/>
              <w:ind w:right="113"/>
              <w:textDirection w:val="tbRlV"/>
              <w:rPr>
                <w:rFonts w:ascii="Simplified Arabic" w:hAnsi="Simplified Arabic"/>
                <w:szCs w:val="20"/>
                <w:cs/>
                <w:lang w:val="ar-SA" w:eastAsia="zh-TW" w:bidi="en-GB"/>
              </w:rPr>
            </w:pPr>
            <w:r w:rsidRPr="00E90634">
              <w:rPr>
                <w:rFonts w:ascii="Simplified Arabic" w:hAnsi="Simplified Arabic"/>
                <w:szCs w:val="20"/>
                <w:rtl/>
              </w:rPr>
              <w:t>يرجى الرجوع إلى الجداول المرفقة.</w:t>
            </w:r>
          </w:p>
        </w:tc>
      </w:tr>
      <w:tr w:rsidR="00DE3D9F" w:rsidRPr="006A1568" w14:paraId="09A90089" w14:textId="77777777" w:rsidTr="00DE3D9F">
        <w:tc>
          <w:tcPr>
            <w:tcW w:w="3625" w:type="dxa"/>
            <w:tcBorders>
              <w:top w:val="nil"/>
              <w:bottom w:val="nil"/>
            </w:tcBorders>
            <w:shd w:val="clear" w:color="auto" w:fill="auto"/>
          </w:tcPr>
          <w:p w14:paraId="17578769" w14:textId="77777777" w:rsidR="00DE3D9F" w:rsidRPr="00E90634" w:rsidRDefault="00DE3D9F" w:rsidP="00E90634">
            <w:pPr>
              <w:spacing w:before="40" w:after="40" w:line="340" w:lineRule="exact"/>
              <w:ind w:right="367"/>
              <w:textDirection w:val="tbRlV"/>
              <w:rPr>
                <w:rFonts w:ascii="Simplified Arabic" w:hAnsi="Simplified Arabic"/>
                <w:szCs w:val="20"/>
                <w:lang w:val="ar-SA" w:eastAsia="zh-TW" w:bidi="en-GB"/>
              </w:rPr>
            </w:pPr>
            <w:r w:rsidRPr="00E90634">
              <w:rPr>
                <w:rFonts w:ascii="Simplified Arabic" w:hAnsi="Simplified Arabic"/>
                <w:szCs w:val="20"/>
                <w:rtl/>
              </w:rPr>
              <w:t xml:space="preserve">المتهمون والمحتجزون الذين يقدمون طلباً للحصول على مساعدة قانونية مجانية </w:t>
            </w:r>
          </w:p>
        </w:tc>
        <w:tc>
          <w:tcPr>
            <w:tcW w:w="3745" w:type="dxa"/>
            <w:tcBorders>
              <w:top w:val="nil"/>
              <w:bottom w:val="nil"/>
            </w:tcBorders>
            <w:shd w:val="clear" w:color="auto" w:fill="auto"/>
            <w:vAlign w:val="bottom"/>
          </w:tcPr>
          <w:p w14:paraId="13F2863D" w14:textId="77777777" w:rsidR="00DE3D9F" w:rsidRPr="00E90634" w:rsidRDefault="00DE3D9F" w:rsidP="00E90634">
            <w:pPr>
              <w:spacing w:before="40" w:after="40" w:line="340" w:lineRule="exact"/>
              <w:ind w:right="113"/>
              <w:textDirection w:val="tbRlV"/>
              <w:rPr>
                <w:rFonts w:ascii="Simplified Arabic" w:hAnsi="Simplified Arabic"/>
                <w:szCs w:val="20"/>
                <w:cs/>
                <w:lang w:val="ar-SA" w:eastAsia="zh-TW" w:bidi="en-GB"/>
              </w:rPr>
            </w:pPr>
            <w:r w:rsidRPr="00AF3116">
              <w:rPr>
                <w:rFonts w:ascii="Simplified Arabic" w:hAnsi="Simplified Arabic"/>
                <w:szCs w:val="20"/>
                <w:rtl/>
              </w:rPr>
              <w:t>744</w:t>
            </w:r>
            <w:r w:rsidRPr="00E90634">
              <w:rPr>
                <w:rFonts w:ascii="Simplified Arabic" w:hAnsi="Simplified Arabic"/>
                <w:szCs w:val="20"/>
                <w:rtl/>
              </w:rPr>
              <w:t xml:space="preserve"> حالة في عام </w:t>
            </w:r>
            <w:r w:rsidRPr="00AF3116">
              <w:rPr>
                <w:rFonts w:ascii="Simplified Arabic" w:hAnsi="Simplified Arabic"/>
                <w:szCs w:val="20"/>
                <w:rtl/>
              </w:rPr>
              <w:t>2015</w:t>
            </w:r>
          </w:p>
          <w:p w14:paraId="5A148363" w14:textId="77777777" w:rsidR="00DE3D9F" w:rsidRPr="00E90634" w:rsidRDefault="00DE3D9F" w:rsidP="00E90634">
            <w:pPr>
              <w:spacing w:before="40" w:after="40" w:line="340" w:lineRule="exact"/>
              <w:ind w:right="113"/>
              <w:textDirection w:val="tbRlV"/>
              <w:rPr>
                <w:rFonts w:ascii="Simplified Arabic" w:hAnsi="Simplified Arabic"/>
                <w:szCs w:val="20"/>
                <w:cs/>
                <w:lang w:val="ar-SA" w:eastAsia="zh-TW" w:bidi="en-GB"/>
              </w:rPr>
            </w:pPr>
            <w:r w:rsidRPr="00AF3116">
              <w:rPr>
                <w:rFonts w:ascii="Simplified Arabic" w:hAnsi="Simplified Arabic"/>
                <w:szCs w:val="20"/>
                <w:rtl/>
              </w:rPr>
              <w:t>757</w:t>
            </w:r>
            <w:r w:rsidRPr="00E90634">
              <w:rPr>
                <w:rFonts w:ascii="Simplified Arabic" w:hAnsi="Simplified Arabic"/>
                <w:szCs w:val="20"/>
                <w:rtl/>
              </w:rPr>
              <w:t xml:space="preserve"> حالة في عام </w:t>
            </w:r>
            <w:r w:rsidRPr="00AF3116">
              <w:rPr>
                <w:rFonts w:ascii="Simplified Arabic" w:hAnsi="Simplified Arabic"/>
                <w:szCs w:val="20"/>
                <w:rtl/>
              </w:rPr>
              <w:t>2016</w:t>
            </w:r>
          </w:p>
          <w:p w14:paraId="600153C4" w14:textId="77777777" w:rsidR="00DE3D9F" w:rsidRPr="00E90634" w:rsidRDefault="00DE3D9F" w:rsidP="00E90634">
            <w:pPr>
              <w:spacing w:before="40" w:after="40" w:line="340" w:lineRule="exact"/>
              <w:ind w:right="113"/>
              <w:textDirection w:val="tbRlV"/>
              <w:rPr>
                <w:rFonts w:ascii="Simplified Arabic" w:hAnsi="Simplified Arabic"/>
                <w:szCs w:val="20"/>
                <w:cs/>
                <w:lang w:val="ar-SA" w:eastAsia="zh-TW" w:bidi="en-GB"/>
              </w:rPr>
            </w:pPr>
            <w:r w:rsidRPr="00AF3116">
              <w:rPr>
                <w:rFonts w:ascii="Simplified Arabic" w:hAnsi="Simplified Arabic"/>
                <w:szCs w:val="20"/>
                <w:rtl/>
              </w:rPr>
              <w:t>624</w:t>
            </w:r>
            <w:r w:rsidRPr="00E90634">
              <w:rPr>
                <w:rFonts w:ascii="Simplified Arabic" w:hAnsi="Simplified Arabic"/>
                <w:szCs w:val="20"/>
                <w:rtl/>
              </w:rPr>
              <w:t xml:space="preserve"> حالة في عام </w:t>
            </w:r>
            <w:r w:rsidRPr="00AF3116">
              <w:rPr>
                <w:rFonts w:ascii="Simplified Arabic" w:hAnsi="Simplified Arabic"/>
                <w:szCs w:val="20"/>
                <w:rtl/>
              </w:rPr>
              <w:t>2017</w:t>
            </w:r>
          </w:p>
          <w:p w14:paraId="2DF76823" w14:textId="77777777" w:rsidR="00DE3D9F" w:rsidRPr="00E90634" w:rsidRDefault="00DE3D9F" w:rsidP="00E90634">
            <w:pPr>
              <w:spacing w:before="40" w:after="40" w:line="340" w:lineRule="exact"/>
              <w:ind w:right="113"/>
              <w:textDirection w:val="tbRlV"/>
              <w:rPr>
                <w:rFonts w:ascii="Simplified Arabic" w:hAnsi="Simplified Arabic"/>
                <w:szCs w:val="20"/>
                <w:cs/>
                <w:lang w:val="ar-SA" w:eastAsia="zh-TW" w:bidi="en-GB"/>
              </w:rPr>
            </w:pPr>
            <w:r w:rsidRPr="00AF3116">
              <w:rPr>
                <w:rFonts w:ascii="Simplified Arabic" w:hAnsi="Simplified Arabic"/>
                <w:szCs w:val="20"/>
                <w:rtl/>
              </w:rPr>
              <w:t>595</w:t>
            </w:r>
            <w:r w:rsidRPr="00E90634">
              <w:rPr>
                <w:rFonts w:ascii="Simplified Arabic" w:hAnsi="Simplified Arabic"/>
                <w:szCs w:val="20"/>
                <w:rtl/>
              </w:rPr>
              <w:t xml:space="preserve"> حالة في عام </w:t>
            </w:r>
            <w:r w:rsidRPr="00AF3116">
              <w:rPr>
                <w:rFonts w:ascii="Simplified Arabic" w:hAnsi="Simplified Arabic"/>
                <w:szCs w:val="20"/>
                <w:rtl/>
              </w:rPr>
              <w:t>2018</w:t>
            </w:r>
          </w:p>
          <w:p w14:paraId="0762C9B4" w14:textId="77777777" w:rsidR="00DE3D9F" w:rsidRPr="00E90634" w:rsidRDefault="00DE3D9F" w:rsidP="00E90634">
            <w:pPr>
              <w:spacing w:before="40" w:after="40" w:line="340" w:lineRule="exact"/>
              <w:ind w:right="113"/>
              <w:textDirection w:val="tbRlV"/>
              <w:rPr>
                <w:rFonts w:ascii="Simplified Arabic" w:hAnsi="Simplified Arabic"/>
                <w:szCs w:val="20"/>
                <w:cs/>
                <w:lang w:val="ar-SA" w:eastAsia="zh-TW" w:bidi="en-GB"/>
              </w:rPr>
            </w:pPr>
            <w:r w:rsidRPr="00AF3116">
              <w:rPr>
                <w:rFonts w:ascii="Simplified Arabic" w:hAnsi="Simplified Arabic"/>
                <w:szCs w:val="20"/>
                <w:rtl/>
              </w:rPr>
              <w:t>576</w:t>
            </w:r>
            <w:r w:rsidRPr="00E90634">
              <w:rPr>
                <w:rFonts w:ascii="Simplified Arabic" w:hAnsi="Simplified Arabic"/>
                <w:szCs w:val="20"/>
                <w:rtl/>
              </w:rPr>
              <w:t xml:space="preserve"> حالة في عام </w:t>
            </w:r>
            <w:r w:rsidRPr="00AF3116">
              <w:rPr>
                <w:rFonts w:ascii="Simplified Arabic" w:hAnsi="Simplified Arabic"/>
                <w:szCs w:val="20"/>
                <w:rtl/>
              </w:rPr>
              <w:t>2019</w:t>
            </w:r>
          </w:p>
          <w:p w14:paraId="73E0C0B3" w14:textId="77777777" w:rsidR="00DE3D9F" w:rsidRPr="00E90634" w:rsidRDefault="00DE3D9F" w:rsidP="00E90634">
            <w:pPr>
              <w:spacing w:before="40" w:after="40" w:line="340" w:lineRule="exact"/>
              <w:ind w:right="113"/>
              <w:textDirection w:val="tbRlV"/>
              <w:rPr>
                <w:rFonts w:ascii="Simplified Arabic" w:hAnsi="Simplified Arabic"/>
                <w:szCs w:val="20"/>
                <w:cs/>
                <w:lang w:val="ar-SA" w:eastAsia="zh-TW" w:bidi="en-GB"/>
              </w:rPr>
            </w:pPr>
            <w:r w:rsidRPr="00AF3116">
              <w:rPr>
                <w:rFonts w:ascii="Simplified Arabic" w:hAnsi="Simplified Arabic"/>
                <w:szCs w:val="20"/>
                <w:rtl/>
              </w:rPr>
              <w:t>275</w:t>
            </w:r>
            <w:r w:rsidRPr="00E90634">
              <w:rPr>
                <w:rFonts w:ascii="Simplified Arabic" w:hAnsi="Simplified Arabic"/>
                <w:szCs w:val="20"/>
                <w:rtl/>
              </w:rPr>
              <w:t xml:space="preserve"> حالة في عام </w:t>
            </w:r>
            <w:r w:rsidRPr="00AF3116">
              <w:rPr>
                <w:rFonts w:ascii="Simplified Arabic" w:hAnsi="Simplified Arabic"/>
                <w:szCs w:val="20"/>
                <w:rtl/>
              </w:rPr>
              <w:t>2020</w:t>
            </w:r>
          </w:p>
          <w:p w14:paraId="104D89B8" w14:textId="2DA206B5" w:rsidR="00DE3D9F" w:rsidRPr="00E90634" w:rsidRDefault="00DE3D9F" w:rsidP="00E90634">
            <w:pPr>
              <w:spacing w:before="40" w:after="40" w:line="340" w:lineRule="exact"/>
              <w:ind w:right="113"/>
              <w:textDirection w:val="tbRlV"/>
              <w:rPr>
                <w:rFonts w:ascii="Simplified Arabic" w:hAnsi="Simplified Arabic"/>
                <w:szCs w:val="20"/>
                <w:rtl/>
                <w:lang w:val="ar-SA" w:eastAsia="zh-TW"/>
              </w:rPr>
            </w:pPr>
            <w:r w:rsidRPr="00AF3116">
              <w:rPr>
                <w:rFonts w:ascii="Simplified Arabic" w:hAnsi="Simplified Arabic"/>
                <w:b/>
                <w:bCs/>
                <w:szCs w:val="20"/>
                <w:rtl/>
              </w:rPr>
              <w:t>مجموع الحالات 571</w:t>
            </w:r>
            <w:r w:rsidRPr="007D3947">
              <w:rPr>
                <w:rFonts w:ascii="Simplified Arabic" w:hAnsi="Simplified Arabic"/>
                <w:b/>
                <w:bCs/>
                <w:szCs w:val="20"/>
                <w:rtl/>
              </w:rPr>
              <w:t xml:space="preserve"> 3 </w:t>
            </w:r>
            <w:r w:rsidR="007D3947" w:rsidRPr="007D3947">
              <w:rPr>
                <w:rFonts w:ascii="Simplified Arabic" w:hAnsi="Simplified Arabic" w:hint="cs"/>
                <w:b/>
                <w:bCs/>
                <w:szCs w:val="20"/>
                <w:rtl/>
              </w:rPr>
              <w:t>حالة</w:t>
            </w:r>
          </w:p>
        </w:tc>
      </w:tr>
      <w:tr w:rsidR="00DE3D9F" w:rsidRPr="006A1568" w14:paraId="68FB6700" w14:textId="77777777" w:rsidTr="00DE3D9F">
        <w:tc>
          <w:tcPr>
            <w:tcW w:w="3625" w:type="dxa"/>
            <w:tcBorders>
              <w:top w:val="nil"/>
            </w:tcBorders>
            <w:shd w:val="clear" w:color="auto" w:fill="auto"/>
          </w:tcPr>
          <w:p w14:paraId="33862D16" w14:textId="21CE04FE" w:rsidR="00DE3D9F" w:rsidRPr="00E90634" w:rsidRDefault="00DE3D9F" w:rsidP="00E90634">
            <w:pPr>
              <w:spacing w:before="40" w:after="40" w:line="340" w:lineRule="exact"/>
              <w:ind w:right="367"/>
              <w:textDirection w:val="tbRlV"/>
              <w:rPr>
                <w:rFonts w:ascii="Simplified Arabic" w:hAnsi="Simplified Arabic"/>
                <w:szCs w:val="20"/>
                <w:lang w:eastAsia="zh-TW" w:bidi="en-GB"/>
              </w:rPr>
            </w:pPr>
            <w:r w:rsidRPr="00E90634">
              <w:rPr>
                <w:rFonts w:ascii="Simplified Arabic" w:hAnsi="Simplified Arabic"/>
                <w:szCs w:val="20"/>
                <w:rtl/>
              </w:rPr>
              <w:t>الضحايا والمتهمون الحاصلون على تعويض من</w:t>
            </w:r>
            <w:r w:rsidR="00E90634">
              <w:rPr>
                <w:rFonts w:ascii="Simplified Arabic" w:hAnsi="Simplified Arabic" w:hint="cs"/>
                <w:szCs w:val="20"/>
                <w:rtl/>
              </w:rPr>
              <w:t> </w:t>
            </w:r>
            <w:r w:rsidRPr="00E90634">
              <w:rPr>
                <w:rFonts w:ascii="Simplified Arabic" w:hAnsi="Simplified Arabic"/>
                <w:szCs w:val="20"/>
                <w:rtl/>
              </w:rPr>
              <w:t xml:space="preserve">خلال قانون تعويض ونفقات المتهمين في القضايا الجنائية </w:t>
            </w:r>
            <w:r w:rsidRPr="00E90634">
              <w:rPr>
                <w:rFonts w:cs="Times New Roman"/>
                <w:szCs w:val="20"/>
              </w:rPr>
              <w:t xml:space="preserve">B.E. </w:t>
            </w:r>
            <w:r w:rsidRPr="00AF3116">
              <w:rPr>
                <w:rFonts w:cs="Times New Roman"/>
                <w:szCs w:val="20"/>
              </w:rPr>
              <w:t>2544</w:t>
            </w:r>
            <w:r w:rsidRPr="00E90634">
              <w:rPr>
                <w:rFonts w:cs="Times New Roman"/>
                <w:szCs w:val="20"/>
              </w:rPr>
              <w:t xml:space="preserve"> (</w:t>
            </w:r>
            <w:r w:rsidRPr="00AF3116">
              <w:rPr>
                <w:rFonts w:cs="Times New Roman"/>
                <w:szCs w:val="20"/>
              </w:rPr>
              <w:t>2001</w:t>
            </w:r>
            <w:r w:rsidRPr="00E90634">
              <w:rPr>
                <w:rFonts w:ascii="Simplified Arabic" w:hAnsi="Simplified Arabic"/>
                <w:szCs w:val="20"/>
              </w:rPr>
              <w:t>)</w:t>
            </w:r>
            <w:r w:rsidRPr="00E90634">
              <w:rPr>
                <w:rFonts w:ascii="Simplified Arabic" w:hAnsi="Simplified Arabic"/>
                <w:szCs w:val="20"/>
                <w:rtl/>
              </w:rPr>
              <w:t xml:space="preserve"> وتعديلات عام </w:t>
            </w:r>
            <w:r w:rsidRPr="00AF3116">
              <w:rPr>
                <w:rFonts w:ascii="Simplified Arabic" w:hAnsi="Simplified Arabic"/>
                <w:szCs w:val="20"/>
                <w:rtl/>
              </w:rPr>
              <w:t>2016</w:t>
            </w:r>
            <w:r w:rsidRPr="00E90634">
              <w:rPr>
                <w:rFonts w:ascii="Simplified Arabic" w:hAnsi="Simplified Arabic"/>
                <w:szCs w:val="20"/>
                <w:rtl/>
              </w:rPr>
              <w:t xml:space="preserve"> </w:t>
            </w:r>
          </w:p>
        </w:tc>
        <w:tc>
          <w:tcPr>
            <w:tcW w:w="3745" w:type="dxa"/>
            <w:tcBorders>
              <w:top w:val="nil"/>
            </w:tcBorders>
            <w:shd w:val="clear" w:color="auto" w:fill="auto"/>
            <w:vAlign w:val="bottom"/>
          </w:tcPr>
          <w:p w14:paraId="3D7C6A00" w14:textId="77777777" w:rsidR="00DE3D9F" w:rsidRPr="00E90634" w:rsidRDefault="00DE3D9F" w:rsidP="00E90634">
            <w:pPr>
              <w:spacing w:before="40" w:after="40" w:line="340" w:lineRule="exact"/>
              <w:ind w:right="113"/>
              <w:textDirection w:val="tbRlV"/>
              <w:rPr>
                <w:rFonts w:ascii="Simplified Arabic" w:hAnsi="Simplified Arabic"/>
                <w:szCs w:val="20"/>
                <w:lang w:eastAsia="zh-TW" w:bidi="en-GB"/>
              </w:rPr>
            </w:pPr>
            <w:r w:rsidRPr="00AF3116">
              <w:rPr>
                <w:rFonts w:ascii="Simplified Arabic" w:hAnsi="Simplified Arabic"/>
                <w:spacing w:val="-4"/>
                <w:szCs w:val="20"/>
                <w:rtl/>
              </w:rPr>
              <w:t>938</w:t>
            </w:r>
            <w:r w:rsidRPr="00E90634">
              <w:rPr>
                <w:rFonts w:ascii="Simplified Arabic" w:hAnsi="Simplified Arabic"/>
                <w:spacing w:val="-4"/>
                <w:szCs w:val="20"/>
                <w:rtl/>
              </w:rPr>
              <w:t>,</w:t>
            </w:r>
            <w:r w:rsidRPr="00AF3116">
              <w:rPr>
                <w:rFonts w:ascii="Simplified Arabic" w:hAnsi="Simplified Arabic"/>
                <w:spacing w:val="-4"/>
                <w:szCs w:val="20"/>
                <w:rtl/>
              </w:rPr>
              <w:t>28</w:t>
            </w:r>
            <w:r w:rsidRPr="00E90634">
              <w:rPr>
                <w:rFonts w:ascii="Simplified Arabic" w:hAnsi="Simplified Arabic"/>
                <w:spacing w:val="-4"/>
                <w:szCs w:val="20"/>
                <w:rtl/>
              </w:rPr>
              <w:t xml:space="preserve"> </w:t>
            </w:r>
            <w:r w:rsidRPr="00AF3116">
              <w:rPr>
                <w:rFonts w:ascii="Simplified Arabic" w:hAnsi="Simplified Arabic"/>
                <w:spacing w:val="-4"/>
                <w:szCs w:val="20"/>
                <w:rtl/>
              </w:rPr>
              <w:t>160</w:t>
            </w:r>
            <w:r w:rsidRPr="00E90634">
              <w:rPr>
                <w:rFonts w:ascii="Simplified Arabic" w:hAnsi="Simplified Arabic"/>
                <w:spacing w:val="-4"/>
                <w:szCs w:val="20"/>
                <w:rtl/>
              </w:rPr>
              <w:t xml:space="preserve"> </w:t>
            </w:r>
            <w:r w:rsidRPr="00AF3116">
              <w:rPr>
                <w:rFonts w:ascii="Simplified Arabic" w:hAnsi="Simplified Arabic"/>
                <w:spacing w:val="-4"/>
                <w:szCs w:val="20"/>
                <w:rtl/>
              </w:rPr>
              <w:t>827</w:t>
            </w:r>
            <w:r w:rsidRPr="00E90634">
              <w:rPr>
                <w:rFonts w:ascii="Simplified Arabic" w:hAnsi="Simplified Arabic"/>
                <w:spacing w:val="-4"/>
                <w:szCs w:val="20"/>
                <w:rtl/>
              </w:rPr>
              <w:t xml:space="preserve"> </w:t>
            </w:r>
            <w:r w:rsidRPr="00AF3116">
              <w:rPr>
                <w:rFonts w:ascii="Simplified Arabic" w:hAnsi="Simplified Arabic"/>
                <w:spacing w:val="-4"/>
                <w:szCs w:val="20"/>
                <w:rtl/>
              </w:rPr>
              <w:t>2</w:t>
            </w:r>
            <w:r w:rsidRPr="00E90634">
              <w:rPr>
                <w:rFonts w:ascii="Simplified Arabic" w:hAnsi="Simplified Arabic"/>
                <w:spacing w:val="-4"/>
                <w:szCs w:val="20"/>
                <w:rtl/>
              </w:rPr>
              <w:t xml:space="preserve"> بات تايلندي تم دفعه إلى </w:t>
            </w:r>
            <w:r w:rsidRPr="00AF3116">
              <w:rPr>
                <w:rFonts w:ascii="Simplified Arabic" w:hAnsi="Simplified Arabic"/>
                <w:spacing w:val="-4"/>
                <w:szCs w:val="20"/>
                <w:rtl/>
              </w:rPr>
              <w:t>948</w:t>
            </w:r>
            <w:r w:rsidRPr="00E90634">
              <w:rPr>
                <w:rFonts w:ascii="Simplified Arabic" w:hAnsi="Simplified Arabic"/>
                <w:spacing w:val="-4"/>
                <w:szCs w:val="20"/>
                <w:rtl/>
              </w:rPr>
              <w:t xml:space="preserve"> </w:t>
            </w:r>
            <w:r w:rsidRPr="00AF3116">
              <w:rPr>
                <w:rFonts w:ascii="Simplified Arabic" w:hAnsi="Simplified Arabic"/>
                <w:spacing w:val="-4"/>
                <w:szCs w:val="20"/>
                <w:rtl/>
              </w:rPr>
              <w:t>57</w:t>
            </w:r>
            <w:r w:rsidRPr="00E90634">
              <w:rPr>
                <w:rFonts w:ascii="Simplified Arabic" w:hAnsi="Simplified Arabic"/>
                <w:spacing w:val="-4"/>
                <w:szCs w:val="20"/>
                <w:rtl/>
              </w:rPr>
              <w:t xml:space="preserve"> ضحية</w:t>
            </w:r>
            <w:r w:rsidRPr="00E90634">
              <w:rPr>
                <w:rFonts w:ascii="Simplified Arabic" w:hAnsi="Simplified Arabic"/>
                <w:szCs w:val="20"/>
                <w:rtl/>
              </w:rPr>
              <w:t xml:space="preserve"> و</w:t>
            </w:r>
            <w:r w:rsidRPr="00AF3116">
              <w:rPr>
                <w:rFonts w:ascii="Simplified Arabic" w:hAnsi="Simplified Arabic"/>
                <w:szCs w:val="20"/>
                <w:rtl/>
              </w:rPr>
              <w:t>528</w:t>
            </w:r>
            <w:r w:rsidRPr="00E90634">
              <w:rPr>
                <w:rFonts w:ascii="Simplified Arabic" w:hAnsi="Simplified Arabic"/>
                <w:szCs w:val="20"/>
                <w:rtl/>
              </w:rPr>
              <w:t>,</w:t>
            </w:r>
            <w:r w:rsidRPr="00AF3116">
              <w:rPr>
                <w:rFonts w:ascii="Simplified Arabic" w:hAnsi="Simplified Arabic"/>
                <w:szCs w:val="20"/>
                <w:rtl/>
              </w:rPr>
              <w:t>00</w:t>
            </w:r>
            <w:r w:rsidRPr="00E90634">
              <w:rPr>
                <w:rFonts w:ascii="Simplified Arabic" w:hAnsi="Simplified Arabic"/>
                <w:szCs w:val="20"/>
                <w:rtl/>
              </w:rPr>
              <w:t xml:space="preserve"> </w:t>
            </w:r>
            <w:r w:rsidRPr="00AF3116">
              <w:rPr>
                <w:rFonts w:ascii="Simplified Arabic" w:hAnsi="Simplified Arabic"/>
                <w:szCs w:val="20"/>
                <w:rtl/>
              </w:rPr>
              <w:t>473</w:t>
            </w:r>
            <w:r w:rsidRPr="00E90634">
              <w:rPr>
                <w:rFonts w:ascii="Simplified Arabic" w:hAnsi="Simplified Arabic"/>
                <w:szCs w:val="20"/>
                <w:rtl/>
              </w:rPr>
              <w:t xml:space="preserve"> </w:t>
            </w:r>
            <w:r w:rsidRPr="00AF3116">
              <w:rPr>
                <w:rFonts w:ascii="Simplified Arabic" w:hAnsi="Simplified Arabic"/>
                <w:szCs w:val="20"/>
                <w:rtl/>
              </w:rPr>
              <w:t>77</w:t>
            </w:r>
            <w:r w:rsidRPr="00E90634">
              <w:rPr>
                <w:rFonts w:ascii="Simplified Arabic" w:hAnsi="Simplified Arabic"/>
                <w:szCs w:val="20"/>
                <w:rtl/>
              </w:rPr>
              <w:t xml:space="preserve"> بات تايلندي تم دفعه إلى </w:t>
            </w:r>
            <w:r w:rsidRPr="00AF3116">
              <w:rPr>
                <w:rFonts w:ascii="Simplified Arabic" w:hAnsi="Simplified Arabic"/>
                <w:szCs w:val="20"/>
                <w:rtl/>
              </w:rPr>
              <w:t>438</w:t>
            </w:r>
            <w:r w:rsidRPr="00E90634">
              <w:rPr>
                <w:rFonts w:ascii="Simplified Arabic" w:hAnsi="Simplified Arabic"/>
                <w:szCs w:val="20"/>
                <w:rtl/>
              </w:rPr>
              <w:t xml:space="preserve"> متهماً (</w:t>
            </w:r>
            <w:r w:rsidRPr="00AF3116">
              <w:rPr>
                <w:rFonts w:ascii="Simplified Arabic" w:hAnsi="Simplified Arabic"/>
                <w:szCs w:val="20"/>
                <w:rtl/>
              </w:rPr>
              <w:t>1</w:t>
            </w:r>
            <w:r w:rsidRPr="00E90634">
              <w:rPr>
                <w:rFonts w:ascii="Simplified Arabic" w:hAnsi="Simplified Arabic"/>
                <w:szCs w:val="20"/>
                <w:rtl/>
              </w:rPr>
              <w:t xml:space="preserve"> تشرين الأول/أكتوبر </w:t>
            </w:r>
            <w:r w:rsidRPr="00AF3116">
              <w:rPr>
                <w:rFonts w:ascii="Simplified Arabic" w:hAnsi="Simplified Arabic"/>
                <w:szCs w:val="20"/>
                <w:rtl/>
              </w:rPr>
              <w:t>2015</w:t>
            </w:r>
            <w:r w:rsidRPr="00E90634">
              <w:rPr>
                <w:rFonts w:ascii="Simplified Arabic" w:hAnsi="Simplified Arabic"/>
                <w:szCs w:val="20"/>
                <w:rtl/>
              </w:rPr>
              <w:t>-</w:t>
            </w:r>
            <w:r w:rsidRPr="00AF3116">
              <w:rPr>
                <w:rFonts w:ascii="Simplified Arabic" w:hAnsi="Simplified Arabic"/>
                <w:szCs w:val="20"/>
                <w:rtl/>
              </w:rPr>
              <w:t>30</w:t>
            </w:r>
            <w:r w:rsidRPr="00E90634">
              <w:rPr>
                <w:rFonts w:ascii="Simplified Arabic" w:hAnsi="Simplified Arabic"/>
                <w:szCs w:val="20"/>
                <w:rtl/>
              </w:rPr>
              <w:t xml:space="preserve"> حزيران/يونيه </w:t>
            </w:r>
            <w:r w:rsidRPr="00AF3116">
              <w:rPr>
                <w:rFonts w:ascii="Simplified Arabic" w:hAnsi="Simplified Arabic"/>
                <w:szCs w:val="20"/>
                <w:rtl/>
              </w:rPr>
              <w:t>2020</w:t>
            </w:r>
            <w:r w:rsidRPr="00E90634">
              <w:rPr>
                <w:rFonts w:ascii="Simplified Arabic" w:hAnsi="Simplified Arabic"/>
                <w:szCs w:val="20"/>
                <w:rtl/>
              </w:rPr>
              <w:t>)</w:t>
            </w:r>
          </w:p>
        </w:tc>
      </w:tr>
    </w:tbl>
    <w:p w14:paraId="0FAB6583" w14:textId="77777777" w:rsidR="00DE3D9F" w:rsidRPr="001B6C67" w:rsidRDefault="00DE3D9F" w:rsidP="00E90634">
      <w:pPr>
        <w:pStyle w:val="SingleTxtGA"/>
        <w:spacing w:before="240"/>
        <w:rPr>
          <w:lang w:val="ar-SA" w:eastAsia="zh-TW" w:bidi="en-GB"/>
        </w:rPr>
      </w:pPr>
      <w:r w:rsidRPr="00AF3116">
        <w:rPr>
          <w:rtl/>
        </w:rPr>
        <w:t>61</w:t>
      </w:r>
      <w:r w:rsidRPr="001B6C67">
        <w:rPr>
          <w:rtl/>
        </w:rPr>
        <w:t>-</w:t>
      </w:r>
      <w:r w:rsidRPr="001B6C67">
        <w:rPr>
          <w:rtl/>
        </w:rPr>
        <w:tab/>
        <w:t xml:space="preserve">وفي عام </w:t>
      </w:r>
      <w:r w:rsidRPr="00AF3116">
        <w:rPr>
          <w:rtl/>
        </w:rPr>
        <w:t>2018</w:t>
      </w:r>
      <w:r w:rsidRPr="001B6C67">
        <w:rPr>
          <w:rtl/>
        </w:rPr>
        <w:t xml:space="preserve">، نفذت تايلاند أمر إعدام للمرة الأولى منذ تسع سنوات. وتجدر الإشارة إلى أن القضايا التي تنطوي على عقوبة الإعدام يجري النظر فيها بعناية أثناء خضوعها للإجراءات القانونية الواجبة. غير أن كل قضية فريدة من نوعها ولها ظروف مختلفة. ويمكن الاطلاع على مزيد من المعلومات في الفقرتين </w:t>
      </w:r>
      <w:r w:rsidRPr="00AF3116">
        <w:rPr>
          <w:rtl/>
        </w:rPr>
        <w:t>100</w:t>
      </w:r>
      <w:r w:rsidRPr="001B6C67">
        <w:rPr>
          <w:rtl/>
        </w:rPr>
        <w:t xml:space="preserve"> و</w:t>
      </w:r>
      <w:r w:rsidRPr="00AF3116">
        <w:rPr>
          <w:rtl/>
        </w:rPr>
        <w:t>101</w:t>
      </w:r>
      <w:r w:rsidRPr="001B6C67">
        <w:rPr>
          <w:rtl/>
        </w:rPr>
        <w:t>.</w:t>
      </w:r>
    </w:p>
    <w:p w14:paraId="3D620564" w14:textId="77777777" w:rsidR="00DE3D9F" w:rsidRPr="001B6C67" w:rsidRDefault="00DE3D9F" w:rsidP="001B0794">
      <w:pPr>
        <w:pStyle w:val="H23GA"/>
        <w:rPr>
          <w:lang w:val="ar-SA" w:eastAsia="zh-TW" w:bidi="en-GB"/>
        </w:rPr>
      </w:pPr>
      <w:r w:rsidRPr="001B6C67">
        <w:rPr>
          <w:rtl/>
        </w:rPr>
        <w:tab/>
      </w:r>
      <w:r w:rsidRPr="001B6C67">
        <w:rPr>
          <w:rtl/>
        </w:rPr>
        <w:tab/>
      </w:r>
      <w:r w:rsidRPr="00AF3116">
        <w:rPr>
          <w:rtl/>
        </w:rPr>
        <w:t>إمكانية اللجوء إلى القضاء</w:t>
      </w:r>
    </w:p>
    <w:p w14:paraId="7475AD02" w14:textId="4AC6601C" w:rsidR="00DE3D9F" w:rsidRPr="001B6C67" w:rsidRDefault="00DE3D9F" w:rsidP="00DE3D9F">
      <w:pPr>
        <w:pStyle w:val="SingleTxtGA"/>
        <w:rPr>
          <w:lang w:val="ar-SA" w:eastAsia="zh-TW" w:bidi="en-GB"/>
        </w:rPr>
      </w:pPr>
      <w:r w:rsidRPr="00AF3116">
        <w:rPr>
          <w:rtl/>
        </w:rPr>
        <w:t>62</w:t>
      </w:r>
      <w:r w:rsidRPr="001B6C67">
        <w:rPr>
          <w:rtl/>
        </w:rPr>
        <w:t>-</w:t>
      </w:r>
      <w:r w:rsidRPr="001B6C67">
        <w:rPr>
          <w:rtl/>
        </w:rPr>
        <w:tab/>
        <w:t xml:space="preserve">لدى الأشخاص والمجتمعات المحلية المتضررة من انتهاكات حقوق الإنسان مجموعة واسعة من الخيارات لتقديم الشكاوى أو التماس الإنصاف، بما في ذلك من خلال الخطوط الساخنة ومراكز التنسيق، </w:t>
      </w:r>
      <w:r>
        <w:rPr>
          <w:rtl/>
        </w:rPr>
        <w:t>ومنها</w:t>
      </w:r>
      <w:r w:rsidRPr="001B6C67">
        <w:rPr>
          <w:rtl/>
        </w:rPr>
        <w:t xml:space="preserve"> مراكز </w:t>
      </w:r>
      <w:proofErr w:type="spellStart"/>
      <w:r w:rsidRPr="001B6C67">
        <w:rPr>
          <w:rtl/>
        </w:rPr>
        <w:t>دامرونغدارما</w:t>
      </w:r>
      <w:proofErr w:type="spellEnd"/>
      <w:r w:rsidRPr="001B6C67">
        <w:rPr>
          <w:rtl/>
        </w:rPr>
        <w:t xml:space="preserve"> ومراكز الوكالات</w:t>
      </w:r>
      <w:r>
        <w:rPr>
          <w:rtl/>
        </w:rPr>
        <w:t xml:space="preserve"> المختلفة</w:t>
      </w:r>
      <w:r w:rsidRPr="001B6C67">
        <w:rPr>
          <w:rtl/>
        </w:rPr>
        <w:t>، واللجنة الوطنية لحقوق الإنسان، وكذلك من خلال</w:t>
      </w:r>
      <w:r w:rsidR="00D55C97">
        <w:rPr>
          <w:rFonts w:hint="cs"/>
          <w:rtl/>
        </w:rPr>
        <w:t> </w:t>
      </w:r>
      <w:r w:rsidRPr="001B6C67">
        <w:rPr>
          <w:rtl/>
        </w:rPr>
        <w:t>المحاكم.</w:t>
      </w:r>
    </w:p>
    <w:p w14:paraId="617B2434" w14:textId="77777777" w:rsidR="00DE3D9F" w:rsidRPr="001B6C67" w:rsidRDefault="00DE3D9F" w:rsidP="00DE3D9F">
      <w:pPr>
        <w:pStyle w:val="SingleTxtGA"/>
        <w:rPr>
          <w:lang w:val="ar-SA" w:eastAsia="zh-TW" w:bidi="en-GB"/>
        </w:rPr>
      </w:pPr>
      <w:r w:rsidRPr="00AF3116">
        <w:rPr>
          <w:rtl/>
        </w:rPr>
        <w:t>63</w:t>
      </w:r>
      <w:r w:rsidRPr="001B6C67">
        <w:rPr>
          <w:rtl/>
        </w:rPr>
        <w:t>-</w:t>
      </w:r>
      <w:r w:rsidRPr="001B6C67">
        <w:rPr>
          <w:rtl/>
        </w:rPr>
        <w:tab/>
        <w:t xml:space="preserve">وتولي تايلند أهمية كبيرة لضمان وصول الجميع إلى العدالة، ولا سيما بالنسبة للفئات الضعيفة والمحرومة التي عانت بشكل غير متناسب من صعوبات قانونية. وينعكس ذلك في توسيع نطاق المساعدة القانونية لتشمل جميع القنوات، بما في ذلك المكالمات عبر الإنترنت والفيديو، فضلاً عن التطبيقات الخطية، وكذلك المبادرات الرامية إلى إنشاء لغة إشارة موحدة لإجراءات المحاكم وتسجيل وتدريب المترجمين الفوريين للغة الإشارة، </w:t>
      </w:r>
      <w:r>
        <w:rPr>
          <w:rtl/>
        </w:rPr>
        <w:t>في جملة</w:t>
      </w:r>
      <w:r w:rsidRPr="001B6C67">
        <w:rPr>
          <w:rtl/>
        </w:rPr>
        <w:t xml:space="preserve"> أمور أخرى. </w:t>
      </w:r>
      <w:bookmarkStart w:id="10" w:name="_Ref40791583"/>
    </w:p>
    <w:p w14:paraId="4C28D01B" w14:textId="77777777" w:rsidR="00DE3D9F" w:rsidRPr="001B6C67" w:rsidRDefault="00DE3D9F" w:rsidP="00DE3D9F">
      <w:pPr>
        <w:pStyle w:val="SingleTxtGA"/>
        <w:rPr>
          <w:lang w:val="ar-SA" w:eastAsia="zh-TW" w:bidi="en-GB"/>
        </w:rPr>
      </w:pPr>
      <w:r w:rsidRPr="00AF3116">
        <w:rPr>
          <w:rtl/>
        </w:rPr>
        <w:t>64</w:t>
      </w:r>
      <w:r w:rsidRPr="001B6C67">
        <w:rPr>
          <w:rtl/>
        </w:rPr>
        <w:t>-</w:t>
      </w:r>
      <w:r w:rsidRPr="001B6C67">
        <w:rPr>
          <w:rtl/>
        </w:rPr>
        <w:tab/>
        <w:t xml:space="preserve">ويوفر قانون صندوق العدالة لعام </w:t>
      </w:r>
      <w:r w:rsidRPr="00AF3116">
        <w:rPr>
          <w:rtl/>
        </w:rPr>
        <w:t>2015</w:t>
      </w:r>
      <w:r w:rsidRPr="001B6C67">
        <w:rPr>
          <w:rtl/>
        </w:rPr>
        <w:t xml:space="preserve"> المساعدة المالية لتعزيز فرص الوصول إلى المساعدة القانونية و</w:t>
      </w:r>
      <w:r>
        <w:rPr>
          <w:rtl/>
        </w:rPr>
        <w:t xml:space="preserve">خدمات </w:t>
      </w:r>
      <w:r w:rsidRPr="001B6C67">
        <w:rPr>
          <w:rtl/>
        </w:rPr>
        <w:t>المحامين والإجراءات القضائية. ويشمل ذلك</w:t>
      </w:r>
      <w:r>
        <w:rPr>
          <w:rtl/>
        </w:rPr>
        <w:t xml:space="preserve"> </w:t>
      </w:r>
      <w:r w:rsidRPr="001B6C67">
        <w:rPr>
          <w:rtl/>
        </w:rPr>
        <w:t>جمع الإثبات</w:t>
      </w:r>
      <w:r>
        <w:rPr>
          <w:rtl/>
        </w:rPr>
        <w:t>ات</w:t>
      </w:r>
      <w:r w:rsidRPr="001B6C67">
        <w:rPr>
          <w:rtl/>
        </w:rPr>
        <w:t xml:space="preserve"> والأدلة، و</w:t>
      </w:r>
      <w:r>
        <w:rPr>
          <w:rtl/>
        </w:rPr>
        <w:t>دفع ال</w:t>
      </w:r>
      <w:r w:rsidRPr="001B6C67">
        <w:rPr>
          <w:rtl/>
        </w:rPr>
        <w:t>رسوم</w:t>
      </w:r>
      <w:r>
        <w:rPr>
          <w:rtl/>
        </w:rPr>
        <w:t xml:space="preserve"> والكفالة إلى</w:t>
      </w:r>
      <w:r w:rsidRPr="001B6C67">
        <w:rPr>
          <w:rtl/>
        </w:rPr>
        <w:t xml:space="preserve"> المحاكم، وتعويض ضحايا انتهاكات حقوق الإنسان، فضلاً عن نشر المعرفة القانونية الأساسية على الملأ.</w:t>
      </w:r>
      <w:bookmarkEnd w:id="10"/>
    </w:p>
    <w:p w14:paraId="54C48741" w14:textId="312695B2" w:rsidR="00DE3D9F" w:rsidRPr="001B6C67" w:rsidRDefault="00DE3D9F" w:rsidP="00DE3D9F">
      <w:pPr>
        <w:pStyle w:val="SingleTxtGA"/>
        <w:rPr>
          <w:lang w:val="ar-SA" w:eastAsia="zh-TW" w:bidi="en-GB"/>
        </w:rPr>
      </w:pPr>
      <w:r w:rsidRPr="00AF3116">
        <w:rPr>
          <w:rtl/>
        </w:rPr>
        <w:t>65</w:t>
      </w:r>
      <w:r w:rsidRPr="001B6C67">
        <w:rPr>
          <w:rtl/>
        </w:rPr>
        <w:t>-</w:t>
      </w:r>
      <w:r w:rsidRPr="001B6C67">
        <w:rPr>
          <w:rtl/>
        </w:rPr>
        <w:tab/>
        <w:t xml:space="preserve">وقد </w:t>
      </w:r>
      <w:r>
        <w:rPr>
          <w:rtl/>
        </w:rPr>
        <w:t>بدأت</w:t>
      </w:r>
      <w:r w:rsidRPr="001B6C67">
        <w:rPr>
          <w:rtl/>
        </w:rPr>
        <w:t xml:space="preserve"> وزارة العدل برنامج</w:t>
      </w:r>
      <w:r>
        <w:rPr>
          <w:rtl/>
        </w:rPr>
        <w:t>اً</w:t>
      </w:r>
      <w:r w:rsidRPr="001B6C67">
        <w:rPr>
          <w:rtl/>
        </w:rPr>
        <w:t xml:space="preserve"> </w:t>
      </w:r>
      <w:r>
        <w:rPr>
          <w:rtl/>
        </w:rPr>
        <w:t>لل</w:t>
      </w:r>
      <w:r w:rsidRPr="001B6C67">
        <w:rPr>
          <w:rtl/>
        </w:rPr>
        <w:t xml:space="preserve">توعية بعنوان "رعاية العدالة" يجمع في منصة واحدة بين عدة وسائل معقدة قائمة لمساعدة المصابين وضحايا الجريمة. ويتناول هذا البرنامج الشكاوى </w:t>
      </w:r>
      <w:r>
        <w:rPr>
          <w:rtl/>
        </w:rPr>
        <w:t>فوراً وبفعالية</w:t>
      </w:r>
      <w:r w:rsidRPr="001B6C67">
        <w:rPr>
          <w:rtl/>
        </w:rPr>
        <w:t xml:space="preserve">. </w:t>
      </w:r>
      <w:r w:rsidRPr="001B6C67">
        <w:rPr>
          <w:rtl/>
        </w:rPr>
        <w:lastRenderedPageBreak/>
        <w:t xml:space="preserve">وهذه الخدمة متاحة للجميع بغض النظر عن عرقهم أو جنسيتهم. ومن خلال هذه القناة، يمكن للناس </w:t>
      </w:r>
      <w:r>
        <w:rPr>
          <w:rtl/>
        </w:rPr>
        <w:t>أن ي</w:t>
      </w:r>
      <w:r w:rsidRPr="001B6C67">
        <w:rPr>
          <w:rtl/>
        </w:rPr>
        <w:t>طلب</w:t>
      </w:r>
      <w:r>
        <w:rPr>
          <w:rtl/>
        </w:rPr>
        <w:t>وا</w:t>
      </w:r>
      <w:r w:rsidRPr="001B6C67">
        <w:rPr>
          <w:rtl/>
        </w:rPr>
        <w:t xml:space="preserve"> المشورة القانونية والمساعدة القانونية ورد الحق وتعويض الدولة وحماية الشهود وغير ذلك من أشكال الدعم وفقاً للتشريعات ذات الصلة</w:t>
      </w:r>
      <w:r>
        <w:rPr>
          <w:rtl/>
        </w:rPr>
        <w:t>،</w:t>
      </w:r>
      <w:r w:rsidRPr="001B6C67">
        <w:rPr>
          <w:rtl/>
        </w:rPr>
        <w:t xml:space="preserve"> مثل قانون صندوق العدالة لعام </w:t>
      </w:r>
      <w:r w:rsidRPr="00AF3116">
        <w:rPr>
          <w:rtl/>
        </w:rPr>
        <w:t>2015</w:t>
      </w:r>
      <w:r w:rsidRPr="001B6C67">
        <w:rPr>
          <w:rtl/>
        </w:rPr>
        <w:t xml:space="preserve">، وقانون تعويضات المصابين وتعويض المتهمين ونفقاتهم في القضايا الجنائية لعام </w:t>
      </w:r>
      <w:r w:rsidRPr="00AF3116">
        <w:rPr>
          <w:rtl/>
        </w:rPr>
        <w:t>2001</w:t>
      </w:r>
      <w:r w:rsidRPr="001B6C67">
        <w:rPr>
          <w:rtl/>
        </w:rPr>
        <w:t>، وقانون الإجراءات الجنائية (المادة</w:t>
      </w:r>
      <w:r w:rsidR="001B0794">
        <w:rPr>
          <w:rFonts w:hint="cs"/>
          <w:rtl/>
        </w:rPr>
        <w:t> </w:t>
      </w:r>
      <w:r w:rsidRPr="00AF3116">
        <w:rPr>
          <w:rtl/>
        </w:rPr>
        <w:t>44</w:t>
      </w:r>
      <w:r w:rsidRPr="001B6C67">
        <w:rPr>
          <w:rtl/>
        </w:rPr>
        <w:t>/</w:t>
      </w:r>
      <w:r w:rsidRPr="00AF3116">
        <w:rPr>
          <w:rtl/>
        </w:rPr>
        <w:t>1</w:t>
      </w:r>
      <w:r w:rsidRPr="001B6C67">
        <w:rPr>
          <w:rtl/>
        </w:rPr>
        <w:t>).</w:t>
      </w:r>
    </w:p>
    <w:p w14:paraId="1285B497" w14:textId="77777777" w:rsidR="00DE3D9F" w:rsidRPr="001B6C67" w:rsidRDefault="00DE3D9F" w:rsidP="00DE3D9F">
      <w:pPr>
        <w:pStyle w:val="SingleTxtGA"/>
        <w:rPr>
          <w:lang w:val="ar-SA" w:eastAsia="zh-TW" w:bidi="en-GB"/>
        </w:rPr>
      </w:pPr>
      <w:r w:rsidRPr="00AF3116">
        <w:rPr>
          <w:rtl/>
        </w:rPr>
        <w:t>66</w:t>
      </w:r>
      <w:r w:rsidRPr="001B6C67">
        <w:rPr>
          <w:rtl/>
        </w:rPr>
        <w:t>-</w:t>
      </w:r>
      <w:r w:rsidRPr="001B6C67">
        <w:rPr>
          <w:rtl/>
        </w:rPr>
        <w:tab/>
        <w:t xml:space="preserve">ولتيسير الوصول إلى العدالة، أطلقت محاكم العدل رسمياً مركز مؤتمرات العدالة الإلكترونية في عام </w:t>
      </w:r>
      <w:r w:rsidRPr="00AF3116">
        <w:rPr>
          <w:rtl/>
        </w:rPr>
        <w:t>2016</w:t>
      </w:r>
      <w:r w:rsidRPr="001B6C67">
        <w:rPr>
          <w:rtl/>
        </w:rPr>
        <w:t>. ويوفر مركز مؤتمرات العدالة الإلكترونية طريقة إضافية لاستكمال خدمات الشهود والترجمة الفورية التقليدية داخل المحكمة من خلال نظام للتداول بالفيديو. ومن شأن ذلك أن يساعد على التعجيل بالإجراءات القضائية عن طريق تخفيض وقت السفر والنفقات لمن يحتاجون إلى المثول أمام المحكمة، فضلاً عن حماية القصر وغيرهم من الشهود الضعفاء من المواجهة مع المشتبه فيه. وتحتفظ محاكم العدل أيضاً بقائمة بمترجمي اللغات الأجنبية لأي محكمة ترغب في استجواب الشهود الذين يجدون صعوبة في التواصل باللغة التايلندية.</w:t>
      </w:r>
    </w:p>
    <w:p w14:paraId="2E6DAE84" w14:textId="1549F5ED" w:rsidR="00DE3D9F" w:rsidRPr="001B6C67" w:rsidRDefault="00DE3D9F" w:rsidP="00DE3D9F">
      <w:pPr>
        <w:pStyle w:val="SingleTxtGA"/>
        <w:rPr>
          <w:lang w:val="ar-SA" w:eastAsia="zh-TW" w:bidi="en-GB"/>
        </w:rPr>
      </w:pPr>
      <w:r w:rsidRPr="00AF3116">
        <w:rPr>
          <w:rtl/>
        </w:rPr>
        <w:t>67</w:t>
      </w:r>
      <w:r w:rsidRPr="001B6C67">
        <w:rPr>
          <w:rtl/>
        </w:rPr>
        <w:t>-</w:t>
      </w:r>
      <w:r w:rsidRPr="001B6C67">
        <w:rPr>
          <w:rtl/>
        </w:rPr>
        <w:tab/>
        <w:t xml:space="preserve">وفي </w:t>
      </w:r>
      <w:r w:rsidRPr="00AF3116">
        <w:rPr>
          <w:rtl/>
        </w:rPr>
        <w:t>1</w:t>
      </w:r>
      <w:r w:rsidRPr="001B6C67">
        <w:rPr>
          <w:rtl/>
        </w:rPr>
        <w:t xml:space="preserve"> تشرين الثاني/نوفمبر </w:t>
      </w:r>
      <w:r w:rsidRPr="00AF3116">
        <w:rPr>
          <w:rtl/>
        </w:rPr>
        <w:t>2018</w:t>
      </w:r>
      <w:r w:rsidRPr="001B6C67">
        <w:rPr>
          <w:rtl/>
        </w:rPr>
        <w:t>، أطلقت محاكم العدل "نظام الإشعار الإلكتروني" للسماح بتقديم وثائق المحكمة عبر الإنترنت مثل المرافعات والإشعارات المكتوبة و</w:t>
      </w:r>
      <w:r>
        <w:rPr>
          <w:rtl/>
        </w:rPr>
        <w:t>ل</w:t>
      </w:r>
      <w:r w:rsidRPr="001B6C67">
        <w:rPr>
          <w:rtl/>
        </w:rPr>
        <w:t>لإعلان عن الجداول الزمنية</w:t>
      </w:r>
      <w:r w:rsidR="001B0794">
        <w:rPr>
          <w:rFonts w:hint="cs"/>
          <w:rtl/>
        </w:rPr>
        <w:t> </w:t>
      </w:r>
      <w:r w:rsidRPr="001B6C67">
        <w:rPr>
          <w:rtl/>
        </w:rPr>
        <w:t xml:space="preserve">للمداولات. ويهدف الإطلاق إلى استخدام التكنولوجيا لتوفير الوقت وتقليل العبء المالي في مراسلات الوثائق. </w:t>
      </w:r>
    </w:p>
    <w:p w14:paraId="40CCD77E" w14:textId="77777777" w:rsidR="00DE3D9F" w:rsidRPr="001B6C67" w:rsidRDefault="00DE3D9F" w:rsidP="00DE3D9F">
      <w:pPr>
        <w:pStyle w:val="SingleTxtGA"/>
        <w:rPr>
          <w:lang w:val="ar-SA" w:eastAsia="zh-TW" w:bidi="en-GB"/>
        </w:rPr>
      </w:pPr>
      <w:r w:rsidRPr="00AF3116">
        <w:rPr>
          <w:rtl/>
        </w:rPr>
        <w:t>68</w:t>
      </w:r>
      <w:r w:rsidRPr="001B6C67">
        <w:rPr>
          <w:rtl/>
        </w:rPr>
        <w:t>-</w:t>
      </w:r>
      <w:r w:rsidRPr="001B6C67">
        <w:rPr>
          <w:rtl/>
        </w:rPr>
        <w:tab/>
        <w:t xml:space="preserve">ويشكل تحقيق العدالة في الوقت المناسب دون تمييز مجالاً آخر من مجالات قوة تايلند. وبفضل سياسة صارمة لإدارة القضايا بدعم من نظام التقاضي الإلكتروني والمحاكمات خارج ساعات العمل، تم التعجيل بإجراء المحاكمات، وتم الفصل في معظم القضايا المعروضة على محاكم الدرجة الأولى في غضون عام واحد. </w:t>
      </w:r>
    </w:p>
    <w:p w14:paraId="0D73D8F0" w14:textId="77777777" w:rsidR="00DE3D9F" w:rsidRPr="001B6C67" w:rsidRDefault="00DE3D9F" w:rsidP="001B0794">
      <w:pPr>
        <w:pStyle w:val="H23GA"/>
        <w:rPr>
          <w:lang w:val="ar-SA" w:eastAsia="zh-TW" w:bidi="en-GB"/>
        </w:rPr>
      </w:pPr>
      <w:r w:rsidRPr="001B6C67">
        <w:rPr>
          <w:rtl/>
        </w:rPr>
        <w:tab/>
      </w:r>
      <w:r w:rsidRPr="001B6C67">
        <w:rPr>
          <w:rtl/>
        </w:rPr>
        <w:tab/>
      </w:r>
      <w:r w:rsidRPr="00AF3116">
        <w:rPr>
          <w:rtl/>
        </w:rPr>
        <w:t>سبل الانتصاف الفعالة</w:t>
      </w:r>
    </w:p>
    <w:p w14:paraId="305632B3" w14:textId="77777777" w:rsidR="00DE3D9F" w:rsidRPr="001B6C67" w:rsidRDefault="00DE3D9F" w:rsidP="00DE3D9F">
      <w:pPr>
        <w:pStyle w:val="SingleTxtGA"/>
        <w:rPr>
          <w:lang w:val="ar-SA" w:eastAsia="zh-TW" w:bidi="en-GB"/>
        </w:rPr>
      </w:pPr>
      <w:r w:rsidRPr="00AF3116">
        <w:rPr>
          <w:rtl/>
        </w:rPr>
        <w:t>69</w:t>
      </w:r>
      <w:r w:rsidRPr="001B6C67">
        <w:rPr>
          <w:rtl/>
        </w:rPr>
        <w:t>-</w:t>
      </w:r>
      <w:r w:rsidRPr="001B6C67">
        <w:rPr>
          <w:rtl/>
        </w:rPr>
        <w:tab/>
        <w:t>يحق لضحايا انتهاكات حقوق الإنسان الحصول على تعويض من الدولة من خلال قانون تعويضات المصابين وتعويض المتهمين ونفقاتهم في القضايا الجنائية</w:t>
      </w:r>
      <w:r>
        <w:rPr>
          <w:rtl/>
        </w:rPr>
        <w:t xml:space="preserve"> </w:t>
      </w:r>
      <w:r w:rsidRPr="001B6C67">
        <w:t xml:space="preserve">B.E. </w:t>
      </w:r>
      <w:r w:rsidRPr="00AF3116">
        <w:t>2544</w:t>
      </w:r>
      <w:r w:rsidRPr="001B6C67">
        <w:t xml:space="preserve"> (</w:t>
      </w:r>
      <w:r w:rsidRPr="00AF3116">
        <w:t>2001</w:t>
      </w:r>
      <w:r w:rsidRPr="001B6C67">
        <w:t>)</w:t>
      </w:r>
      <w:r w:rsidRPr="001B6C67">
        <w:rPr>
          <w:rtl/>
        </w:rPr>
        <w:t xml:space="preserve">، الذي تم تعديله في عام </w:t>
      </w:r>
      <w:r w:rsidRPr="00AF3116">
        <w:rPr>
          <w:rtl/>
        </w:rPr>
        <w:t>2016</w:t>
      </w:r>
      <w:r w:rsidRPr="001B6C67">
        <w:rPr>
          <w:rtl/>
        </w:rPr>
        <w:t>. ويهدف القانون إلى تقديم المساعدة المالية لضحايا الجرائم مثل الرسوم الطبية، ورسوم إعادة التأهيل البدني والعقلي، والتعويض عن فقدان الدخل، وفي حالة الوفاة. ويحق للمتهمين الذين احتُجِزوا أثناء المحاكمة ثم أُخلي سبيلهم بعد ثبوت براءتهم أن يحصلوا على تعويض من الدولة من خلال القانون المذكور أعلاه.</w:t>
      </w:r>
    </w:p>
    <w:p w14:paraId="75E3C9C0" w14:textId="77777777" w:rsidR="00DE3D9F" w:rsidRPr="001B6C67" w:rsidRDefault="00DE3D9F" w:rsidP="00DE3D9F">
      <w:pPr>
        <w:pStyle w:val="SingleTxtGA"/>
        <w:rPr>
          <w:lang w:val="ar-SA" w:eastAsia="zh-TW" w:bidi="en-GB"/>
        </w:rPr>
      </w:pPr>
      <w:r w:rsidRPr="00AF3116">
        <w:rPr>
          <w:rtl/>
        </w:rPr>
        <w:t>70</w:t>
      </w:r>
      <w:r w:rsidRPr="001B6C67">
        <w:rPr>
          <w:rtl/>
        </w:rPr>
        <w:t>-</w:t>
      </w:r>
      <w:r w:rsidRPr="001B6C67">
        <w:rPr>
          <w:rtl/>
        </w:rPr>
        <w:tab/>
        <w:t xml:space="preserve">ويشمل "قانون حماية الشهود" لعام </w:t>
      </w:r>
      <w:r w:rsidRPr="00AF3116">
        <w:rPr>
          <w:rtl/>
        </w:rPr>
        <w:t>2003</w:t>
      </w:r>
      <w:r w:rsidRPr="001B6C67">
        <w:rPr>
          <w:rtl/>
        </w:rPr>
        <w:t xml:space="preserve"> أولئك الذين لديهم </w:t>
      </w:r>
      <w:r>
        <w:rPr>
          <w:rtl/>
        </w:rPr>
        <w:t>ت</w:t>
      </w:r>
      <w:r w:rsidRPr="001B6C67">
        <w:rPr>
          <w:rtl/>
        </w:rPr>
        <w:t xml:space="preserve">خوف معقول أو الذين يتعرضون للخطر حتى وإن لم تكن القضية بعد قيد التحقيق من قبل الشرطة. ومنذ دخول القانون حيز النفاذ، تم إنقاذ جميع الشهود المحميين بموجب القانون بمعدل </w:t>
      </w:r>
      <w:r w:rsidRPr="00AF3116">
        <w:rPr>
          <w:rtl/>
        </w:rPr>
        <w:t>100</w:t>
      </w:r>
      <w:r w:rsidRPr="001B6C67">
        <w:rPr>
          <w:rtl/>
        </w:rPr>
        <w:t xml:space="preserve"> في المائة. </w:t>
      </w:r>
    </w:p>
    <w:p w14:paraId="3EBFCAF4" w14:textId="77777777" w:rsidR="00DE3D9F" w:rsidRPr="001B6C67" w:rsidRDefault="00DE3D9F" w:rsidP="00DE3D9F">
      <w:pPr>
        <w:pStyle w:val="SingleTxtGA"/>
        <w:rPr>
          <w:lang w:val="ar-SA" w:eastAsia="zh-TW" w:bidi="en-GB"/>
        </w:rPr>
      </w:pPr>
      <w:r w:rsidRPr="00AF3116">
        <w:rPr>
          <w:rtl/>
        </w:rPr>
        <w:t>71</w:t>
      </w:r>
      <w:r w:rsidRPr="001B6C67">
        <w:rPr>
          <w:rtl/>
        </w:rPr>
        <w:t>-</w:t>
      </w:r>
      <w:r w:rsidRPr="001B6C67">
        <w:rPr>
          <w:rtl/>
        </w:rPr>
        <w:tab/>
        <w:t xml:space="preserve">وفي </w:t>
      </w:r>
      <w:r w:rsidRPr="00AF3116">
        <w:rPr>
          <w:rtl/>
        </w:rPr>
        <w:t>8</w:t>
      </w:r>
      <w:r w:rsidRPr="001B6C67">
        <w:rPr>
          <w:rtl/>
        </w:rPr>
        <w:t xml:space="preserve"> شباط/فبراير </w:t>
      </w:r>
      <w:r w:rsidRPr="00AF3116">
        <w:rPr>
          <w:rtl/>
        </w:rPr>
        <w:t>2019</w:t>
      </w:r>
      <w:r w:rsidRPr="001B6C67">
        <w:rPr>
          <w:rtl/>
        </w:rPr>
        <w:t>، وافقت الجمعية التشريعية الوطنية على مشروع قانون الوساطة كما اقترحته وزارة العدل. وسيوفر قانون الوساطة، بمجرد نفاذه، آلية بديلة لتسوية المنازعات المتعلقة بالدعاوى المدنية ذات القيمة النقدية المنخفضة نسبياً وبعض الدعاوى الجنائية. وستوفر هذه الطريقة البديلة الوقت والمال لأطراف النزاع، وستقلل في الوقت نفسه من عبء القضايا المعروضة على المحاكم.</w:t>
      </w:r>
    </w:p>
    <w:p w14:paraId="5ED9C463" w14:textId="77777777" w:rsidR="00DE3D9F" w:rsidRPr="001B6C67" w:rsidRDefault="00DE3D9F" w:rsidP="001B0794">
      <w:pPr>
        <w:pStyle w:val="H23GA"/>
        <w:rPr>
          <w:lang w:val="ar-SA" w:eastAsia="zh-TW" w:bidi="en-GB"/>
        </w:rPr>
      </w:pPr>
      <w:r w:rsidRPr="001B6C67">
        <w:rPr>
          <w:rtl/>
        </w:rPr>
        <w:lastRenderedPageBreak/>
        <w:tab/>
      </w:r>
      <w:r w:rsidRPr="001B6C67">
        <w:rPr>
          <w:rtl/>
        </w:rPr>
        <w:tab/>
      </w:r>
      <w:r w:rsidRPr="00AF3116">
        <w:rPr>
          <w:rtl/>
        </w:rPr>
        <w:t>خطة إصلاح نظام العدالة</w:t>
      </w:r>
    </w:p>
    <w:p w14:paraId="634FEA52" w14:textId="77777777" w:rsidR="00DE3D9F" w:rsidRPr="001B6C67" w:rsidRDefault="00DE3D9F" w:rsidP="00DE3D9F">
      <w:pPr>
        <w:pStyle w:val="SingleTxtGA"/>
        <w:rPr>
          <w:lang w:val="ar-SA" w:eastAsia="zh-TW" w:bidi="en-GB"/>
        </w:rPr>
      </w:pPr>
      <w:r w:rsidRPr="00AF3116">
        <w:rPr>
          <w:rtl/>
        </w:rPr>
        <w:t>72</w:t>
      </w:r>
      <w:r w:rsidRPr="001B6C67">
        <w:rPr>
          <w:rtl/>
        </w:rPr>
        <w:t>-</w:t>
      </w:r>
      <w:r w:rsidRPr="001B6C67">
        <w:rPr>
          <w:rtl/>
        </w:rPr>
        <w:tab/>
        <w:t xml:space="preserve">وضعت خطة إصلاح نظام العدالة في </w:t>
      </w:r>
      <w:r w:rsidRPr="00AF3116">
        <w:rPr>
          <w:rtl/>
        </w:rPr>
        <w:t>6</w:t>
      </w:r>
      <w:r w:rsidRPr="001B6C67">
        <w:rPr>
          <w:rtl/>
        </w:rPr>
        <w:t xml:space="preserve"> أبريل/نيسان </w:t>
      </w:r>
      <w:r w:rsidRPr="00AF3116">
        <w:rPr>
          <w:rtl/>
        </w:rPr>
        <w:t>2018</w:t>
      </w:r>
      <w:r w:rsidRPr="001B6C67">
        <w:rPr>
          <w:rtl/>
        </w:rPr>
        <w:t xml:space="preserve"> إطاراً للسياسات لتعزيز مختلف جوانب النظام القضائي، بما في ذلك </w:t>
      </w:r>
      <w:r>
        <w:rPr>
          <w:rtl/>
        </w:rPr>
        <w:t xml:space="preserve">إتاحة </w:t>
      </w:r>
      <w:r w:rsidRPr="001B6C67">
        <w:rPr>
          <w:rtl/>
        </w:rPr>
        <w:t>الوصول إلى العدالة، و</w:t>
      </w:r>
      <w:r>
        <w:rPr>
          <w:rtl/>
        </w:rPr>
        <w:t xml:space="preserve">توفير </w:t>
      </w:r>
      <w:r w:rsidRPr="001B6C67">
        <w:rPr>
          <w:rtl/>
        </w:rPr>
        <w:t xml:space="preserve">الحماية المناسبة في الوقت المناسب، وتحسين التعافي البدني والنفسي، وحصول الضحايا والشهود على الانتصاف في القضايا الجنائية، وتحسين الأوضاع في السجون ومراكز الاحتجاز في جميع أنحاء البلد. </w:t>
      </w:r>
    </w:p>
    <w:p w14:paraId="0BDD3C43" w14:textId="77777777" w:rsidR="00DE3D9F" w:rsidRPr="001B6C67" w:rsidRDefault="00DE3D9F" w:rsidP="001B0794">
      <w:pPr>
        <w:pStyle w:val="H23GA"/>
        <w:rPr>
          <w:lang w:val="ar-SA" w:eastAsia="zh-TW" w:bidi="en-GB"/>
        </w:rPr>
      </w:pPr>
      <w:r w:rsidRPr="001B6C67">
        <w:rPr>
          <w:rtl/>
        </w:rPr>
        <w:tab/>
      </w:r>
      <w:r w:rsidRPr="001B6C67">
        <w:rPr>
          <w:rtl/>
        </w:rPr>
        <w:tab/>
      </w:r>
      <w:r w:rsidRPr="00AF3116">
        <w:rPr>
          <w:rtl/>
        </w:rPr>
        <w:t>القانون الديني</w:t>
      </w:r>
    </w:p>
    <w:p w14:paraId="415D7C1B" w14:textId="77777777" w:rsidR="00DE3D9F" w:rsidRPr="001B6C67" w:rsidRDefault="00DE3D9F" w:rsidP="00DE3D9F">
      <w:pPr>
        <w:pStyle w:val="SingleTxtGA"/>
        <w:rPr>
          <w:lang w:val="ar-SA" w:eastAsia="zh-TW" w:bidi="en-GB"/>
        </w:rPr>
      </w:pPr>
      <w:r w:rsidRPr="00AF3116">
        <w:rPr>
          <w:rtl/>
        </w:rPr>
        <w:t>73</w:t>
      </w:r>
      <w:r w:rsidRPr="001B6C67">
        <w:rPr>
          <w:rtl/>
        </w:rPr>
        <w:t>-</w:t>
      </w:r>
      <w:r w:rsidRPr="001B6C67">
        <w:rPr>
          <w:rtl/>
        </w:rPr>
        <w:tab/>
        <w:t xml:space="preserve">من حيث المبدأ، لا يوجد قانون ديني له أثر ملزم قانوناً في تايلند باستثناء الحالة المحدودة لقوانين الأسرة والإرث المتعلقة بالمسلمين المقيمين في محافظات </w:t>
      </w:r>
      <w:proofErr w:type="spellStart"/>
      <w:r w:rsidRPr="001B6C67">
        <w:rPr>
          <w:rtl/>
        </w:rPr>
        <w:t>باتاني</w:t>
      </w:r>
      <w:proofErr w:type="spellEnd"/>
      <w:r w:rsidRPr="001B6C67">
        <w:rPr>
          <w:rtl/>
        </w:rPr>
        <w:t xml:space="preserve"> </w:t>
      </w:r>
      <w:proofErr w:type="spellStart"/>
      <w:r w:rsidRPr="001B6C67">
        <w:rPr>
          <w:rtl/>
        </w:rPr>
        <w:t>ويالا</w:t>
      </w:r>
      <w:proofErr w:type="spellEnd"/>
      <w:r w:rsidRPr="001B6C67">
        <w:rPr>
          <w:rtl/>
        </w:rPr>
        <w:t xml:space="preserve"> </w:t>
      </w:r>
      <w:proofErr w:type="spellStart"/>
      <w:r w:rsidRPr="001B6C67">
        <w:rPr>
          <w:rtl/>
        </w:rPr>
        <w:t>ونراثيوات</w:t>
      </w:r>
      <w:proofErr w:type="spellEnd"/>
      <w:r w:rsidRPr="001B6C67">
        <w:rPr>
          <w:rtl/>
        </w:rPr>
        <w:t xml:space="preserve"> </w:t>
      </w:r>
      <w:proofErr w:type="spellStart"/>
      <w:r w:rsidRPr="001B6C67">
        <w:rPr>
          <w:rtl/>
        </w:rPr>
        <w:t>وساتون</w:t>
      </w:r>
      <w:proofErr w:type="spellEnd"/>
      <w:r w:rsidRPr="001B6C67">
        <w:rPr>
          <w:rtl/>
        </w:rPr>
        <w:t>.</w:t>
      </w:r>
    </w:p>
    <w:p w14:paraId="3A6EE044" w14:textId="77777777" w:rsidR="00DE3D9F" w:rsidRPr="001B6C67" w:rsidRDefault="00DE3D9F" w:rsidP="001B0794">
      <w:pPr>
        <w:pStyle w:val="H23GA"/>
        <w:rPr>
          <w:cs/>
          <w:lang w:val="ar-SA" w:eastAsia="zh-TW" w:bidi="en-GB"/>
        </w:rPr>
      </w:pPr>
      <w:r w:rsidRPr="001B6C67">
        <w:rPr>
          <w:rtl/>
        </w:rPr>
        <w:tab/>
      </w:r>
      <w:r w:rsidRPr="001B6C67">
        <w:rPr>
          <w:rtl/>
        </w:rPr>
        <w:tab/>
      </w:r>
      <w:r w:rsidRPr="00AF3116">
        <w:rPr>
          <w:rtl/>
        </w:rPr>
        <w:t>القانون العرفي</w:t>
      </w:r>
    </w:p>
    <w:p w14:paraId="4A9E5CFB" w14:textId="77777777" w:rsidR="00DE3D9F" w:rsidRPr="006E35F0" w:rsidRDefault="00DE3D9F" w:rsidP="00DE3D9F">
      <w:pPr>
        <w:pStyle w:val="SingleTxtGA"/>
        <w:rPr>
          <w:lang w:val="en-US" w:eastAsia="zh-TW" w:bidi="en-GB"/>
        </w:rPr>
      </w:pPr>
      <w:r w:rsidRPr="00AF3116">
        <w:rPr>
          <w:rtl/>
        </w:rPr>
        <w:t>74</w:t>
      </w:r>
      <w:r w:rsidRPr="001B6C67">
        <w:rPr>
          <w:rtl/>
        </w:rPr>
        <w:t>-</w:t>
      </w:r>
      <w:r w:rsidRPr="001B6C67">
        <w:rPr>
          <w:rtl/>
        </w:rPr>
        <w:tab/>
        <w:t>لن يكون القانون العرفي موضع اهتمام إلا في مسائل المنازعات المدنية التي لا ينطبق فيها أي قانون مكتوب على القضية، ولا يوجد أي تشابه قانوني متاح يمكن استخدامه لسد الفجوة القانونية. وفي حالة القانون الجنائي، تلتزم تايلند بدقة بمبدأ القانون المكتوب.</w:t>
      </w:r>
    </w:p>
    <w:p w14:paraId="3861DF94" w14:textId="4DB6EED0" w:rsidR="00DE3D9F" w:rsidRPr="001B6C67" w:rsidRDefault="00DE3D9F" w:rsidP="001B0794">
      <w:pPr>
        <w:pStyle w:val="HChGA"/>
        <w:rPr>
          <w:lang w:val="ar-SA" w:eastAsia="zh-TW" w:bidi="en-GB"/>
        </w:rPr>
      </w:pPr>
      <w:r>
        <w:rPr>
          <w:rtl/>
        </w:rPr>
        <w:tab/>
      </w:r>
      <w:bookmarkStart w:id="11" w:name="_Toc92899416"/>
      <w:r w:rsidRPr="001B6C67">
        <w:rPr>
          <w:rtl/>
        </w:rPr>
        <w:t>ثانيا</w:t>
      </w:r>
      <w:r w:rsidR="001B0794">
        <w:rPr>
          <w:rFonts w:hint="cs"/>
          <w:rtl/>
        </w:rPr>
        <w:t>ً</w:t>
      </w:r>
      <w:r w:rsidRPr="001B6C67">
        <w:rPr>
          <w:rtl/>
        </w:rPr>
        <w:t>-</w:t>
      </w:r>
      <w:r w:rsidRPr="001B6C67">
        <w:rPr>
          <w:rtl/>
        </w:rPr>
        <w:tab/>
      </w:r>
      <w:r w:rsidRPr="00AF3116">
        <w:rPr>
          <w:rtl/>
        </w:rPr>
        <w:t>الإطار العام لحماية حقوق الإنسان وتعزيزها</w:t>
      </w:r>
      <w:bookmarkStart w:id="12" w:name="_Toc89701535"/>
      <w:bookmarkEnd w:id="12"/>
      <w:bookmarkEnd w:id="11"/>
    </w:p>
    <w:p w14:paraId="1DCAF4CE" w14:textId="77777777" w:rsidR="00DE3D9F" w:rsidRPr="001B6C67" w:rsidRDefault="00DE3D9F" w:rsidP="001B0794">
      <w:pPr>
        <w:pStyle w:val="H1GA"/>
        <w:rPr>
          <w:lang w:val="ar-SA" w:eastAsia="zh-TW" w:bidi="en-GB"/>
        </w:rPr>
      </w:pPr>
      <w:r>
        <w:rPr>
          <w:rtl/>
        </w:rPr>
        <w:tab/>
      </w:r>
      <w:bookmarkStart w:id="13" w:name="_Toc92899417"/>
      <w:r w:rsidRPr="001B6C67">
        <w:rPr>
          <w:rtl/>
        </w:rPr>
        <w:t>ألف-</w:t>
      </w:r>
      <w:r w:rsidRPr="001B6C67">
        <w:rPr>
          <w:rtl/>
        </w:rPr>
        <w:tab/>
      </w:r>
      <w:r w:rsidRPr="00AF3116">
        <w:rPr>
          <w:rtl/>
        </w:rPr>
        <w:t>قبول القواعد الدولية المتعلقة بحقوق الإنسان</w:t>
      </w:r>
      <w:bookmarkStart w:id="14" w:name="_Toc89701536"/>
      <w:bookmarkEnd w:id="14"/>
      <w:bookmarkEnd w:id="13"/>
    </w:p>
    <w:p w14:paraId="0E1E339E" w14:textId="77777777" w:rsidR="00DE3D9F" w:rsidRPr="001B6C67" w:rsidRDefault="00DE3D9F" w:rsidP="00DE3D9F">
      <w:pPr>
        <w:pStyle w:val="SingleTxtGA"/>
        <w:rPr>
          <w:lang w:val="ar-SA" w:eastAsia="zh-TW" w:bidi="en-GB"/>
        </w:rPr>
      </w:pPr>
      <w:r w:rsidRPr="00AF3116">
        <w:rPr>
          <w:rtl/>
        </w:rPr>
        <w:t>75</w:t>
      </w:r>
      <w:r w:rsidRPr="001B6C67">
        <w:rPr>
          <w:rtl/>
        </w:rPr>
        <w:t>-</w:t>
      </w:r>
      <w:r w:rsidRPr="001B6C67">
        <w:rPr>
          <w:rtl/>
        </w:rPr>
        <w:tab/>
        <w:t xml:space="preserve">كانت تايلاند من بين </w:t>
      </w:r>
      <w:r>
        <w:rPr>
          <w:rtl/>
        </w:rPr>
        <w:t>الـ</w:t>
      </w:r>
      <w:r w:rsidRPr="001B6C67">
        <w:rPr>
          <w:rtl/>
        </w:rPr>
        <w:t xml:space="preserve"> </w:t>
      </w:r>
      <w:r w:rsidRPr="00AF3116">
        <w:rPr>
          <w:rtl/>
        </w:rPr>
        <w:t>48</w:t>
      </w:r>
      <w:r w:rsidRPr="001B6C67">
        <w:rPr>
          <w:rtl/>
        </w:rPr>
        <w:t xml:space="preserve"> دولة</w:t>
      </w:r>
      <w:r>
        <w:rPr>
          <w:rtl/>
        </w:rPr>
        <w:t xml:space="preserve"> الأولى التي</w:t>
      </w:r>
      <w:r w:rsidRPr="001B6C67">
        <w:rPr>
          <w:rtl/>
        </w:rPr>
        <w:t xml:space="preserve"> اعتمدت الإعلان العالمي لحقوق الإنسان في </w:t>
      </w:r>
      <w:r w:rsidRPr="00AF3116">
        <w:rPr>
          <w:rtl/>
        </w:rPr>
        <w:t>10</w:t>
      </w:r>
      <w:r w:rsidRPr="001B6C67">
        <w:rPr>
          <w:rtl/>
        </w:rPr>
        <w:t xml:space="preserve"> كانون الأول/ديسمبر </w:t>
      </w:r>
      <w:r w:rsidRPr="00AF3116">
        <w:rPr>
          <w:rtl/>
        </w:rPr>
        <w:t>1948</w:t>
      </w:r>
      <w:r w:rsidRPr="001B6C67">
        <w:rPr>
          <w:rtl/>
        </w:rPr>
        <w:t xml:space="preserve">. ومنذ ذلك الحين، أصبحت تايلند، بصورة مباشرة أو غير مباشرة، طرفاً في عدد من الصكوك الدولية المتصلة بحقوق الإنسان. </w:t>
      </w:r>
    </w:p>
    <w:p w14:paraId="37AEF164" w14:textId="2A4E0C24" w:rsidR="00DE3D9F" w:rsidRPr="001B6C67" w:rsidRDefault="00DE3D9F" w:rsidP="00DE3D9F">
      <w:pPr>
        <w:pStyle w:val="SingleTxtGA"/>
        <w:rPr>
          <w:lang w:val="ar-SA" w:eastAsia="zh-TW" w:bidi="en-GB"/>
        </w:rPr>
      </w:pPr>
      <w:r w:rsidRPr="00AF3116">
        <w:rPr>
          <w:rtl/>
        </w:rPr>
        <w:t>76</w:t>
      </w:r>
      <w:r w:rsidRPr="001B6C67">
        <w:rPr>
          <w:rtl/>
        </w:rPr>
        <w:t>-</w:t>
      </w:r>
      <w:r w:rsidRPr="001B6C67">
        <w:rPr>
          <w:rtl/>
        </w:rPr>
        <w:tab/>
        <w:t>وتايلند ملتزمة بعملية الاستعراض الدوري الشامل، وقد خضعت للاستعراض مرتين في عامي</w:t>
      </w:r>
      <w:r w:rsidR="001B0794">
        <w:rPr>
          <w:rFonts w:hint="cs"/>
          <w:rtl/>
        </w:rPr>
        <w:t> </w:t>
      </w:r>
      <w:r w:rsidRPr="00AF3116">
        <w:rPr>
          <w:rtl/>
        </w:rPr>
        <w:t>2011</w:t>
      </w:r>
      <w:r w:rsidRPr="001B6C67">
        <w:rPr>
          <w:rtl/>
        </w:rPr>
        <w:t xml:space="preserve"> و</w:t>
      </w:r>
      <w:r w:rsidRPr="00AF3116">
        <w:rPr>
          <w:rtl/>
        </w:rPr>
        <w:t>2016</w:t>
      </w:r>
      <w:r w:rsidRPr="001B6C67">
        <w:rPr>
          <w:rtl/>
        </w:rPr>
        <w:t xml:space="preserve">. وقدمت تايلاند أيضاً طواعية تقريري منتصف المدة للاستعراض الدوري الشامل في عامي </w:t>
      </w:r>
      <w:r w:rsidRPr="00AF3116">
        <w:rPr>
          <w:rtl/>
        </w:rPr>
        <w:t>2014</w:t>
      </w:r>
      <w:r w:rsidRPr="001B6C67">
        <w:rPr>
          <w:rtl/>
        </w:rPr>
        <w:t xml:space="preserve"> و</w:t>
      </w:r>
      <w:r w:rsidRPr="00AF3116">
        <w:rPr>
          <w:rtl/>
        </w:rPr>
        <w:t>2019</w:t>
      </w:r>
      <w:r w:rsidRPr="001B6C67">
        <w:rPr>
          <w:rtl/>
        </w:rPr>
        <w:t>.</w:t>
      </w:r>
    </w:p>
    <w:p w14:paraId="4D6F5D9F" w14:textId="77777777" w:rsidR="00DE3D9F" w:rsidRPr="00DE3D9F" w:rsidRDefault="00DE3D9F" w:rsidP="001B0794">
      <w:pPr>
        <w:pStyle w:val="H23GA"/>
        <w:rPr>
          <w:lang w:val="en-US" w:eastAsia="zh-TW" w:bidi="en-GB"/>
        </w:rPr>
      </w:pPr>
      <w:r w:rsidRPr="001B6C67">
        <w:rPr>
          <w:rtl/>
        </w:rPr>
        <w:tab/>
      </w:r>
      <w:r w:rsidRPr="001B6C67">
        <w:rPr>
          <w:rtl/>
        </w:rPr>
        <w:tab/>
      </w:r>
      <w:r w:rsidRPr="00AF3116">
        <w:rPr>
          <w:rtl/>
        </w:rPr>
        <w:t>صكوك الأمم المتحدة الرئيسية لحقوق الإنسان</w:t>
      </w:r>
    </w:p>
    <w:p w14:paraId="446783DD" w14:textId="77777777" w:rsidR="00DE3D9F" w:rsidRPr="001B6C67" w:rsidRDefault="00DE3D9F" w:rsidP="00DE3D9F">
      <w:pPr>
        <w:pStyle w:val="SingleTxtGA"/>
        <w:rPr>
          <w:lang w:val="ar-SA" w:eastAsia="zh-TW" w:bidi="en-GB"/>
        </w:rPr>
      </w:pPr>
      <w:r w:rsidRPr="00AF3116">
        <w:rPr>
          <w:rtl/>
        </w:rPr>
        <w:t>77</w:t>
      </w:r>
      <w:r w:rsidRPr="001B6C67">
        <w:rPr>
          <w:rtl/>
        </w:rPr>
        <w:t>-</w:t>
      </w:r>
      <w:r w:rsidRPr="001B6C67">
        <w:rPr>
          <w:rtl/>
        </w:rPr>
        <w:tab/>
        <w:t>تايلند حالياً طرف في سبع من معاهدات الأمم المتحدة الرئيسية لحقوق الإنسان وهي من موقعي الاتفاقية الدولية لحماية جميع الأشخاص من الاختفاء القسري. والتفاصيل</w:t>
      </w:r>
      <w:r>
        <w:rPr>
          <w:rtl/>
        </w:rPr>
        <w:t xml:space="preserve"> هي</w:t>
      </w:r>
      <w:r w:rsidRPr="001B6C67">
        <w:rPr>
          <w:rtl/>
        </w:rPr>
        <w:t xml:space="preserve"> كالآتي:</w:t>
      </w:r>
    </w:p>
    <w:tbl>
      <w:tblPr>
        <w:bidiVisual/>
        <w:tblW w:w="7578"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88"/>
        <w:gridCol w:w="3290"/>
      </w:tblGrid>
      <w:tr w:rsidR="00DE3D9F" w:rsidRPr="005A71CE" w14:paraId="418C507F" w14:textId="77777777" w:rsidTr="003B756C">
        <w:trPr>
          <w:tblHeader/>
        </w:trPr>
        <w:tc>
          <w:tcPr>
            <w:tcW w:w="4288" w:type="dxa"/>
            <w:tcBorders>
              <w:top w:val="single" w:sz="4" w:space="0" w:color="auto"/>
              <w:bottom w:val="single" w:sz="12" w:space="0" w:color="auto"/>
            </w:tcBorders>
            <w:shd w:val="clear" w:color="auto" w:fill="auto"/>
            <w:vAlign w:val="bottom"/>
          </w:tcPr>
          <w:p w14:paraId="523A8CBA" w14:textId="77777777" w:rsidR="00DE3D9F" w:rsidRPr="003B756C" w:rsidRDefault="00DE3D9F" w:rsidP="00E90634">
            <w:pPr>
              <w:spacing w:before="40" w:after="40" w:line="320" w:lineRule="exact"/>
              <w:ind w:left="94" w:right="113"/>
              <w:textDirection w:val="tbRlV"/>
              <w:rPr>
                <w:rFonts w:ascii="Simplified Arabic" w:hAnsi="Simplified Arabic"/>
                <w:i/>
                <w:szCs w:val="20"/>
                <w:lang w:eastAsia="zh-TW" w:bidi="en-GB"/>
              </w:rPr>
            </w:pPr>
            <w:r w:rsidRPr="003B756C">
              <w:rPr>
                <w:rFonts w:ascii="Simplified Arabic" w:hAnsi="Simplified Arabic"/>
                <w:i/>
                <w:iCs/>
                <w:szCs w:val="20"/>
                <w:rtl/>
              </w:rPr>
              <w:t>المعاهدات</w:t>
            </w:r>
          </w:p>
        </w:tc>
        <w:tc>
          <w:tcPr>
            <w:tcW w:w="3290" w:type="dxa"/>
            <w:tcBorders>
              <w:top w:val="single" w:sz="4" w:space="0" w:color="auto"/>
              <w:bottom w:val="single" w:sz="12" w:space="0" w:color="auto"/>
            </w:tcBorders>
            <w:shd w:val="clear" w:color="auto" w:fill="auto"/>
            <w:vAlign w:val="bottom"/>
          </w:tcPr>
          <w:p w14:paraId="2B359470" w14:textId="77777777" w:rsidR="00DE3D9F" w:rsidRPr="003B756C" w:rsidRDefault="00DE3D9F" w:rsidP="003B756C">
            <w:pPr>
              <w:spacing w:before="40" w:after="40" w:line="320" w:lineRule="exact"/>
              <w:ind w:left="284"/>
              <w:textDirection w:val="tbRlV"/>
              <w:rPr>
                <w:rFonts w:ascii="Simplified Arabic" w:hAnsi="Simplified Arabic"/>
                <w:i/>
                <w:szCs w:val="20"/>
                <w:lang w:val="ar-SA" w:eastAsia="zh-TW" w:bidi="en-GB"/>
              </w:rPr>
            </w:pPr>
            <w:r w:rsidRPr="003B756C">
              <w:rPr>
                <w:rFonts w:ascii="Simplified Arabic" w:hAnsi="Simplified Arabic"/>
                <w:i/>
                <w:iCs/>
                <w:szCs w:val="20"/>
                <w:rtl/>
              </w:rPr>
              <w:t>الوضع</w:t>
            </w:r>
          </w:p>
        </w:tc>
      </w:tr>
      <w:tr w:rsidR="00DE3D9F" w:rsidRPr="005A71CE" w14:paraId="59A5989F" w14:textId="77777777" w:rsidTr="003B756C">
        <w:trPr>
          <w:trHeight w:hRule="exact" w:val="113"/>
          <w:tblHeader/>
        </w:trPr>
        <w:tc>
          <w:tcPr>
            <w:tcW w:w="4288" w:type="dxa"/>
            <w:tcBorders>
              <w:top w:val="single" w:sz="12" w:space="0" w:color="auto"/>
            </w:tcBorders>
            <w:shd w:val="clear" w:color="auto" w:fill="auto"/>
          </w:tcPr>
          <w:p w14:paraId="3EF900BD" w14:textId="77777777" w:rsidR="00DE3D9F" w:rsidRPr="003B756C" w:rsidRDefault="00DE3D9F" w:rsidP="00E90634">
            <w:pPr>
              <w:spacing w:before="40" w:after="40" w:line="320" w:lineRule="exact"/>
              <w:ind w:left="94" w:right="113"/>
              <w:rPr>
                <w:rFonts w:ascii="Simplified Arabic" w:hAnsi="Simplified Arabic"/>
                <w:szCs w:val="20"/>
              </w:rPr>
            </w:pPr>
          </w:p>
        </w:tc>
        <w:tc>
          <w:tcPr>
            <w:tcW w:w="3290" w:type="dxa"/>
            <w:tcBorders>
              <w:top w:val="single" w:sz="12" w:space="0" w:color="auto"/>
            </w:tcBorders>
            <w:shd w:val="clear" w:color="auto" w:fill="auto"/>
          </w:tcPr>
          <w:p w14:paraId="719E1C03" w14:textId="77777777" w:rsidR="00DE3D9F" w:rsidRPr="003B756C" w:rsidRDefault="00DE3D9F" w:rsidP="003B756C">
            <w:pPr>
              <w:spacing w:before="40" w:after="40" w:line="320" w:lineRule="exact"/>
              <w:ind w:left="284"/>
              <w:rPr>
                <w:rFonts w:ascii="Simplified Arabic" w:hAnsi="Simplified Arabic"/>
                <w:szCs w:val="20"/>
              </w:rPr>
            </w:pPr>
          </w:p>
        </w:tc>
      </w:tr>
      <w:tr w:rsidR="00DE3D9F" w:rsidRPr="005A71CE" w14:paraId="00B1E1CE" w14:textId="77777777" w:rsidTr="003B756C">
        <w:tc>
          <w:tcPr>
            <w:tcW w:w="4288" w:type="dxa"/>
            <w:shd w:val="clear" w:color="auto" w:fill="auto"/>
          </w:tcPr>
          <w:p w14:paraId="40DCFD94" w14:textId="77777777" w:rsidR="00DE3D9F" w:rsidRPr="003B756C" w:rsidRDefault="00DE3D9F" w:rsidP="00E90634">
            <w:pPr>
              <w:spacing w:before="40" w:after="40" w:line="320" w:lineRule="exact"/>
              <w:ind w:left="94" w:right="113"/>
              <w:textDirection w:val="tbRlV"/>
              <w:rPr>
                <w:rFonts w:ascii="Simplified Arabic" w:hAnsi="Simplified Arabic"/>
                <w:szCs w:val="20"/>
                <w:lang w:val="ar-SA" w:eastAsia="zh-TW" w:bidi="en-GB"/>
              </w:rPr>
            </w:pPr>
            <w:r w:rsidRPr="003B756C">
              <w:rPr>
                <w:rFonts w:ascii="Simplified Arabic" w:hAnsi="Simplified Arabic"/>
                <w:szCs w:val="20"/>
                <w:rtl/>
              </w:rPr>
              <w:t>اتفاقية مناهضة التعذيب</w:t>
            </w:r>
          </w:p>
        </w:tc>
        <w:tc>
          <w:tcPr>
            <w:tcW w:w="3290" w:type="dxa"/>
            <w:shd w:val="clear" w:color="auto" w:fill="auto"/>
          </w:tcPr>
          <w:p w14:paraId="78F8ED3B" w14:textId="77777777" w:rsidR="00DE3D9F" w:rsidRPr="003B756C" w:rsidRDefault="00DE3D9F" w:rsidP="003B756C">
            <w:pPr>
              <w:spacing w:before="40" w:after="40" w:line="320" w:lineRule="exact"/>
              <w:ind w:left="284"/>
              <w:textDirection w:val="tbRlV"/>
              <w:rPr>
                <w:rFonts w:ascii="Simplified Arabic" w:hAnsi="Simplified Arabic"/>
                <w:szCs w:val="20"/>
                <w:lang w:val="ar-SA" w:eastAsia="zh-TW" w:bidi="en-GB"/>
              </w:rPr>
            </w:pPr>
            <w:r w:rsidRPr="003B756C">
              <w:rPr>
                <w:rFonts w:ascii="Simplified Arabic" w:hAnsi="Simplified Arabic"/>
                <w:szCs w:val="20"/>
                <w:rtl/>
              </w:rPr>
              <w:t>الانضمام في 2 تشرين الأول/أكتوبر 2007</w:t>
            </w:r>
          </w:p>
        </w:tc>
      </w:tr>
      <w:tr w:rsidR="00DE3D9F" w:rsidRPr="005A71CE" w14:paraId="393FB3FE" w14:textId="77777777" w:rsidTr="003B756C">
        <w:tc>
          <w:tcPr>
            <w:tcW w:w="4288" w:type="dxa"/>
            <w:shd w:val="clear" w:color="auto" w:fill="auto"/>
          </w:tcPr>
          <w:p w14:paraId="43304891" w14:textId="77777777" w:rsidR="00DE3D9F" w:rsidRPr="003B756C" w:rsidRDefault="00DE3D9F" w:rsidP="00E90634">
            <w:pPr>
              <w:spacing w:before="40" w:after="40" w:line="320" w:lineRule="exact"/>
              <w:ind w:left="94" w:right="113"/>
              <w:textDirection w:val="tbRlV"/>
              <w:rPr>
                <w:rFonts w:ascii="Simplified Arabic" w:hAnsi="Simplified Arabic"/>
                <w:szCs w:val="20"/>
                <w:lang w:val="ar-SA" w:eastAsia="zh-TW" w:bidi="en-GB"/>
              </w:rPr>
            </w:pPr>
            <w:r w:rsidRPr="003B756C">
              <w:rPr>
                <w:rFonts w:ascii="Simplified Arabic" w:hAnsi="Simplified Arabic"/>
                <w:szCs w:val="20"/>
                <w:rtl/>
              </w:rPr>
              <w:t>‎العهد الدولي الخاص بالحقوق المدنية والسياسية‏‏</w:t>
            </w:r>
          </w:p>
        </w:tc>
        <w:tc>
          <w:tcPr>
            <w:tcW w:w="3290" w:type="dxa"/>
            <w:shd w:val="clear" w:color="auto" w:fill="auto"/>
          </w:tcPr>
          <w:p w14:paraId="2E5CCD60" w14:textId="77777777" w:rsidR="00DE3D9F" w:rsidRPr="003B756C" w:rsidRDefault="00DE3D9F" w:rsidP="003B756C">
            <w:pPr>
              <w:spacing w:before="40" w:after="40" w:line="320" w:lineRule="exact"/>
              <w:ind w:left="284"/>
              <w:textDirection w:val="tbRlV"/>
              <w:rPr>
                <w:rFonts w:ascii="Simplified Arabic" w:hAnsi="Simplified Arabic"/>
                <w:szCs w:val="20"/>
                <w:lang w:val="ar-SA" w:eastAsia="zh-TW" w:bidi="en-GB"/>
              </w:rPr>
            </w:pPr>
            <w:r w:rsidRPr="003B756C">
              <w:rPr>
                <w:rFonts w:ascii="Simplified Arabic" w:hAnsi="Simplified Arabic"/>
                <w:szCs w:val="20"/>
                <w:rtl/>
              </w:rPr>
              <w:t>الانضمام في 29 تشرين الأول/أكتوبر 1996</w:t>
            </w:r>
          </w:p>
        </w:tc>
      </w:tr>
      <w:tr w:rsidR="00DE3D9F" w:rsidRPr="005A71CE" w14:paraId="485C8B83" w14:textId="77777777" w:rsidTr="003B756C">
        <w:tc>
          <w:tcPr>
            <w:tcW w:w="4288" w:type="dxa"/>
            <w:tcBorders>
              <w:bottom w:val="nil"/>
            </w:tcBorders>
            <w:shd w:val="clear" w:color="auto" w:fill="auto"/>
          </w:tcPr>
          <w:p w14:paraId="5BE8E220" w14:textId="77777777" w:rsidR="00DE3D9F" w:rsidRPr="003B756C" w:rsidRDefault="00DE3D9F" w:rsidP="00E90634">
            <w:pPr>
              <w:spacing w:before="40" w:after="40" w:line="320" w:lineRule="exact"/>
              <w:ind w:left="94" w:right="113"/>
              <w:textDirection w:val="tbRlV"/>
              <w:rPr>
                <w:rFonts w:ascii="Simplified Arabic" w:hAnsi="Simplified Arabic"/>
                <w:szCs w:val="20"/>
                <w:lang w:val="ar-SA" w:eastAsia="zh-TW" w:bidi="en-GB"/>
              </w:rPr>
            </w:pPr>
            <w:r w:rsidRPr="003B756C">
              <w:rPr>
                <w:rFonts w:ascii="Simplified Arabic" w:hAnsi="Simplified Arabic"/>
                <w:szCs w:val="20"/>
                <w:rtl/>
              </w:rPr>
              <w:t>الاتفاقية الدولية لحماية جميع الأشخاص من الاختفاء القسري</w:t>
            </w:r>
          </w:p>
        </w:tc>
        <w:tc>
          <w:tcPr>
            <w:tcW w:w="3290" w:type="dxa"/>
            <w:tcBorders>
              <w:bottom w:val="nil"/>
            </w:tcBorders>
            <w:shd w:val="clear" w:color="auto" w:fill="auto"/>
          </w:tcPr>
          <w:p w14:paraId="1037D113" w14:textId="77777777" w:rsidR="00DE3D9F" w:rsidRPr="003B756C" w:rsidRDefault="00DE3D9F" w:rsidP="003B756C">
            <w:pPr>
              <w:spacing w:before="40" w:after="40" w:line="320" w:lineRule="exact"/>
              <w:ind w:left="284"/>
              <w:textDirection w:val="tbRlV"/>
              <w:rPr>
                <w:rFonts w:ascii="Simplified Arabic" w:hAnsi="Simplified Arabic"/>
                <w:szCs w:val="20"/>
                <w:lang w:val="ar-SA" w:eastAsia="zh-TW" w:bidi="en-GB"/>
              </w:rPr>
            </w:pPr>
            <w:r w:rsidRPr="003B756C">
              <w:rPr>
                <w:rFonts w:ascii="Simplified Arabic" w:hAnsi="Simplified Arabic"/>
                <w:szCs w:val="20"/>
                <w:rtl/>
              </w:rPr>
              <w:t>التوقيع في 9 كانون الثاني/يناير 2012</w:t>
            </w:r>
          </w:p>
        </w:tc>
      </w:tr>
      <w:tr w:rsidR="00DE3D9F" w:rsidRPr="005A71CE" w14:paraId="33E63391" w14:textId="77777777" w:rsidTr="003B756C">
        <w:tc>
          <w:tcPr>
            <w:tcW w:w="4288" w:type="dxa"/>
            <w:tcBorders>
              <w:top w:val="nil"/>
              <w:bottom w:val="nil"/>
            </w:tcBorders>
            <w:shd w:val="clear" w:color="auto" w:fill="auto"/>
          </w:tcPr>
          <w:p w14:paraId="2160F09E" w14:textId="77777777" w:rsidR="00DE3D9F" w:rsidRPr="003B756C" w:rsidRDefault="00DE3D9F" w:rsidP="00E90634">
            <w:pPr>
              <w:spacing w:before="40" w:after="40" w:line="320" w:lineRule="exact"/>
              <w:ind w:left="94" w:right="113"/>
              <w:textDirection w:val="tbRlV"/>
              <w:rPr>
                <w:rFonts w:ascii="Simplified Arabic" w:hAnsi="Simplified Arabic"/>
                <w:szCs w:val="20"/>
                <w:lang w:eastAsia="zh-TW" w:bidi="en-GB"/>
              </w:rPr>
            </w:pPr>
            <w:r w:rsidRPr="003B756C">
              <w:rPr>
                <w:rFonts w:ascii="Simplified Arabic" w:hAnsi="Simplified Arabic"/>
                <w:szCs w:val="20"/>
                <w:rtl/>
              </w:rPr>
              <w:t>اتفاقية القضاء على جميع أشكال التمييز ضد المرأة</w:t>
            </w:r>
          </w:p>
        </w:tc>
        <w:tc>
          <w:tcPr>
            <w:tcW w:w="3290" w:type="dxa"/>
            <w:tcBorders>
              <w:top w:val="nil"/>
              <w:bottom w:val="nil"/>
            </w:tcBorders>
            <w:shd w:val="clear" w:color="auto" w:fill="auto"/>
          </w:tcPr>
          <w:p w14:paraId="1EFB9094" w14:textId="77777777" w:rsidR="00DE3D9F" w:rsidRPr="003B756C" w:rsidRDefault="00DE3D9F" w:rsidP="003B756C">
            <w:pPr>
              <w:spacing w:before="40" w:after="40" w:line="320" w:lineRule="exact"/>
              <w:ind w:left="284"/>
              <w:textDirection w:val="tbRlV"/>
              <w:rPr>
                <w:rFonts w:ascii="Simplified Arabic" w:hAnsi="Simplified Arabic"/>
                <w:szCs w:val="20"/>
                <w:lang w:val="ar-SA" w:eastAsia="zh-TW" w:bidi="en-GB"/>
              </w:rPr>
            </w:pPr>
            <w:r w:rsidRPr="003B756C">
              <w:rPr>
                <w:rFonts w:ascii="Simplified Arabic" w:hAnsi="Simplified Arabic"/>
                <w:szCs w:val="20"/>
                <w:rtl/>
              </w:rPr>
              <w:t>الانضمام في 9 آب/أغسطس 1985</w:t>
            </w:r>
          </w:p>
        </w:tc>
      </w:tr>
      <w:tr w:rsidR="00DE3D9F" w:rsidRPr="005A71CE" w14:paraId="147C581A" w14:textId="77777777" w:rsidTr="003B756C">
        <w:tc>
          <w:tcPr>
            <w:tcW w:w="4288" w:type="dxa"/>
            <w:tcBorders>
              <w:top w:val="nil"/>
              <w:bottom w:val="nil"/>
            </w:tcBorders>
            <w:shd w:val="clear" w:color="auto" w:fill="auto"/>
          </w:tcPr>
          <w:p w14:paraId="21550530" w14:textId="77777777" w:rsidR="00DE3D9F" w:rsidRPr="003B756C" w:rsidRDefault="00DE3D9F" w:rsidP="00E90634">
            <w:pPr>
              <w:spacing w:before="40" w:after="40" w:line="320" w:lineRule="exact"/>
              <w:ind w:left="94" w:right="113"/>
              <w:textDirection w:val="tbRlV"/>
              <w:rPr>
                <w:rFonts w:ascii="Simplified Arabic" w:hAnsi="Simplified Arabic"/>
                <w:szCs w:val="20"/>
                <w:lang w:eastAsia="zh-TW" w:bidi="en-GB"/>
              </w:rPr>
            </w:pPr>
            <w:r w:rsidRPr="003B756C">
              <w:rPr>
                <w:rFonts w:ascii="Simplified Arabic" w:hAnsi="Simplified Arabic"/>
                <w:szCs w:val="20"/>
                <w:rtl/>
              </w:rPr>
              <w:t>البروتوكول الاختياري لاتفاقية القضاء على جميع أشكال التمييز ضد المرأة</w:t>
            </w:r>
          </w:p>
        </w:tc>
        <w:tc>
          <w:tcPr>
            <w:tcW w:w="3290" w:type="dxa"/>
            <w:tcBorders>
              <w:top w:val="nil"/>
              <w:bottom w:val="nil"/>
            </w:tcBorders>
            <w:shd w:val="clear" w:color="auto" w:fill="auto"/>
          </w:tcPr>
          <w:p w14:paraId="55B4CF2A" w14:textId="77777777" w:rsidR="00DE3D9F" w:rsidRPr="003B756C" w:rsidRDefault="00DE3D9F" w:rsidP="003B756C">
            <w:pPr>
              <w:spacing w:before="40" w:after="40" w:line="320" w:lineRule="exact"/>
              <w:ind w:left="284"/>
              <w:textDirection w:val="tbRlV"/>
              <w:rPr>
                <w:rFonts w:ascii="Simplified Arabic" w:hAnsi="Simplified Arabic"/>
                <w:szCs w:val="20"/>
                <w:lang w:val="ar-SA" w:eastAsia="zh-TW" w:bidi="en-GB"/>
              </w:rPr>
            </w:pPr>
            <w:r w:rsidRPr="003B756C">
              <w:rPr>
                <w:rFonts w:ascii="Simplified Arabic" w:hAnsi="Simplified Arabic"/>
                <w:szCs w:val="20"/>
                <w:rtl/>
              </w:rPr>
              <w:t>التصديق في 14 حزيران/يونيه 2000</w:t>
            </w:r>
          </w:p>
        </w:tc>
      </w:tr>
      <w:tr w:rsidR="00DE3D9F" w:rsidRPr="005A71CE" w14:paraId="2A097C17" w14:textId="77777777" w:rsidTr="003B756C">
        <w:tc>
          <w:tcPr>
            <w:tcW w:w="4288" w:type="dxa"/>
            <w:tcBorders>
              <w:top w:val="nil"/>
              <w:bottom w:val="nil"/>
            </w:tcBorders>
            <w:shd w:val="clear" w:color="auto" w:fill="auto"/>
          </w:tcPr>
          <w:p w14:paraId="014C88C2" w14:textId="77777777" w:rsidR="00DE3D9F" w:rsidRPr="003B756C" w:rsidRDefault="00DE3D9F" w:rsidP="00E90634">
            <w:pPr>
              <w:spacing w:before="40" w:after="40" w:line="320" w:lineRule="exact"/>
              <w:ind w:left="94" w:right="113"/>
              <w:textDirection w:val="tbRlV"/>
              <w:rPr>
                <w:rFonts w:ascii="Simplified Arabic" w:hAnsi="Simplified Arabic"/>
                <w:szCs w:val="20"/>
                <w:lang w:val="ar-SA" w:eastAsia="zh-TW" w:bidi="en-GB"/>
              </w:rPr>
            </w:pPr>
            <w:r w:rsidRPr="003B756C">
              <w:rPr>
                <w:rFonts w:ascii="Simplified Arabic" w:hAnsi="Simplified Arabic"/>
                <w:szCs w:val="20"/>
                <w:rtl/>
              </w:rPr>
              <w:t>الاتفاقية الدولية للقضاء على التمييز العنصري</w:t>
            </w:r>
          </w:p>
        </w:tc>
        <w:tc>
          <w:tcPr>
            <w:tcW w:w="3290" w:type="dxa"/>
            <w:tcBorders>
              <w:top w:val="nil"/>
              <w:bottom w:val="nil"/>
            </w:tcBorders>
            <w:shd w:val="clear" w:color="auto" w:fill="auto"/>
          </w:tcPr>
          <w:p w14:paraId="70272D80" w14:textId="77777777" w:rsidR="00DE3D9F" w:rsidRPr="003B756C" w:rsidRDefault="00DE3D9F" w:rsidP="003B756C">
            <w:pPr>
              <w:spacing w:before="40" w:after="40" w:line="320" w:lineRule="exact"/>
              <w:ind w:left="284"/>
              <w:textDirection w:val="tbRlV"/>
              <w:rPr>
                <w:rFonts w:ascii="Simplified Arabic" w:hAnsi="Simplified Arabic"/>
                <w:szCs w:val="20"/>
                <w:lang w:val="ar-SA" w:eastAsia="zh-TW" w:bidi="en-GB"/>
              </w:rPr>
            </w:pPr>
            <w:r w:rsidRPr="003B756C">
              <w:rPr>
                <w:rFonts w:ascii="Simplified Arabic" w:hAnsi="Simplified Arabic"/>
                <w:szCs w:val="20"/>
                <w:rtl/>
              </w:rPr>
              <w:t>الانضمام في 28 كانون الثاني/يناير 2003</w:t>
            </w:r>
          </w:p>
        </w:tc>
      </w:tr>
      <w:tr w:rsidR="00DE3D9F" w:rsidRPr="005A71CE" w14:paraId="3AE4A5DA" w14:textId="77777777" w:rsidTr="003B756C">
        <w:tc>
          <w:tcPr>
            <w:tcW w:w="4288" w:type="dxa"/>
            <w:tcBorders>
              <w:top w:val="nil"/>
            </w:tcBorders>
            <w:shd w:val="clear" w:color="auto" w:fill="auto"/>
          </w:tcPr>
          <w:p w14:paraId="48EA55A6" w14:textId="77777777" w:rsidR="00DE3D9F" w:rsidRPr="003B756C" w:rsidRDefault="00DE3D9F" w:rsidP="00E90634">
            <w:pPr>
              <w:spacing w:before="40" w:after="40" w:line="320" w:lineRule="exact"/>
              <w:ind w:left="94" w:right="113"/>
              <w:textDirection w:val="tbRlV"/>
              <w:rPr>
                <w:rFonts w:ascii="Simplified Arabic" w:hAnsi="Simplified Arabic"/>
                <w:szCs w:val="20"/>
                <w:lang w:val="ar-SA" w:eastAsia="zh-TW" w:bidi="en-GB"/>
              </w:rPr>
            </w:pPr>
            <w:r w:rsidRPr="003B756C">
              <w:rPr>
                <w:rFonts w:ascii="Simplified Arabic" w:hAnsi="Simplified Arabic"/>
                <w:szCs w:val="20"/>
                <w:rtl/>
              </w:rPr>
              <w:lastRenderedPageBreak/>
              <w:t>‎‎العهد الدولي الخاص بالحقوق الاقتصادية والاجتماعية والثقافية‏‏</w:t>
            </w:r>
          </w:p>
        </w:tc>
        <w:tc>
          <w:tcPr>
            <w:tcW w:w="3290" w:type="dxa"/>
            <w:tcBorders>
              <w:top w:val="nil"/>
            </w:tcBorders>
            <w:shd w:val="clear" w:color="auto" w:fill="auto"/>
          </w:tcPr>
          <w:p w14:paraId="60E48C3B" w14:textId="77777777" w:rsidR="00DE3D9F" w:rsidRPr="003B756C" w:rsidRDefault="00DE3D9F" w:rsidP="003B756C">
            <w:pPr>
              <w:spacing w:before="40" w:after="40" w:line="320" w:lineRule="exact"/>
              <w:ind w:left="284"/>
              <w:textDirection w:val="tbRlV"/>
              <w:rPr>
                <w:rFonts w:ascii="Simplified Arabic" w:hAnsi="Simplified Arabic"/>
                <w:szCs w:val="20"/>
                <w:lang w:val="ar-SA" w:eastAsia="zh-TW" w:bidi="en-GB"/>
              </w:rPr>
            </w:pPr>
            <w:r w:rsidRPr="003B756C">
              <w:rPr>
                <w:rFonts w:ascii="Simplified Arabic" w:hAnsi="Simplified Arabic"/>
                <w:szCs w:val="20"/>
                <w:rtl/>
              </w:rPr>
              <w:t>الانضمام في 6 أيلول/سبتمبر 1999</w:t>
            </w:r>
          </w:p>
        </w:tc>
      </w:tr>
      <w:tr w:rsidR="00DE3D9F" w:rsidRPr="005A71CE" w14:paraId="7D7B708C" w14:textId="77777777" w:rsidTr="003B756C">
        <w:tc>
          <w:tcPr>
            <w:tcW w:w="4288" w:type="dxa"/>
            <w:shd w:val="clear" w:color="auto" w:fill="auto"/>
          </w:tcPr>
          <w:p w14:paraId="70BB5DAE" w14:textId="77777777" w:rsidR="00DE3D9F" w:rsidRPr="003B756C" w:rsidRDefault="00DE3D9F" w:rsidP="00E90634">
            <w:pPr>
              <w:spacing w:before="40" w:after="40" w:line="320" w:lineRule="exact"/>
              <w:ind w:left="94" w:right="113"/>
              <w:textDirection w:val="tbRlV"/>
              <w:rPr>
                <w:rFonts w:ascii="Simplified Arabic" w:hAnsi="Simplified Arabic"/>
                <w:szCs w:val="20"/>
                <w:lang w:val="ar-SA" w:eastAsia="zh-TW" w:bidi="en-GB"/>
              </w:rPr>
            </w:pPr>
            <w:r w:rsidRPr="003B756C">
              <w:rPr>
                <w:rFonts w:ascii="Simplified Arabic" w:hAnsi="Simplified Arabic"/>
                <w:szCs w:val="20"/>
                <w:rtl/>
              </w:rPr>
              <w:t>اتفاقية حقوق الطفل</w:t>
            </w:r>
          </w:p>
        </w:tc>
        <w:tc>
          <w:tcPr>
            <w:tcW w:w="3290" w:type="dxa"/>
            <w:shd w:val="clear" w:color="auto" w:fill="auto"/>
          </w:tcPr>
          <w:p w14:paraId="5F05D2F9" w14:textId="77777777" w:rsidR="00DE3D9F" w:rsidRPr="003B756C" w:rsidRDefault="00DE3D9F" w:rsidP="003B756C">
            <w:pPr>
              <w:spacing w:before="40" w:after="40" w:line="320" w:lineRule="exact"/>
              <w:ind w:left="284"/>
              <w:textDirection w:val="tbRlV"/>
              <w:rPr>
                <w:rFonts w:ascii="Simplified Arabic" w:hAnsi="Simplified Arabic"/>
                <w:szCs w:val="20"/>
                <w:lang w:val="ar-SA" w:eastAsia="zh-TW" w:bidi="en-GB"/>
              </w:rPr>
            </w:pPr>
            <w:r w:rsidRPr="003B756C">
              <w:rPr>
                <w:rFonts w:ascii="Simplified Arabic" w:hAnsi="Simplified Arabic"/>
                <w:szCs w:val="20"/>
                <w:rtl/>
              </w:rPr>
              <w:t>الانضمام في 27 أيار/مايو 1992</w:t>
            </w:r>
          </w:p>
        </w:tc>
      </w:tr>
      <w:tr w:rsidR="00DE3D9F" w:rsidRPr="005A71CE" w14:paraId="022E36F3" w14:textId="77777777" w:rsidTr="003B756C">
        <w:tc>
          <w:tcPr>
            <w:tcW w:w="4288" w:type="dxa"/>
            <w:shd w:val="clear" w:color="auto" w:fill="auto"/>
          </w:tcPr>
          <w:p w14:paraId="03999FC0" w14:textId="77777777" w:rsidR="00DE3D9F" w:rsidRPr="003B756C" w:rsidRDefault="00DE3D9F" w:rsidP="00E90634">
            <w:pPr>
              <w:spacing w:before="40" w:after="40" w:line="320" w:lineRule="exact"/>
              <w:ind w:left="94" w:right="113"/>
              <w:textDirection w:val="tbRlV"/>
              <w:rPr>
                <w:rFonts w:ascii="Simplified Arabic" w:hAnsi="Simplified Arabic"/>
                <w:szCs w:val="20"/>
                <w:lang w:val="ar-SA" w:eastAsia="zh-TW" w:bidi="en-GB"/>
              </w:rPr>
            </w:pPr>
            <w:r w:rsidRPr="003B756C">
              <w:rPr>
                <w:rFonts w:ascii="Simplified Arabic" w:hAnsi="Simplified Arabic"/>
                <w:szCs w:val="20"/>
                <w:rtl/>
              </w:rPr>
              <w:t>البروتوكول الاختياري لاتفاقية حقوق الطفل بشأن اشتراك الأطفال في المنازعات المسلحة</w:t>
            </w:r>
          </w:p>
        </w:tc>
        <w:tc>
          <w:tcPr>
            <w:tcW w:w="3290" w:type="dxa"/>
            <w:shd w:val="clear" w:color="auto" w:fill="auto"/>
          </w:tcPr>
          <w:p w14:paraId="37924A03" w14:textId="77777777" w:rsidR="00DE3D9F" w:rsidRPr="003B756C" w:rsidRDefault="00DE3D9F" w:rsidP="003B756C">
            <w:pPr>
              <w:spacing w:before="40" w:after="40" w:line="320" w:lineRule="exact"/>
              <w:ind w:left="284"/>
              <w:textDirection w:val="tbRlV"/>
              <w:rPr>
                <w:rFonts w:ascii="Simplified Arabic" w:hAnsi="Simplified Arabic"/>
                <w:szCs w:val="20"/>
                <w:lang w:val="ar-SA" w:eastAsia="zh-TW" w:bidi="en-GB"/>
              </w:rPr>
            </w:pPr>
            <w:r w:rsidRPr="003B756C">
              <w:rPr>
                <w:rFonts w:ascii="Simplified Arabic" w:hAnsi="Simplified Arabic"/>
                <w:szCs w:val="20"/>
                <w:rtl/>
              </w:rPr>
              <w:t>الانضمام في 27 شباط/فبراير 2006</w:t>
            </w:r>
          </w:p>
        </w:tc>
      </w:tr>
      <w:tr w:rsidR="00DE3D9F" w:rsidRPr="005A71CE" w14:paraId="2CCDB2F3" w14:textId="77777777" w:rsidTr="003B756C">
        <w:tc>
          <w:tcPr>
            <w:tcW w:w="4288" w:type="dxa"/>
            <w:shd w:val="clear" w:color="auto" w:fill="auto"/>
          </w:tcPr>
          <w:p w14:paraId="41FEC44C" w14:textId="77777777" w:rsidR="00DE3D9F" w:rsidRPr="003B756C" w:rsidRDefault="00DE3D9F" w:rsidP="00E90634">
            <w:pPr>
              <w:spacing w:before="40" w:after="40" w:line="320" w:lineRule="exact"/>
              <w:ind w:left="94" w:right="113"/>
              <w:textDirection w:val="tbRlV"/>
              <w:rPr>
                <w:rFonts w:ascii="Simplified Arabic" w:hAnsi="Simplified Arabic"/>
                <w:szCs w:val="20"/>
                <w:lang w:val="ar-SA" w:eastAsia="zh-TW" w:bidi="en-GB"/>
              </w:rPr>
            </w:pPr>
            <w:r w:rsidRPr="003B756C">
              <w:rPr>
                <w:rFonts w:ascii="Simplified Arabic" w:hAnsi="Simplified Arabic"/>
                <w:szCs w:val="20"/>
                <w:rtl/>
              </w:rPr>
              <w:t>البروتوكول الاختياري لاتفاقية حقوق الطفل المتعلق بإجراء تقديم البلاغات</w:t>
            </w:r>
          </w:p>
        </w:tc>
        <w:tc>
          <w:tcPr>
            <w:tcW w:w="3290" w:type="dxa"/>
            <w:shd w:val="clear" w:color="auto" w:fill="auto"/>
          </w:tcPr>
          <w:p w14:paraId="65BD5E0B" w14:textId="77777777" w:rsidR="00DE3D9F" w:rsidRPr="003B756C" w:rsidRDefault="00DE3D9F" w:rsidP="003B756C">
            <w:pPr>
              <w:spacing w:before="40" w:after="40" w:line="320" w:lineRule="exact"/>
              <w:ind w:left="284"/>
              <w:textDirection w:val="tbRlV"/>
              <w:rPr>
                <w:rFonts w:ascii="Simplified Arabic" w:hAnsi="Simplified Arabic"/>
                <w:szCs w:val="20"/>
                <w:lang w:val="ar-SA" w:eastAsia="zh-TW" w:bidi="en-GB"/>
              </w:rPr>
            </w:pPr>
            <w:r w:rsidRPr="003B756C">
              <w:rPr>
                <w:rFonts w:ascii="Simplified Arabic" w:hAnsi="Simplified Arabic"/>
                <w:szCs w:val="20"/>
                <w:rtl/>
              </w:rPr>
              <w:t>التصديق في 25 أيلول/سبتمبر 2012</w:t>
            </w:r>
          </w:p>
        </w:tc>
      </w:tr>
      <w:tr w:rsidR="00DE3D9F" w:rsidRPr="005A71CE" w14:paraId="584D7C43" w14:textId="77777777" w:rsidTr="003B756C">
        <w:tc>
          <w:tcPr>
            <w:tcW w:w="4288" w:type="dxa"/>
            <w:shd w:val="clear" w:color="auto" w:fill="auto"/>
          </w:tcPr>
          <w:p w14:paraId="6A56DDC8" w14:textId="77777777" w:rsidR="00DE3D9F" w:rsidRPr="003B756C" w:rsidRDefault="00DE3D9F" w:rsidP="00E90634">
            <w:pPr>
              <w:spacing w:before="40" w:after="40" w:line="320" w:lineRule="exact"/>
              <w:ind w:left="94" w:right="113"/>
              <w:textDirection w:val="tbRlV"/>
              <w:rPr>
                <w:rFonts w:ascii="Simplified Arabic" w:hAnsi="Simplified Arabic"/>
                <w:szCs w:val="20"/>
                <w:lang w:val="ar-SA" w:eastAsia="zh-TW" w:bidi="en-GB"/>
              </w:rPr>
            </w:pPr>
            <w:r w:rsidRPr="003B756C">
              <w:rPr>
                <w:rFonts w:ascii="Simplified Arabic" w:hAnsi="Simplified Arabic"/>
                <w:szCs w:val="20"/>
                <w:rtl/>
              </w:rPr>
              <w:t>البروتوكول الاختياري الملحق باتفاقية حقوق الطفل بشأن بيع الأطفال واستغلال الأطفال في البغاء وفي المواد الإباحية</w:t>
            </w:r>
          </w:p>
        </w:tc>
        <w:tc>
          <w:tcPr>
            <w:tcW w:w="3290" w:type="dxa"/>
            <w:shd w:val="clear" w:color="auto" w:fill="auto"/>
          </w:tcPr>
          <w:p w14:paraId="218722C4" w14:textId="77777777" w:rsidR="00DE3D9F" w:rsidRPr="003B756C" w:rsidRDefault="00DE3D9F" w:rsidP="003B756C">
            <w:pPr>
              <w:spacing w:before="40" w:after="40" w:line="320" w:lineRule="exact"/>
              <w:ind w:left="284"/>
              <w:textDirection w:val="tbRlV"/>
              <w:rPr>
                <w:rFonts w:ascii="Simplified Arabic" w:hAnsi="Simplified Arabic"/>
                <w:szCs w:val="20"/>
                <w:lang w:val="ar-SA" w:eastAsia="zh-TW" w:bidi="en-GB"/>
              </w:rPr>
            </w:pPr>
            <w:r w:rsidRPr="003B756C">
              <w:rPr>
                <w:rFonts w:ascii="Simplified Arabic" w:hAnsi="Simplified Arabic"/>
                <w:szCs w:val="20"/>
                <w:rtl/>
              </w:rPr>
              <w:t>الانضمام في 11 كانون الثاني/يناير 2006</w:t>
            </w:r>
          </w:p>
        </w:tc>
      </w:tr>
      <w:tr w:rsidR="00DE3D9F" w:rsidRPr="005A71CE" w14:paraId="7603752C" w14:textId="77777777" w:rsidTr="003B756C">
        <w:tc>
          <w:tcPr>
            <w:tcW w:w="4288" w:type="dxa"/>
            <w:shd w:val="clear" w:color="auto" w:fill="auto"/>
          </w:tcPr>
          <w:p w14:paraId="2FA505FC" w14:textId="77777777" w:rsidR="00DE3D9F" w:rsidRPr="003B756C" w:rsidRDefault="00DE3D9F" w:rsidP="00E90634">
            <w:pPr>
              <w:spacing w:before="40" w:after="40" w:line="320" w:lineRule="exact"/>
              <w:ind w:left="94" w:right="113"/>
              <w:textDirection w:val="tbRlV"/>
              <w:rPr>
                <w:rFonts w:ascii="Simplified Arabic" w:hAnsi="Simplified Arabic"/>
                <w:szCs w:val="20"/>
                <w:lang w:val="ar-SA" w:eastAsia="zh-TW" w:bidi="en-GB"/>
              </w:rPr>
            </w:pPr>
            <w:r w:rsidRPr="003B756C">
              <w:rPr>
                <w:rFonts w:ascii="Simplified Arabic" w:hAnsi="Simplified Arabic"/>
                <w:szCs w:val="20"/>
                <w:rtl/>
              </w:rPr>
              <w:t>اتفاقية حقوق الأشخاص ذوي الإعاقة</w:t>
            </w:r>
          </w:p>
        </w:tc>
        <w:tc>
          <w:tcPr>
            <w:tcW w:w="3290" w:type="dxa"/>
            <w:shd w:val="clear" w:color="auto" w:fill="auto"/>
          </w:tcPr>
          <w:p w14:paraId="68E360BF" w14:textId="77777777" w:rsidR="00DE3D9F" w:rsidRPr="003B756C" w:rsidRDefault="00DE3D9F" w:rsidP="003B756C">
            <w:pPr>
              <w:spacing w:before="40" w:after="40" w:line="320" w:lineRule="exact"/>
              <w:ind w:left="284"/>
              <w:textDirection w:val="tbRlV"/>
              <w:rPr>
                <w:rFonts w:ascii="Simplified Arabic" w:hAnsi="Simplified Arabic"/>
                <w:szCs w:val="20"/>
                <w:lang w:val="ar-SA" w:eastAsia="zh-TW" w:bidi="en-GB"/>
              </w:rPr>
            </w:pPr>
            <w:r w:rsidRPr="003B756C">
              <w:rPr>
                <w:rFonts w:ascii="Simplified Arabic" w:hAnsi="Simplified Arabic"/>
                <w:szCs w:val="20"/>
                <w:rtl/>
              </w:rPr>
              <w:t>التصديق في 29 تموز/يوليه 2008</w:t>
            </w:r>
          </w:p>
        </w:tc>
      </w:tr>
      <w:tr w:rsidR="00DE3D9F" w:rsidRPr="005A71CE" w14:paraId="52F5054F" w14:textId="77777777" w:rsidTr="003B756C">
        <w:tc>
          <w:tcPr>
            <w:tcW w:w="4288" w:type="dxa"/>
            <w:shd w:val="clear" w:color="auto" w:fill="auto"/>
          </w:tcPr>
          <w:p w14:paraId="7DB30780" w14:textId="77777777" w:rsidR="00DE3D9F" w:rsidRPr="003B756C" w:rsidRDefault="00DE3D9F" w:rsidP="00E90634">
            <w:pPr>
              <w:spacing w:before="40" w:after="40" w:line="320" w:lineRule="exact"/>
              <w:ind w:left="94" w:right="113"/>
              <w:textDirection w:val="tbRlV"/>
              <w:rPr>
                <w:rFonts w:ascii="Simplified Arabic" w:hAnsi="Simplified Arabic"/>
                <w:szCs w:val="20"/>
                <w:lang w:val="ar-SA" w:eastAsia="zh-TW" w:bidi="en-GB"/>
              </w:rPr>
            </w:pPr>
            <w:r w:rsidRPr="003B756C">
              <w:rPr>
                <w:rFonts w:ascii="Simplified Arabic" w:hAnsi="Simplified Arabic"/>
                <w:szCs w:val="20"/>
                <w:rtl/>
              </w:rPr>
              <w:t>البروتوكول الاختياري لاتفاقية حقوق الأشخاص ذوي الإعاقة</w:t>
            </w:r>
          </w:p>
        </w:tc>
        <w:tc>
          <w:tcPr>
            <w:tcW w:w="3290" w:type="dxa"/>
            <w:shd w:val="clear" w:color="auto" w:fill="auto"/>
          </w:tcPr>
          <w:p w14:paraId="5833B6B4" w14:textId="77777777" w:rsidR="00DE3D9F" w:rsidRPr="003B756C" w:rsidRDefault="00DE3D9F" w:rsidP="003B756C">
            <w:pPr>
              <w:spacing w:before="40" w:after="40" w:line="320" w:lineRule="exact"/>
              <w:ind w:left="284"/>
              <w:textDirection w:val="tbRlV"/>
              <w:rPr>
                <w:rFonts w:ascii="Simplified Arabic" w:hAnsi="Simplified Arabic"/>
                <w:szCs w:val="20"/>
                <w:lang w:val="ar-SA" w:eastAsia="zh-TW" w:bidi="en-GB"/>
              </w:rPr>
            </w:pPr>
            <w:r w:rsidRPr="003B756C">
              <w:rPr>
                <w:rFonts w:ascii="Simplified Arabic" w:hAnsi="Simplified Arabic"/>
                <w:szCs w:val="20"/>
                <w:rtl/>
              </w:rPr>
              <w:t>الانضمام في 2 أيلول/سبتمبر 2016</w:t>
            </w:r>
          </w:p>
        </w:tc>
      </w:tr>
    </w:tbl>
    <w:p w14:paraId="1CD99373" w14:textId="74A18E68" w:rsidR="00DE3D9F" w:rsidRPr="001B6C67" w:rsidRDefault="00DE3D9F" w:rsidP="00E90634">
      <w:pPr>
        <w:pStyle w:val="SingleTxtGA"/>
        <w:spacing w:before="240" w:after="240"/>
        <w:rPr>
          <w:lang w:val="ar-SA" w:eastAsia="zh-TW" w:bidi="en-GB"/>
        </w:rPr>
      </w:pPr>
      <w:r w:rsidRPr="00AF3116">
        <w:rPr>
          <w:rtl/>
        </w:rPr>
        <w:t>78</w:t>
      </w:r>
      <w:r w:rsidRPr="001B6C67">
        <w:rPr>
          <w:rtl/>
        </w:rPr>
        <w:t>-</w:t>
      </w:r>
      <w:r w:rsidRPr="001B6C67">
        <w:rPr>
          <w:rtl/>
        </w:rPr>
        <w:tab/>
      </w:r>
      <w:r>
        <w:rPr>
          <w:rtl/>
        </w:rPr>
        <w:t>و</w:t>
      </w:r>
      <w:r w:rsidRPr="001B6C67">
        <w:rPr>
          <w:rtl/>
        </w:rPr>
        <w:t>لدى تايلند حالياً تحفظات وإعلانات، على النحو التالي:</w:t>
      </w:r>
    </w:p>
    <w:tbl>
      <w:tblPr>
        <w:bidiVisual/>
        <w:tblW w:w="7578"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357"/>
        <w:gridCol w:w="5221"/>
      </w:tblGrid>
      <w:tr w:rsidR="00DE3D9F" w:rsidRPr="001B6C67" w14:paraId="249D73C2" w14:textId="77777777" w:rsidTr="003B756C">
        <w:trPr>
          <w:tblHeader/>
        </w:trPr>
        <w:tc>
          <w:tcPr>
            <w:tcW w:w="2357" w:type="dxa"/>
            <w:tcBorders>
              <w:top w:val="single" w:sz="4" w:space="0" w:color="auto"/>
              <w:bottom w:val="single" w:sz="12" w:space="0" w:color="auto"/>
            </w:tcBorders>
            <w:shd w:val="clear" w:color="auto" w:fill="auto"/>
            <w:vAlign w:val="bottom"/>
          </w:tcPr>
          <w:p w14:paraId="61FA5DE5" w14:textId="77777777" w:rsidR="00DE3D9F" w:rsidRPr="001B0794" w:rsidRDefault="00F50514" w:rsidP="001B0794">
            <w:pPr>
              <w:spacing w:before="40" w:after="40" w:line="320" w:lineRule="exact"/>
              <w:ind w:right="113" w:firstLine="68"/>
              <w:textDirection w:val="tbRlV"/>
              <w:rPr>
                <w:rFonts w:ascii="Simplified Arabic" w:hAnsi="Simplified Arabic"/>
                <w:i/>
                <w:sz w:val="22"/>
                <w:lang w:eastAsia="zh-TW" w:bidi="en-GB"/>
              </w:rPr>
            </w:pPr>
            <w:dir w:val="rtl">
              <w:r w:rsidR="00DE3D9F" w:rsidRPr="00AF3116">
                <w:rPr>
                  <w:rFonts w:ascii="Simplified Arabic" w:hAnsi="Simplified Arabic"/>
                  <w:i/>
                  <w:iCs/>
                  <w:sz w:val="22"/>
                  <w:rtl/>
                </w:rPr>
                <w:t>الاتفاقيات</w:t>
              </w:r>
              <w:r w:rsidR="00DE3D9F" w:rsidRPr="00AF3116">
                <w:rPr>
                  <w:rFonts w:cs="Times New Roman" w:hint="cs"/>
                  <w:i/>
                  <w:iCs/>
                  <w:sz w:val="22"/>
                  <w:rtl/>
                </w:rPr>
                <w:t>‬</w:t>
              </w:r>
              <w:r w:rsidR="00DE3D9F" w:rsidRPr="001B0794">
                <w:rPr>
                  <w:sz w:val="22"/>
                </w:rPr>
                <w:t>‬</w:t>
              </w:r>
              <w:r w:rsidR="00DE3D9F" w:rsidRPr="001B0794">
                <w:rPr>
                  <w:sz w:val="22"/>
                </w:rPr>
                <w:t>‬</w:t>
              </w:r>
              <w:r w:rsidR="003B756C">
                <w:t>‬</w:t>
              </w:r>
              <w:r>
                <w:t>‬</w:t>
              </w:r>
            </w:dir>
          </w:p>
        </w:tc>
        <w:tc>
          <w:tcPr>
            <w:tcW w:w="5221" w:type="dxa"/>
            <w:tcBorders>
              <w:top w:val="single" w:sz="4" w:space="0" w:color="auto"/>
              <w:bottom w:val="single" w:sz="12" w:space="0" w:color="auto"/>
            </w:tcBorders>
            <w:shd w:val="clear" w:color="auto" w:fill="auto"/>
            <w:vAlign w:val="bottom"/>
          </w:tcPr>
          <w:p w14:paraId="5CF10018" w14:textId="77777777" w:rsidR="00DE3D9F" w:rsidRPr="00AF3116" w:rsidRDefault="00DE3D9F" w:rsidP="001B0794">
            <w:pPr>
              <w:spacing w:before="40" w:after="40" w:line="320" w:lineRule="exact"/>
              <w:ind w:left="293" w:right="113" w:firstLine="68"/>
              <w:textDirection w:val="tbRlV"/>
              <w:rPr>
                <w:rFonts w:ascii="Simplified Arabic" w:hAnsi="Simplified Arabic"/>
                <w:i/>
                <w:sz w:val="22"/>
                <w:lang w:val="ar-SA" w:eastAsia="zh-TW" w:bidi="en-GB"/>
              </w:rPr>
            </w:pPr>
            <w:r w:rsidRPr="00AF3116">
              <w:rPr>
                <w:rFonts w:ascii="Simplified Arabic" w:hAnsi="Simplified Arabic"/>
                <w:i/>
                <w:iCs/>
                <w:sz w:val="22"/>
                <w:rtl/>
              </w:rPr>
              <w:t>التحفظات والإعلانات</w:t>
            </w:r>
          </w:p>
        </w:tc>
      </w:tr>
      <w:tr w:rsidR="00DE3D9F" w:rsidRPr="001B6C67" w14:paraId="55DE6AAE" w14:textId="77777777" w:rsidTr="003B756C">
        <w:trPr>
          <w:trHeight w:hRule="exact" w:val="113"/>
          <w:tblHeader/>
        </w:trPr>
        <w:tc>
          <w:tcPr>
            <w:tcW w:w="2357" w:type="dxa"/>
            <w:tcBorders>
              <w:top w:val="single" w:sz="12" w:space="0" w:color="auto"/>
              <w:bottom w:val="nil"/>
            </w:tcBorders>
            <w:shd w:val="clear" w:color="auto" w:fill="auto"/>
          </w:tcPr>
          <w:p w14:paraId="4963D459" w14:textId="77777777" w:rsidR="00DE3D9F" w:rsidRPr="001B0794" w:rsidRDefault="00DE3D9F" w:rsidP="001B0794">
            <w:pPr>
              <w:spacing w:before="40" w:after="120" w:line="340" w:lineRule="exact"/>
              <w:ind w:right="113"/>
              <w:rPr>
                <w:rFonts w:ascii="Simplified Arabic" w:hAnsi="Simplified Arabic"/>
                <w:sz w:val="22"/>
              </w:rPr>
            </w:pPr>
          </w:p>
        </w:tc>
        <w:tc>
          <w:tcPr>
            <w:tcW w:w="5221" w:type="dxa"/>
            <w:tcBorders>
              <w:top w:val="single" w:sz="12" w:space="0" w:color="auto"/>
              <w:bottom w:val="nil"/>
            </w:tcBorders>
            <w:shd w:val="clear" w:color="auto" w:fill="auto"/>
          </w:tcPr>
          <w:p w14:paraId="15D635E6" w14:textId="77777777" w:rsidR="00DE3D9F" w:rsidRPr="001B0794" w:rsidRDefault="00DE3D9F" w:rsidP="001B0794">
            <w:pPr>
              <w:spacing w:before="40" w:after="120" w:line="340" w:lineRule="exact"/>
              <w:ind w:left="293" w:right="113"/>
              <w:rPr>
                <w:rFonts w:ascii="Simplified Arabic" w:hAnsi="Simplified Arabic"/>
                <w:sz w:val="22"/>
              </w:rPr>
            </w:pPr>
          </w:p>
        </w:tc>
      </w:tr>
      <w:tr w:rsidR="00DE3D9F" w:rsidRPr="001B6C67" w14:paraId="061294BE" w14:textId="77777777" w:rsidTr="003B756C">
        <w:tc>
          <w:tcPr>
            <w:tcW w:w="2357" w:type="dxa"/>
            <w:vMerge w:val="restart"/>
            <w:tcBorders>
              <w:top w:val="nil"/>
              <w:bottom w:val="nil"/>
            </w:tcBorders>
            <w:shd w:val="clear" w:color="auto" w:fill="auto"/>
          </w:tcPr>
          <w:p w14:paraId="50AF82E8" w14:textId="77777777" w:rsidR="00DE3D9F" w:rsidRPr="001B0794" w:rsidRDefault="00DE3D9F" w:rsidP="001B0794">
            <w:pPr>
              <w:spacing w:before="40" w:after="120" w:line="340" w:lineRule="exact"/>
              <w:ind w:right="211"/>
              <w:textDirection w:val="tbRlV"/>
              <w:rPr>
                <w:rFonts w:ascii="Simplified Arabic" w:hAnsi="Simplified Arabic"/>
                <w:sz w:val="22"/>
                <w:lang w:val="ar-SA" w:eastAsia="zh-TW" w:bidi="en-GB"/>
              </w:rPr>
            </w:pPr>
            <w:r w:rsidRPr="001B0794">
              <w:rPr>
                <w:rFonts w:ascii="Simplified Arabic" w:hAnsi="Simplified Arabic"/>
                <w:sz w:val="22"/>
                <w:rtl/>
              </w:rPr>
              <w:t>اتفاقية مناهضة التعذيب</w:t>
            </w:r>
          </w:p>
        </w:tc>
        <w:tc>
          <w:tcPr>
            <w:tcW w:w="5221" w:type="dxa"/>
            <w:tcBorders>
              <w:top w:val="nil"/>
              <w:bottom w:val="nil"/>
            </w:tcBorders>
            <w:shd w:val="clear" w:color="auto" w:fill="auto"/>
          </w:tcPr>
          <w:p w14:paraId="783DD51F" w14:textId="77777777" w:rsidR="00DE3D9F" w:rsidRPr="001B0794" w:rsidRDefault="00DE3D9F" w:rsidP="001B0794">
            <w:pPr>
              <w:spacing w:before="40" w:after="120" w:line="340" w:lineRule="exact"/>
              <w:ind w:left="293" w:right="113"/>
              <w:textDirection w:val="tbRlV"/>
              <w:rPr>
                <w:rFonts w:ascii="Simplified Arabic" w:hAnsi="Simplified Arabic"/>
                <w:sz w:val="22"/>
                <w:lang w:val="ar-SA" w:eastAsia="zh-TW" w:bidi="en-GB"/>
              </w:rPr>
            </w:pPr>
            <w:r w:rsidRPr="001B0794">
              <w:rPr>
                <w:rFonts w:ascii="Simplified Arabic" w:hAnsi="Simplified Arabic"/>
                <w:sz w:val="22"/>
                <w:rtl/>
              </w:rPr>
              <w:t>الإعلانات التفسيرية:</w:t>
            </w:r>
          </w:p>
          <w:p w14:paraId="7725F41B" w14:textId="77777777" w:rsidR="00DE3D9F" w:rsidRPr="001B0794" w:rsidRDefault="00DE3D9F" w:rsidP="001B0794">
            <w:pPr>
              <w:spacing w:before="40" w:after="120" w:line="340" w:lineRule="exact"/>
              <w:ind w:left="293" w:right="113"/>
              <w:textDirection w:val="tbRlV"/>
              <w:rPr>
                <w:rFonts w:ascii="Simplified Arabic" w:hAnsi="Simplified Arabic"/>
                <w:sz w:val="22"/>
                <w:lang w:val="ar-SA" w:eastAsia="zh-TW" w:bidi="en-GB"/>
              </w:rPr>
            </w:pPr>
            <w:r w:rsidRPr="00AF3116">
              <w:rPr>
                <w:rFonts w:ascii="Simplified Arabic" w:hAnsi="Simplified Arabic"/>
                <w:sz w:val="22"/>
                <w:rtl/>
              </w:rPr>
              <w:t>1</w:t>
            </w:r>
            <w:r w:rsidRPr="001B0794">
              <w:rPr>
                <w:rFonts w:ascii="Simplified Arabic" w:hAnsi="Simplified Arabic"/>
                <w:sz w:val="22"/>
                <w:rtl/>
              </w:rPr>
              <w:t xml:space="preserve">- فيما يتعلق بمصطلح "التعذيب" الوارد في المادة </w:t>
            </w:r>
            <w:r w:rsidRPr="00AF3116">
              <w:rPr>
                <w:rFonts w:ascii="Simplified Arabic" w:hAnsi="Simplified Arabic"/>
                <w:sz w:val="22"/>
                <w:rtl/>
              </w:rPr>
              <w:t>1</w:t>
            </w:r>
            <w:r w:rsidRPr="001B0794">
              <w:rPr>
                <w:rFonts w:ascii="Simplified Arabic" w:hAnsi="Simplified Arabic"/>
                <w:sz w:val="22"/>
                <w:rtl/>
              </w:rPr>
              <w:t xml:space="preserve"> من الاتفاقية، على الرغم من عدم وجود تعريف محدد أو جريمة معينة في إطار قانون العقوبات التايلندي الحالي يقابل هذا المصطلح، فإن هناك أحكاماً مماثلة في إطار قانون العقوبات التايلندي المذكور أعلاه تنطبق على الأفعال المنصوص عليها في المادة </w:t>
            </w:r>
            <w:r w:rsidRPr="00AF3116">
              <w:rPr>
                <w:rFonts w:ascii="Simplified Arabic" w:hAnsi="Simplified Arabic"/>
                <w:sz w:val="22"/>
                <w:rtl/>
              </w:rPr>
              <w:t>1</w:t>
            </w:r>
            <w:r w:rsidRPr="001B0794">
              <w:rPr>
                <w:rFonts w:ascii="Simplified Arabic" w:hAnsi="Simplified Arabic"/>
                <w:sz w:val="22"/>
                <w:rtl/>
              </w:rPr>
              <w:t xml:space="preserve"> من الاتفاقية. ومن ثم، يُفسَّر مصطلح "التعذيب" المنصوص عليه في المادة </w:t>
            </w:r>
            <w:r w:rsidRPr="00AF3116">
              <w:rPr>
                <w:rFonts w:ascii="Simplified Arabic" w:hAnsi="Simplified Arabic"/>
                <w:sz w:val="22"/>
                <w:rtl/>
              </w:rPr>
              <w:t>1</w:t>
            </w:r>
            <w:r w:rsidRPr="001B0794">
              <w:rPr>
                <w:rFonts w:ascii="Simplified Arabic" w:hAnsi="Simplified Arabic"/>
                <w:sz w:val="22"/>
                <w:rtl/>
              </w:rPr>
              <w:t xml:space="preserve"> من الاتفاقية وفقاً لقانون العقوبات التايلندي الحالي. وتقوم مملكة تايلند بتنقيح قانونها المحلي لكي يكون أكثر اتساقاً مع المادة </w:t>
            </w:r>
            <w:r w:rsidRPr="00AF3116">
              <w:rPr>
                <w:rFonts w:ascii="Simplified Arabic" w:hAnsi="Simplified Arabic"/>
                <w:sz w:val="22"/>
                <w:rtl/>
              </w:rPr>
              <w:t>1</w:t>
            </w:r>
            <w:r w:rsidRPr="001B0794">
              <w:rPr>
                <w:rFonts w:ascii="Simplified Arabic" w:hAnsi="Simplified Arabic"/>
                <w:sz w:val="22"/>
                <w:rtl/>
              </w:rPr>
              <w:t xml:space="preserve"> من الاتفاقية في أقرب فرصة ممكنة. </w:t>
            </w:r>
          </w:p>
        </w:tc>
      </w:tr>
      <w:tr w:rsidR="00DE3D9F" w:rsidRPr="001B6C67" w14:paraId="024A63BF" w14:textId="77777777" w:rsidTr="003B756C">
        <w:tc>
          <w:tcPr>
            <w:tcW w:w="2357" w:type="dxa"/>
            <w:vMerge/>
            <w:tcBorders>
              <w:top w:val="nil"/>
              <w:bottom w:val="nil"/>
            </w:tcBorders>
            <w:shd w:val="clear" w:color="auto" w:fill="auto"/>
          </w:tcPr>
          <w:p w14:paraId="11E0E3EA" w14:textId="77777777" w:rsidR="00DE3D9F" w:rsidRPr="001B0794" w:rsidRDefault="00DE3D9F" w:rsidP="001B0794">
            <w:pPr>
              <w:spacing w:before="40" w:after="120" w:line="340" w:lineRule="exact"/>
              <w:ind w:right="211"/>
              <w:rPr>
                <w:rFonts w:ascii="Simplified Arabic" w:hAnsi="Simplified Arabic"/>
                <w:sz w:val="22"/>
              </w:rPr>
            </w:pPr>
          </w:p>
        </w:tc>
        <w:tc>
          <w:tcPr>
            <w:tcW w:w="5221" w:type="dxa"/>
            <w:tcBorders>
              <w:top w:val="nil"/>
              <w:bottom w:val="nil"/>
            </w:tcBorders>
            <w:shd w:val="clear" w:color="auto" w:fill="auto"/>
          </w:tcPr>
          <w:p w14:paraId="7B9445E5" w14:textId="77777777" w:rsidR="00DE3D9F" w:rsidRPr="001B0794" w:rsidRDefault="00DE3D9F" w:rsidP="001B0794">
            <w:pPr>
              <w:spacing w:before="40" w:after="120" w:line="340" w:lineRule="exact"/>
              <w:ind w:left="293" w:right="113"/>
              <w:textDirection w:val="tbRlV"/>
              <w:rPr>
                <w:rFonts w:ascii="Simplified Arabic" w:hAnsi="Simplified Arabic"/>
                <w:sz w:val="22"/>
                <w:lang w:val="ar-SA" w:eastAsia="zh-TW" w:bidi="en-GB"/>
              </w:rPr>
            </w:pPr>
            <w:r w:rsidRPr="00AF3116">
              <w:rPr>
                <w:rFonts w:ascii="Simplified Arabic" w:hAnsi="Simplified Arabic"/>
                <w:sz w:val="22"/>
                <w:rtl/>
              </w:rPr>
              <w:t>2</w:t>
            </w:r>
            <w:r w:rsidRPr="001B0794">
              <w:rPr>
                <w:rFonts w:ascii="Simplified Arabic" w:hAnsi="Simplified Arabic"/>
                <w:sz w:val="22"/>
                <w:rtl/>
              </w:rPr>
              <w:t xml:space="preserve">- لنفس السبب المنصوص عليه في الفقرة السابقة، فإن المادة </w:t>
            </w:r>
            <w:r w:rsidRPr="00AF3116">
              <w:rPr>
                <w:rFonts w:ascii="Simplified Arabic" w:hAnsi="Simplified Arabic"/>
                <w:sz w:val="22"/>
                <w:rtl/>
              </w:rPr>
              <w:t>4</w:t>
            </w:r>
            <w:r w:rsidRPr="001B0794">
              <w:rPr>
                <w:rFonts w:ascii="Simplified Arabic" w:hAnsi="Simplified Arabic"/>
                <w:sz w:val="22"/>
                <w:rtl/>
              </w:rPr>
              <w:t xml:space="preserve"> من الاتفاقية التي تنص على أن: "تضمن كل دولة طرف أن تكون جميع أعمال التعذيب جرائم بموجب قانونها الجنائي. وينطبق الأمر ذاته على قيام أي شخص بأية محاولة لممارسة التعذيب وعلى قيامه بأي عمل آخر يشكل تواطؤاً أو مشاركة في التعذيب"، تُفسَّر وفقاً لقانون العقوبات التايلندي الحالي. وتقوم مملكة تايلند بتنقيح قانونها المحلي لكي يكون أكثر اتساقاً مع المادة </w:t>
            </w:r>
            <w:r w:rsidRPr="00AF3116">
              <w:rPr>
                <w:rFonts w:ascii="Simplified Arabic" w:hAnsi="Simplified Arabic"/>
                <w:sz w:val="22"/>
                <w:rtl/>
              </w:rPr>
              <w:t>4</w:t>
            </w:r>
            <w:r w:rsidRPr="001B0794">
              <w:rPr>
                <w:rFonts w:ascii="Simplified Arabic" w:hAnsi="Simplified Arabic"/>
                <w:sz w:val="22"/>
                <w:rtl/>
              </w:rPr>
              <w:t xml:space="preserve"> من الاتفاقية في أقرب فرصة ممكنة. </w:t>
            </w:r>
          </w:p>
        </w:tc>
      </w:tr>
      <w:tr w:rsidR="00DE3D9F" w:rsidRPr="001B6C67" w14:paraId="7D633430" w14:textId="77777777" w:rsidTr="003B756C">
        <w:tc>
          <w:tcPr>
            <w:tcW w:w="2357" w:type="dxa"/>
            <w:vMerge/>
            <w:tcBorders>
              <w:top w:val="nil"/>
              <w:bottom w:val="nil"/>
            </w:tcBorders>
            <w:shd w:val="clear" w:color="auto" w:fill="auto"/>
          </w:tcPr>
          <w:p w14:paraId="7AE14C1B" w14:textId="77777777" w:rsidR="00DE3D9F" w:rsidRPr="001B0794" w:rsidRDefault="00DE3D9F" w:rsidP="001B0794">
            <w:pPr>
              <w:spacing w:before="40" w:after="120" w:line="340" w:lineRule="exact"/>
              <w:ind w:right="211"/>
              <w:rPr>
                <w:rFonts w:ascii="Simplified Arabic" w:hAnsi="Simplified Arabic"/>
                <w:sz w:val="22"/>
              </w:rPr>
            </w:pPr>
          </w:p>
        </w:tc>
        <w:tc>
          <w:tcPr>
            <w:tcW w:w="5221" w:type="dxa"/>
            <w:tcBorders>
              <w:top w:val="nil"/>
              <w:bottom w:val="nil"/>
            </w:tcBorders>
            <w:shd w:val="clear" w:color="auto" w:fill="auto"/>
          </w:tcPr>
          <w:p w14:paraId="3031B115" w14:textId="77777777" w:rsidR="00DE3D9F" w:rsidRPr="001B0794" w:rsidRDefault="00DE3D9F" w:rsidP="001B0794">
            <w:pPr>
              <w:spacing w:before="40" w:after="120" w:line="340" w:lineRule="exact"/>
              <w:ind w:left="293" w:right="113"/>
              <w:textDirection w:val="tbRlV"/>
              <w:rPr>
                <w:rFonts w:ascii="Simplified Arabic" w:hAnsi="Simplified Arabic"/>
                <w:sz w:val="22"/>
                <w:lang w:val="ar-SA" w:eastAsia="zh-TW" w:bidi="en-GB"/>
              </w:rPr>
            </w:pPr>
            <w:r w:rsidRPr="00AF3116">
              <w:rPr>
                <w:rFonts w:ascii="Simplified Arabic" w:hAnsi="Simplified Arabic"/>
                <w:sz w:val="22"/>
                <w:rtl/>
              </w:rPr>
              <w:t>3</w:t>
            </w:r>
            <w:r w:rsidRPr="001B0794">
              <w:rPr>
                <w:rFonts w:ascii="Simplified Arabic" w:hAnsi="Simplified Arabic"/>
                <w:sz w:val="22"/>
                <w:rtl/>
              </w:rPr>
              <w:t xml:space="preserve">- تفسر مملكة تايلند المادة </w:t>
            </w:r>
            <w:r w:rsidRPr="00AF3116">
              <w:rPr>
                <w:rFonts w:ascii="Simplified Arabic" w:hAnsi="Simplified Arabic"/>
                <w:sz w:val="22"/>
                <w:rtl/>
              </w:rPr>
              <w:t>5</w:t>
            </w:r>
            <w:r w:rsidRPr="001B0794">
              <w:rPr>
                <w:rFonts w:ascii="Simplified Arabic" w:hAnsi="Simplified Arabic"/>
                <w:sz w:val="22"/>
                <w:rtl/>
              </w:rPr>
              <w:t xml:space="preserve"> من الاتفاقية التي تنص على أن: "تتخذ كل دولة طرف ما يلزم من إجراءات لإقامة ولايتها القضائية على الجرائم المشار إليها في المادة </w:t>
            </w:r>
            <w:r w:rsidRPr="00AF3116">
              <w:rPr>
                <w:rFonts w:ascii="Simplified Arabic" w:hAnsi="Simplified Arabic"/>
                <w:sz w:val="22"/>
                <w:rtl/>
              </w:rPr>
              <w:t>4</w:t>
            </w:r>
            <w:r w:rsidRPr="001B0794">
              <w:rPr>
                <w:rFonts w:ascii="Simplified Arabic" w:hAnsi="Simplified Arabic"/>
                <w:sz w:val="22"/>
                <w:rtl/>
              </w:rPr>
              <w:t xml:space="preserve">...." على أنها تعني أن الولاية القضائية المشار إليها في المادة </w:t>
            </w:r>
            <w:r w:rsidRPr="00AF3116">
              <w:rPr>
                <w:rFonts w:ascii="Simplified Arabic" w:hAnsi="Simplified Arabic"/>
                <w:sz w:val="22"/>
                <w:rtl/>
              </w:rPr>
              <w:t>5</w:t>
            </w:r>
            <w:r w:rsidRPr="001B0794">
              <w:rPr>
                <w:rFonts w:ascii="Simplified Arabic" w:hAnsi="Simplified Arabic"/>
                <w:sz w:val="22"/>
                <w:rtl/>
              </w:rPr>
              <w:t xml:space="preserve"> تُحدَّد وفقاً لقانون العقوبات التايلندي الحالي. وتقوم مملكة تايلند بتنقيح قانونها المحلي لكي يكون أكثر اتساقاً مع المادة </w:t>
            </w:r>
            <w:r w:rsidRPr="00AF3116">
              <w:rPr>
                <w:rFonts w:ascii="Simplified Arabic" w:hAnsi="Simplified Arabic"/>
                <w:sz w:val="22"/>
                <w:rtl/>
              </w:rPr>
              <w:t>5</w:t>
            </w:r>
            <w:r w:rsidRPr="001B0794">
              <w:rPr>
                <w:rFonts w:ascii="Simplified Arabic" w:hAnsi="Simplified Arabic"/>
                <w:sz w:val="22"/>
                <w:rtl/>
              </w:rPr>
              <w:t xml:space="preserve"> من الاتفاقية في أقرب فرصة ممكنة.</w:t>
            </w:r>
          </w:p>
        </w:tc>
      </w:tr>
      <w:tr w:rsidR="00DE3D9F" w:rsidRPr="001B6C67" w14:paraId="5733B7FD" w14:textId="77777777" w:rsidTr="003B756C">
        <w:tc>
          <w:tcPr>
            <w:tcW w:w="2357" w:type="dxa"/>
            <w:vMerge/>
            <w:tcBorders>
              <w:top w:val="single" w:sz="4" w:space="0" w:color="auto"/>
              <w:bottom w:val="nil"/>
            </w:tcBorders>
            <w:shd w:val="clear" w:color="auto" w:fill="auto"/>
          </w:tcPr>
          <w:p w14:paraId="61D6132A" w14:textId="77777777" w:rsidR="00DE3D9F" w:rsidRPr="001B0794" w:rsidRDefault="00DE3D9F" w:rsidP="001B0794">
            <w:pPr>
              <w:spacing w:before="40" w:after="120" w:line="340" w:lineRule="exact"/>
              <w:ind w:right="211"/>
              <w:rPr>
                <w:rFonts w:ascii="Simplified Arabic" w:hAnsi="Simplified Arabic"/>
                <w:sz w:val="22"/>
              </w:rPr>
            </w:pPr>
          </w:p>
        </w:tc>
        <w:tc>
          <w:tcPr>
            <w:tcW w:w="5221" w:type="dxa"/>
            <w:tcBorders>
              <w:top w:val="nil"/>
              <w:bottom w:val="nil"/>
            </w:tcBorders>
            <w:shd w:val="clear" w:color="auto" w:fill="auto"/>
          </w:tcPr>
          <w:p w14:paraId="6CAA2AAA" w14:textId="77777777" w:rsidR="00DE3D9F" w:rsidRPr="001B0794" w:rsidRDefault="00DE3D9F" w:rsidP="001B0794">
            <w:pPr>
              <w:spacing w:before="40" w:after="120" w:line="340" w:lineRule="exact"/>
              <w:ind w:left="293" w:right="113"/>
              <w:textDirection w:val="tbRlV"/>
              <w:rPr>
                <w:rFonts w:ascii="Simplified Arabic" w:hAnsi="Simplified Arabic"/>
                <w:sz w:val="22"/>
                <w:lang w:val="ar-SA" w:eastAsia="zh-TW" w:bidi="en-GB"/>
              </w:rPr>
            </w:pPr>
            <w:r w:rsidRPr="001B0794">
              <w:rPr>
                <w:rFonts w:ascii="Simplified Arabic" w:hAnsi="Simplified Arabic"/>
                <w:sz w:val="22"/>
                <w:rtl/>
              </w:rPr>
              <w:t xml:space="preserve">التحفظ: لا تعتبر مملكة تايلند نفسها ملزمة بالفقرة </w:t>
            </w:r>
            <w:r w:rsidRPr="00AF3116">
              <w:rPr>
                <w:rFonts w:ascii="Simplified Arabic" w:hAnsi="Simplified Arabic"/>
                <w:sz w:val="22"/>
                <w:rtl/>
              </w:rPr>
              <w:t>1</w:t>
            </w:r>
            <w:r w:rsidRPr="001B0794">
              <w:rPr>
                <w:rFonts w:ascii="Simplified Arabic" w:hAnsi="Simplified Arabic"/>
                <w:sz w:val="22"/>
                <w:rtl/>
              </w:rPr>
              <w:t xml:space="preserve"> من المادة </w:t>
            </w:r>
            <w:r w:rsidRPr="00AF3116">
              <w:rPr>
                <w:rFonts w:ascii="Simplified Arabic" w:hAnsi="Simplified Arabic"/>
                <w:sz w:val="22"/>
                <w:rtl/>
              </w:rPr>
              <w:t>30</w:t>
            </w:r>
            <w:r w:rsidRPr="001B0794">
              <w:rPr>
                <w:rFonts w:ascii="Simplified Arabic" w:hAnsi="Simplified Arabic"/>
                <w:sz w:val="22"/>
                <w:rtl/>
              </w:rPr>
              <w:t xml:space="preserve"> من الاتفاقية.</w:t>
            </w:r>
          </w:p>
        </w:tc>
      </w:tr>
      <w:tr w:rsidR="00DE3D9F" w:rsidRPr="001B6C67" w14:paraId="5342861F" w14:textId="77777777" w:rsidTr="003B756C">
        <w:tc>
          <w:tcPr>
            <w:tcW w:w="2357" w:type="dxa"/>
            <w:vMerge w:val="restart"/>
            <w:tcBorders>
              <w:top w:val="nil"/>
              <w:bottom w:val="nil"/>
            </w:tcBorders>
            <w:shd w:val="clear" w:color="auto" w:fill="auto"/>
          </w:tcPr>
          <w:p w14:paraId="7626450A" w14:textId="77777777" w:rsidR="00DE3D9F" w:rsidRPr="001B0794" w:rsidRDefault="00DE3D9F" w:rsidP="001B0794">
            <w:pPr>
              <w:spacing w:before="40" w:after="120" w:line="340" w:lineRule="exact"/>
              <w:ind w:right="211"/>
              <w:textDirection w:val="tbRlV"/>
              <w:rPr>
                <w:rFonts w:ascii="Simplified Arabic" w:hAnsi="Simplified Arabic"/>
                <w:sz w:val="22"/>
                <w:lang w:val="ar-SA" w:eastAsia="zh-TW" w:bidi="en-GB"/>
              </w:rPr>
            </w:pPr>
            <w:r w:rsidRPr="001B0794">
              <w:rPr>
                <w:rFonts w:ascii="Simplified Arabic" w:hAnsi="Simplified Arabic"/>
                <w:sz w:val="22"/>
                <w:rtl/>
              </w:rPr>
              <w:t>‎</w:t>
            </w:r>
            <w:r w:rsidRPr="0060722E">
              <w:rPr>
                <w:rFonts w:ascii="Simplified Arabic" w:hAnsi="Simplified Arabic"/>
                <w:sz w:val="22"/>
                <w:rtl/>
              </w:rPr>
              <w:t>العهد الدولي الخاص بالحقوق المدنية والسياسية</w:t>
            </w:r>
            <w:r w:rsidRPr="001B0794">
              <w:rPr>
                <w:rFonts w:ascii="Simplified Arabic" w:hAnsi="Simplified Arabic"/>
                <w:sz w:val="22"/>
                <w:rtl/>
              </w:rPr>
              <w:t>‏‏</w:t>
            </w:r>
          </w:p>
        </w:tc>
        <w:tc>
          <w:tcPr>
            <w:tcW w:w="5221" w:type="dxa"/>
            <w:tcBorders>
              <w:top w:val="nil"/>
              <w:bottom w:val="nil"/>
            </w:tcBorders>
            <w:shd w:val="clear" w:color="auto" w:fill="auto"/>
          </w:tcPr>
          <w:p w14:paraId="3533928F" w14:textId="77777777" w:rsidR="00DE3D9F" w:rsidRPr="001B0794" w:rsidRDefault="00DE3D9F" w:rsidP="001B0794">
            <w:pPr>
              <w:spacing w:before="40" w:after="120" w:line="340" w:lineRule="exact"/>
              <w:ind w:left="293" w:right="113"/>
              <w:textDirection w:val="tbRlV"/>
              <w:rPr>
                <w:rFonts w:ascii="Simplified Arabic" w:hAnsi="Simplified Arabic"/>
                <w:sz w:val="22"/>
                <w:lang w:val="ar-SA" w:eastAsia="zh-TW" w:bidi="en-GB"/>
              </w:rPr>
            </w:pPr>
            <w:r w:rsidRPr="001B0794">
              <w:rPr>
                <w:rFonts w:ascii="Simplified Arabic" w:hAnsi="Simplified Arabic"/>
                <w:sz w:val="22"/>
                <w:rtl/>
              </w:rPr>
              <w:t>الإعلانات التفسيرية: تعلن حكومة تايلند ما يلي:</w:t>
            </w:r>
          </w:p>
          <w:p w14:paraId="168A5098" w14:textId="77777777" w:rsidR="00DE3D9F" w:rsidRPr="001B0794" w:rsidRDefault="00DE3D9F" w:rsidP="001B0794">
            <w:pPr>
              <w:spacing w:before="40" w:after="120" w:line="340" w:lineRule="exact"/>
              <w:ind w:left="293" w:right="113"/>
              <w:textDirection w:val="tbRlV"/>
              <w:rPr>
                <w:rFonts w:ascii="Simplified Arabic" w:hAnsi="Simplified Arabic"/>
                <w:sz w:val="22"/>
                <w:lang w:val="ar-SA" w:eastAsia="zh-TW" w:bidi="en-GB"/>
              </w:rPr>
            </w:pPr>
            <w:r w:rsidRPr="00AF3116">
              <w:rPr>
                <w:rFonts w:ascii="Simplified Arabic" w:hAnsi="Simplified Arabic"/>
                <w:sz w:val="22"/>
                <w:rtl/>
              </w:rPr>
              <w:t>1</w:t>
            </w:r>
            <w:r w:rsidRPr="001B0794">
              <w:rPr>
                <w:rFonts w:ascii="Simplified Arabic" w:hAnsi="Simplified Arabic"/>
                <w:sz w:val="22"/>
                <w:rtl/>
              </w:rPr>
              <w:t xml:space="preserve">- يُفسَّر مصطلح "تقرير المصير" الوارد في الفقرة </w:t>
            </w:r>
            <w:r w:rsidRPr="00AF3116">
              <w:rPr>
                <w:rFonts w:ascii="Simplified Arabic" w:hAnsi="Simplified Arabic"/>
                <w:sz w:val="22"/>
                <w:rtl/>
              </w:rPr>
              <w:t>1</w:t>
            </w:r>
            <w:r w:rsidRPr="001B0794">
              <w:rPr>
                <w:rFonts w:ascii="Simplified Arabic" w:hAnsi="Simplified Arabic"/>
                <w:sz w:val="22"/>
                <w:rtl/>
              </w:rPr>
              <w:t xml:space="preserve"> من المادة </w:t>
            </w:r>
            <w:r w:rsidRPr="00AF3116">
              <w:rPr>
                <w:rFonts w:ascii="Simplified Arabic" w:hAnsi="Simplified Arabic"/>
                <w:sz w:val="22"/>
                <w:rtl/>
              </w:rPr>
              <w:t>1</w:t>
            </w:r>
            <w:r w:rsidRPr="001B0794">
              <w:rPr>
                <w:rFonts w:ascii="Simplified Arabic" w:hAnsi="Simplified Arabic"/>
                <w:sz w:val="22"/>
                <w:rtl/>
              </w:rPr>
              <w:t xml:space="preserve"> من العهد على أنه يتفق مع المصطلح المعرب عنه في إعلان وبرنامج عمل فيينا، الذي اعتمده المؤتمر العالمي لحقوق الإنسان في </w:t>
            </w:r>
            <w:r w:rsidRPr="00AF3116">
              <w:rPr>
                <w:rFonts w:ascii="Simplified Arabic" w:hAnsi="Simplified Arabic"/>
                <w:sz w:val="22"/>
                <w:rtl/>
              </w:rPr>
              <w:t>25</w:t>
            </w:r>
            <w:r w:rsidRPr="001B0794">
              <w:rPr>
                <w:rFonts w:ascii="Simplified Arabic" w:hAnsi="Simplified Arabic"/>
                <w:sz w:val="22"/>
                <w:rtl/>
              </w:rPr>
              <w:t xml:space="preserve"> حزيران/يونيه </w:t>
            </w:r>
            <w:r w:rsidRPr="00AF3116">
              <w:rPr>
                <w:rFonts w:ascii="Simplified Arabic" w:hAnsi="Simplified Arabic"/>
                <w:sz w:val="22"/>
                <w:rtl/>
              </w:rPr>
              <w:t>1993</w:t>
            </w:r>
            <w:r w:rsidRPr="001B0794">
              <w:rPr>
                <w:rFonts w:ascii="Simplified Arabic" w:hAnsi="Simplified Arabic"/>
                <w:sz w:val="22"/>
                <w:rtl/>
              </w:rPr>
              <w:t>.</w:t>
            </w:r>
          </w:p>
        </w:tc>
      </w:tr>
      <w:tr w:rsidR="00DE3D9F" w:rsidRPr="001B6C67" w14:paraId="525BE4B5" w14:textId="77777777" w:rsidTr="003B756C">
        <w:tc>
          <w:tcPr>
            <w:tcW w:w="2357" w:type="dxa"/>
            <w:vMerge/>
            <w:tcBorders>
              <w:top w:val="nil"/>
              <w:bottom w:val="nil"/>
            </w:tcBorders>
            <w:shd w:val="clear" w:color="auto" w:fill="auto"/>
          </w:tcPr>
          <w:p w14:paraId="3A20483A" w14:textId="77777777" w:rsidR="00DE3D9F" w:rsidRPr="001B0794" w:rsidRDefault="00DE3D9F" w:rsidP="001B0794">
            <w:pPr>
              <w:spacing w:before="40" w:after="120" w:line="340" w:lineRule="exact"/>
              <w:ind w:right="211"/>
              <w:rPr>
                <w:rFonts w:ascii="Simplified Arabic" w:hAnsi="Simplified Arabic"/>
                <w:sz w:val="22"/>
              </w:rPr>
            </w:pPr>
          </w:p>
        </w:tc>
        <w:tc>
          <w:tcPr>
            <w:tcW w:w="5221" w:type="dxa"/>
            <w:tcBorders>
              <w:top w:val="nil"/>
              <w:bottom w:val="nil"/>
            </w:tcBorders>
            <w:shd w:val="clear" w:color="auto" w:fill="auto"/>
          </w:tcPr>
          <w:p w14:paraId="037FA14E" w14:textId="77777777" w:rsidR="00DE3D9F" w:rsidRPr="001B0794" w:rsidRDefault="00DE3D9F" w:rsidP="001B0794">
            <w:pPr>
              <w:spacing w:before="40" w:after="120" w:line="340" w:lineRule="exact"/>
              <w:ind w:left="293" w:right="113"/>
              <w:textDirection w:val="tbRlV"/>
              <w:rPr>
                <w:rFonts w:ascii="Simplified Arabic" w:hAnsi="Simplified Arabic"/>
                <w:sz w:val="22"/>
                <w:cs/>
                <w:lang w:val="ar-SA" w:eastAsia="zh-TW" w:bidi="en-GB"/>
              </w:rPr>
            </w:pPr>
            <w:r w:rsidRPr="00AF3116">
              <w:rPr>
                <w:rFonts w:ascii="Simplified Arabic" w:hAnsi="Simplified Arabic"/>
                <w:sz w:val="22"/>
                <w:rtl/>
              </w:rPr>
              <w:t>2</w:t>
            </w:r>
            <w:r w:rsidRPr="001B0794">
              <w:rPr>
                <w:rFonts w:ascii="Simplified Arabic" w:hAnsi="Simplified Arabic"/>
                <w:sz w:val="22"/>
                <w:rtl/>
              </w:rPr>
              <w:t xml:space="preserve">- فيما يتعلق بالمادة </w:t>
            </w:r>
            <w:r w:rsidRPr="00AF3116">
              <w:rPr>
                <w:rFonts w:ascii="Simplified Arabic" w:hAnsi="Simplified Arabic"/>
                <w:sz w:val="22"/>
                <w:rtl/>
              </w:rPr>
              <w:t>20</w:t>
            </w:r>
            <w:r w:rsidRPr="001B0794">
              <w:rPr>
                <w:rFonts w:ascii="Simplified Arabic" w:hAnsi="Simplified Arabic"/>
                <w:sz w:val="22"/>
                <w:rtl/>
              </w:rPr>
              <w:t xml:space="preserve"> من العهد، تفهم تايلند أن مصطلح "الحرب" الوارد في الفقرة </w:t>
            </w:r>
            <w:r w:rsidRPr="00AF3116">
              <w:rPr>
                <w:rFonts w:ascii="Simplified Arabic" w:hAnsi="Simplified Arabic"/>
                <w:sz w:val="22"/>
                <w:rtl/>
              </w:rPr>
              <w:t>1</w:t>
            </w:r>
            <w:r w:rsidRPr="001B0794">
              <w:rPr>
                <w:rFonts w:ascii="Simplified Arabic" w:hAnsi="Simplified Arabic"/>
                <w:sz w:val="22"/>
                <w:rtl/>
              </w:rPr>
              <w:t xml:space="preserve"> يعني الحرب انتهاكاً للقانون الدولي.</w:t>
            </w:r>
          </w:p>
        </w:tc>
      </w:tr>
      <w:tr w:rsidR="00DE3D9F" w:rsidRPr="001B6C67" w14:paraId="708B6A34" w14:textId="77777777" w:rsidTr="003B756C">
        <w:tc>
          <w:tcPr>
            <w:tcW w:w="2357" w:type="dxa"/>
            <w:vMerge w:val="restart"/>
            <w:tcBorders>
              <w:top w:val="nil"/>
              <w:bottom w:val="nil"/>
            </w:tcBorders>
            <w:shd w:val="clear" w:color="auto" w:fill="auto"/>
          </w:tcPr>
          <w:p w14:paraId="2A61D683" w14:textId="77777777" w:rsidR="00DE3D9F" w:rsidRPr="001B0794" w:rsidRDefault="00DE3D9F" w:rsidP="001B0794">
            <w:pPr>
              <w:spacing w:before="40" w:after="120" w:line="340" w:lineRule="exact"/>
              <w:ind w:right="211"/>
              <w:textDirection w:val="tbRlV"/>
              <w:rPr>
                <w:rFonts w:ascii="Simplified Arabic" w:hAnsi="Simplified Arabic"/>
                <w:sz w:val="22"/>
                <w:lang w:val="ar-SA" w:eastAsia="zh-TW" w:bidi="en-GB"/>
              </w:rPr>
            </w:pPr>
            <w:r w:rsidRPr="001B0794">
              <w:rPr>
                <w:rFonts w:ascii="Simplified Arabic" w:hAnsi="Simplified Arabic"/>
                <w:sz w:val="22"/>
                <w:rtl/>
              </w:rPr>
              <w:t>اتفاقية القضاء على جميع أشكال التمييز ضد المرأة</w:t>
            </w:r>
          </w:p>
        </w:tc>
        <w:tc>
          <w:tcPr>
            <w:tcW w:w="5221" w:type="dxa"/>
            <w:tcBorders>
              <w:top w:val="nil"/>
              <w:bottom w:val="nil"/>
            </w:tcBorders>
            <w:shd w:val="clear" w:color="auto" w:fill="auto"/>
          </w:tcPr>
          <w:p w14:paraId="066F2281" w14:textId="77777777" w:rsidR="00DE3D9F" w:rsidRPr="001B0794" w:rsidRDefault="00DE3D9F" w:rsidP="001B0794">
            <w:pPr>
              <w:spacing w:before="40" w:after="120" w:line="340" w:lineRule="exact"/>
              <w:ind w:left="293" w:right="113"/>
              <w:textDirection w:val="tbRlV"/>
              <w:rPr>
                <w:rFonts w:ascii="Simplified Arabic" w:hAnsi="Simplified Arabic"/>
                <w:sz w:val="22"/>
                <w:lang w:val="ar-SA" w:eastAsia="zh-TW" w:bidi="en-GB"/>
              </w:rPr>
            </w:pPr>
            <w:r w:rsidRPr="001B0794">
              <w:rPr>
                <w:rFonts w:ascii="Simplified Arabic" w:hAnsi="Simplified Arabic"/>
                <w:sz w:val="22"/>
                <w:rtl/>
              </w:rPr>
              <w:t xml:space="preserve">الإعلان: تود حكومة تايلند الملكية أن تعرب عن فهمها أن أغراض الاتفاقية هي القضاء على التمييز ضد المرأة، ومنح كل شخص، رجلاً كان أو امرأة، المساواة أمام القانون، وأنها تتوافق مع المبادئ التي ينص عليها دستور مملكة تايلند. </w:t>
            </w:r>
          </w:p>
        </w:tc>
      </w:tr>
      <w:tr w:rsidR="00DE3D9F" w:rsidRPr="001B6C67" w14:paraId="69BEE475" w14:textId="77777777" w:rsidTr="003B756C">
        <w:tc>
          <w:tcPr>
            <w:tcW w:w="2357" w:type="dxa"/>
            <w:vMerge/>
            <w:tcBorders>
              <w:top w:val="nil"/>
              <w:bottom w:val="nil"/>
            </w:tcBorders>
            <w:shd w:val="clear" w:color="auto" w:fill="auto"/>
          </w:tcPr>
          <w:p w14:paraId="2F7647B3" w14:textId="77777777" w:rsidR="00DE3D9F" w:rsidRPr="001B0794" w:rsidRDefault="00DE3D9F" w:rsidP="001B0794">
            <w:pPr>
              <w:spacing w:before="40" w:after="120" w:line="340" w:lineRule="exact"/>
              <w:ind w:right="211"/>
              <w:rPr>
                <w:rFonts w:ascii="Simplified Arabic" w:hAnsi="Simplified Arabic"/>
                <w:sz w:val="22"/>
              </w:rPr>
            </w:pPr>
          </w:p>
        </w:tc>
        <w:tc>
          <w:tcPr>
            <w:tcW w:w="5221" w:type="dxa"/>
            <w:tcBorders>
              <w:top w:val="nil"/>
              <w:bottom w:val="nil"/>
            </w:tcBorders>
            <w:shd w:val="clear" w:color="auto" w:fill="auto"/>
          </w:tcPr>
          <w:p w14:paraId="67A96CC6" w14:textId="77777777" w:rsidR="00DE3D9F" w:rsidRPr="001B0794" w:rsidRDefault="00DE3D9F" w:rsidP="001B0794">
            <w:pPr>
              <w:spacing w:before="40" w:after="120" w:line="340" w:lineRule="exact"/>
              <w:ind w:left="293" w:right="113"/>
              <w:textDirection w:val="tbRlV"/>
              <w:rPr>
                <w:rFonts w:ascii="Simplified Arabic" w:hAnsi="Simplified Arabic"/>
                <w:sz w:val="22"/>
                <w:cs/>
                <w:lang w:val="ar-SA" w:eastAsia="zh-TW" w:bidi="en-GB"/>
              </w:rPr>
            </w:pPr>
            <w:r w:rsidRPr="001B0794">
              <w:rPr>
                <w:rFonts w:ascii="Simplified Arabic" w:hAnsi="Simplified Arabic"/>
                <w:sz w:val="22"/>
                <w:rtl/>
              </w:rPr>
              <w:t xml:space="preserve">التحفظ: لا تعتبر الحكومة التايلندية الملكية نفسها ملزمة بأحكام الفقرة </w:t>
            </w:r>
            <w:r w:rsidRPr="00AF3116">
              <w:rPr>
                <w:rFonts w:ascii="Simplified Arabic" w:hAnsi="Simplified Arabic"/>
                <w:sz w:val="22"/>
                <w:rtl/>
              </w:rPr>
              <w:t>1</w:t>
            </w:r>
            <w:r w:rsidRPr="001B0794">
              <w:rPr>
                <w:rFonts w:ascii="Simplified Arabic" w:hAnsi="Simplified Arabic"/>
                <w:sz w:val="22"/>
                <w:rtl/>
              </w:rPr>
              <w:t xml:space="preserve"> من المادة </w:t>
            </w:r>
            <w:r w:rsidRPr="00AF3116">
              <w:rPr>
                <w:rFonts w:ascii="Simplified Arabic" w:hAnsi="Simplified Arabic"/>
                <w:sz w:val="22"/>
                <w:rtl/>
              </w:rPr>
              <w:t>29</w:t>
            </w:r>
            <w:r w:rsidRPr="001B0794">
              <w:rPr>
                <w:rFonts w:ascii="Simplified Arabic" w:hAnsi="Simplified Arabic"/>
                <w:sz w:val="22"/>
                <w:rtl/>
              </w:rPr>
              <w:t xml:space="preserve"> من الاتفاقية.</w:t>
            </w:r>
          </w:p>
        </w:tc>
      </w:tr>
      <w:tr w:rsidR="00DE3D9F" w:rsidRPr="001B6C67" w14:paraId="56ACFA54" w14:textId="77777777" w:rsidTr="003B756C">
        <w:tc>
          <w:tcPr>
            <w:tcW w:w="2357" w:type="dxa"/>
            <w:vMerge w:val="restart"/>
            <w:tcBorders>
              <w:top w:val="nil"/>
              <w:bottom w:val="nil"/>
            </w:tcBorders>
            <w:shd w:val="clear" w:color="auto" w:fill="auto"/>
          </w:tcPr>
          <w:p w14:paraId="5B4F585C" w14:textId="77777777" w:rsidR="00DE3D9F" w:rsidRPr="001B0794" w:rsidRDefault="00DE3D9F" w:rsidP="001B0794">
            <w:pPr>
              <w:spacing w:before="40" w:after="120" w:line="340" w:lineRule="exact"/>
              <w:ind w:right="211"/>
              <w:textDirection w:val="tbRlV"/>
              <w:rPr>
                <w:rFonts w:ascii="Simplified Arabic" w:hAnsi="Simplified Arabic"/>
                <w:sz w:val="22"/>
                <w:lang w:val="ar-SA" w:eastAsia="zh-TW" w:bidi="en-GB"/>
              </w:rPr>
            </w:pPr>
            <w:r w:rsidRPr="001B0794">
              <w:rPr>
                <w:rFonts w:ascii="Simplified Arabic" w:hAnsi="Simplified Arabic"/>
                <w:sz w:val="22"/>
                <w:rtl/>
              </w:rPr>
              <w:t>الاتفاقية الدولية للقضاء على التمييز العنصري</w:t>
            </w:r>
          </w:p>
        </w:tc>
        <w:tc>
          <w:tcPr>
            <w:tcW w:w="5221" w:type="dxa"/>
            <w:tcBorders>
              <w:top w:val="nil"/>
              <w:bottom w:val="nil"/>
            </w:tcBorders>
            <w:shd w:val="clear" w:color="auto" w:fill="auto"/>
          </w:tcPr>
          <w:p w14:paraId="0DFDA4EE" w14:textId="77777777" w:rsidR="00DE3D9F" w:rsidRPr="001B0794" w:rsidRDefault="00DE3D9F" w:rsidP="001B0794">
            <w:pPr>
              <w:spacing w:before="40" w:after="120" w:line="340" w:lineRule="exact"/>
              <w:ind w:left="293" w:right="113"/>
              <w:textDirection w:val="tbRlV"/>
              <w:rPr>
                <w:rFonts w:ascii="Simplified Arabic" w:hAnsi="Simplified Arabic"/>
                <w:sz w:val="22"/>
                <w:lang w:val="ar-SA" w:eastAsia="zh-TW" w:bidi="en-GB"/>
              </w:rPr>
            </w:pPr>
            <w:r w:rsidRPr="001B0794">
              <w:rPr>
                <w:rFonts w:ascii="Simplified Arabic" w:hAnsi="Simplified Arabic"/>
                <w:sz w:val="22"/>
                <w:rtl/>
              </w:rPr>
              <w:t xml:space="preserve">الإعلان التفسيري: لا تفسر مملكة تايلند ولا تطبق أحكام هذه الاتفاقية على أنها تفرض على مملكة تايلند أي التزام يتجاوز حدود دستور مملكة تايلند وقوانينها. وبالإضافة إلى ذلك، يكون هذا التفسير والتطبيق مقتصراً على الالتزامات المنصوص عليها في الصكوك الدولية الأخرى لحقوق الإنسان التي تكون مملكة تايلند طرفاً فيها أو متسقاً معها. </w:t>
            </w:r>
          </w:p>
        </w:tc>
      </w:tr>
      <w:tr w:rsidR="00DE3D9F" w:rsidRPr="001B6C67" w14:paraId="3EC48BFF" w14:textId="77777777" w:rsidTr="003B756C">
        <w:tc>
          <w:tcPr>
            <w:tcW w:w="2357" w:type="dxa"/>
            <w:vMerge/>
            <w:tcBorders>
              <w:top w:val="nil"/>
              <w:bottom w:val="nil"/>
            </w:tcBorders>
            <w:shd w:val="clear" w:color="auto" w:fill="auto"/>
          </w:tcPr>
          <w:p w14:paraId="450C4760" w14:textId="77777777" w:rsidR="00DE3D9F" w:rsidRPr="001B0794" w:rsidRDefault="00DE3D9F" w:rsidP="001B0794">
            <w:pPr>
              <w:spacing w:before="40" w:after="120" w:line="340" w:lineRule="exact"/>
              <w:ind w:right="211"/>
              <w:rPr>
                <w:rFonts w:ascii="Simplified Arabic" w:hAnsi="Simplified Arabic"/>
                <w:sz w:val="22"/>
              </w:rPr>
            </w:pPr>
          </w:p>
        </w:tc>
        <w:tc>
          <w:tcPr>
            <w:tcW w:w="5221" w:type="dxa"/>
            <w:tcBorders>
              <w:top w:val="nil"/>
              <w:bottom w:val="nil"/>
            </w:tcBorders>
            <w:shd w:val="clear" w:color="auto" w:fill="auto"/>
          </w:tcPr>
          <w:p w14:paraId="031B0612" w14:textId="606CFAD9" w:rsidR="00DE3D9F" w:rsidRPr="001B0794" w:rsidRDefault="00DE3D9F" w:rsidP="001B0794">
            <w:pPr>
              <w:spacing w:before="40" w:after="120" w:line="340" w:lineRule="exact"/>
              <w:ind w:left="293" w:right="113"/>
              <w:textDirection w:val="tbRlV"/>
              <w:rPr>
                <w:rFonts w:ascii="Simplified Arabic" w:hAnsi="Simplified Arabic"/>
                <w:sz w:val="22"/>
                <w:lang w:val="ar-SA" w:eastAsia="zh-TW" w:bidi="en-GB"/>
              </w:rPr>
            </w:pPr>
            <w:r w:rsidRPr="001B0794">
              <w:rPr>
                <w:rFonts w:ascii="Simplified Arabic" w:hAnsi="Simplified Arabic"/>
                <w:sz w:val="22"/>
                <w:rtl/>
              </w:rPr>
              <w:t xml:space="preserve">التحفظ: لا تعتبر مملكة تايلند نفسها ملزمة بأحكام المادة </w:t>
            </w:r>
            <w:r w:rsidRPr="00AF3116">
              <w:rPr>
                <w:rFonts w:ascii="Simplified Arabic" w:hAnsi="Simplified Arabic"/>
                <w:sz w:val="22"/>
                <w:rtl/>
              </w:rPr>
              <w:t>22</w:t>
            </w:r>
            <w:r w:rsidRPr="001B0794">
              <w:rPr>
                <w:rFonts w:ascii="Simplified Arabic" w:hAnsi="Simplified Arabic"/>
                <w:sz w:val="22"/>
                <w:rtl/>
              </w:rPr>
              <w:t xml:space="preserve"> من</w:t>
            </w:r>
            <w:r w:rsidR="0060722E">
              <w:rPr>
                <w:rFonts w:ascii="Simplified Arabic" w:hAnsi="Simplified Arabic" w:hint="cs"/>
                <w:sz w:val="22"/>
                <w:rtl/>
              </w:rPr>
              <w:t> </w:t>
            </w:r>
            <w:r w:rsidRPr="001B0794">
              <w:rPr>
                <w:rFonts w:ascii="Simplified Arabic" w:hAnsi="Simplified Arabic"/>
                <w:sz w:val="22"/>
                <w:rtl/>
              </w:rPr>
              <w:t>الاتفاقية.</w:t>
            </w:r>
          </w:p>
        </w:tc>
      </w:tr>
      <w:tr w:rsidR="00DE3D9F" w:rsidRPr="001B6C67" w14:paraId="75803247" w14:textId="77777777" w:rsidTr="003B756C">
        <w:tc>
          <w:tcPr>
            <w:tcW w:w="2357" w:type="dxa"/>
            <w:tcBorders>
              <w:top w:val="nil"/>
              <w:bottom w:val="nil"/>
            </w:tcBorders>
            <w:shd w:val="clear" w:color="auto" w:fill="auto"/>
          </w:tcPr>
          <w:p w14:paraId="153B9CF8" w14:textId="77777777" w:rsidR="00DE3D9F" w:rsidRPr="001B0794" w:rsidRDefault="00DE3D9F" w:rsidP="001B0794">
            <w:pPr>
              <w:spacing w:before="40" w:after="120" w:line="340" w:lineRule="exact"/>
              <w:ind w:right="211"/>
              <w:textDirection w:val="tbRlV"/>
              <w:rPr>
                <w:rFonts w:ascii="Simplified Arabic" w:hAnsi="Simplified Arabic"/>
                <w:sz w:val="22"/>
                <w:lang w:val="ar-SA" w:eastAsia="zh-TW" w:bidi="en-GB"/>
              </w:rPr>
            </w:pPr>
            <w:r w:rsidRPr="001B0794">
              <w:rPr>
                <w:rFonts w:ascii="Simplified Arabic" w:hAnsi="Simplified Arabic"/>
                <w:sz w:val="22"/>
                <w:rtl/>
              </w:rPr>
              <w:t xml:space="preserve">‎‎العهد </w:t>
            </w:r>
            <w:r w:rsidRPr="00AF3116">
              <w:rPr>
                <w:rFonts w:ascii="Simplified Arabic" w:hAnsi="Simplified Arabic"/>
                <w:sz w:val="22"/>
                <w:rtl/>
              </w:rPr>
              <w:t>الدولي الخاص بالحقوق الاقتصادية والاجتماعية</w:t>
            </w:r>
            <w:r w:rsidRPr="001B0794">
              <w:rPr>
                <w:rFonts w:ascii="Simplified Arabic" w:hAnsi="Simplified Arabic"/>
                <w:sz w:val="22"/>
                <w:rtl/>
              </w:rPr>
              <w:t xml:space="preserve"> والثقافية‏‏</w:t>
            </w:r>
          </w:p>
        </w:tc>
        <w:tc>
          <w:tcPr>
            <w:tcW w:w="5221" w:type="dxa"/>
            <w:tcBorders>
              <w:top w:val="nil"/>
              <w:bottom w:val="nil"/>
            </w:tcBorders>
            <w:shd w:val="clear" w:color="auto" w:fill="auto"/>
          </w:tcPr>
          <w:p w14:paraId="2B018CB8" w14:textId="784C4977" w:rsidR="00DE3D9F" w:rsidRPr="00A40237" w:rsidRDefault="00DE3D9F" w:rsidP="00A40237">
            <w:pPr>
              <w:spacing w:before="40" w:after="120" w:line="340" w:lineRule="exact"/>
              <w:ind w:left="293" w:right="113"/>
              <w:textDirection w:val="tbRlV"/>
              <w:rPr>
                <w:rFonts w:ascii="Simplified Arabic" w:hAnsi="Simplified Arabic"/>
                <w:spacing w:val="-2"/>
                <w:sz w:val="22"/>
                <w:lang w:val="ar-SA" w:eastAsia="zh-TW" w:bidi="en-GB"/>
              </w:rPr>
            </w:pPr>
            <w:r w:rsidRPr="00A40237">
              <w:rPr>
                <w:rFonts w:ascii="Simplified Arabic" w:hAnsi="Simplified Arabic"/>
                <w:spacing w:val="-2"/>
                <w:sz w:val="22"/>
                <w:rtl/>
              </w:rPr>
              <w:t>الإعلان التفسيري: تعلن حكومة مملكة تايلند أن مصطلح "تقرير</w:t>
            </w:r>
            <w:r w:rsidR="0060722E" w:rsidRPr="00A40237">
              <w:rPr>
                <w:rFonts w:ascii="Simplified Arabic" w:hAnsi="Simplified Arabic" w:hint="cs"/>
                <w:spacing w:val="-2"/>
                <w:sz w:val="22"/>
                <w:rtl/>
              </w:rPr>
              <w:t> </w:t>
            </w:r>
            <w:r w:rsidRPr="00A40237">
              <w:rPr>
                <w:rFonts w:ascii="Simplified Arabic" w:hAnsi="Simplified Arabic"/>
                <w:spacing w:val="-2"/>
                <w:sz w:val="22"/>
                <w:rtl/>
              </w:rPr>
              <w:t>المصير" الوارد في الفقرة 1 من المادة 1 من العهد يُفسَّر على أنه يتفق مع المصطلح المعرب عنه في إعلان وبرنامج عمل فيينا، الذي اعتمده المؤتمر العالمي لحقوق الإنسان في 25 حزيران/</w:t>
            </w:r>
            <w:r w:rsidR="0060722E" w:rsidRPr="00A40237">
              <w:rPr>
                <w:rFonts w:ascii="Simplified Arabic" w:hAnsi="Simplified Arabic" w:hint="cs"/>
                <w:spacing w:val="-2"/>
                <w:sz w:val="22"/>
                <w:rtl/>
              </w:rPr>
              <w:t xml:space="preserve">    </w:t>
            </w:r>
            <w:r w:rsidRPr="00A40237">
              <w:rPr>
                <w:rFonts w:ascii="Simplified Arabic" w:hAnsi="Simplified Arabic"/>
                <w:spacing w:val="-2"/>
                <w:sz w:val="22"/>
                <w:rtl/>
              </w:rPr>
              <w:t>يونيه 1993.</w:t>
            </w:r>
          </w:p>
        </w:tc>
      </w:tr>
      <w:tr w:rsidR="00DE3D9F" w:rsidRPr="001B6C67" w14:paraId="1C959244" w14:textId="77777777" w:rsidTr="003B756C">
        <w:tc>
          <w:tcPr>
            <w:tcW w:w="2357" w:type="dxa"/>
            <w:tcBorders>
              <w:top w:val="nil"/>
              <w:bottom w:val="nil"/>
            </w:tcBorders>
            <w:shd w:val="clear" w:color="auto" w:fill="auto"/>
          </w:tcPr>
          <w:p w14:paraId="5215B9EA" w14:textId="77777777" w:rsidR="00DE3D9F" w:rsidRPr="001B0794" w:rsidRDefault="00DE3D9F" w:rsidP="001B0794">
            <w:pPr>
              <w:spacing w:before="40" w:after="120" w:line="340" w:lineRule="exact"/>
              <w:ind w:right="211"/>
              <w:textDirection w:val="tbRlV"/>
              <w:rPr>
                <w:rFonts w:ascii="Simplified Arabic" w:hAnsi="Simplified Arabic"/>
                <w:sz w:val="22"/>
                <w:lang w:val="ar-SA" w:eastAsia="zh-TW" w:bidi="en-GB"/>
              </w:rPr>
            </w:pPr>
            <w:r w:rsidRPr="001B0794">
              <w:rPr>
                <w:rFonts w:ascii="Simplified Arabic" w:hAnsi="Simplified Arabic"/>
                <w:sz w:val="22"/>
                <w:rtl/>
              </w:rPr>
              <w:t>اتفاقية حقوق الطفل</w:t>
            </w:r>
          </w:p>
        </w:tc>
        <w:tc>
          <w:tcPr>
            <w:tcW w:w="5221" w:type="dxa"/>
            <w:tcBorders>
              <w:top w:val="nil"/>
              <w:bottom w:val="nil"/>
            </w:tcBorders>
            <w:shd w:val="clear" w:color="auto" w:fill="auto"/>
          </w:tcPr>
          <w:p w14:paraId="268A240B" w14:textId="77777777" w:rsidR="00DE3D9F" w:rsidRPr="001B0794" w:rsidRDefault="00DE3D9F" w:rsidP="001B0794">
            <w:pPr>
              <w:spacing w:before="40" w:after="120" w:line="340" w:lineRule="exact"/>
              <w:ind w:left="293" w:right="113"/>
              <w:textDirection w:val="tbRlV"/>
              <w:rPr>
                <w:rFonts w:ascii="Simplified Arabic" w:hAnsi="Simplified Arabic"/>
                <w:sz w:val="22"/>
                <w:lang w:val="ar-SA" w:eastAsia="zh-TW" w:bidi="en-GB"/>
              </w:rPr>
            </w:pPr>
            <w:r w:rsidRPr="001B0794">
              <w:rPr>
                <w:rFonts w:ascii="Simplified Arabic" w:hAnsi="Simplified Arabic"/>
                <w:sz w:val="22"/>
                <w:rtl/>
              </w:rPr>
              <w:t xml:space="preserve">التحفظ: يخضع تطبيق المادة </w:t>
            </w:r>
            <w:r w:rsidRPr="00AF3116">
              <w:rPr>
                <w:rFonts w:ascii="Simplified Arabic" w:hAnsi="Simplified Arabic"/>
                <w:sz w:val="22"/>
                <w:rtl/>
              </w:rPr>
              <w:t>22</w:t>
            </w:r>
            <w:r w:rsidRPr="001B0794">
              <w:rPr>
                <w:rFonts w:ascii="Simplified Arabic" w:hAnsi="Simplified Arabic"/>
                <w:sz w:val="22"/>
                <w:rtl/>
              </w:rPr>
              <w:t xml:space="preserve"> من اتفاقية حقوق الطفل للقوانين والأنظمة الوطنية والممارسات السائدة في تايلند.</w:t>
            </w:r>
          </w:p>
        </w:tc>
      </w:tr>
      <w:tr w:rsidR="00DE3D9F" w:rsidRPr="001B6C67" w14:paraId="0F7B6FAA" w14:textId="77777777" w:rsidTr="003B756C">
        <w:tc>
          <w:tcPr>
            <w:tcW w:w="2357" w:type="dxa"/>
            <w:vMerge w:val="restart"/>
            <w:tcBorders>
              <w:top w:val="nil"/>
              <w:bottom w:val="nil"/>
            </w:tcBorders>
            <w:shd w:val="clear" w:color="auto" w:fill="auto"/>
          </w:tcPr>
          <w:p w14:paraId="3118ED22" w14:textId="77777777" w:rsidR="00DE3D9F" w:rsidRPr="001B0794" w:rsidRDefault="00DE3D9F" w:rsidP="001B0794">
            <w:pPr>
              <w:spacing w:before="40" w:after="120" w:line="340" w:lineRule="exact"/>
              <w:ind w:right="211"/>
              <w:textDirection w:val="tbRlV"/>
              <w:rPr>
                <w:rFonts w:ascii="Simplified Arabic" w:hAnsi="Simplified Arabic"/>
                <w:sz w:val="22"/>
                <w:lang w:val="ar-SA" w:eastAsia="zh-TW" w:bidi="en-GB"/>
              </w:rPr>
            </w:pPr>
            <w:r w:rsidRPr="001B0794">
              <w:rPr>
                <w:rFonts w:ascii="Simplified Arabic" w:hAnsi="Simplified Arabic"/>
                <w:sz w:val="22"/>
                <w:rtl/>
              </w:rPr>
              <w:t>البروتوكول الاختياري لاتفاقية حقوق الطفل بشأن اشتراك الأطفال في المنازعات المسلحة</w:t>
            </w:r>
          </w:p>
        </w:tc>
        <w:tc>
          <w:tcPr>
            <w:tcW w:w="5221" w:type="dxa"/>
            <w:tcBorders>
              <w:top w:val="nil"/>
              <w:bottom w:val="nil"/>
            </w:tcBorders>
            <w:shd w:val="clear" w:color="auto" w:fill="auto"/>
          </w:tcPr>
          <w:p w14:paraId="244DEE32" w14:textId="77777777" w:rsidR="00DE3D9F" w:rsidRPr="001B0794" w:rsidRDefault="00DE3D9F" w:rsidP="001B0794">
            <w:pPr>
              <w:spacing w:before="40" w:after="120" w:line="340" w:lineRule="exact"/>
              <w:ind w:left="293" w:right="113"/>
              <w:textDirection w:val="tbRlV"/>
              <w:rPr>
                <w:rFonts w:ascii="Simplified Arabic" w:hAnsi="Simplified Arabic"/>
                <w:sz w:val="22"/>
              </w:rPr>
            </w:pPr>
            <w:r w:rsidRPr="001B0794">
              <w:rPr>
                <w:rFonts w:ascii="Simplified Arabic" w:hAnsi="Simplified Arabic"/>
                <w:sz w:val="22"/>
                <w:rtl/>
              </w:rPr>
              <w:t>الإعلانات</w:t>
            </w:r>
            <w:r w:rsidRPr="001B0794">
              <w:rPr>
                <w:rFonts w:ascii="Simplified Arabic" w:hAnsi="Simplified Arabic"/>
                <w:sz w:val="22"/>
              </w:rPr>
              <w:t>:</w:t>
            </w:r>
          </w:p>
          <w:p w14:paraId="5CB7BA85" w14:textId="1CF6EB29" w:rsidR="00DE3D9F" w:rsidRPr="001B0794" w:rsidRDefault="00DE3D9F" w:rsidP="001B0794">
            <w:pPr>
              <w:spacing w:before="40" w:after="120" w:line="340" w:lineRule="exact"/>
              <w:ind w:left="293" w:right="113"/>
              <w:textDirection w:val="tbRlV"/>
              <w:rPr>
                <w:rFonts w:ascii="Simplified Arabic" w:hAnsi="Simplified Arabic"/>
                <w:sz w:val="22"/>
                <w:lang w:val="ar-SA" w:eastAsia="zh-TW" w:bidi="en-GB"/>
              </w:rPr>
            </w:pPr>
            <w:r w:rsidRPr="00AF3116">
              <w:rPr>
                <w:rFonts w:ascii="Simplified Arabic" w:hAnsi="Simplified Arabic"/>
                <w:sz w:val="22"/>
                <w:rtl/>
              </w:rPr>
              <w:t>1</w:t>
            </w:r>
            <w:r w:rsidRPr="001B0794">
              <w:rPr>
                <w:rFonts w:ascii="Simplified Arabic" w:hAnsi="Simplified Arabic"/>
                <w:sz w:val="22"/>
                <w:rtl/>
              </w:rPr>
              <w:t xml:space="preserve">- الخدمة العسكرية إلزامية بموجب القانون. وعلى الرجال التايلنديين الذين يبلغون سن </w:t>
            </w:r>
            <w:r w:rsidRPr="00AF3116">
              <w:rPr>
                <w:rFonts w:ascii="Simplified Arabic" w:hAnsi="Simplified Arabic"/>
                <w:sz w:val="22"/>
                <w:rtl/>
              </w:rPr>
              <w:t>18</w:t>
            </w:r>
            <w:r w:rsidRPr="001B0794">
              <w:rPr>
                <w:rFonts w:ascii="Simplified Arabic" w:hAnsi="Simplified Arabic"/>
                <w:sz w:val="22"/>
                <w:rtl/>
              </w:rPr>
              <w:t xml:space="preserve"> عاماً واجب التسجيل في قائمة الأفراد العسكريين غير النشطين. وفي سن </w:t>
            </w:r>
            <w:r w:rsidRPr="00AF3116">
              <w:rPr>
                <w:rFonts w:ascii="Simplified Arabic" w:hAnsi="Simplified Arabic"/>
                <w:sz w:val="22"/>
                <w:rtl/>
              </w:rPr>
              <w:t>الحادية والعشرين</w:t>
            </w:r>
            <w:r w:rsidRPr="001B0794">
              <w:rPr>
                <w:rFonts w:ascii="Simplified Arabic" w:hAnsi="Simplified Arabic"/>
                <w:sz w:val="22"/>
                <w:rtl/>
              </w:rPr>
              <w:t xml:space="preserve">، يصبح الأفراد العسكريون غير النشطين الذين يقع عليهم الاختيار أفراداً عسكريين نشطين. ويجوز للأفراد العسكريين غير النشطين أيضاً أن يتقدموا طوعاً بطلب ليصبحوا أفراداً عسكريين نشطين للخدمة في القوات المسلحة الوطنية. </w:t>
            </w:r>
            <w:r w:rsidRPr="001B0794">
              <w:rPr>
                <w:rFonts w:ascii="Simplified Arabic" w:hAnsi="Simplified Arabic"/>
                <w:sz w:val="22"/>
                <w:rtl/>
              </w:rPr>
              <w:lastRenderedPageBreak/>
              <w:t xml:space="preserve">وتعفى المرأة من الخدمة العسكرية الإلزامية في أوقات السلم وأوقات الحرب على السواء، ولكنها تخضع لواجبات أخرى يسندها القانون. </w:t>
            </w:r>
          </w:p>
        </w:tc>
      </w:tr>
      <w:tr w:rsidR="00DE3D9F" w:rsidRPr="001B6C67" w14:paraId="638B2893" w14:textId="77777777" w:rsidTr="003B756C">
        <w:tc>
          <w:tcPr>
            <w:tcW w:w="2357" w:type="dxa"/>
            <w:vMerge/>
            <w:tcBorders>
              <w:top w:val="nil"/>
              <w:bottom w:val="nil"/>
            </w:tcBorders>
            <w:shd w:val="clear" w:color="auto" w:fill="auto"/>
          </w:tcPr>
          <w:p w14:paraId="0D777D17" w14:textId="77777777" w:rsidR="00DE3D9F" w:rsidRPr="001B0794" w:rsidRDefault="00DE3D9F" w:rsidP="001B0794">
            <w:pPr>
              <w:spacing w:before="40" w:after="120" w:line="340" w:lineRule="exact"/>
              <w:ind w:right="113"/>
              <w:rPr>
                <w:rFonts w:ascii="Simplified Arabic" w:hAnsi="Simplified Arabic"/>
                <w:sz w:val="22"/>
              </w:rPr>
            </w:pPr>
          </w:p>
        </w:tc>
        <w:tc>
          <w:tcPr>
            <w:tcW w:w="5221" w:type="dxa"/>
            <w:tcBorders>
              <w:top w:val="nil"/>
              <w:bottom w:val="nil"/>
            </w:tcBorders>
            <w:shd w:val="clear" w:color="auto" w:fill="auto"/>
          </w:tcPr>
          <w:p w14:paraId="3C0694E7" w14:textId="77777777" w:rsidR="00DE3D9F" w:rsidRPr="001B0794" w:rsidRDefault="00DE3D9F" w:rsidP="001B0794">
            <w:pPr>
              <w:spacing w:before="40" w:after="120" w:line="340" w:lineRule="exact"/>
              <w:ind w:left="293" w:right="113"/>
              <w:textDirection w:val="tbRlV"/>
              <w:rPr>
                <w:rFonts w:ascii="Simplified Arabic" w:hAnsi="Simplified Arabic"/>
                <w:sz w:val="22"/>
                <w:cs/>
                <w:lang w:val="ar-SA" w:eastAsia="zh-TW" w:bidi="en-GB"/>
              </w:rPr>
            </w:pPr>
            <w:r w:rsidRPr="00AF3116">
              <w:rPr>
                <w:rFonts w:ascii="Simplified Arabic" w:hAnsi="Simplified Arabic"/>
                <w:sz w:val="22"/>
                <w:rtl/>
              </w:rPr>
              <w:t>2</w:t>
            </w:r>
            <w:r w:rsidRPr="001B0794">
              <w:rPr>
                <w:rFonts w:ascii="Simplified Arabic" w:hAnsi="Simplified Arabic"/>
                <w:sz w:val="22"/>
                <w:rtl/>
              </w:rPr>
              <w:t xml:space="preserve">- في أوقات الحرب أو الأزمات الوطنية، يمكن تجنيد الأفراد العسكريين غير النشطين (الرجال الذين تزيد أعمارهم عن </w:t>
            </w:r>
            <w:r w:rsidRPr="00AF3116">
              <w:rPr>
                <w:rFonts w:ascii="Simplified Arabic" w:hAnsi="Simplified Arabic"/>
                <w:sz w:val="22"/>
                <w:rtl/>
              </w:rPr>
              <w:t>18</w:t>
            </w:r>
            <w:r w:rsidRPr="001B0794">
              <w:rPr>
                <w:rFonts w:ascii="Simplified Arabic" w:hAnsi="Simplified Arabic"/>
                <w:sz w:val="22"/>
                <w:rtl/>
              </w:rPr>
              <w:t xml:space="preserve"> سنة) للمشاركة في القوات المسلحة.</w:t>
            </w:r>
          </w:p>
        </w:tc>
      </w:tr>
      <w:tr w:rsidR="00DE3D9F" w:rsidRPr="001B6C67" w14:paraId="1B2AC28F" w14:textId="77777777" w:rsidTr="003B756C">
        <w:tc>
          <w:tcPr>
            <w:tcW w:w="2357" w:type="dxa"/>
            <w:vMerge/>
            <w:tcBorders>
              <w:top w:val="nil"/>
              <w:bottom w:val="nil"/>
            </w:tcBorders>
            <w:shd w:val="clear" w:color="auto" w:fill="auto"/>
          </w:tcPr>
          <w:p w14:paraId="6CA07441" w14:textId="77777777" w:rsidR="00DE3D9F" w:rsidRPr="001B0794" w:rsidRDefault="00DE3D9F" w:rsidP="001B0794">
            <w:pPr>
              <w:spacing w:before="40" w:after="120" w:line="340" w:lineRule="exact"/>
              <w:ind w:right="113"/>
              <w:rPr>
                <w:rFonts w:ascii="Simplified Arabic" w:hAnsi="Simplified Arabic"/>
                <w:sz w:val="22"/>
              </w:rPr>
            </w:pPr>
          </w:p>
        </w:tc>
        <w:tc>
          <w:tcPr>
            <w:tcW w:w="5221" w:type="dxa"/>
            <w:tcBorders>
              <w:top w:val="nil"/>
              <w:bottom w:val="nil"/>
            </w:tcBorders>
            <w:shd w:val="clear" w:color="auto" w:fill="auto"/>
          </w:tcPr>
          <w:p w14:paraId="6298CE2F" w14:textId="77777777" w:rsidR="00DE3D9F" w:rsidRPr="001B0794" w:rsidRDefault="00DE3D9F" w:rsidP="001B0794">
            <w:pPr>
              <w:spacing w:before="40" w:after="120" w:line="340" w:lineRule="exact"/>
              <w:ind w:left="293" w:right="113"/>
              <w:textDirection w:val="tbRlV"/>
              <w:rPr>
                <w:rFonts w:ascii="Simplified Arabic" w:hAnsi="Simplified Arabic"/>
                <w:sz w:val="22"/>
                <w:lang w:val="ar-SA" w:eastAsia="zh-TW" w:bidi="en-GB"/>
              </w:rPr>
            </w:pPr>
            <w:r w:rsidRPr="00AF3116">
              <w:rPr>
                <w:rFonts w:ascii="Simplified Arabic" w:hAnsi="Simplified Arabic"/>
                <w:sz w:val="22"/>
                <w:rtl/>
              </w:rPr>
              <w:t>3</w:t>
            </w:r>
            <w:r w:rsidRPr="001B0794">
              <w:rPr>
                <w:rFonts w:ascii="Simplified Arabic" w:hAnsi="Simplified Arabic"/>
                <w:sz w:val="22"/>
                <w:rtl/>
              </w:rPr>
              <w:t>- القبول في المدارس العسكرية مثل مدرسة ضباط الصف في الجيش، ومدرسة التدريب التقني الجوي، ومدرسة ضباط الصف البحرية، والمدرسة الإعدادية لأكاديميات القوات المسلحة، وأكاديميات الجيش والبحرية والقوات الجوية يتم على أساس طوعي، اعتماداً على النجاح في امتحانات القبول ويخضع لموافقة الوالدين أو الأوصياء القانونيين.</w:t>
            </w:r>
          </w:p>
        </w:tc>
      </w:tr>
      <w:tr w:rsidR="00DE3D9F" w:rsidRPr="001B6C67" w14:paraId="174FA6DB" w14:textId="77777777" w:rsidTr="003B756C">
        <w:tc>
          <w:tcPr>
            <w:tcW w:w="2357" w:type="dxa"/>
            <w:vMerge/>
            <w:tcBorders>
              <w:top w:val="nil"/>
              <w:bottom w:val="nil"/>
            </w:tcBorders>
            <w:shd w:val="clear" w:color="auto" w:fill="auto"/>
          </w:tcPr>
          <w:p w14:paraId="5276A77D" w14:textId="77777777" w:rsidR="00DE3D9F" w:rsidRPr="001B0794" w:rsidRDefault="00DE3D9F" w:rsidP="001B0794">
            <w:pPr>
              <w:spacing w:before="40" w:after="120" w:line="340" w:lineRule="exact"/>
              <w:ind w:right="113"/>
              <w:rPr>
                <w:rFonts w:ascii="Simplified Arabic" w:hAnsi="Simplified Arabic"/>
                <w:sz w:val="22"/>
              </w:rPr>
            </w:pPr>
          </w:p>
        </w:tc>
        <w:tc>
          <w:tcPr>
            <w:tcW w:w="5221" w:type="dxa"/>
            <w:tcBorders>
              <w:top w:val="nil"/>
              <w:bottom w:val="nil"/>
            </w:tcBorders>
            <w:shd w:val="clear" w:color="auto" w:fill="auto"/>
          </w:tcPr>
          <w:p w14:paraId="2D044173" w14:textId="77777777" w:rsidR="00DE3D9F" w:rsidRPr="001B0794" w:rsidRDefault="00DE3D9F" w:rsidP="001B0794">
            <w:pPr>
              <w:spacing w:before="40" w:after="120" w:line="340" w:lineRule="exact"/>
              <w:ind w:left="293" w:right="113"/>
              <w:textDirection w:val="tbRlV"/>
              <w:rPr>
                <w:rFonts w:ascii="Simplified Arabic" w:hAnsi="Simplified Arabic"/>
                <w:sz w:val="22"/>
                <w:lang w:val="ar-SA" w:eastAsia="zh-TW" w:bidi="en-GB"/>
              </w:rPr>
            </w:pPr>
            <w:r w:rsidRPr="00AF3116">
              <w:rPr>
                <w:rFonts w:ascii="Simplified Arabic" w:hAnsi="Simplified Arabic"/>
                <w:sz w:val="22"/>
                <w:rtl/>
              </w:rPr>
              <w:t>4</w:t>
            </w:r>
            <w:r w:rsidRPr="001B0794">
              <w:rPr>
                <w:rFonts w:ascii="Simplified Arabic" w:hAnsi="Simplified Arabic"/>
                <w:sz w:val="22"/>
                <w:rtl/>
              </w:rPr>
              <w:t xml:space="preserve">- يجوز لطلاب المدارس الثانوية والجامعات، بغض النظر عن النوع الاجتماعي، أن يتقدموا طوعاً بطلب لتلقي التدريب العسكري من قيادة احتياطي الجيش، بموافقة الوالدين أو الأوصياء القانونيين، دون أي استثناء. والطلاب الذين يكملون </w:t>
            </w:r>
            <w:r w:rsidRPr="00AF3116">
              <w:rPr>
                <w:rFonts w:ascii="Simplified Arabic" w:hAnsi="Simplified Arabic"/>
                <w:sz w:val="22"/>
                <w:rtl/>
              </w:rPr>
              <w:t>3</w:t>
            </w:r>
            <w:r w:rsidRPr="001B0794">
              <w:rPr>
                <w:rFonts w:ascii="Simplified Arabic" w:hAnsi="Simplified Arabic"/>
                <w:sz w:val="22"/>
                <w:rtl/>
              </w:rPr>
              <w:t xml:space="preserve"> سنوات من التدريب يعفون من الخدمة العسكرية (كأفراد عسكريين نشطين) عندما يبلغون سن </w:t>
            </w:r>
            <w:r w:rsidRPr="00AF3116">
              <w:rPr>
                <w:rFonts w:ascii="Simplified Arabic" w:hAnsi="Simplified Arabic"/>
                <w:sz w:val="22"/>
                <w:rtl/>
              </w:rPr>
              <w:t>21</w:t>
            </w:r>
            <w:r w:rsidRPr="001B0794">
              <w:rPr>
                <w:rFonts w:ascii="Simplified Arabic" w:hAnsi="Simplified Arabic"/>
                <w:sz w:val="22"/>
                <w:rtl/>
              </w:rPr>
              <w:t xml:space="preserve"> عاماً. </w:t>
            </w:r>
          </w:p>
        </w:tc>
      </w:tr>
      <w:tr w:rsidR="00DE3D9F" w:rsidRPr="001B6C67" w14:paraId="28B3F8DA" w14:textId="77777777" w:rsidTr="003B756C">
        <w:tc>
          <w:tcPr>
            <w:tcW w:w="2357" w:type="dxa"/>
            <w:vMerge/>
            <w:tcBorders>
              <w:top w:val="nil"/>
            </w:tcBorders>
            <w:shd w:val="clear" w:color="auto" w:fill="auto"/>
          </w:tcPr>
          <w:p w14:paraId="65C0DD5F" w14:textId="77777777" w:rsidR="00DE3D9F" w:rsidRPr="001B0794" w:rsidRDefault="00DE3D9F" w:rsidP="001B0794">
            <w:pPr>
              <w:spacing w:before="40" w:after="120" w:line="340" w:lineRule="exact"/>
              <w:ind w:right="113"/>
              <w:rPr>
                <w:rFonts w:ascii="Simplified Arabic" w:hAnsi="Simplified Arabic"/>
                <w:sz w:val="22"/>
              </w:rPr>
            </w:pPr>
          </w:p>
        </w:tc>
        <w:tc>
          <w:tcPr>
            <w:tcW w:w="5221" w:type="dxa"/>
            <w:tcBorders>
              <w:top w:val="nil"/>
            </w:tcBorders>
            <w:shd w:val="clear" w:color="auto" w:fill="auto"/>
          </w:tcPr>
          <w:p w14:paraId="32F98018" w14:textId="77777777" w:rsidR="00DE3D9F" w:rsidRPr="001B0794" w:rsidRDefault="00DE3D9F" w:rsidP="001B0794">
            <w:pPr>
              <w:spacing w:before="40" w:after="120" w:line="340" w:lineRule="exact"/>
              <w:ind w:left="293" w:right="113"/>
              <w:textDirection w:val="tbRlV"/>
              <w:rPr>
                <w:rFonts w:ascii="Simplified Arabic" w:hAnsi="Simplified Arabic"/>
                <w:sz w:val="22"/>
                <w:lang w:eastAsia="zh-TW" w:bidi="en-GB"/>
              </w:rPr>
            </w:pPr>
            <w:r w:rsidRPr="00AF3116">
              <w:rPr>
                <w:rFonts w:ascii="Simplified Arabic" w:hAnsi="Simplified Arabic"/>
                <w:sz w:val="22"/>
                <w:rtl/>
              </w:rPr>
              <w:t>5</w:t>
            </w:r>
            <w:r w:rsidRPr="001B0794">
              <w:rPr>
                <w:rFonts w:ascii="Simplified Arabic" w:hAnsi="Simplified Arabic"/>
                <w:sz w:val="22"/>
                <w:rtl/>
              </w:rPr>
              <w:t>- يحظر القانون الميليشيات غير الحكومية، بغض النظر عن سن الأشخاص المعنيين.</w:t>
            </w:r>
          </w:p>
        </w:tc>
      </w:tr>
    </w:tbl>
    <w:p w14:paraId="1B5E9EC3" w14:textId="0B8986F3" w:rsidR="00DE3D9F" w:rsidRPr="001B6C67" w:rsidRDefault="00DE3D9F" w:rsidP="001B0794">
      <w:pPr>
        <w:pStyle w:val="SingleTxtGA"/>
        <w:spacing w:before="240"/>
        <w:rPr>
          <w:lang w:val="ar-SA" w:eastAsia="zh-TW" w:bidi="en-GB"/>
        </w:rPr>
      </w:pPr>
      <w:r w:rsidRPr="00AF3116">
        <w:rPr>
          <w:rtl/>
        </w:rPr>
        <w:t>79</w:t>
      </w:r>
      <w:r w:rsidRPr="001B6C67">
        <w:rPr>
          <w:rtl/>
        </w:rPr>
        <w:t>-</w:t>
      </w:r>
      <w:r w:rsidRPr="001B6C67">
        <w:rPr>
          <w:rtl/>
        </w:rPr>
        <w:tab/>
        <w:t>وتايلاند طرف أيضاً في اتفاقيات أخرى للأمم المتحدة في مجال حقوق الإنسان واتفاقيات ذات</w:t>
      </w:r>
      <w:r w:rsidR="001B0794">
        <w:rPr>
          <w:rFonts w:hint="cs"/>
          <w:rtl/>
        </w:rPr>
        <w:t> </w:t>
      </w:r>
      <w:r w:rsidRPr="001B6C67">
        <w:rPr>
          <w:rtl/>
        </w:rPr>
        <w:t>صلة</w:t>
      </w:r>
      <w:r w:rsidRPr="001B6C67">
        <w:t>:</w:t>
      </w:r>
      <w:r w:rsidRPr="001B6C67">
        <w:rPr>
          <w:rtl/>
        </w:rPr>
        <w:t xml:space="preserve"> </w:t>
      </w:r>
    </w:p>
    <w:p w14:paraId="17FD50F8" w14:textId="77777777" w:rsidR="00DE3D9F" w:rsidRPr="00DE3D9F" w:rsidRDefault="00DE3D9F" w:rsidP="00883EBA">
      <w:pPr>
        <w:pStyle w:val="SingleTxtGA"/>
        <w:ind w:left="2608" w:hanging="680"/>
        <w:rPr>
          <w:lang w:val="en-US" w:eastAsia="zh-TW" w:bidi="en-GB"/>
        </w:rPr>
      </w:pPr>
      <w:r w:rsidRPr="00AF3116">
        <w:rPr>
          <w:rtl/>
        </w:rPr>
        <w:t>1</w:t>
      </w:r>
      <w:r w:rsidRPr="001B6C67">
        <w:rPr>
          <w:rtl/>
        </w:rPr>
        <w:t>-</w:t>
      </w:r>
      <w:r w:rsidRPr="001B6C67">
        <w:rPr>
          <w:rtl/>
        </w:rPr>
        <w:tab/>
        <w:t xml:space="preserve">اتفاقية لاهاي بشأن الجوانب المدنية لاختطاف الأطفال على الصعيد الدولي في </w:t>
      </w:r>
      <w:r w:rsidRPr="00AF3116">
        <w:rPr>
          <w:rtl/>
        </w:rPr>
        <w:t>1</w:t>
      </w:r>
      <w:r w:rsidRPr="001B6C67">
        <w:rPr>
          <w:rtl/>
        </w:rPr>
        <w:t xml:space="preserve"> تشرين الثاني/نوفمبر </w:t>
      </w:r>
      <w:r w:rsidRPr="00AF3116">
        <w:rPr>
          <w:rtl/>
        </w:rPr>
        <w:t>2002</w:t>
      </w:r>
      <w:r w:rsidRPr="001B6C67">
        <w:rPr>
          <w:rtl/>
        </w:rPr>
        <w:t xml:space="preserve">؛ </w:t>
      </w:r>
    </w:p>
    <w:p w14:paraId="6C18016C" w14:textId="1F512AE9" w:rsidR="00DE3D9F" w:rsidRPr="001B6C67" w:rsidRDefault="00DE3D9F" w:rsidP="00883EBA">
      <w:pPr>
        <w:pStyle w:val="SingleTxtGA"/>
        <w:ind w:left="2608" w:hanging="680"/>
        <w:rPr>
          <w:lang w:val="ar-SA" w:eastAsia="zh-TW" w:bidi="en-GB"/>
        </w:rPr>
      </w:pPr>
      <w:r w:rsidRPr="00AF3116">
        <w:rPr>
          <w:rtl/>
        </w:rPr>
        <w:t>2</w:t>
      </w:r>
      <w:r w:rsidRPr="001B6C67">
        <w:rPr>
          <w:rtl/>
        </w:rPr>
        <w:t>-</w:t>
      </w:r>
      <w:r w:rsidRPr="001B6C67">
        <w:rPr>
          <w:rtl/>
        </w:rPr>
        <w:tab/>
        <w:t>اتفاقية لاهاي بشأن حماية الأطفال والتعاون في مجال التبني على الصعيد الدولي في</w:t>
      </w:r>
      <w:r w:rsidR="00883EBA">
        <w:rPr>
          <w:rFonts w:hint="cs"/>
          <w:rtl/>
        </w:rPr>
        <w:t> </w:t>
      </w:r>
      <w:r w:rsidRPr="00AF3116">
        <w:rPr>
          <w:rtl/>
        </w:rPr>
        <w:t>1</w:t>
      </w:r>
      <w:r w:rsidRPr="001B6C67">
        <w:rPr>
          <w:rtl/>
        </w:rPr>
        <w:t xml:space="preserve"> آب/أغسطس </w:t>
      </w:r>
      <w:r w:rsidRPr="00AF3116">
        <w:rPr>
          <w:rtl/>
        </w:rPr>
        <w:t>2004</w:t>
      </w:r>
      <w:r w:rsidRPr="001B6C67">
        <w:rPr>
          <w:rtl/>
        </w:rPr>
        <w:t xml:space="preserve">؛ </w:t>
      </w:r>
    </w:p>
    <w:p w14:paraId="6FFB8970" w14:textId="6517FC3C" w:rsidR="00DE3D9F" w:rsidRPr="001B6C67" w:rsidRDefault="00DE3D9F" w:rsidP="00883EBA">
      <w:pPr>
        <w:pStyle w:val="SingleTxtGA"/>
        <w:ind w:left="2608" w:hanging="680"/>
        <w:rPr>
          <w:lang w:val="ar-SA" w:eastAsia="zh-TW" w:bidi="en-GB"/>
        </w:rPr>
      </w:pPr>
      <w:r w:rsidRPr="00AF3116">
        <w:rPr>
          <w:rtl/>
        </w:rPr>
        <w:t>3</w:t>
      </w:r>
      <w:r w:rsidRPr="001B6C67">
        <w:rPr>
          <w:rtl/>
        </w:rPr>
        <w:t>-</w:t>
      </w:r>
      <w:r w:rsidRPr="001B6C67">
        <w:rPr>
          <w:rtl/>
        </w:rPr>
        <w:tab/>
        <w:t xml:space="preserve">اتفاقيات منظمة العمل الدولية رقم </w:t>
      </w:r>
      <w:r w:rsidRPr="00AF3116">
        <w:rPr>
          <w:rtl/>
        </w:rPr>
        <w:t>14</w:t>
      </w:r>
      <w:r w:rsidRPr="001B6C67">
        <w:rPr>
          <w:rtl/>
        </w:rPr>
        <w:t xml:space="preserve"> و</w:t>
      </w:r>
      <w:r w:rsidRPr="00AF3116">
        <w:rPr>
          <w:rtl/>
        </w:rPr>
        <w:t>19</w:t>
      </w:r>
      <w:r w:rsidRPr="001B6C67">
        <w:rPr>
          <w:rtl/>
        </w:rPr>
        <w:t xml:space="preserve"> و</w:t>
      </w:r>
      <w:r w:rsidRPr="00AF3116">
        <w:rPr>
          <w:rtl/>
        </w:rPr>
        <w:t>29</w:t>
      </w:r>
      <w:r w:rsidRPr="001B6C67">
        <w:rPr>
          <w:rtl/>
        </w:rPr>
        <w:t xml:space="preserve"> و</w:t>
      </w:r>
      <w:r w:rsidRPr="00AF3116">
        <w:rPr>
          <w:rtl/>
        </w:rPr>
        <w:t>80</w:t>
      </w:r>
      <w:r w:rsidRPr="001B6C67">
        <w:rPr>
          <w:rtl/>
        </w:rPr>
        <w:t xml:space="preserve"> و</w:t>
      </w:r>
      <w:r w:rsidRPr="00AF3116">
        <w:rPr>
          <w:rtl/>
        </w:rPr>
        <w:t>88</w:t>
      </w:r>
      <w:r w:rsidRPr="001B6C67">
        <w:rPr>
          <w:rtl/>
        </w:rPr>
        <w:t xml:space="preserve"> و</w:t>
      </w:r>
      <w:r w:rsidRPr="00AF3116">
        <w:rPr>
          <w:rtl/>
        </w:rPr>
        <w:t>100</w:t>
      </w:r>
      <w:r w:rsidRPr="001B6C67">
        <w:rPr>
          <w:rtl/>
        </w:rPr>
        <w:t xml:space="preserve"> و</w:t>
      </w:r>
      <w:r w:rsidRPr="00AF3116">
        <w:rPr>
          <w:rtl/>
        </w:rPr>
        <w:t>105</w:t>
      </w:r>
      <w:r w:rsidRPr="001B6C67">
        <w:rPr>
          <w:rtl/>
        </w:rPr>
        <w:t xml:space="preserve"> و</w:t>
      </w:r>
      <w:r w:rsidRPr="00AF3116">
        <w:rPr>
          <w:rtl/>
        </w:rPr>
        <w:t>111</w:t>
      </w:r>
      <w:r w:rsidRPr="001B6C67">
        <w:rPr>
          <w:rtl/>
        </w:rPr>
        <w:t xml:space="preserve"> و</w:t>
      </w:r>
      <w:r w:rsidRPr="00AF3116">
        <w:rPr>
          <w:rtl/>
        </w:rPr>
        <w:t>122</w:t>
      </w:r>
      <w:r w:rsidRPr="001B6C67">
        <w:rPr>
          <w:rtl/>
        </w:rPr>
        <w:t xml:space="preserve"> و</w:t>
      </w:r>
      <w:r w:rsidRPr="00AF3116">
        <w:rPr>
          <w:rtl/>
        </w:rPr>
        <w:t>127</w:t>
      </w:r>
      <w:r w:rsidRPr="001B6C67">
        <w:rPr>
          <w:rtl/>
        </w:rPr>
        <w:t xml:space="preserve"> و</w:t>
      </w:r>
      <w:r w:rsidRPr="00AF3116">
        <w:rPr>
          <w:rtl/>
        </w:rPr>
        <w:t>138</w:t>
      </w:r>
      <w:r w:rsidRPr="001B6C67">
        <w:rPr>
          <w:rtl/>
        </w:rPr>
        <w:t xml:space="preserve"> و</w:t>
      </w:r>
      <w:r w:rsidRPr="00AF3116">
        <w:rPr>
          <w:rtl/>
        </w:rPr>
        <w:t>159</w:t>
      </w:r>
      <w:r w:rsidRPr="001B6C67">
        <w:rPr>
          <w:rtl/>
        </w:rPr>
        <w:t xml:space="preserve"> و</w:t>
      </w:r>
      <w:r w:rsidRPr="00AF3116">
        <w:rPr>
          <w:rtl/>
        </w:rPr>
        <w:t>182</w:t>
      </w:r>
      <w:r w:rsidRPr="001B6C67">
        <w:rPr>
          <w:rtl/>
        </w:rPr>
        <w:t xml:space="preserve"> و</w:t>
      </w:r>
      <w:r w:rsidRPr="00AF3116">
        <w:rPr>
          <w:rtl/>
        </w:rPr>
        <w:t>187</w:t>
      </w:r>
      <w:r w:rsidRPr="001B6C67">
        <w:rPr>
          <w:rtl/>
        </w:rPr>
        <w:t xml:space="preserve"> و</w:t>
      </w:r>
      <w:r w:rsidRPr="00AF3116">
        <w:rPr>
          <w:rtl/>
        </w:rPr>
        <w:t>188</w:t>
      </w:r>
      <w:r w:rsidRPr="001B6C67">
        <w:rPr>
          <w:rtl/>
        </w:rPr>
        <w:t>، واتفاقية العمل البحري لعام</w:t>
      </w:r>
      <w:r w:rsidR="00883EBA">
        <w:rPr>
          <w:rFonts w:hint="cs"/>
          <w:rtl/>
        </w:rPr>
        <w:t> </w:t>
      </w:r>
      <w:r w:rsidRPr="00AF3116">
        <w:rPr>
          <w:rtl/>
        </w:rPr>
        <w:t>2006</w:t>
      </w:r>
      <w:r w:rsidRPr="001B6C67">
        <w:rPr>
          <w:rtl/>
        </w:rPr>
        <w:t xml:space="preserve">، وبروتوكول منظمة العمل الدولية لعام </w:t>
      </w:r>
      <w:r w:rsidRPr="00AF3116">
        <w:rPr>
          <w:rtl/>
        </w:rPr>
        <w:t>2014</w:t>
      </w:r>
      <w:r w:rsidRPr="001B6C67">
        <w:rPr>
          <w:rtl/>
        </w:rPr>
        <w:t xml:space="preserve"> الملحق باتفاقية العمل الجبري، </w:t>
      </w:r>
      <w:r w:rsidRPr="00AF3116">
        <w:rPr>
          <w:rtl/>
        </w:rPr>
        <w:t>1930</w:t>
      </w:r>
      <w:r w:rsidRPr="001B6C67">
        <w:rPr>
          <w:rtl/>
        </w:rPr>
        <w:t>؛</w:t>
      </w:r>
    </w:p>
    <w:p w14:paraId="1FD47B9C" w14:textId="4B20FBE4" w:rsidR="00DE3D9F" w:rsidRPr="001B6C67" w:rsidRDefault="00DE3D9F" w:rsidP="00883EBA">
      <w:pPr>
        <w:pStyle w:val="SingleTxtGA"/>
        <w:ind w:left="2608" w:hanging="680"/>
        <w:rPr>
          <w:lang w:val="ar-SA" w:eastAsia="zh-TW" w:bidi="en-GB"/>
        </w:rPr>
      </w:pPr>
      <w:r w:rsidRPr="00AF3116">
        <w:rPr>
          <w:rtl/>
        </w:rPr>
        <w:t>4</w:t>
      </w:r>
      <w:r w:rsidRPr="001B6C67">
        <w:rPr>
          <w:rtl/>
        </w:rPr>
        <w:t>-</w:t>
      </w:r>
      <w:r w:rsidRPr="001B6C67">
        <w:rPr>
          <w:rtl/>
        </w:rPr>
        <w:tab/>
        <w:t xml:space="preserve">معاهدة مراكش لتيسير النفاذ إلى المصنفات المنشورة لفائدة الاشخاص المكفوفين </w:t>
      </w:r>
      <w:r w:rsidRPr="00883EBA">
        <w:rPr>
          <w:spacing w:val="-4"/>
          <w:rtl/>
        </w:rPr>
        <w:t>او</w:t>
      </w:r>
      <w:r w:rsidR="00883EBA" w:rsidRPr="00883EBA">
        <w:rPr>
          <w:rFonts w:hint="cs"/>
          <w:spacing w:val="-4"/>
          <w:rtl/>
        </w:rPr>
        <w:t> </w:t>
      </w:r>
      <w:r w:rsidRPr="00883EBA">
        <w:rPr>
          <w:spacing w:val="-4"/>
          <w:rtl/>
        </w:rPr>
        <w:t xml:space="preserve">معاقي البصر أو ذوي إعاقات أخرى في قراءة المطبوعات في </w:t>
      </w:r>
      <w:r w:rsidRPr="00AF3116">
        <w:rPr>
          <w:spacing w:val="-4"/>
          <w:rtl/>
        </w:rPr>
        <w:t>28</w:t>
      </w:r>
      <w:r w:rsidRPr="00883EBA">
        <w:rPr>
          <w:spacing w:val="-4"/>
          <w:rtl/>
        </w:rPr>
        <w:t xml:space="preserve"> نيسان/أبريل </w:t>
      </w:r>
      <w:r w:rsidRPr="00AF3116">
        <w:rPr>
          <w:spacing w:val="-4"/>
          <w:rtl/>
        </w:rPr>
        <w:t>2019</w:t>
      </w:r>
      <w:r w:rsidRPr="00883EBA">
        <w:rPr>
          <w:spacing w:val="-4"/>
          <w:rtl/>
        </w:rPr>
        <w:t>.</w:t>
      </w:r>
    </w:p>
    <w:p w14:paraId="3596D522" w14:textId="77777777" w:rsidR="00DE3D9F" w:rsidRPr="007E4AE3" w:rsidRDefault="00DE3D9F" w:rsidP="001B0794">
      <w:pPr>
        <w:pStyle w:val="H23GA"/>
        <w:rPr>
          <w:lang w:val="en-US" w:eastAsia="zh-TW"/>
        </w:rPr>
      </w:pPr>
      <w:r w:rsidRPr="001B6C67">
        <w:rPr>
          <w:rtl/>
        </w:rPr>
        <w:tab/>
      </w:r>
      <w:r w:rsidRPr="001B6C67">
        <w:rPr>
          <w:rtl/>
        </w:rPr>
        <w:tab/>
      </w:r>
      <w:r w:rsidRPr="00AF3116">
        <w:rPr>
          <w:rtl/>
        </w:rPr>
        <w:t>الاستثناءات أو القيود</w:t>
      </w:r>
    </w:p>
    <w:p w14:paraId="767B3B6F" w14:textId="134E7E8B" w:rsidR="00DE3D9F" w:rsidRPr="001B6C67" w:rsidRDefault="00DE3D9F" w:rsidP="00DE3D9F">
      <w:pPr>
        <w:pStyle w:val="SingleTxtGA"/>
        <w:rPr>
          <w:lang w:val="ar-SA" w:eastAsia="zh-TW" w:bidi="en-GB"/>
        </w:rPr>
      </w:pPr>
      <w:r w:rsidRPr="00AF3116">
        <w:rPr>
          <w:rtl/>
        </w:rPr>
        <w:t>80</w:t>
      </w:r>
      <w:r w:rsidRPr="001B6C67">
        <w:rPr>
          <w:rtl/>
        </w:rPr>
        <w:t>-</w:t>
      </w:r>
      <w:r w:rsidRPr="001B6C67">
        <w:rPr>
          <w:rtl/>
        </w:rPr>
        <w:tab/>
        <w:t xml:space="preserve">في </w:t>
      </w:r>
      <w:r w:rsidRPr="00AF3116">
        <w:rPr>
          <w:rtl/>
        </w:rPr>
        <w:t>4</w:t>
      </w:r>
      <w:r w:rsidRPr="001B6C67">
        <w:rPr>
          <w:rtl/>
        </w:rPr>
        <w:t xml:space="preserve"> حزيران/يونيه </w:t>
      </w:r>
      <w:r w:rsidRPr="00AF3116">
        <w:rPr>
          <w:rtl/>
        </w:rPr>
        <w:t>2020</w:t>
      </w:r>
      <w:r w:rsidRPr="001B6C67">
        <w:rPr>
          <w:rtl/>
        </w:rPr>
        <w:t xml:space="preserve">، أخطرت تايلاند الدول الأطراف الأخرى في العهد الدولي الخاص بالحقوق المدنية والسياسية عن طريق الأمين العام للأمم المتحدة بشأن إعلان حالة طوارئ، بموجب </w:t>
      </w:r>
      <w:r w:rsidRPr="001B6C67">
        <w:rPr>
          <w:rtl/>
        </w:rPr>
        <w:lastRenderedPageBreak/>
        <w:t>المادة</w:t>
      </w:r>
      <w:r w:rsidR="00883EBA">
        <w:rPr>
          <w:rFonts w:hint="cs"/>
          <w:rtl/>
        </w:rPr>
        <w:t> </w:t>
      </w:r>
      <w:r w:rsidRPr="00AF3116">
        <w:rPr>
          <w:rtl/>
        </w:rPr>
        <w:t>5</w:t>
      </w:r>
      <w:r w:rsidRPr="001B6C67">
        <w:rPr>
          <w:rtl/>
        </w:rPr>
        <w:t xml:space="preserve"> من مرسوم الطوارئ المتعلق بالإدارة العامة في حالات الطوارئ</w:t>
      </w:r>
      <w:r>
        <w:rPr>
          <w:rtl/>
        </w:rPr>
        <w:t xml:space="preserve"> </w:t>
      </w:r>
      <w:r w:rsidRPr="00883EBA">
        <w:rPr>
          <w:rFonts w:cs="Times New Roman"/>
          <w:rtl/>
        </w:rPr>
        <w:t xml:space="preserve">B.E. </w:t>
      </w:r>
      <w:r w:rsidRPr="00AF3116">
        <w:rPr>
          <w:rtl/>
        </w:rPr>
        <w:t>2548</w:t>
      </w:r>
      <w:r w:rsidRPr="001B6C67">
        <w:rPr>
          <w:rtl/>
        </w:rPr>
        <w:t xml:space="preserve"> (</w:t>
      </w:r>
      <w:r w:rsidRPr="00AF3116">
        <w:rPr>
          <w:rtl/>
        </w:rPr>
        <w:t>2005</w:t>
      </w:r>
      <w:r w:rsidRPr="001B6C67">
        <w:rPr>
          <w:rtl/>
        </w:rPr>
        <w:t xml:space="preserve">)، في جميع مناطق تايلاند حتى </w:t>
      </w:r>
      <w:r w:rsidRPr="00AF3116">
        <w:rPr>
          <w:rtl/>
        </w:rPr>
        <w:t>30</w:t>
      </w:r>
      <w:r w:rsidRPr="001B6C67">
        <w:rPr>
          <w:rtl/>
        </w:rPr>
        <w:t xml:space="preserve"> حزيران/يونيه </w:t>
      </w:r>
      <w:r w:rsidRPr="00AF3116">
        <w:rPr>
          <w:rtl/>
        </w:rPr>
        <w:t>2020</w:t>
      </w:r>
      <w:r w:rsidRPr="001B6C67">
        <w:rPr>
          <w:rtl/>
        </w:rPr>
        <w:t xml:space="preserve"> استجابة لتفشي فيروس كورونا </w:t>
      </w:r>
      <w:r w:rsidRPr="00AF3116">
        <w:rPr>
          <w:rtl/>
        </w:rPr>
        <w:t>2019</w:t>
      </w:r>
      <w:r w:rsidRPr="001B6C67">
        <w:rPr>
          <w:rtl/>
        </w:rPr>
        <w:t xml:space="preserve">، وبالتالي ممارسة حق </w:t>
      </w:r>
      <w:r>
        <w:rPr>
          <w:rtl/>
        </w:rPr>
        <w:t>عدم التقيد</w:t>
      </w:r>
      <w:r w:rsidRPr="001B6C67">
        <w:rPr>
          <w:rtl/>
        </w:rPr>
        <w:t xml:space="preserve"> بموجب الفقرة </w:t>
      </w:r>
      <w:r w:rsidRPr="00AF3116">
        <w:rPr>
          <w:rtl/>
        </w:rPr>
        <w:t>1</w:t>
      </w:r>
      <w:r w:rsidRPr="001B6C67">
        <w:rPr>
          <w:rtl/>
        </w:rPr>
        <w:t xml:space="preserve"> من المادة </w:t>
      </w:r>
      <w:r w:rsidRPr="00AF3116">
        <w:rPr>
          <w:rtl/>
        </w:rPr>
        <w:t>4</w:t>
      </w:r>
      <w:r w:rsidRPr="001B6C67">
        <w:rPr>
          <w:rtl/>
        </w:rPr>
        <w:t xml:space="preserve"> من العهد الدولي الخاص بالحقوق المدنية والسياسية. </w:t>
      </w:r>
    </w:p>
    <w:p w14:paraId="70A41977" w14:textId="77777777" w:rsidR="00DE3D9F" w:rsidRPr="001B6C67" w:rsidRDefault="00DE3D9F" w:rsidP="00DE3D9F">
      <w:pPr>
        <w:pStyle w:val="SingleTxtGA"/>
        <w:rPr>
          <w:lang w:val="ar-SA" w:eastAsia="zh-TW" w:bidi="en-GB"/>
        </w:rPr>
      </w:pPr>
      <w:r w:rsidRPr="00AF3116">
        <w:rPr>
          <w:rtl/>
        </w:rPr>
        <w:t>81</w:t>
      </w:r>
      <w:r w:rsidRPr="001B6C67">
        <w:rPr>
          <w:rtl/>
        </w:rPr>
        <w:t>-</w:t>
      </w:r>
      <w:r w:rsidRPr="001B6C67">
        <w:rPr>
          <w:rtl/>
        </w:rPr>
        <w:tab/>
        <w:t>واعتبرت تايلند أن من الضروري اتخاذ تدابير مؤقتة وعاجلة لحماية الصحة العامة والسلامة وعيش الشعب في سلام، فضلاً عن قمع مكافحة انتشار كوفيد-</w:t>
      </w:r>
      <w:r w:rsidRPr="00AF3116">
        <w:rPr>
          <w:rtl/>
        </w:rPr>
        <w:t>19</w:t>
      </w:r>
      <w:r w:rsidRPr="001B6C67">
        <w:rPr>
          <w:rtl/>
        </w:rPr>
        <w:t xml:space="preserve">. وقد تنطوي بعض هذه التدابير العاجلة المؤقتة على عدم التقيد ببعض التزاماتها بموجب العهد الدولي الخاص بالحقوق المدنية والسياسية، ولا سيما المادة </w:t>
      </w:r>
      <w:r w:rsidRPr="00AF3116">
        <w:rPr>
          <w:rtl/>
        </w:rPr>
        <w:t>12</w:t>
      </w:r>
      <w:r w:rsidRPr="001B6C67">
        <w:rPr>
          <w:rtl/>
        </w:rPr>
        <w:t xml:space="preserve">. ولم تتأثر بالتدابير العاجلة المؤقتة المذكورة الحقوق غير القابلة للتقييد المنصوص عليها في المواد </w:t>
      </w:r>
      <w:r w:rsidRPr="00AF3116">
        <w:rPr>
          <w:rtl/>
        </w:rPr>
        <w:t>6</w:t>
      </w:r>
      <w:r w:rsidRPr="001B6C67">
        <w:rPr>
          <w:rtl/>
        </w:rPr>
        <w:t xml:space="preserve"> و</w:t>
      </w:r>
      <w:r w:rsidRPr="00AF3116">
        <w:rPr>
          <w:rtl/>
        </w:rPr>
        <w:t>7</w:t>
      </w:r>
      <w:r w:rsidRPr="001B6C67">
        <w:rPr>
          <w:rtl/>
        </w:rPr>
        <w:t xml:space="preserve"> و</w:t>
      </w:r>
      <w:r w:rsidRPr="00AF3116">
        <w:rPr>
          <w:rtl/>
        </w:rPr>
        <w:t>8</w:t>
      </w:r>
      <w:r w:rsidRPr="001B6C67">
        <w:rPr>
          <w:rtl/>
        </w:rPr>
        <w:t xml:space="preserve"> (الفقرتين </w:t>
      </w:r>
      <w:r w:rsidRPr="00AF3116">
        <w:rPr>
          <w:rtl/>
        </w:rPr>
        <w:t>1</w:t>
      </w:r>
      <w:r w:rsidRPr="001B6C67">
        <w:rPr>
          <w:rtl/>
        </w:rPr>
        <w:t xml:space="preserve"> و</w:t>
      </w:r>
      <w:r w:rsidRPr="00AF3116">
        <w:rPr>
          <w:rtl/>
        </w:rPr>
        <w:t>2</w:t>
      </w:r>
      <w:r w:rsidRPr="001B6C67">
        <w:rPr>
          <w:rtl/>
        </w:rPr>
        <w:t>) و</w:t>
      </w:r>
      <w:r w:rsidRPr="00AF3116">
        <w:rPr>
          <w:rtl/>
        </w:rPr>
        <w:t>11</w:t>
      </w:r>
      <w:r w:rsidRPr="001B6C67">
        <w:rPr>
          <w:rtl/>
        </w:rPr>
        <w:t xml:space="preserve"> و</w:t>
      </w:r>
      <w:r w:rsidRPr="00AF3116">
        <w:rPr>
          <w:rtl/>
        </w:rPr>
        <w:t>15</w:t>
      </w:r>
      <w:r w:rsidRPr="001B6C67">
        <w:rPr>
          <w:rtl/>
        </w:rPr>
        <w:t xml:space="preserve"> و</w:t>
      </w:r>
      <w:r w:rsidRPr="00AF3116">
        <w:rPr>
          <w:rtl/>
        </w:rPr>
        <w:t>16</w:t>
      </w:r>
      <w:r w:rsidRPr="001B6C67">
        <w:rPr>
          <w:rtl/>
        </w:rPr>
        <w:t xml:space="preserve"> و</w:t>
      </w:r>
      <w:r w:rsidRPr="00AF3116">
        <w:rPr>
          <w:rtl/>
        </w:rPr>
        <w:t>18</w:t>
      </w:r>
      <w:r w:rsidRPr="001B6C67">
        <w:rPr>
          <w:rtl/>
        </w:rPr>
        <w:t xml:space="preserve"> من العهد. وأصبح هذا الإخطار سارياً منذ </w:t>
      </w:r>
      <w:r w:rsidRPr="00AF3116">
        <w:rPr>
          <w:rtl/>
        </w:rPr>
        <w:t>5</w:t>
      </w:r>
      <w:r w:rsidRPr="001B6C67">
        <w:rPr>
          <w:rtl/>
        </w:rPr>
        <w:t xml:space="preserve"> حزيران/يونيه </w:t>
      </w:r>
      <w:r w:rsidRPr="00AF3116">
        <w:rPr>
          <w:rtl/>
        </w:rPr>
        <w:t>2020</w:t>
      </w:r>
      <w:r w:rsidRPr="001B6C67">
        <w:rPr>
          <w:rtl/>
        </w:rPr>
        <w:t xml:space="preserve">. </w:t>
      </w:r>
    </w:p>
    <w:p w14:paraId="6271EC14" w14:textId="77777777" w:rsidR="00DE3D9F" w:rsidRPr="001B6C67" w:rsidRDefault="00DE3D9F" w:rsidP="00883EBA">
      <w:pPr>
        <w:pStyle w:val="H1GA"/>
        <w:rPr>
          <w:lang w:val="ar-SA" w:eastAsia="zh-TW" w:bidi="en-GB"/>
        </w:rPr>
      </w:pPr>
      <w:r>
        <w:rPr>
          <w:rtl/>
        </w:rPr>
        <w:tab/>
      </w:r>
      <w:bookmarkStart w:id="15" w:name="_Toc92899418"/>
      <w:r w:rsidRPr="001B6C67">
        <w:rPr>
          <w:rtl/>
        </w:rPr>
        <w:t>باء-</w:t>
      </w:r>
      <w:r w:rsidRPr="001B6C67">
        <w:rPr>
          <w:rtl/>
        </w:rPr>
        <w:tab/>
      </w:r>
      <w:r w:rsidRPr="00AF3116">
        <w:rPr>
          <w:rtl/>
        </w:rPr>
        <w:t>الإطار القانوني لحماية حقوق الإنسان على الصعيد الوطني</w:t>
      </w:r>
      <w:bookmarkStart w:id="16" w:name="_Toc89701537"/>
      <w:bookmarkEnd w:id="16"/>
      <w:bookmarkEnd w:id="15"/>
    </w:p>
    <w:p w14:paraId="477AB33A" w14:textId="77777777" w:rsidR="00DE3D9F" w:rsidRPr="001B6C67" w:rsidRDefault="00DE3D9F" w:rsidP="00883EBA">
      <w:pPr>
        <w:pStyle w:val="H23GA"/>
        <w:rPr>
          <w:lang w:val="ar-SA" w:eastAsia="zh-TW" w:bidi="en-GB"/>
        </w:rPr>
      </w:pPr>
      <w:r w:rsidRPr="001B6C67">
        <w:rPr>
          <w:rtl/>
        </w:rPr>
        <w:tab/>
      </w:r>
      <w:r w:rsidRPr="001B6C67">
        <w:rPr>
          <w:rtl/>
        </w:rPr>
        <w:tab/>
      </w:r>
      <w:r w:rsidRPr="00AF3116">
        <w:rPr>
          <w:rtl/>
        </w:rPr>
        <w:t>دستور عام 2017</w:t>
      </w:r>
    </w:p>
    <w:p w14:paraId="493A8A7E" w14:textId="77777777" w:rsidR="00DE3D9F" w:rsidRPr="001B6C67" w:rsidRDefault="00DE3D9F" w:rsidP="00DE3D9F">
      <w:pPr>
        <w:pStyle w:val="SingleTxtGA"/>
        <w:rPr>
          <w:lang w:val="ar-SA" w:eastAsia="zh-TW" w:bidi="en-GB"/>
        </w:rPr>
      </w:pPr>
      <w:bookmarkStart w:id="17" w:name="_Ref43993388"/>
      <w:r w:rsidRPr="00AF3116">
        <w:rPr>
          <w:rtl/>
        </w:rPr>
        <w:t>82</w:t>
      </w:r>
      <w:r w:rsidRPr="001B6C67">
        <w:rPr>
          <w:rtl/>
        </w:rPr>
        <w:t>-</w:t>
      </w:r>
      <w:r w:rsidRPr="001B6C67">
        <w:rPr>
          <w:rtl/>
        </w:rPr>
        <w:tab/>
        <w:t xml:space="preserve">كُرِّست الحقوق الأساسية المعترف بها في الإعلان العالمي لحقوق الإنسان والمعاهدات الدولية لحقوق الإنسان التي انضمت إليها تايلاند في دستور عام </w:t>
      </w:r>
      <w:r w:rsidRPr="00AF3116">
        <w:rPr>
          <w:rtl/>
        </w:rPr>
        <w:t>2017</w:t>
      </w:r>
      <w:r w:rsidRPr="001B6C67">
        <w:rPr>
          <w:rtl/>
        </w:rPr>
        <w:t xml:space="preserve">، تماشياً مع الدساتير السابقة. ويكفل دستور عام </w:t>
      </w:r>
      <w:r w:rsidRPr="00AF3116">
        <w:rPr>
          <w:rtl/>
        </w:rPr>
        <w:t>2017</w:t>
      </w:r>
      <w:r w:rsidRPr="001B6C67">
        <w:rPr>
          <w:rtl/>
        </w:rPr>
        <w:t xml:space="preserve"> حقوق الناس وحرياتهم، ويركز على المساواة بين الأشخاص أمام القانون، ويحظر التمييز على أي أساس كان. ويكفل هذا الدستور كذلك ممارسة حقوق وحريات الشخص، حتى وإن لم تكن مدرجة صراحة في الدستور، ما دامت غير محظورة أو مقيدة بموجب الدستور أو القوانين، وما دامت هذه الممارسة للحقوق والحريات لا تمس الأمن القومي أو النظام العام أو الأخلاق الحميدة، ولا تنتهك حقوق الآخرين وحرياتهم.</w:t>
      </w:r>
      <w:bookmarkEnd w:id="17"/>
    </w:p>
    <w:p w14:paraId="65DFD61E" w14:textId="77777777" w:rsidR="00DE3D9F" w:rsidRPr="001B6C67" w:rsidRDefault="00DE3D9F" w:rsidP="00DE3D9F">
      <w:pPr>
        <w:pStyle w:val="SingleTxtGA"/>
        <w:rPr>
          <w:lang w:val="ar-SA" w:eastAsia="zh-TW" w:bidi="en-GB"/>
        </w:rPr>
      </w:pPr>
      <w:r w:rsidRPr="00AF3116">
        <w:rPr>
          <w:rtl/>
        </w:rPr>
        <w:t>83</w:t>
      </w:r>
      <w:r w:rsidRPr="001B6C67">
        <w:rPr>
          <w:rtl/>
        </w:rPr>
        <w:t>-</w:t>
      </w:r>
      <w:r w:rsidRPr="001B6C67">
        <w:rPr>
          <w:rtl/>
        </w:rPr>
        <w:tab/>
        <w:t xml:space="preserve">وقد تبنى دستور عام </w:t>
      </w:r>
      <w:r w:rsidRPr="00AF3116">
        <w:rPr>
          <w:rtl/>
        </w:rPr>
        <w:t>2017</w:t>
      </w:r>
      <w:r w:rsidRPr="001B6C67">
        <w:rPr>
          <w:rtl/>
        </w:rPr>
        <w:t xml:space="preserve"> مبدأ </w:t>
      </w:r>
      <w:proofErr w:type="spellStart"/>
      <w:r w:rsidRPr="001B6C67">
        <w:rPr>
          <w:rtl/>
        </w:rPr>
        <w:t>الميزنة</w:t>
      </w:r>
      <w:proofErr w:type="spellEnd"/>
      <w:r w:rsidRPr="001B6C67">
        <w:rPr>
          <w:rtl/>
        </w:rPr>
        <w:t xml:space="preserve"> المراعية للمنظور </w:t>
      </w:r>
      <w:proofErr w:type="spellStart"/>
      <w:r w:rsidRPr="001B6C67">
        <w:rPr>
          <w:rtl/>
        </w:rPr>
        <w:t>الجنساني</w:t>
      </w:r>
      <w:proofErr w:type="spellEnd"/>
      <w:r w:rsidRPr="001B6C67">
        <w:rPr>
          <w:rtl/>
        </w:rPr>
        <w:t xml:space="preserve">. ووفقاً للمادة </w:t>
      </w:r>
      <w:r w:rsidRPr="00AF3116">
        <w:rPr>
          <w:rtl/>
        </w:rPr>
        <w:t>71</w:t>
      </w:r>
      <w:r w:rsidRPr="001B6C67">
        <w:rPr>
          <w:rtl/>
        </w:rPr>
        <w:t>، ينبغي للدولة أن تأخذ في الاعتبار الضروريات والاحتياجات المختلف</w:t>
      </w:r>
      <w:r>
        <w:rPr>
          <w:rtl/>
        </w:rPr>
        <w:t>ة</w:t>
      </w:r>
      <w:r w:rsidRPr="001B6C67">
        <w:rPr>
          <w:rtl/>
        </w:rPr>
        <w:t xml:space="preserve"> المتعلقة بالنوع الاجتماعي والعمر وظروف الأشخاص عند تخصيص الميزانية.</w:t>
      </w:r>
    </w:p>
    <w:p w14:paraId="57262EA3" w14:textId="7F5CE620" w:rsidR="00DE3D9F" w:rsidRPr="00883EBA" w:rsidRDefault="00DE3D9F" w:rsidP="00DE3D9F">
      <w:pPr>
        <w:pStyle w:val="SingleTxtGA"/>
        <w:rPr>
          <w:lang w:val="en-US" w:eastAsia="zh-TW" w:bidi="en-GB"/>
        </w:rPr>
      </w:pPr>
      <w:bookmarkStart w:id="18" w:name="_Ref43993391"/>
      <w:r w:rsidRPr="00AF3116">
        <w:rPr>
          <w:rtl/>
        </w:rPr>
        <w:t>84</w:t>
      </w:r>
      <w:r w:rsidRPr="001B6C67">
        <w:rPr>
          <w:rtl/>
        </w:rPr>
        <w:t>-</w:t>
      </w:r>
      <w:r w:rsidRPr="001B6C67">
        <w:rPr>
          <w:rtl/>
        </w:rPr>
        <w:tab/>
        <w:t xml:space="preserve">ومن بين العناصر المبتكرة، تنص المادة </w:t>
      </w:r>
      <w:r w:rsidRPr="00AF3116">
        <w:rPr>
          <w:rtl/>
        </w:rPr>
        <w:t>77</w:t>
      </w:r>
      <w:r w:rsidRPr="001B6C67">
        <w:rPr>
          <w:rtl/>
        </w:rPr>
        <w:t xml:space="preserve"> من دستور</w:t>
      </w:r>
      <w:r>
        <w:rPr>
          <w:rtl/>
        </w:rPr>
        <w:t xml:space="preserve"> عام</w:t>
      </w:r>
      <w:r w:rsidRPr="001B6C67">
        <w:rPr>
          <w:rtl/>
        </w:rPr>
        <w:t xml:space="preserve"> </w:t>
      </w:r>
      <w:r w:rsidRPr="00AF3116">
        <w:rPr>
          <w:rtl/>
        </w:rPr>
        <w:t>2017</w:t>
      </w:r>
      <w:r w:rsidRPr="001B6C67">
        <w:rPr>
          <w:rtl/>
        </w:rPr>
        <w:t xml:space="preserve"> على أنه قبل سن كل قانون، ينبغي للدولة </w:t>
      </w:r>
      <w:r w:rsidR="0060722E" w:rsidRPr="00AF3116">
        <w:rPr>
          <w:rFonts w:hint="cs"/>
          <w:rtl/>
        </w:rPr>
        <w:t>’1‘</w:t>
      </w:r>
      <w:r w:rsidRPr="001B6C67">
        <w:rPr>
          <w:rtl/>
        </w:rPr>
        <w:t xml:space="preserve"> أن تجري مشاورات مع أصحاب المصلحة، </w:t>
      </w:r>
      <w:r w:rsidR="0060722E" w:rsidRPr="00AF3116">
        <w:rPr>
          <w:rFonts w:hint="cs"/>
          <w:rtl/>
        </w:rPr>
        <w:t>’2‘</w:t>
      </w:r>
      <w:r w:rsidR="0060722E">
        <w:rPr>
          <w:rFonts w:hint="cs"/>
          <w:rtl/>
        </w:rPr>
        <w:t xml:space="preserve"> </w:t>
      </w:r>
      <w:r w:rsidRPr="001B6C67">
        <w:rPr>
          <w:rtl/>
        </w:rPr>
        <w:t>أن تحلل بشكل شامل ومنهجي</w:t>
      </w:r>
      <w:r w:rsidR="0060722E">
        <w:rPr>
          <w:rFonts w:hint="cs"/>
          <w:rtl/>
        </w:rPr>
        <w:t> </w:t>
      </w:r>
      <w:r w:rsidRPr="001B6C67">
        <w:rPr>
          <w:rtl/>
        </w:rPr>
        <w:t xml:space="preserve">أي آثار قد تحدث من جراء القانون، </w:t>
      </w:r>
      <w:r w:rsidR="0060722E" w:rsidRPr="00AF3116">
        <w:rPr>
          <w:rFonts w:hint="cs"/>
          <w:rtl/>
        </w:rPr>
        <w:t>’3‘</w:t>
      </w:r>
      <w:r w:rsidRPr="001B6C67">
        <w:rPr>
          <w:rtl/>
        </w:rPr>
        <w:t xml:space="preserve"> أن تكشف عن نتائج المشاورات والتحليل للجمهور، وكذلك أن تأخذها في الاعتبار في كل مرحلة من مراحل العملية التشريعية. ويتطلب ذلك أن تجري الدولة، عند دخول أي قانون حيز النفاذ، تقييماً شاملاً في كل فترة زمنية محددة لتنفيذ القانون الذي تجرى من أجله مشاورات مع أصحاب المصلحة، بغية ضمان أن تكون جميع القوانين مناسبة للسياقات المتغيرة وملائمة</w:t>
      </w:r>
      <w:r w:rsidR="00883EBA">
        <w:rPr>
          <w:rFonts w:hint="eastAsia"/>
          <w:rtl/>
        </w:rPr>
        <w:t> </w:t>
      </w:r>
      <w:r w:rsidRPr="001B6C67">
        <w:rPr>
          <w:rtl/>
        </w:rPr>
        <w:t xml:space="preserve">لها. </w:t>
      </w:r>
      <w:bookmarkEnd w:id="18"/>
    </w:p>
    <w:p w14:paraId="6ED81913" w14:textId="77777777" w:rsidR="00DE3D9F" w:rsidRPr="001B6C67" w:rsidRDefault="00DE3D9F" w:rsidP="00883EBA">
      <w:pPr>
        <w:pStyle w:val="H23GA"/>
        <w:rPr>
          <w:cs/>
          <w:lang w:val="ar-SA" w:eastAsia="zh-TW" w:bidi="en-GB"/>
        </w:rPr>
      </w:pPr>
      <w:r w:rsidRPr="001B6C67">
        <w:rPr>
          <w:rtl/>
        </w:rPr>
        <w:tab/>
      </w:r>
      <w:r w:rsidRPr="001B6C67">
        <w:rPr>
          <w:rtl/>
        </w:rPr>
        <w:tab/>
      </w:r>
      <w:r w:rsidRPr="00AF3116">
        <w:rPr>
          <w:rtl/>
        </w:rPr>
        <w:t>الاستراتيجية الوطنية</w:t>
      </w:r>
    </w:p>
    <w:p w14:paraId="7346E363" w14:textId="77777777" w:rsidR="00DE3D9F" w:rsidRPr="001B6C67" w:rsidRDefault="00DE3D9F" w:rsidP="00DE3D9F">
      <w:pPr>
        <w:pStyle w:val="SingleTxtGA"/>
        <w:rPr>
          <w:lang w:val="ar-SA" w:eastAsia="zh-TW" w:bidi="en-GB"/>
        </w:rPr>
      </w:pPr>
      <w:bookmarkStart w:id="19" w:name="_Ref45066033"/>
      <w:bookmarkStart w:id="20" w:name="_Ref51770082"/>
      <w:r w:rsidRPr="00AF3116">
        <w:rPr>
          <w:rtl/>
        </w:rPr>
        <w:t>85</w:t>
      </w:r>
      <w:r w:rsidRPr="001B6C67">
        <w:rPr>
          <w:rtl/>
        </w:rPr>
        <w:t>-</w:t>
      </w:r>
      <w:r w:rsidRPr="001B6C67">
        <w:rPr>
          <w:rtl/>
        </w:rPr>
        <w:tab/>
        <w:t xml:space="preserve">الاستراتيجية الوطنية لفترة </w:t>
      </w:r>
      <w:r w:rsidRPr="00AF3116">
        <w:rPr>
          <w:rtl/>
        </w:rPr>
        <w:t>20</w:t>
      </w:r>
      <w:r w:rsidRPr="001B6C67">
        <w:rPr>
          <w:rtl/>
        </w:rPr>
        <w:t xml:space="preserve"> عاماً (</w:t>
      </w:r>
      <w:r w:rsidRPr="00AF3116">
        <w:rPr>
          <w:rtl/>
        </w:rPr>
        <w:t>2018</w:t>
      </w:r>
      <w:r w:rsidRPr="001B6C67">
        <w:rPr>
          <w:rtl/>
        </w:rPr>
        <w:t>-</w:t>
      </w:r>
      <w:r w:rsidRPr="00AF3116">
        <w:rPr>
          <w:rtl/>
        </w:rPr>
        <w:t>2037</w:t>
      </w:r>
      <w:r w:rsidRPr="001B6C67">
        <w:rPr>
          <w:rtl/>
        </w:rPr>
        <w:t xml:space="preserve">) هي أول استراتيجية وطنية طويلة الأجل للبلد تم تطويرها وفقاً للمادة </w:t>
      </w:r>
      <w:r w:rsidRPr="00AF3116">
        <w:rPr>
          <w:rtl/>
        </w:rPr>
        <w:t>65</w:t>
      </w:r>
      <w:r w:rsidRPr="001B6C67">
        <w:rPr>
          <w:rtl/>
        </w:rPr>
        <w:t xml:space="preserve"> من دستور عام </w:t>
      </w:r>
      <w:r w:rsidRPr="00AF3116">
        <w:rPr>
          <w:rtl/>
        </w:rPr>
        <w:t>2017</w:t>
      </w:r>
      <w:r w:rsidRPr="001B6C67">
        <w:rPr>
          <w:rtl/>
        </w:rPr>
        <w:t>. وينبغي السعي إلى تنفيذها لضمان تحقيق البلد رؤيته المتمثلة في أن يصبح "بلداً متقدم النمو يتسم بالأمن والرخاء والاستدامة وفقاً لفلسفة اقتصاد الاكتفاء". وتشكل سعادة الشعب التايلاندي ورفاهه الهدفين الرئيسيين والنهائيين للاستراتيجية الوطنية.</w:t>
      </w:r>
      <w:bookmarkEnd w:id="19"/>
      <w:bookmarkEnd w:id="20"/>
    </w:p>
    <w:p w14:paraId="018E45FA" w14:textId="77777777" w:rsidR="00DE3D9F" w:rsidRPr="001B6C67" w:rsidRDefault="00DE3D9F" w:rsidP="00DE3D9F">
      <w:pPr>
        <w:pStyle w:val="SingleTxtGA"/>
        <w:rPr>
          <w:lang w:val="ar-SA" w:eastAsia="zh-TW" w:bidi="en-GB"/>
        </w:rPr>
      </w:pPr>
      <w:bookmarkStart w:id="21" w:name="_Ref45066182"/>
      <w:r w:rsidRPr="00AF3116">
        <w:rPr>
          <w:rtl/>
        </w:rPr>
        <w:t>86</w:t>
      </w:r>
      <w:r w:rsidRPr="001B6C67">
        <w:rPr>
          <w:rtl/>
        </w:rPr>
        <w:t>-</w:t>
      </w:r>
      <w:r w:rsidRPr="001B6C67">
        <w:rPr>
          <w:rtl/>
        </w:rPr>
        <w:tab/>
        <w:t>وستُستخدَم ست مجموعات من المؤشرات لتقييم نجاح الاستراتيجية الوطنية. وتشمل هذه المجموعات من المؤشرات ما يلي</w:t>
      </w:r>
      <w:r w:rsidRPr="001B6C67">
        <w:t xml:space="preserve">: </w:t>
      </w:r>
      <w:r w:rsidRPr="001B6C67">
        <w:rPr>
          <w:rtl/>
        </w:rPr>
        <w:t>(</w:t>
      </w:r>
      <w:r w:rsidRPr="00AF3116">
        <w:rPr>
          <w:rtl/>
        </w:rPr>
        <w:t>1</w:t>
      </w:r>
      <w:r w:rsidRPr="001B6C67">
        <w:rPr>
          <w:rtl/>
        </w:rPr>
        <w:t>) رفاه الشعب والمجتمع التايلنديين، (</w:t>
      </w:r>
      <w:r w:rsidRPr="00AF3116">
        <w:rPr>
          <w:rtl/>
        </w:rPr>
        <w:t>2</w:t>
      </w:r>
      <w:r w:rsidRPr="001B6C67">
        <w:rPr>
          <w:rtl/>
        </w:rPr>
        <w:t xml:space="preserve">) القدرة التنافسية الوطنية، </w:t>
      </w:r>
      <w:r w:rsidRPr="001B6C67">
        <w:rPr>
          <w:rtl/>
        </w:rPr>
        <w:lastRenderedPageBreak/>
        <w:t>والنمو الاقتصادي، وتوزيع الدخل، (</w:t>
      </w:r>
      <w:r w:rsidRPr="00AF3116">
        <w:rPr>
          <w:rtl/>
        </w:rPr>
        <w:t>3</w:t>
      </w:r>
      <w:r w:rsidRPr="001B6C67">
        <w:rPr>
          <w:rtl/>
        </w:rPr>
        <w:t>) تنمية رأس المال البشري، (</w:t>
      </w:r>
      <w:r w:rsidRPr="00AF3116">
        <w:rPr>
          <w:rtl/>
        </w:rPr>
        <w:t>4</w:t>
      </w:r>
      <w:r w:rsidRPr="001B6C67">
        <w:rPr>
          <w:rtl/>
        </w:rPr>
        <w:t>) المساواة الاجتماعية والإنصاف، (</w:t>
      </w:r>
      <w:r w:rsidRPr="00AF3116">
        <w:rPr>
          <w:rtl/>
        </w:rPr>
        <w:t>5</w:t>
      </w:r>
      <w:r w:rsidRPr="001B6C67">
        <w:rPr>
          <w:rtl/>
        </w:rPr>
        <w:t>) استدامة التنوع البيولوجي الوطني، و</w:t>
      </w:r>
      <w:r>
        <w:rPr>
          <w:rtl/>
        </w:rPr>
        <w:t>ال</w:t>
      </w:r>
      <w:r w:rsidRPr="001B6C67">
        <w:rPr>
          <w:rtl/>
        </w:rPr>
        <w:t>نوعية البيئ</w:t>
      </w:r>
      <w:r>
        <w:rPr>
          <w:rtl/>
        </w:rPr>
        <w:t>ي</w:t>
      </w:r>
      <w:r w:rsidRPr="001B6C67">
        <w:rPr>
          <w:rtl/>
        </w:rPr>
        <w:t>ة والموارد الطبيعية، (</w:t>
      </w:r>
      <w:r w:rsidRPr="00AF3116">
        <w:rPr>
          <w:rtl/>
        </w:rPr>
        <w:t>6</w:t>
      </w:r>
      <w:r w:rsidRPr="001B6C67">
        <w:rPr>
          <w:rtl/>
        </w:rPr>
        <w:t>) كفاءة الحكومة وتحسين فرص الحصول على الخدمات العامة.</w:t>
      </w:r>
      <w:bookmarkEnd w:id="21"/>
    </w:p>
    <w:p w14:paraId="4A1F48C8" w14:textId="08F38349" w:rsidR="00DE3D9F" w:rsidRPr="001B6C67" w:rsidRDefault="00DE3D9F" w:rsidP="00DE3D9F">
      <w:pPr>
        <w:pStyle w:val="SingleTxtGA"/>
        <w:rPr>
          <w:lang w:val="ar-SA" w:eastAsia="zh-TW" w:bidi="en-GB"/>
        </w:rPr>
      </w:pPr>
      <w:bookmarkStart w:id="22" w:name="_Ref45066037"/>
      <w:r w:rsidRPr="00AF3116">
        <w:rPr>
          <w:rtl/>
        </w:rPr>
        <w:t>87</w:t>
      </w:r>
      <w:r w:rsidRPr="001B6C67">
        <w:rPr>
          <w:rtl/>
        </w:rPr>
        <w:t>-</w:t>
      </w:r>
      <w:r w:rsidRPr="001B6C67">
        <w:rPr>
          <w:rtl/>
        </w:rPr>
        <w:tab/>
        <w:t>وتركز التنمية الوطنية خلال الإطار الزمني للاستراتيجية على تحقيق توازن مناسب بين التنمية الاجتماعية والاقتصادية والإشراف البيئي. والاستراتيجيات الرئيسية الست هي :(</w:t>
      </w:r>
      <w:r w:rsidRPr="00AF3116">
        <w:rPr>
          <w:rtl/>
        </w:rPr>
        <w:t>1</w:t>
      </w:r>
      <w:r w:rsidRPr="001B6C67">
        <w:rPr>
          <w:rtl/>
        </w:rPr>
        <w:t>) الأمن الوطني، (</w:t>
      </w:r>
      <w:r w:rsidRPr="00AF3116">
        <w:rPr>
          <w:rtl/>
        </w:rPr>
        <w:t>2</w:t>
      </w:r>
      <w:r w:rsidRPr="001B6C67">
        <w:rPr>
          <w:rtl/>
        </w:rPr>
        <w:t>)</w:t>
      </w:r>
      <w:r w:rsidR="00146491">
        <w:rPr>
          <w:rFonts w:hint="cs"/>
          <w:rtl/>
        </w:rPr>
        <w:t> </w:t>
      </w:r>
      <w:r w:rsidRPr="001B6C67">
        <w:rPr>
          <w:rtl/>
        </w:rPr>
        <w:t>تعزيز القدرة التنافسية الوطنية، (</w:t>
      </w:r>
      <w:r w:rsidRPr="00AF3116">
        <w:rPr>
          <w:rtl/>
        </w:rPr>
        <w:t>3</w:t>
      </w:r>
      <w:r w:rsidRPr="001B6C67">
        <w:rPr>
          <w:rtl/>
        </w:rPr>
        <w:t>) تنمية رأس المال البشري وتعزيزه، (</w:t>
      </w:r>
      <w:r w:rsidRPr="00AF3116">
        <w:rPr>
          <w:rtl/>
        </w:rPr>
        <w:t>4</w:t>
      </w:r>
      <w:r w:rsidRPr="001B6C67">
        <w:rPr>
          <w:rtl/>
        </w:rPr>
        <w:t>) التماسك الاجتماعي والمجتمع العادل، (</w:t>
      </w:r>
      <w:r w:rsidRPr="00AF3116">
        <w:rPr>
          <w:rtl/>
        </w:rPr>
        <w:t>5</w:t>
      </w:r>
      <w:r w:rsidRPr="001B6C67">
        <w:rPr>
          <w:rtl/>
        </w:rPr>
        <w:t>) التنمية والنمو الرفيقان بالبيئة، (</w:t>
      </w:r>
      <w:r w:rsidRPr="00AF3116">
        <w:rPr>
          <w:rtl/>
        </w:rPr>
        <w:t>6</w:t>
      </w:r>
      <w:r w:rsidRPr="001B6C67">
        <w:rPr>
          <w:rtl/>
        </w:rPr>
        <w:t>) إعادة التوازن والتنمية في القطاع العام.</w:t>
      </w:r>
      <w:bookmarkEnd w:id="22"/>
    </w:p>
    <w:p w14:paraId="2D380D01" w14:textId="77777777" w:rsidR="00DE3D9F" w:rsidRPr="003568E6" w:rsidRDefault="00DE3D9F" w:rsidP="00883EBA">
      <w:pPr>
        <w:pStyle w:val="H23GA"/>
        <w:rPr>
          <w:rtl/>
          <w:lang w:val="en-US" w:eastAsia="zh-TW"/>
        </w:rPr>
      </w:pPr>
      <w:r w:rsidRPr="001B6C67">
        <w:rPr>
          <w:rtl/>
        </w:rPr>
        <w:tab/>
      </w:r>
      <w:r w:rsidRPr="001B6C67">
        <w:rPr>
          <w:rtl/>
        </w:rPr>
        <w:tab/>
      </w:r>
      <w:r w:rsidRPr="00AF3116">
        <w:rPr>
          <w:rtl/>
        </w:rPr>
        <w:t>خطط الإصلاح الوطنية</w:t>
      </w:r>
    </w:p>
    <w:p w14:paraId="5A57B754" w14:textId="44D18858" w:rsidR="00DE3D9F" w:rsidRPr="001B6C67" w:rsidRDefault="00DE3D9F" w:rsidP="00DE3D9F">
      <w:pPr>
        <w:pStyle w:val="SingleTxtGA"/>
        <w:rPr>
          <w:lang w:val="ar-SA" w:eastAsia="zh-TW" w:bidi="en-GB"/>
        </w:rPr>
      </w:pPr>
      <w:r w:rsidRPr="00AF3116">
        <w:rPr>
          <w:rtl/>
        </w:rPr>
        <w:t>88</w:t>
      </w:r>
      <w:r w:rsidRPr="001B6C67">
        <w:rPr>
          <w:rtl/>
        </w:rPr>
        <w:t>-</w:t>
      </w:r>
      <w:r w:rsidRPr="001B6C67">
        <w:rPr>
          <w:rtl/>
        </w:rPr>
        <w:tab/>
        <w:t xml:space="preserve">شجع دستور عام </w:t>
      </w:r>
      <w:r w:rsidRPr="00AF3116">
        <w:rPr>
          <w:rtl/>
        </w:rPr>
        <w:t>2017</w:t>
      </w:r>
      <w:r w:rsidRPr="001B6C67">
        <w:rPr>
          <w:rtl/>
        </w:rPr>
        <w:t xml:space="preserve"> على إصدار خطط إصلاح وطنية تغطي </w:t>
      </w:r>
      <w:r w:rsidRPr="00AF3116">
        <w:rPr>
          <w:rtl/>
        </w:rPr>
        <w:t>11</w:t>
      </w:r>
      <w:r w:rsidRPr="001B6C67">
        <w:rPr>
          <w:rtl/>
        </w:rPr>
        <w:t xml:space="preserve"> مجالاً، بما في ذلك السياسة والإدارة العامة والقوانين ونظام العدالة والاقتصاد والموارد الطبيعية والبيئة والصحة العامة ووسائل الإعلام وتكنولوجيا المعلومات والقضايا الاجتماعية والطاقة ومكافحة الفساد. وتوفر الخطط مبادئ توجيهية للبلد للمضي قدماً بما يتماشى مع جدول أعمال "تايلاند </w:t>
      </w:r>
      <w:r w:rsidRPr="00AF3116">
        <w:rPr>
          <w:rtl/>
        </w:rPr>
        <w:t>4</w:t>
      </w:r>
      <w:r w:rsidR="0060722E" w:rsidRPr="00AF3116">
        <w:rPr>
          <w:rFonts w:hint="cs"/>
          <w:rtl/>
        </w:rPr>
        <w:t>,</w:t>
      </w:r>
      <w:r w:rsidRPr="00AF3116">
        <w:rPr>
          <w:rtl/>
        </w:rPr>
        <w:t>0</w:t>
      </w:r>
      <w:r w:rsidRPr="001B6C67">
        <w:rPr>
          <w:rtl/>
        </w:rPr>
        <w:t xml:space="preserve">" الذي يحركه الابتكار وخطة التنمية المستدامة لعام </w:t>
      </w:r>
      <w:r w:rsidRPr="00AF3116">
        <w:rPr>
          <w:rtl/>
        </w:rPr>
        <w:t>2030</w:t>
      </w:r>
      <w:r w:rsidRPr="001B6C67">
        <w:rPr>
          <w:rtl/>
        </w:rPr>
        <w:t>. و</w:t>
      </w:r>
      <w:r>
        <w:rPr>
          <w:rtl/>
        </w:rPr>
        <w:t>الوكالات الحكومية</w:t>
      </w:r>
      <w:r w:rsidRPr="001B6C67">
        <w:rPr>
          <w:rtl/>
        </w:rPr>
        <w:t xml:space="preserve"> ملزمة قانوناً </w:t>
      </w:r>
      <w:r>
        <w:rPr>
          <w:rtl/>
        </w:rPr>
        <w:t>بتنفيذ الخطط</w:t>
      </w:r>
      <w:r w:rsidRPr="001B6C67">
        <w:rPr>
          <w:rtl/>
        </w:rPr>
        <w:t xml:space="preserve">. </w:t>
      </w:r>
    </w:p>
    <w:p w14:paraId="7220F4CB" w14:textId="77777777" w:rsidR="00DE3D9F" w:rsidRPr="001B6C67" w:rsidRDefault="00DE3D9F" w:rsidP="00DE3D9F">
      <w:pPr>
        <w:pStyle w:val="SingleTxtGA"/>
        <w:rPr>
          <w:lang w:val="ar-SA" w:eastAsia="zh-TW" w:bidi="en-GB"/>
        </w:rPr>
      </w:pPr>
      <w:r w:rsidRPr="00AF3116">
        <w:rPr>
          <w:rtl/>
        </w:rPr>
        <w:t>89</w:t>
      </w:r>
      <w:r w:rsidRPr="001B6C67">
        <w:rPr>
          <w:rtl/>
        </w:rPr>
        <w:t>-</w:t>
      </w:r>
      <w:r w:rsidRPr="001B6C67">
        <w:rPr>
          <w:rtl/>
        </w:rPr>
        <w:tab/>
        <w:t>وتناولت خطط الإصلاح الوطني</w:t>
      </w:r>
      <w:r>
        <w:rPr>
          <w:rtl/>
        </w:rPr>
        <w:t>ة</w:t>
      </w:r>
      <w:r w:rsidRPr="001B6C67">
        <w:rPr>
          <w:rtl/>
        </w:rPr>
        <w:t xml:space="preserve"> طائفة واسعة من قضايا حقوق الإنسان. فعلى سبيل المثال، تركز خطة الإصلاح الوطنية بشأن القضايا الاجتماعية على إزالة الحواجز والعقبات التي تعترض الفئات المحرومة من جميع الجوانب من أجل تحقيق الإدماج الاجتماعي. وتشمل الفئات المستهدفة الأطفال والنساء </w:t>
      </w:r>
      <w:r>
        <w:rPr>
          <w:rtl/>
        </w:rPr>
        <w:t>والأشخاص ذوي الإعاقة</w:t>
      </w:r>
      <w:r w:rsidRPr="001B6C67">
        <w:rPr>
          <w:rtl/>
        </w:rPr>
        <w:t xml:space="preserve"> والمسنين وذوي الدخل المنخفض والأشخاص العاجزين والأشخاص الذين لا يحملون جنسية أو ليس لديهم وضع قانوني بموجب قانون التسجيل المدني والسجناء السابقين والأشخاص المصابين بفيروس نقص المناعة البشرية/الإيدز.</w:t>
      </w:r>
    </w:p>
    <w:p w14:paraId="755C036F" w14:textId="77777777" w:rsidR="00DE3D9F" w:rsidRPr="001B6C67" w:rsidRDefault="00DE3D9F" w:rsidP="00883EBA">
      <w:pPr>
        <w:pStyle w:val="H23GA"/>
        <w:rPr>
          <w:lang w:val="ar-SA" w:eastAsia="zh-TW" w:bidi="en-GB"/>
        </w:rPr>
      </w:pPr>
      <w:r w:rsidRPr="001B6C67">
        <w:rPr>
          <w:rtl/>
        </w:rPr>
        <w:tab/>
      </w:r>
      <w:r w:rsidRPr="001B6C67">
        <w:rPr>
          <w:rtl/>
        </w:rPr>
        <w:tab/>
      </w:r>
      <w:r w:rsidRPr="00AF3116">
        <w:rPr>
          <w:rtl/>
        </w:rPr>
        <w:t>الخطة الوطنية للتنمية الاقتصادية والاجتماعية</w:t>
      </w:r>
    </w:p>
    <w:p w14:paraId="65FCA48B" w14:textId="77777777" w:rsidR="00DE3D9F" w:rsidRPr="001B6C67" w:rsidRDefault="00DE3D9F" w:rsidP="00DE3D9F">
      <w:pPr>
        <w:pStyle w:val="SingleTxtGA"/>
        <w:rPr>
          <w:lang w:val="ar-SA" w:eastAsia="zh-TW" w:bidi="en-GB"/>
        </w:rPr>
      </w:pPr>
      <w:r w:rsidRPr="00AF3116">
        <w:rPr>
          <w:rtl/>
        </w:rPr>
        <w:t>90</w:t>
      </w:r>
      <w:r w:rsidRPr="001B6C67">
        <w:rPr>
          <w:rtl/>
        </w:rPr>
        <w:t>-</w:t>
      </w:r>
      <w:r w:rsidRPr="001B6C67">
        <w:rPr>
          <w:rtl/>
        </w:rPr>
        <w:tab/>
        <w:t>تسترشد تنمية البلد في المقام الأول بسلسلة من الخطط الوطنية الخمسية للتنمية الاقتصادية والاجتماعية، التي اعت</w:t>
      </w:r>
      <w:r>
        <w:rPr>
          <w:rtl/>
        </w:rPr>
        <w:t>ُ</w:t>
      </w:r>
      <w:r w:rsidRPr="001B6C67">
        <w:rPr>
          <w:rtl/>
        </w:rPr>
        <w:t>م</w:t>
      </w:r>
      <w:r>
        <w:rPr>
          <w:rtl/>
        </w:rPr>
        <w:t>ِ</w:t>
      </w:r>
      <w:r w:rsidRPr="001B6C67">
        <w:rPr>
          <w:rtl/>
        </w:rPr>
        <w:t>د</w:t>
      </w:r>
      <w:r>
        <w:rPr>
          <w:rtl/>
        </w:rPr>
        <w:t>َ</w:t>
      </w:r>
      <w:r w:rsidRPr="001B6C67">
        <w:rPr>
          <w:rtl/>
        </w:rPr>
        <w:t xml:space="preserve">ت لأول مرة في عام </w:t>
      </w:r>
      <w:r w:rsidRPr="00AF3116">
        <w:rPr>
          <w:rtl/>
        </w:rPr>
        <w:t>1961</w:t>
      </w:r>
      <w:r w:rsidRPr="001B6C67">
        <w:rPr>
          <w:rtl/>
        </w:rPr>
        <w:t>. والخطة الحالية هي الخطة الوطنية الثانية عشرة للتنمية الاقتصادية والاجتماعية (</w:t>
      </w:r>
      <w:r w:rsidRPr="00AF3116">
        <w:rPr>
          <w:rtl/>
        </w:rPr>
        <w:t>2017</w:t>
      </w:r>
      <w:r w:rsidRPr="001B6C67">
        <w:rPr>
          <w:rtl/>
        </w:rPr>
        <w:t>-</w:t>
      </w:r>
      <w:r w:rsidRPr="00AF3116">
        <w:rPr>
          <w:rtl/>
        </w:rPr>
        <w:t>2021</w:t>
      </w:r>
      <w:r w:rsidRPr="001B6C67">
        <w:rPr>
          <w:rtl/>
        </w:rPr>
        <w:t>).</w:t>
      </w:r>
    </w:p>
    <w:p w14:paraId="28416601" w14:textId="77777777" w:rsidR="00DE3D9F" w:rsidRPr="00883EBA" w:rsidRDefault="00DE3D9F" w:rsidP="00DE3D9F">
      <w:pPr>
        <w:pStyle w:val="SingleTxtGA"/>
        <w:rPr>
          <w:spacing w:val="-4"/>
          <w:lang w:val="ar-SA" w:eastAsia="zh-TW" w:bidi="en-GB"/>
        </w:rPr>
      </w:pPr>
      <w:r w:rsidRPr="00AF3116">
        <w:rPr>
          <w:rtl/>
        </w:rPr>
        <w:t>91</w:t>
      </w:r>
      <w:r w:rsidRPr="001B6C67">
        <w:rPr>
          <w:rtl/>
        </w:rPr>
        <w:t>-</w:t>
      </w:r>
      <w:r w:rsidRPr="001B6C67">
        <w:rPr>
          <w:rtl/>
        </w:rPr>
        <w:tab/>
      </w:r>
      <w:r w:rsidRPr="00883EBA">
        <w:rPr>
          <w:spacing w:val="-4"/>
          <w:rtl/>
        </w:rPr>
        <w:t xml:space="preserve">وقد اعتمدت الأهداف الإنمائية للخطة على مدى السنوات الخمس القادمة، التي ترتبط بشكل تراكمي بالاستراتيجية الوطنية لفترة </w:t>
      </w:r>
      <w:r w:rsidRPr="00AF3116">
        <w:rPr>
          <w:spacing w:val="-4"/>
          <w:rtl/>
        </w:rPr>
        <w:t>20</w:t>
      </w:r>
      <w:r w:rsidRPr="00883EBA">
        <w:rPr>
          <w:spacing w:val="-4"/>
          <w:rtl/>
        </w:rPr>
        <w:t xml:space="preserve"> عاماً (انظر الفقرات </w:t>
      </w:r>
      <w:r w:rsidRPr="00AF3116">
        <w:rPr>
          <w:spacing w:val="-4"/>
          <w:rtl/>
        </w:rPr>
        <w:t>85</w:t>
      </w:r>
      <w:r w:rsidRPr="00883EBA">
        <w:rPr>
          <w:spacing w:val="-4"/>
          <w:rtl/>
        </w:rPr>
        <w:t>-</w:t>
      </w:r>
      <w:r w:rsidRPr="00AF3116">
        <w:rPr>
          <w:spacing w:val="-4"/>
          <w:rtl/>
        </w:rPr>
        <w:t>87</w:t>
      </w:r>
      <w:r w:rsidRPr="00883EBA">
        <w:rPr>
          <w:spacing w:val="-4"/>
          <w:rtl/>
        </w:rPr>
        <w:t>)، المبادئ/التوجيهات الأساسية التالية:</w:t>
      </w:r>
    </w:p>
    <w:p w14:paraId="6FF2F15A" w14:textId="77777777" w:rsidR="00DE3D9F" w:rsidRPr="001B6C67" w:rsidRDefault="00DE3D9F" w:rsidP="00883EBA">
      <w:pPr>
        <w:pStyle w:val="SingleTxtGA"/>
        <w:ind w:left="2608" w:hanging="680"/>
        <w:rPr>
          <w:lang w:val="ar-SA" w:eastAsia="zh-TW" w:bidi="en-GB"/>
        </w:rPr>
      </w:pPr>
      <w:r w:rsidRPr="00AF3116">
        <w:rPr>
          <w:rtl/>
        </w:rPr>
        <w:t>1</w:t>
      </w:r>
      <w:r w:rsidRPr="001B6C67">
        <w:rPr>
          <w:rtl/>
        </w:rPr>
        <w:t>-</w:t>
      </w:r>
      <w:r w:rsidRPr="001B6C67">
        <w:rPr>
          <w:rtl/>
        </w:rPr>
        <w:tab/>
        <w:t xml:space="preserve">تستند الخطة الثانية عشرة إلى مبادئ "فلسفة اقتصاد الاكتفاء"، التي كانت أساساً حيوياً منذ الخطة التاسعة. </w:t>
      </w:r>
      <w:r>
        <w:rPr>
          <w:rtl/>
        </w:rPr>
        <w:t>وتشجع هذه</w:t>
      </w:r>
      <w:r w:rsidRPr="001B6C67">
        <w:rPr>
          <w:rtl/>
        </w:rPr>
        <w:t xml:space="preserve"> الفلسفة التنمية المتوازنة من خلال تبني مفاهيم الاعتدال، والمعقولية، والمرونة أو إدارة المخاطر.</w:t>
      </w:r>
    </w:p>
    <w:p w14:paraId="5622045A" w14:textId="77777777" w:rsidR="00DE3D9F" w:rsidRPr="001B6C67" w:rsidRDefault="00DE3D9F" w:rsidP="00883EBA">
      <w:pPr>
        <w:pStyle w:val="SingleTxtGA"/>
        <w:ind w:left="2608" w:hanging="680"/>
        <w:rPr>
          <w:lang w:val="ar-SA" w:eastAsia="zh-TW" w:bidi="en-GB"/>
        </w:rPr>
      </w:pPr>
      <w:r w:rsidRPr="00AF3116">
        <w:rPr>
          <w:rtl/>
        </w:rPr>
        <w:t>2</w:t>
      </w:r>
      <w:r w:rsidRPr="001B6C67">
        <w:rPr>
          <w:rtl/>
        </w:rPr>
        <w:t>-</w:t>
      </w:r>
      <w:r w:rsidRPr="001B6C67">
        <w:rPr>
          <w:rtl/>
        </w:rPr>
        <w:tab/>
        <w:t xml:space="preserve">تسعى "التنمية التي تركز على الناس" إلى إيجاد نوعية حياة وظروف صحية مستدامة للتايلانديين. وتهدف إلى تهيئة مواطنين جيدين منضبطين ومتقبلين للتعلم وذوي معارف ومهارة وإبداع. وينبغي أيضاً أن يكون لديهم موقف جيد ومسؤولية اجتماعية وأخلاق وأخلاقيات. والناس من جميع الأعمار مهيؤون ومستعدة جيداً لمجتمع شائخ. ويمكنهم أن يعيشوا </w:t>
      </w:r>
      <w:r>
        <w:rPr>
          <w:rtl/>
        </w:rPr>
        <w:t>في</w:t>
      </w:r>
      <w:r w:rsidRPr="001B6C67">
        <w:rPr>
          <w:rtl/>
        </w:rPr>
        <w:t xml:space="preserve"> بيئتهم وأن يستغلوها بطريقة منسجمة، وأن يحافظوا على الموارد الطبيعية ويعيدوا تأهيلها؛</w:t>
      </w:r>
    </w:p>
    <w:p w14:paraId="720DD7DE" w14:textId="77777777" w:rsidR="00DE3D9F" w:rsidRPr="001B6C67" w:rsidRDefault="00DE3D9F" w:rsidP="00883EBA">
      <w:pPr>
        <w:pStyle w:val="SingleTxtGA"/>
        <w:ind w:left="2608" w:hanging="680"/>
        <w:rPr>
          <w:lang w:val="ar-SA" w:eastAsia="zh-TW" w:bidi="en-GB"/>
        </w:rPr>
      </w:pPr>
      <w:r w:rsidRPr="00AF3116">
        <w:rPr>
          <w:rtl/>
        </w:rPr>
        <w:lastRenderedPageBreak/>
        <w:t>3</w:t>
      </w:r>
      <w:r w:rsidRPr="001B6C67">
        <w:rPr>
          <w:rtl/>
        </w:rPr>
        <w:t>-</w:t>
      </w:r>
      <w:r w:rsidRPr="001B6C67">
        <w:rPr>
          <w:rtl/>
        </w:rPr>
        <w:tab/>
        <w:t xml:space="preserve">تتمثل رؤية الاستراتيجية الوطنية لفترة </w:t>
      </w:r>
      <w:r w:rsidRPr="00AF3116">
        <w:rPr>
          <w:rtl/>
        </w:rPr>
        <w:t>20</w:t>
      </w:r>
      <w:r w:rsidRPr="001B6C67">
        <w:rPr>
          <w:rtl/>
        </w:rPr>
        <w:t xml:space="preserve"> عاماً في "تايلند كبلد متقدم النمو ينعم بالأمن والرخاء والاستدامة وفقاً لمبادئ فلسفة اقتصاد الاكتفاء". وهي، إلى جانب الشعار الوطني "الأمن والرخاء والاستدامة"، إطار تقوم عليه الخطة الثانية عشرة؛</w:t>
      </w:r>
    </w:p>
    <w:p w14:paraId="181F646D" w14:textId="77777777" w:rsidR="00DE3D9F" w:rsidRPr="001B6C67" w:rsidRDefault="00DE3D9F" w:rsidP="00883EBA">
      <w:pPr>
        <w:pStyle w:val="SingleTxtGA"/>
        <w:ind w:left="2608" w:hanging="680"/>
        <w:rPr>
          <w:lang w:val="ar-SA" w:eastAsia="zh-TW" w:bidi="en-GB"/>
        </w:rPr>
      </w:pPr>
      <w:r w:rsidRPr="00AF3116">
        <w:rPr>
          <w:rtl/>
        </w:rPr>
        <w:t>4</w:t>
      </w:r>
      <w:r w:rsidRPr="001B6C67">
        <w:rPr>
          <w:rtl/>
        </w:rPr>
        <w:t>-</w:t>
      </w:r>
      <w:r w:rsidRPr="001B6C67">
        <w:rPr>
          <w:rtl/>
        </w:rPr>
        <w:tab/>
      </w:r>
      <w:r w:rsidRPr="0060722E">
        <w:rPr>
          <w:rFonts w:ascii="Simplified Arabic" w:hAnsi="Simplified Arabic"/>
        </w:rPr>
        <w:t>"</w:t>
      </w:r>
      <w:r w:rsidRPr="0060722E">
        <w:rPr>
          <w:rFonts w:ascii="Simplified Arabic" w:hAnsi="Simplified Arabic"/>
          <w:rtl/>
        </w:rPr>
        <w:t>أ</w:t>
      </w:r>
      <w:r w:rsidRPr="001B6C67">
        <w:rPr>
          <w:rtl/>
        </w:rPr>
        <w:t xml:space="preserve">هداف تايلند في عام </w:t>
      </w:r>
      <w:r w:rsidRPr="00AF3116">
        <w:rPr>
          <w:rtl/>
        </w:rPr>
        <w:t>2036</w:t>
      </w:r>
      <w:r w:rsidRPr="001B6C67">
        <w:rPr>
          <w:rtl/>
        </w:rPr>
        <w:t xml:space="preserve">" هي أهداف الاستراتيجية الوطنية لفترة </w:t>
      </w:r>
      <w:r w:rsidRPr="00AF3116">
        <w:rPr>
          <w:rtl/>
        </w:rPr>
        <w:t>20</w:t>
      </w:r>
      <w:r w:rsidRPr="001B6C67">
        <w:rPr>
          <w:rtl/>
        </w:rPr>
        <w:t xml:space="preserve"> عاماً وتُستخدَم كمعيار لتحديد الأهداف الرئيسية والثانوية للسنوات الخمس الأولى. وتتسق كل الأهداف والمؤشرات مع خطة التنمية المستدامة لعام </w:t>
      </w:r>
      <w:r w:rsidRPr="00AF3116">
        <w:rPr>
          <w:rtl/>
        </w:rPr>
        <w:t>2030</w:t>
      </w:r>
      <w:r w:rsidRPr="001B6C67">
        <w:rPr>
          <w:rtl/>
        </w:rPr>
        <w:t xml:space="preserve">، وقد استُمِدت من تقييم للقضايا الرئيسية الموجودة في التنمية وأنماط التنمية وطبيعة واتجاهات قطاعي الإنتاج والخدمات الرئيسيين في تايلند؛ </w:t>
      </w:r>
    </w:p>
    <w:p w14:paraId="075C57FB" w14:textId="77777777" w:rsidR="00DE3D9F" w:rsidRPr="001B6C67" w:rsidRDefault="00DE3D9F" w:rsidP="00883EBA">
      <w:pPr>
        <w:pStyle w:val="SingleTxtGA"/>
        <w:ind w:left="2608" w:hanging="680"/>
        <w:rPr>
          <w:lang w:val="ar-SA" w:eastAsia="zh-TW" w:bidi="en-GB"/>
        </w:rPr>
      </w:pPr>
      <w:r w:rsidRPr="00AF3116">
        <w:rPr>
          <w:rtl/>
        </w:rPr>
        <w:t>5</w:t>
      </w:r>
      <w:r w:rsidRPr="001B6C67">
        <w:rPr>
          <w:rtl/>
        </w:rPr>
        <w:t>-</w:t>
      </w:r>
      <w:r w:rsidRPr="001B6C67">
        <w:rPr>
          <w:rtl/>
        </w:rPr>
        <w:tab/>
        <w:t xml:space="preserve">وتشجع الخطة الثانية عشرة على "شكل من أشكال النمو الاقتصادي يسهم في الحد من عدم المساواة ويعزز مستوى أعلى من الإنتاجية على أساس الحكمة والابتكار المحليين". وتركز الخطة على النمو الشامل لتوسيع نطاق فئة الطبقة المتوسطة من السكان. وهي تحدد هدفاً يتمثل في زيادة الفرص الاقتصادية والفرص الاجتماعية ومداخيل نسبة الـ </w:t>
      </w:r>
      <w:r w:rsidRPr="00AF3116">
        <w:rPr>
          <w:rtl/>
        </w:rPr>
        <w:t>40</w:t>
      </w:r>
      <w:r w:rsidRPr="001B6C67">
        <w:rPr>
          <w:rtl/>
        </w:rPr>
        <w:t xml:space="preserve"> في المائة من السكان ذوي الدخل الأدنى؛ </w:t>
      </w:r>
    </w:p>
    <w:p w14:paraId="7CA7FC5D" w14:textId="77777777" w:rsidR="00DE3D9F" w:rsidRPr="001B6C67" w:rsidRDefault="00DE3D9F" w:rsidP="00883EBA">
      <w:pPr>
        <w:pStyle w:val="SingleTxtGA"/>
        <w:ind w:left="2608" w:hanging="680"/>
        <w:rPr>
          <w:lang w:val="ar-SA" w:eastAsia="zh-TW" w:bidi="en-GB"/>
        </w:rPr>
      </w:pPr>
      <w:r w:rsidRPr="00AF3116">
        <w:rPr>
          <w:rtl/>
        </w:rPr>
        <w:t>6</w:t>
      </w:r>
      <w:r w:rsidRPr="001B6C67">
        <w:rPr>
          <w:rtl/>
        </w:rPr>
        <w:t>-</w:t>
      </w:r>
      <w:r w:rsidRPr="001B6C67">
        <w:rPr>
          <w:rtl/>
        </w:rPr>
        <w:tab/>
        <w:t xml:space="preserve">والخطة الثانية عشرة "ستُفعَّل من أجل تحقيق أهداف التنمية الطويلة الاجل". والخطة هي الآلية التي تربط الاتجاهات والأهداف الإنمائية للاستراتيجية الوطنية لفترة </w:t>
      </w:r>
      <w:r w:rsidRPr="00AF3116">
        <w:rPr>
          <w:rtl/>
        </w:rPr>
        <w:t>20</w:t>
      </w:r>
      <w:r w:rsidRPr="001B6C67">
        <w:rPr>
          <w:rtl/>
        </w:rPr>
        <w:t xml:space="preserve"> عاماً وتشرف عليها وتأخذها لتنفيذها على جميع المستويات، وتشمل جميع الجوانب، بطريقة منسجمة؛ </w:t>
      </w:r>
    </w:p>
    <w:p w14:paraId="5389873A" w14:textId="6A784D47" w:rsidR="00DE3D9F" w:rsidRPr="001B6C67" w:rsidRDefault="00DE3D9F" w:rsidP="00883EBA">
      <w:pPr>
        <w:pStyle w:val="SingleTxtGA"/>
        <w:ind w:left="2608" w:hanging="680"/>
        <w:rPr>
          <w:lang w:val="ar-SA" w:eastAsia="zh-TW" w:bidi="en-GB"/>
        </w:rPr>
      </w:pPr>
      <w:r w:rsidRPr="00AF3116">
        <w:rPr>
          <w:rtl/>
        </w:rPr>
        <w:t>7</w:t>
      </w:r>
      <w:r w:rsidRPr="001B6C67">
        <w:rPr>
          <w:rtl/>
        </w:rPr>
        <w:t>-</w:t>
      </w:r>
      <w:r w:rsidRPr="001B6C67">
        <w:rPr>
          <w:rtl/>
        </w:rPr>
        <w:tab/>
        <w:t>وتحدد الخطة الثانية عشرة أيضاً القضايا الإنمائية ذات الأولوية العالية التي تتطلب التنفيذ المتكامل، وتحدد البرامج والمشاريع التي تتوافق بشكل فعال مع الأهداف الإنمائية</w:t>
      </w:r>
      <w:r>
        <w:rPr>
          <w:rtl/>
        </w:rPr>
        <w:t>،</w:t>
      </w:r>
      <w:r w:rsidRPr="001B6C67">
        <w:rPr>
          <w:rtl/>
        </w:rPr>
        <w:t xml:space="preserve"> وتحدد أهدافاً ومؤشرات تغطي </w:t>
      </w:r>
      <w:r>
        <w:rPr>
          <w:rtl/>
        </w:rPr>
        <w:t>مدى</w:t>
      </w:r>
      <w:r w:rsidRPr="001B6C67">
        <w:rPr>
          <w:rtl/>
        </w:rPr>
        <w:t xml:space="preserve"> ونطاقاً أوسع من القضايا غير تلك المبينة في الخطط الوطنية السابقة للتنمية الاقتصادية والاجتماعية. ويضع تحديد الأهداف في الاعتبار عوامل كثيرة، بما في ذلك الانسجام مع أهداف الاستراتيجية الوطنية الطويلة الأجل لفترة </w:t>
      </w:r>
      <w:r w:rsidRPr="00AF3116">
        <w:rPr>
          <w:rtl/>
        </w:rPr>
        <w:t>20</w:t>
      </w:r>
      <w:r w:rsidRPr="001B6C67">
        <w:rPr>
          <w:rtl/>
        </w:rPr>
        <w:t xml:space="preserve"> عاماً، التي توفر هيكلاً لتحديد أهداف ومؤشرات ثانوية يتعين ممارستها في إطار الميزانية؛ ورصد وتقييم القطاع العام من حي</w:t>
      </w:r>
      <w:r w:rsidR="00F9604D">
        <w:rPr>
          <w:rFonts w:hint="cs"/>
          <w:rtl/>
        </w:rPr>
        <w:t>ث</w:t>
      </w:r>
      <w:r w:rsidRPr="001B6C67">
        <w:rPr>
          <w:rtl/>
        </w:rPr>
        <w:t xml:space="preserve"> إنفاقه وأدا</w:t>
      </w:r>
      <w:r>
        <w:rPr>
          <w:rtl/>
        </w:rPr>
        <w:t>ؤ</w:t>
      </w:r>
      <w:r w:rsidRPr="001B6C67">
        <w:rPr>
          <w:rtl/>
        </w:rPr>
        <w:t xml:space="preserve">ه وتطوره، وهي عناصر ينبغي أن تكون متسقة </w:t>
      </w:r>
      <w:r w:rsidR="002A2227">
        <w:rPr>
          <w:rFonts w:hint="cs"/>
          <w:rtl/>
        </w:rPr>
        <w:t>مع</w:t>
      </w:r>
      <w:r w:rsidRPr="001B6C67">
        <w:rPr>
          <w:rtl/>
        </w:rPr>
        <w:t xml:space="preserve"> بعضها البعض وأن يعزز بعضها بع</w:t>
      </w:r>
      <w:r w:rsidR="00483D61">
        <w:rPr>
          <w:rFonts w:hint="cs"/>
          <w:rtl/>
        </w:rPr>
        <w:t>ض</w:t>
      </w:r>
      <w:r w:rsidRPr="001B6C67">
        <w:rPr>
          <w:rtl/>
        </w:rPr>
        <w:t>اً.</w:t>
      </w:r>
    </w:p>
    <w:p w14:paraId="5E159742" w14:textId="77777777" w:rsidR="00DE3D9F" w:rsidRPr="001B6C67" w:rsidRDefault="00DE3D9F" w:rsidP="00883EBA">
      <w:pPr>
        <w:pStyle w:val="H23GA"/>
        <w:rPr>
          <w:lang w:val="ar-SA" w:eastAsia="zh-TW" w:bidi="en-GB"/>
        </w:rPr>
      </w:pPr>
      <w:r w:rsidRPr="001B6C67">
        <w:rPr>
          <w:rtl/>
        </w:rPr>
        <w:tab/>
      </w:r>
      <w:r w:rsidRPr="001B6C67">
        <w:rPr>
          <w:rtl/>
        </w:rPr>
        <w:tab/>
      </w:r>
      <w:r w:rsidRPr="00AF3116">
        <w:rPr>
          <w:rtl/>
        </w:rPr>
        <w:t>جدول الأعمال الوطني لحقوق الإنسان</w:t>
      </w:r>
    </w:p>
    <w:p w14:paraId="7D589AFC" w14:textId="3AAC79F5" w:rsidR="00DE3D9F" w:rsidRPr="001B6C67" w:rsidRDefault="00DE3D9F" w:rsidP="00DE3D9F">
      <w:pPr>
        <w:pStyle w:val="SingleTxtGA"/>
        <w:rPr>
          <w:lang w:val="ar-SA" w:eastAsia="zh-TW" w:bidi="en-GB"/>
        </w:rPr>
      </w:pPr>
      <w:r w:rsidRPr="00AF3116">
        <w:rPr>
          <w:rtl/>
        </w:rPr>
        <w:t>92</w:t>
      </w:r>
      <w:r w:rsidRPr="001B6C67">
        <w:rPr>
          <w:rtl/>
        </w:rPr>
        <w:t>-</w:t>
      </w:r>
      <w:r w:rsidRPr="001B6C67">
        <w:rPr>
          <w:rtl/>
        </w:rPr>
        <w:tab/>
        <w:t xml:space="preserve">لتعميم حقوق الإنسان في جميع سياساتها، صنفت الحكومة حقوق الإنسان </w:t>
      </w:r>
      <w:r>
        <w:rPr>
          <w:rtl/>
        </w:rPr>
        <w:t>كجدول أعمال</w:t>
      </w:r>
      <w:r w:rsidRPr="001B6C67">
        <w:rPr>
          <w:rtl/>
        </w:rPr>
        <w:t xml:space="preserve"> وطني لأول مرة لعامي </w:t>
      </w:r>
      <w:r w:rsidRPr="00AF3116">
        <w:rPr>
          <w:rtl/>
        </w:rPr>
        <w:t>2018</w:t>
      </w:r>
      <w:r w:rsidRPr="001B6C67">
        <w:rPr>
          <w:rtl/>
        </w:rPr>
        <w:t xml:space="preserve"> و</w:t>
      </w:r>
      <w:r w:rsidRPr="00AF3116">
        <w:rPr>
          <w:rtl/>
        </w:rPr>
        <w:t>2019</w:t>
      </w:r>
      <w:r w:rsidRPr="001B6C67">
        <w:rPr>
          <w:rtl/>
        </w:rPr>
        <w:t xml:space="preserve">، وربطتها بسياسة "تايلاند </w:t>
      </w:r>
      <w:r w:rsidR="00146491" w:rsidRPr="00AF3116">
        <w:rPr>
          <w:rtl/>
        </w:rPr>
        <w:t>4</w:t>
      </w:r>
      <w:r w:rsidR="00146491">
        <w:rPr>
          <w:rtl/>
        </w:rPr>
        <w:t>,</w:t>
      </w:r>
      <w:r w:rsidR="00146491" w:rsidRPr="00AF3116">
        <w:rPr>
          <w:rtl/>
        </w:rPr>
        <w:t>0</w:t>
      </w:r>
      <w:r w:rsidRPr="001B6C67">
        <w:rPr>
          <w:rtl/>
        </w:rPr>
        <w:t>" التي يحركها الابتكار و</w:t>
      </w:r>
      <w:r>
        <w:rPr>
          <w:rtl/>
        </w:rPr>
        <w:t>ب</w:t>
      </w:r>
      <w:r w:rsidRPr="001B6C67">
        <w:rPr>
          <w:rtl/>
        </w:rPr>
        <w:t xml:space="preserve">جهودها </w:t>
      </w:r>
      <w:r>
        <w:rPr>
          <w:rtl/>
        </w:rPr>
        <w:t>ا</w:t>
      </w:r>
      <w:r w:rsidRPr="001B6C67">
        <w:rPr>
          <w:rtl/>
        </w:rPr>
        <w:t>ل</w:t>
      </w:r>
      <w:r>
        <w:rPr>
          <w:rtl/>
        </w:rPr>
        <w:t xml:space="preserve">رامية إلى </w:t>
      </w:r>
      <w:r w:rsidRPr="001B6C67">
        <w:rPr>
          <w:rtl/>
        </w:rPr>
        <w:t xml:space="preserve">تحقيق التنمية المستدامة. </w:t>
      </w:r>
    </w:p>
    <w:p w14:paraId="4B3EB7D9" w14:textId="37F4EDDD" w:rsidR="00DE3D9F" w:rsidRPr="00483D61" w:rsidRDefault="00DE3D9F" w:rsidP="00DE3D9F">
      <w:pPr>
        <w:pStyle w:val="SingleTxtGA"/>
        <w:rPr>
          <w:lang w:val="en-US" w:eastAsia="zh-TW" w:bidi="en-GB"/>
        </w:rPr>
      </w:pPr>
      <w:r w:rsidRPr="00AF3116">
        <w:rPr>
          <w:rtl/>
        </w:rPr>
        <w:t>93</w:t>
      </w:r>
      <w:r w:rsidRPr="001B6C67">
        <w:rPr>
          <w:rtl/>
        </w:rPr>
        <w:t>-</w:t>
      </w:r>
      <w:r w:rsidRPr="001B6C67">
        <w:rPr>
          <w:rtl/>
        </w:rPr>
        <w:tab/>
        <w:t>ويفك جدول الأعمال شفرة إطار سياسة "</w:t>
      </w:r>
      <w:r w:rsidRPr="00AF3116">
        <w:rPr>
          <w:rtl/>
        </w:rPr>
        <w:t>4</w:t>
      </w:r>
      <w:r w:rsidRPr="001B6C67">
        <w:rPr>
          <w:rtl/>
        </w:rPr>
        <w:t>+</w:t>
      </w:r>
      <w:r w:rsidRPr="00AF3116">
        <w:rPr>
          <w:rtl/>
        </w:rPr>
        <w:t>3</w:t>
      </w:r>
      <w:r w:rsidRPr="001B6C67">
        <w:rPr>
          <w:rtl/>
        </w:rPr>
        <w:t>+</w:t>
      </w:r>
      <w:r w:rsidRPr="00AF3116">
        <w:rPr>
          <w:rtl/>
        </w:rPr>
        <w:t>2</w:t>
      </w:r>
      <w:r w:rsidRPr="001B6C67">
        <w:rPr>
          <w:rtl/>
        </w:rPr>
        <w:t>+</w:t>
      </w:r>
      <w:r w:rsidRPr="00AF3116">
        <w:rPr>
          <w:rtl/>
        </w:rPr>
        <w:t>1</w:t>
      </w:r>
      <w:r w:rsidRPr="001B6C67">
        <w:rPr>
          <w:rtl/>
        </w:rPr>
        <w:t>=الهدف"، أي "أربع" سياسات لإيجاد بيئة مواتية، و"ثلاث" لتحسين نظام حقوق الإنسان القائم في البلاد، و"اثنتان" لدفع المؤسسات والخطط إلى تعزيز العمل في مجال حقوق الإنسان، و"واحدة" للحد من مشكلة انتهاكات حقوق الإنسان، و"الهدف"، وهو مفتاح مجتمع سل</w:t>
      </w:r>
      <w:r w:rsidR="00F9604D">
        <w:rPr>
          <w:rFonts w:hint="cs"/>
          <w:rtl/>
        </w:rPr>
        <w:t>مي</w:t>
      </w:r>
      <w:r w:rsidRPr="001B6C67">
        <w:rPr>
          <w:rtl/>
        </w:rPr>
        <w:t xml:space="preserve">. </w:t>
      </w:r>
    </w:p>
    <w:p w14:paraId="401FD4E0" w14:textId="34BEEDCD" w:rsidR="00DE3D9F" w:rsidRPr="001B6C67" w:rsidRDefault="00DE3D9F" w:rsidP="00DE3D9F">
      <w:pPr>
        <w:pStyle w:val="SingleTxtGA"/>
        <w:rPr>
          <w:lang w:val="ar-SA" w:eastAsia="zh-TW" w:bidi="en-GB"/>
        </w:rPr>
      </w:pPr>
      <w:r w:rsidRPr="00AF3116">
        <w:rPr>
          <w:rtl/>
        </w:rPr>
        <w:t>94</w:t>
      </w:r>
      <w:r w:rsidRPr="001B6C67">
        <w:rPr>
          <w:rtl/>
        </w:rPr>
        <w:t>-</w:t>
      </w:r>
      <w:r w:rsidRPr="001B6C67">
        <w:rPr>
          <w:rtl/>
        </w:rPr>
        <w:tab/>
        <w:t xml:space="preserve">وأنشأت الحكومة اللجنة الوطنية لحقوق الإنسان منذ كانون الأول/ديسمبر </w:t>
      </w:r>
      <w:r w:rsidRPr="00AF3116">
        <w:rPr>
          <w:rtl/>
        </w:rPr>
        <w:t>2018</w:t>
      </w:r>
      <w:r w:rsidRPr="001B6C67">
        <w:rPr>
          <w:rtl/>
        </w:rPr>
        <w:t>. واللجنة، التي يرأسها نائب رئيس الوزراء ووزير العد</w:t>
      </w:r>
      <w:r w:rsidR="00F9604D">
        <w:rPr>
          <w:rFonts w:hint="cs"/>
          <w:rtl/>
        </w:rPr>
        <w:t>ل</w:t>
      </w:r>
      <w:r w:rsidRPr="001B6C67">
        <w:rPr>
          <w:rtl/>
        </w:rPr>
        <w:t xml:space="preserve"> وتضم وكالات حكومية وممثلين عن المجتمع المدني كأعضاء </w:t>
      </w:r>
      <w:r w:rsidRPr="001B6C67">
        <w:rPr>
          <w:rtl/>
        </w:rPr>
        <w:lastRenderedPageBreak/>
        <w:t>في</w:t>
      </w:r>
      <w:r>
        <w:rPr>
          <w:rtl/>
        </w:rPr>
        <w:t>ها</w:t>
      </w:r>
      <w:r w:rsidRPr="001B6C67">
        <w:rPr>
          <w:rtl/>
        </w:rPr>
        <w:t>، مكلفة بدفع جدول الأعمال الوطني لحقوق الإنسان والخطة الوطنية لحقوق الإنسان وغير ذلك من المسائل ذات الصلة إلى الأمام بطريقة ش</w:t>
      </w:r>
      <w:r w:rsidR="00E61563">
        <w:rPr>
          <w:rFonts w:hint="cs"/>
          <w:rtl/>
        </w:rPr>
        <w:t>املة</w:t>
      </w:r>
      <w:r w:rsidRPr="001B6C67">
        <w:rPr>
          <w:rtl/>
        </w:rPr>
        <w:t xml:space="preserve"> ومتكاملة.</w:t>
      </w:r>
    </w:p>
    <w:p w14:paraId="2036756F" w14:textId="77777777" w:rsidR="00DE3D9F" w:rsidRPr="001B6C67" w:rsidRDefault="00DE3D9F" w:rsidP="00DE3D9F">
      <w:pPr>
        <w:pStyle w:val="SingleTxtGA"/>
        <w:rPr>
          <w:lang w:val="ar-SA" w:eastAsia="zh-TW" w:bidi="en-GB"/>
        </w:rPr>
      </w:pPr>
      <w:r w:rsidRPr="00AF3116">
        <w:rPr>
          <w:rtl/>
        </w:rPr>
        <w:t>95</w:t>
      </w:r>
      <w:r w:rsidRPr="001B6C67">
        <w:rPr>
          <w:rtl/>
        </w:rPr>
        <w:t>-</w:t>
      </w:r>
      <w:r w:rsidRPr="001B6C67">
        <w:rPr>
          <w:rtl/>
        </w:rPr>
        <w:tab/>
        <w:t>ووفقاً لجدول الأعمال الوطني المذكور، ترى تايلند أن حقوق الإنسان هي مفتاح تحقيق أهداف التنمية المستدامة، وضمان عدم تخلف أي أحد عن الركب، ولا سيما الفئات الأكثر ضعفاً. وتشدد تايلند على أوجه التكامل والروابط التي يعزز بعضها بعضاً بين حقوق الإنسان وأهداف التنمية المستدامة في كلا الاتجاهين.</w:t>
      </w:r>
    </w:p>
    <w:p w14:paraId="6443F7EB" w14:textId="5D518778" w:rsidR="00DE3D9F" w:rsidRPr="001B6C67" w:rsidRDefault="00DE3D9F" w:rsidP="00DE3D9F">
      <w:pPr>
        <w:pStyle w:val="SingleTxtGA"/>
        <w:rPr>
          <w:lang w:val="ar-SA" w:eastAsia="zh-TW" w:bidi="en-GB"/>
        </w:rPr>
      </w:pPr>
      <w:r w:rsidRPr="00AF3116">
        <w:rPr>
          <w:rtl/>
        </w:rPr>
        <w:t>96</w:t>
      </w:r>
      <w:r w:rsidRPr="001B6C67">
        <w:rPr>
          <w:rtl/>
        </w:rPr>
        <w:t>-</w:t>
      </w:r>
      <w:r w:rsidRPr="001B6C67">
        <w:rPr>
          <w:rtl/>
        </w:rPr>
        <w:tab/>
        <w:t>وتعمل وزارة العدل حالياً على تجديد جدول الأعمال الوطني لحقوق الإنسان، مبدئياً لعامي</w:t>
      </w:r>
      <w:r w:rsidR="00883EBA">
        <w:rPr>
          <w:rFonts w:hint="cs"/>
          <w:rtl/>
        </w:rPr>
        <w:t> </w:t>
      </w:r>
      <w:r w:rsidRPr="00AF3116">
        <w:rPr>
          <w:rtl/>
        </w:rPr>
        <w:t>2021</w:t>
      </w:r>
      <w:r w:rsidRPr="001B6C67">
        <w:rPr>
          <w:rtl/>
        </w:rPr>
        <w:t xml:space="preserve"> و</w:t>
      </w:r>
      <w:r w:rsidRPr="00AF3116">
        <w:rPr>
          <w:rtl/>
        </w:rPr>
        <w:t>2022</w:t>
      </w:r>
      <w:r w:rsidRPr="001B6C67">
        <w:rPr>
          <w:rtl/>
        </w:rPr>
        <w:t>.</w:t>
      </w:r>
    </w:p>
    <w:p w14:paraId="1E8ACEFC" w14:textId="77777777" w:rsidR="00DE3D9F" w:rsidRPr="001B6C67" w:rsidRDefault="00DE3D9F" w:rsidP="00883EBA">
      <w:pPr>
        <w:pStyle w:val="H23GA"/>
        <w:rPr>
          <w:lang w:val="ar-SA" w:eastAsia="zh-TW" w:bidi="en-GB"/>
        </w:rPr>
      </w:pPr>
      <w:r w:rsidRPr="001B6C67">
        <w:rPr>
          <w:rtl/>
        </w:rPr>
        <w:tab/>
      </w:r>
      <w:r w:rsidRPr="001B6C67">
        <w:rPr>
          <w:rtl/>
        </w:rPr>
        <w:tab/>
      </w:r>
      <w:r w:rsidRPr="00AF3116">
        <w:rPr>
          <w:rtl/>
        </w:rPr>
        <w:t>الخطة الوطنية لحقوق الإنسان</w:t>
      </w:r>
    </w:p>
    <w:p w14:paraId="4E336081" w14:textId="77777777" w:rsidR="00DE3D9F" w:rsidRPr="001B6C67" w:rsidRDefault="00DE3D9F" w:rsidP="00DE3D9F">
      <w:pPr>
        <w:pStyle w:val="SingleTxtGA"/>
        <w:rPr>
          <w:lang w:val="ar-SA" w:eastAsia="zh-TW" w:bidi="en-GB"/>
        </w:rPr>
      </w:pPr>
      <w:r w:rsidRPr="00AF3116">
        <w:rPr>
          <w:rtl/>
        </w:rPr>
        <w:t>97</w:t>
      </w:r>
      <w:r w:rsidRPr="001B6C67">
        <w:rPr>
          <w:rtl/>
        </w:rPr>
        <w:t>-</w:t>
      </w:r>
      <w:r w:rsidRPr="001B6C67">
        <w:rPr>
          <w:rtl/>
        </w:rPr>
        <w:tab/>
        <w:t xml:space="preserve">مع اكتمال الخطة </w:t>
      </w:r>
      <w:r w:rsidRPr="00AF3116">
        <w:rPr>
          <w:rtl/>
        </w:rPr>
        <w:t>الوطنية الثالثة لحقوق</w:t>
      </w:r>
      <w:r w:rsidRPr="001B6C67">
        <w:rPr>
          <w:rtl/>
        </w:rPr>
        <w:t xml:space="preserve"> الإنسان (</w:t>
      </w:r>
      <w:r w:rsidRPr="00AF3116">
        <w:rPr>
          <w:rtl/>
        </w:rPr>
        <w:t>2014</w:t>
      </w:r>
      <w:r w:rsidRPr="001B6C67">
        <w:rPr>
          <w:rtl/>
        </w:rPr>
        <w:t>-</w:t>
      </w:r>
      <w:r w:rsidRPr="00AF3116">
        <w:rPr>
          <w:rtl/>
        </w:rPr>
        <w:t>2018</w:t>
      </w:r>
      <w:r w:rsidRPr="001B6C67">
        <w:rPr>
          <w:rtl/>
        </w:rPr>
        <w:t>)، أجرت وزارة العدل، بوصفها جهة التنسيق، تقييماً لتنفيذ الخطة وعملت على الخطة الوطنية الرابعة لحقوق الإنسان (</w:t>
      </w:r>
      <w:r w:rsidRPr="00AF3116">
        <w:rPr>
          <w:rtl/>
        </w:rPr>
        <w:t>2019</w:t>
      </w:r>
      <w:r w:rsidRPr="001B6C67">
        <w:rPr>
          <w:rtl/>
        </w:rPr>
        <w:t>-</w:t>
      </w:r>
      <w:r w:rsidRPr="00AF3116">
        <w:rPr>
          <w:rtl/>
        </w:rPr>
        <w:t>2023</w:t>
      </w:r>
      <w:r w:rsidRPr="001B6C67">
        <w:rPr>
          <w:rtl/>
        </w:rPr>
        <w:t xml:space="preserve">). وخضعت الخطة الرابعة لمجموعة من المشاورات العامة، ونقحتها الوكالات ذات الصلة ونظرت فيها وأقرها مجلس الوزراء في </w:t>
      </w:r>
      <w:r w:rsidRPr="00AF3116">
        <w:rPr>
          <w:rtl/>
        </w:rPr>
        <w:t>30</w:t>
      </w:r>
      <w:r w:rsidRPr="001B6C67">
        <w:rPr>
          <w:rtl/>
        </w:rPr>
        <w:t xml:space="preserve"> حزيران/يونيه </w:t>
      </w:r>
      <w:r w:rsidRPr="00AF3116">
        <w:rPr>
          <w:rtl/>
        </w:rPr>
        <w:t>2020</w:t>
      </w:r>
      <w:r w:rsidRPr="001B6C67">
        <w:rPr>
          <w:rtl/>
        </w:rPr>
        <w:t xml:space="preserve">. </w:t>
      </w:r>
    </w:p>
    <w:p w14:paraId="240A0F3B" w14:textId="77777777" w:rsidR="00DE3D9F" w:rsidRPr="001B6C67" w:rsidRDefault="00DE3D9F" w:rsidP="00DE3D9F">
      <w:pPr>
        <w:pStyle w:val="SingleTxtGA"/>
        <w:rPr>
          <w:lang w:val="ar-SA" w:eastAsia="zh-TW" w:bidi="en-GB"/>
        </w:rPr>
      </w:pPr>
      <w:r w:rsidRPr="00AF3116">
        <w:rPr>
          <w:rtl/>
        </w:rPr>
        <w:t>98</w:t>
      </w:r>
      <w:r w:rsidRPr="001B6C67">
        <w:rPr>
          <w:rtl/>
        </w:rPr>
        <w:t>-</w:t>
      </w:r>
      <w:r w:rsidRPr="001B6C67">
        <w:rPr>
          <w:rtl/>
        </w:rPr>
        <w:tab/>
        <w:t xml:space="preserve">وتتناول العناصر الرئيسية للخطة الرابعة القضايا الجارية التي تفضي إلى إطار عمل مقترح ينقسم إلى </w:t>
      </w:r>
      <w:r w:rsidRPr="00AF3116">
        <w:rPr>
          <w:rtl/>
        </w:rPr>
        <w:t>22</w:t>
      </w:r>
      <w:r w:rsidRPr="001B6C67">
        <w:rPr>
          <w:rtl/>
        </w:rPr>
        <w:t xml:space="preserve"> خطة فرعية قائمة على </w:t>
      </w:r>
      <w:r w:rsidRPr="00AF3116">
        <w:rPr>
          <w:rtl/>
        </w:rPr>
        <w:t>10</w:t>
      </w:r>
      <w:r w:rsidRPr="001B6C67">
        <w:rPr>
          <w:rtl/>
        </w:rPr>
        <w:t xml:space="preserve"> قضايا مواضيعية و</w:t>
      </w:r>
      <w:r w:rsidRPr="00AF3116">
        <w:rPr>
          <w:rtl/>
        </w:rPr>
        <w:t>12</w:t>
      </w:r>
      <w:r w:rsidRPr="001B6C67">
        <w:rPr>
          <w:rtl/>
        </w:rPr>
        <w:t xml:space="preserve"> فئة ضعيفة</w:t>
      </w:r>
      <w:r w:rsidRPr="001B6C67">
        <w:t>:</w:t>
      </w:r>
      <w:r w:rsidRPr="001B6C67">
        <w:rPr>
          <w:rtl/>
        </w:rPr>
        <w:t xml:space="preserve"> </w:t>
      </w:r>
    </w:p>
    <w:p w14:paraId="30F70029" w14:textId="44544D7E" w:rsidR="00DE3D9F" w:rsidRPr="001B6C67" w:rsidRDefault="00DE3D9F" w:rsidP="00883EBA">
      <w:pPr>
        <w:pStyle w:val="SingleTxtGA"/>
        <w:numPr>
          <w:ilvl w:val="0"/>
          <w:numId w:val="30"/>
        </w:numPr>
        <w:tabs>
          <w:tab w:val="clear" w:pos="1928"/>
        </w:tabs>
        <w:rPr>
          <w:lang w:val="ar-SA" w:eastAsia="zh-TW" w:bidi="en-GB"/>
        </w:rPr>
      </w:pPr>
      <w:r w:rsidRPr="001B6C67">
        <w:rPr>
          <w:rtl/>
        </w:rPr>
        <w:t>تشمل الخطط العشر القائمة على القضايا خططاً بشأن (</w:t>
      </w:r>
      <w:r w:rsidRPr="00AF3116">
        <w:rPr>
          <w:rtl/>
        </w:rPr>
        <w:t>1</w:t>
      </w:r>
      <w:r w:rsidRPr="001B6C67">
        <w:rPr>
          <w:rtl/>
        </w:rPr>
        <w:t>) الصحة العامة، (</w:t>
      </w:r>
      <w:r w:rsidRPr="00AF3116">
        <w:rPr>
          <w:rtl/>
        </w:rPr>
        <w:t>2</w:t>
      </w:r>
      <w:r w:rsidRPr="001B6C67">
        <w:rPr>
          <w:rtl/>
        </w:rPr>
        <w:t>) التعليم، (</w:t>
      </w:r>
      <w:r w:rsidRPr="00AF3116">
        <w:rPr>
          <w:rtl/>
        </w:rPr>
        <w:t>3</w:t>
      </w:r>
      <w:r w:rsidRPr="001B6C67">
        <w:rPr>
          <w:rtl/>
        </w:rPr>
        <w:t>)</w:t>
      </w:r>
      <w:r w:rsidR="00D55C97">
        <w:rPr>
          <w:rFonts w:hint="cs"/>
          <w:rtl/>
        </w:rPr>
        <w:t> </w:t>
      </w:r>
      <w:r w:rsidRPr="001B6C67">
        <w:rPr>
          <w:rtl/>
        </w:rPr>
        <w:t>الموارد الطبيعية والبيئة، (</w:t>
      </w:r>
      <w:r w:rsidRPr="00AF3116">
        <w:rPr>
          <w:rtl/>
        </w:rPr>
        <w:t>4</w:t>
      </w:r>
      <w:r w:rsidRPr="001B6C67">
        <w:rPr>
          <w:rtl/>
        </w:rPr>
        <w:t>) الإسكان، (</w:t>
      </w:r>
      <w:r w:rsidRPr="00AF3116">
        <w:rPr>
          <w:rtl/>
        </w:rPr>
        <w:t>5</w:t>
      </w:r>
      <w:r w:rsidRPr="001B6C67">
        <w:rPr>
          <w:rtl/>
        </w:rPr>
        <w:t>) النقل، (</w:t>
      </w:r>
      <w:r w:rsidRPr="00AF3116">
        <w:rPr>
          <w:rtl/>
        </w:rPr>
        <w:t>6</w:t>
      </w:r>
      <w:r w:rsidRPr="001B6C67">
        <w:rPr>
          <w:rtl/>
        </w:rPr>
        <w:t>) الحقوق الاقتصادية والمتعلقة بالأعمال التجارية، (</w:t>
      </w:r>
      <w:r w:rsidRPr="00AF3116">
        <w:rPr>
          <w:rtl/>
        </w:rPr>
        <w:t>7</w:t>
      </w:r>
      <w:r w:rsidRPr="001B6C67">
        <w:rPr>
          <w:rtl/>
        </w:rPr>
        <w:t>) الحقوق المدنية والسياسية والأمنية، (</w:t>
      </w:r>
      <w:r w:rsidRPr="00AF3116">
        <w:rPr>
          <w:rtl/>
        </w:rPr>
        <w:t>8</w:t>
      </w:r>
      <w:r w:rsidRPr="001B6C67">
        <w:rPr>
          <w:rtl/>
        </w:rPr>
        <w:t>) الحقوق المجتمعية والثقافية والدينية، (</w:t>
      </w:r>
      <w:r w:rsidRPr="00AF3116">
        <w:rPr>
          <w:rtl/>
        </w:rPr>
        <w:t>9</w:t>
      </w:r>
      <w:r w:rsidRPr="001B6C67">
        <w:rPr>
          <w:rtl/>
        </w:rPr>
        <w:t>) البيانات والمعلومات وتكنولوجيا المعلومات (</w:t>
      </w:r>
      <w:r w:rsidRPr="00AF3116">
        <w:rPr>
          <w:rtl/>
        </w:rPr>
        <w:t>10</w:t>
      </w:r>
      <w:r w:rsidRPr="001B6C67">
        <w:rPr>
          <w:rtl/>
        </w:rPr>
        <w:t>) العملية القضائية؛</w:t>
      </w:r>
    </w:p>
    <w:p w14:paraId="0ECDE171" w14:textId="015CDDE0" w:rsidR="00DE3D9F" w:rsidRPr="001B6C67" w:rsidRDefault="00DE3D9F" w:rsidP="00883EBA">
      <w:pPr>
        <w:pStyle w:val="SingleTxtGA"/>
        <w:numPr>
          <w:ilvl w:val="0"/>
          <w:numId w:val="30"/>
        </w:numPr>
        <w:tabs>
          <w:tab w:val="clear" w:pos="1928"/>
        </w:tabs>
        <w:rPr>
          <w:lang w:val="ar-SA" w:eastAsia="zh-TW" w:bidi="en-GB"/>
        </w:rPr>
      </w:pPr>
      <w:r w:rsidRPr="001B6C67">
        <w:rPr>
          <w:rtl/>
        </w:rPr>
        <w:t xml:space="preserve">تشمل </w:t>
      </w:r>
      <w:r w:rsidRPr="00AF3116">
        <w:rPr>
          <w:rtl/>
        </w:rPr>
        <w:t>الخطط الاثنتا عشرة القائمة على الفئات</w:t>
      </w:r>
      <w:r w:rsidRPr="001B6C67">
        <w:rPr>
          <w:rtl/>
        </w:rPr>
        <w:t xml:space="preserve"> خططا بشأن (</w:t>
      </w:r>
      <w:r w:rsidRPr="00AF3116">
        <w:rPr>
          <w:rtl/>
        </w:rPr>
        <w:t>1</w:t>
      </w:r>
      <w:r w:rsidRPr="001B6C67">
        <w:rPr>
          <w:rtl/>
        </w:rPr>
        <w:t>) الأطفال والشباب، (</w:t>
      </w:r>
      <w:r w:rsidRPr="00AF3116">
        <w:rPr>
          <w:rtl/>
        </w:rPr>
        <w:t>2</w:t>
      </w:r>
      <w:r w:rsidRPr="001B6C67">
        <w:rPr>
          <w:rtl/>
        </w:rPr>
        <w:t>)</w:t>
      </w:r>
      <w:r w:rsidR="00D55C97">
        <w:rPr>
          <w:rFonts w:hint="cs"/>
          <w:rtl/>
        </w:rPr>
        <w:t> </w:t>
      </w:r>
      <w:r w:rsidRPr="001B6C67">
        <w:rPr>
          <w:rtl/>
        </w:rPr>
        <w:t>المسنين، (</w:t>
      </w:r>
      <w:r w:rsidRPr="00AF3116">
        <w:rPr>
          <w:rtl/>
        </w:rPr>
        <w:t>3</w:t>
      </w:r>
      <w:r w:rsidRPr="001B6C67">
        <w:rPr>
          <w:rtl/>
        </w:rPr>
        <w:t>) النساء، (</w:t>
      </w:r>
      <w:r w:rsidRPr="00AF3116">
        <w:rPr>
          <w:rtl/>
        </w:rPr>
        <w:t>4</w:t>
      </w:r>
      <w:r w:rsidRPr="001B6C67">
        <w:rPr>
          <w:rtl/>
        </w:rPr>
        <w:t>) الأشخاص ذوي الإعاقة، (</w:t>
      </w:r>
      <w:r w:rsidRPr="00AF3116">
        <w:rPr>
          <w:rtl/>
        </w:rPr>
        <w:t>5</w:t>
      </w:r>
      <w:r w:rsidRPr="001B6C67">
        <w:rPr>
          <w:rtl/>
        </w:rPr>
        <w:t>) المزارعين والعمال، (</w:t>
      </w:r>
      <w:r w:rsidRPr="00AF3116">
        <w:rPr>
          <w:rtl/>
        </w:rPr>
        <w:t>6</w:t>
      </w:r>
      <w:r w:rsidRPr="001B6C67">
        <w:rPr>
          <w:rtl/>
        </w:rPr>
        <w:t>) المرضى، بمن فيهم المصابون بفيروس نقص المناعة البشرية/الإيدز ومدمن</w:t>
      </w:r>
      <w:r>
        <w:rPr>
          <w:rtl/>
        </w:rPr>
        <w:t>و</w:t>
      </w:r>
      <w:r w:rsidRPr="001B6C67">
        <w:rPr>
          <w:rtl/>
        </w:rPr>
        <w:t xml:space="preserve"> المخدرات، (</w:t>
      </w:r>
      <w:r w:rsidRPr="00AF3116">
        <w:rPr>
          <w:rtl/>
        </w:rPr>
        <w:t>7</w:t>
      </w:r>
      <w:r w:rsidRPr="001B6C67">
        <w:rPr>
          <w:rtl/>
        </w:rPr>
        <w:t>) المجموعات الإثنية وعديمي الجنسية وطالبي اللجوء، (</w:t>
      </w:r>
      <w:r w:rsidRPr="00AF3116">
        <w:rPr>
          <w:rtl/>
        </w:rPr>
        <w:t>8</w:t>
      </w:r>
      <w:r w:rsidRPr="001B6C67">
        <w:rPr>
          <w:rtl/>
        </w:rPr>
        <w:t xml:space="preserve">) </w:t>
      </w:r>
      <w:proofErr w:type="spellStart"/>
      <w:r w:rsidRPr="001B6C67">
        <w:rPr>
          <w:rtl/>
        </w:rPr>
        <w:t>المثليات</w:t>
      </w:r>
      <w:proofErr w:type="spellEnd"/>
      <w:r w:rsidRPr="001B6C67">
        <w:rPr>
          <w:rtl/>
        </w:rPr>
        <w:t xml:space="preserve"> والمثليين ومزدوجي الميل الجنسي ومغايري الهوية الجنسانية، (</w:t>
      </w:r>
      <w:r w:rsidRPr="00AF3116">
        <w:rPr>
          <w:rtl/>
        </w:rPr>
        <w:t>9</w:t>
      </w:r>
      <w:r w:rsidRPr="001B6C67">
        <w:rPr>
          <w:rtl/>
        </w:rPr>
        <w:t>) المدافعين عن حقوق الإنسان، (</w:t>
      </w:r>
      <w:r w:rsidRPr="00AF3116">
        <w:rPr>
          <w:rtl/>
        </w:rPr>
        <w:t>10</w:t>
      </w:r>
      <w:r w:rsidRPr="001B6C67">
        <w:rPr>
          <w:rtl/>
        </w:rPr>
        <w:t>) نزلاء السجون، بمن فيهم المتهمون والمجرمون المزعومون والسجناء، (</w:t>
      </w:r>
      <w:r w:rsidRPr="00AF3116">
        <w:rPr>
          <w:rtl/>
        </w:rPr>
        <w:t>11</w:t>
      </w:r>
      <w:r w:rsidRPr="001B6C67">
        <w:rPr>
          <w:rtl/>
        </w:rPr>
        <w:t>) نزلاء السجون السابقين والأشخاص الذين قضوا مدة عقوبتهم (</w:t>
      </w:r>
      <w:r w:rsidRPr="00AF3116">
        <w:rPr>
          <w:rtl/>
        </w:rPr>
        <w:t>12</w:t>
      </w:r>
      <w:r w:rsidRPr="001B6C67">
        <w:rPr>
          <w:rtl/>
        </w:rPr>
        <w:t>) الأشخاص والضحايا المصابين، بمن فيهم ضحايا الجريمة والاتجار بالبشر</w:t>
      </w:r>
      <w:r>
        <w:rPr>
          <w:rtl/>
        </w:rPr>
        <w:t xml:space="preserve"> </w:t>
      </w:r>
      <w:r w:rsidRPr="001B6C67">
        <w:rPr>
          <w:rtl/>
        </w:rPr>
        <w:t>وانتهاكات حقوق الإنسان والعنف المنزلي، وما إلى ذلك، والشهود.</w:t>
      </w:r>
    </w:p>
    <w:p w14:paraId="0B4E568A" w14:textId="77777777" w:rsidR="00DE3D9F" w:rsidRPr="001B6C67" w:rsidRDefault="00DE3D9F" w:rsidP="00883EBA">
      <w:pPr>
        <w:pStyle w:val="H23GA"/>
        <w:rPr>
          <w:lang w:val="ar-SA" w:eastAsia="zh-TW" w:bidi="en-GB"/>
        </w:rPr>
      </w:pPr>
      <w:r w:rsidRPr="001B6C67">
        <w:rPr>
          <w:rtl/>
        </w:rPr>
        <w:tab/>
      </w:r>
      <w:r w:rsidRPr="001B6C67">
        <w:rPr>
          <w:rtl/>
        </w:rPr>
        <w:tab/>
      </w:r>
      <w:r w:rsidRPr="00AF3116">
        <w:rPr>
          <w:rtl/>
        </w:rPr>
        <w:t>الحق في الحياة</w:t>
      </w:r>
    </w:p>
    <w:p w14:paraId="575A9F3C" w14:textId="77777777" w:rsidR="00DE3D9F" w:rsidRPr="001B6C67" w:rsidRDefault="00DE3D9F" w:rsidP="00DE3D9F">
      <w:pPr>
        <w:pStyle w:val="SingleTxtGA"/>
        <w:rPr>
          <w:lang w:val="ar-SA" w:eastAsia="zh-TW" w:bidi="en-GB"/>
        </w:rPr>
      </w:pPr>
      <w:bookmarkStart w:id="23" w:name="_Ref43992964"/>
      <w:r w:rsidRPr="00AF3116">
        <w:rPr>
          <w:rtl/>
        </w:rPr>
        <w:t>99</w:t>
      </w:r>
      <w:r w:rsidRPr="001B6C67">
        <w:rPr>
          <w:rtl/>
        </w:rPr>
        <w:t>-</w:t>
      </w:r>
      <w:r w:rsidRPr="001B6C67">
        <w:rPr>
          <w:rtl/>
        </w:rPr>
        <w:tab/>
        <w:t xml:space="preserve">الحرمان التعسفي من الحياة جريمة بموجب القانون التايلندي، مثل المواد </w:t>
      </w:r>
      <w:r w:rsidRPr="00AF3116">
        <w:rPr>
          <w:rtl/>
        </w:rPr>
        <w:t>288</w:t>
      </w:r>
      <w:r w:rsidRPr="001B6C67">
        <w:rPr>
          <w:rtl/>
        </w:rPr>
        <w:t xml:space="preserve"> (القتل العمد) و</w:t>
      </w:r>
      <w:r w:rsidRPr="00AF3116">
        <w:rPr>
          <w:rtl/>
        </w:rPr>
        <w:t>289</w:t>
      </w:r>
      <w:r w:rsidRPr="001B6C67">
        <w:rPr>
          <w:rtl/>
        </w:rPr>
        <w:t xml:space="preserve"> (القتل العمد المقترن بظروف مشددة) و</w:t>
      </w:r>
      <w:r w:rsidRPr="00AF3116">
        <w:rPr>
          <w:rtl/>
        </w:rPr>
        <w:t>290</w:t>
      </w:r>
      <w:r w:rsidRPr="001B6C67">
        <w:rPr>
          <w:rtl/>
        </w:rPr>
        <w:t xml:space="preserve"> (الاعتداء المؤدي إلى الوفاة) و</w:t>
      </w:r>
      <w:r w:rsidRPr="00AF3116">
        <w:rPr>
          <w:rtl/>
        </w:rPr>
        <w:t>291</w:t>
      </w:r>
      <w:r w:rsidRPr="001B6C67">
        <w:rPr>
          <w:rtl/>
        </w:rPr>
        <w:t xml:space="preserve"> (القتل بسبب الإهمال) من قانون العقوبات.</w:t>
      </w:r>
      <w:bookmarkEnd w:id="23"/>
    </w:p>
    <w:p w14:paraId="4A9B95FD" w14:textId="5CE778B6" w:rsidR="00DE3D9F" w:rsidRPr="001B6C67" w:rsidRDefault="00DE3D9F" w:rsidP="00DE3D9F">
      <w:pPr>
        <w:pStyle w:val="SingleTxtGA"/>
        <w:rPr>
          <w:lang w:val="ar-SA" w:eastAsia="zh-TW" w:bidi="en-GB"/>
        </w:rPr>
      </w:pPr>
      <w:r w:rsidRPr="00AF3116">
        <w:rPr>
          <w:rtl/>
        </w:rPr>
        <w:t>100</w:t>
      </w:r>
      <w:r w:rsidRPr="001B6C67">
        <w:rPr>
          <w:rtl/>
        </w:rPr>
        <w:t>-</w:t>
      </w:r>
      <w:r w:rsidRPr="001B6C67">
        <w:rPr>
          <w:rtl/>
        </w:rPr>
        <w:tab/>
        <w:t>ووفق</w:t>
      </w:r>
      <w:r w:rsidR="00D55C97">
        <w:rPr>
          <w:rtl/>
        </w:rPr>
        <w:t xml:space="preserve">اً </w:t>
      </w:r>
      <w:r w:rsidRPr="001B6C67">
        <w:rPr>
          <w:rtl/>
        </w:rPr>
        <w:t xml:space="preserve">لأحكام الفقرة </w:t>
      </w:r>
      <w:r w:rsidRPr="00AF3116">
        <w:rPr>
          <w:rtl/>
        </w:rPr>
        <w:t>2</w:t>
      </w:r>
      <w:r>
        <w:rPr>
          <w:rtl/>
        </w:rPr>
        <w:t xml:space="preserve"> </w:t>
      </w:r>
      <w:r w:rsidRPr="001B6C67">
        <w:rPr>
          <w:rtl/>
        </w:rPr>
        <w:t xml:space="preserve">من المادة </w:t>
      </w:r>
      <w:r w:rsidRPr="00AF3116">
        <w:rPr>
          <w:rtl/>
        </w:rPr>
        <w:t>18</w:t>
      </w:r>
      <w:r w:rsidRPr="001B6C67">
        <w:rPr>
          <w:rtl/>
        </w:rPr>
        <w:t xml:space="preserve"> من القانون الجنائي، والمادتين </w:t>
      </w:r>
      <w:r w:rsidRPr="00AF3116">
        <w:rPr>
          <w:rtl/>
        </w:rPr>
        <w:t>247</w:t>
      </w:r>
      <w:r w:rsidRPr="001B6C67">
        <w:rPr>
          <w:rtl/>
        </w:rPr>
        <w:t xml:space="preserve"> و</w:t>
      </w:r>
      <w:r w:rsidRPr="00AF3116">
        <w:rPr>
          <w:rtl/>
        </w:rPr>
        <w:t>248</w:t>
      </w:r>
      <w:r w:rsidRPr="001B6C67">
        <w:rPr>
          <w:rtl/>
        </w:rPr>
        <w:t xml:space="preserve"> من قانون الإجراءات الجنائية، لا تفرض عقوبة الإعدام على جانٍ لم يكن قد بلغ الثامنة عشرة من العمر في وقت حدوث الجريمة وعلى مدان حامل أو غير مستقر عقلياً، على التوالي.</w:t>
      </w:r>
    </w:p>
    <w:p w14:paraId="4DD5F8E8" w14:textId="77777777" w:rsidR="00DE3D9F" w:rsidRPr="001B6C67" w:rsidRDefault="00DE3D9F" w:rsidP="00DE3D9F">
      <w:pPr>
        <w:pStyle w:val="SingleTxtGA"/>
        <w:rPr>
          <w:lang w:val="ar-SA" w:eastAsia="zh-TW" w:bidi="en-GB"/>
        </w:rPr>
      </w:pPr>
      <w:r w:rsidRPr="00AF3116">
        <w:rPr>
          <w:rtl/>
        </w:rPr>
        <w:lastRenderedPageBreak/>
        <w:t>101</w:t>
      </w:r>
      <w:r w:rsidRPr="001B6C67">
        <w:rPr>
          <w:rtl/>
        </w:rPr>
        <w:t>-</w:t>
      </w:r>
      <w:r w:rsidRPr="001B6C67">
        <w:rPr>
          <w:rtl/>
        </w:rPr>
        <w:tab/>
        <w:t xml:space="preserve">وقد اتخذت الوكالات التايلندية ذات الصلة نهجاً تدريجياً لإصلاح القوانين المتعلقة بعقوبة الإعدام امتثالاً لمبادئ حقوق الإنسان. وأُدرِج هذا الالتزام في الخطط الوطنية المتعاقبة لحقوق الإنسان منذ عام </w:t>
      </w:r>
      <w:r w:rsidRPr="00AF3116">
        <w:rPr>
          <w:rtl/>
        </w:rPr>
        <w:t>2009</w:t>
      </w:r>
      <w:r w:rsidRPr="001B6C67">
        <w:rPr>
          <w:rtl/>
        </w:rPr>
        <w:t>. ومع تأييد الجمهور القوي لعقوبة الإعدام، تعمل الحكومة على زيادة وعي الجمهور وفهمه للمناقشة الجارية بشأن</w:t>
      </w:r>
      <w:r>
        <w:rPr>
          <w:rtl/>
        </w:rPr>
        <w:t>ها</w:t>
      </w:r>
      <w:r w:rsidRPr="001B6C67">
        <w:rPr>
          <w:rtl/>
        </w:rPr>
        <w:t xml:space="preserve">. </w:t>
      </w:r>
      <w:bookmarkStart w:id="24" w:name="_Ref43992969"/>
      <w:bookmarkEnd w:id="24"/>
    </w:p>
    <w:p w14:paraId="24BAA8A3" w14:textId="77777777" w:rsidR="00DE3D9F" w:rsidRPr="001B6C67" w:rsidRDefault="00DE3D9F" w:rsidP="00883EBA">
      <w:pPr>
        <w:pStyle w:val="H23GA"/>
        <w:rPr>
          <w:lang w:val="ar-SA" w:eastAsia="zh-TW" w:bidi="en-GB"/>
        </w:rPr>
      </w:pPr>
      <w:r w:rsidRPr="001B6C67">
        <w:rPr>
          <w:rtl/>
        </w:rPr>
        <w:tab/>
      </w:r>
      <w:r w:rsidRPr="001B6C67">
        <w:rPr>
          <w:rtl/>
        </w:rPr>
        <w:tab/>
      </w:r>
      <w:r w:rsidRPr="00AF3116">
        <w:rPr>
          <w:rtl/>
        </w:rPr>
        <w:t>الحق في عدم التعرض للتعذيب وسوء المعاملة</w:t>
      </w:r>
    </w:p>
    <w:p w14:paraId="27E42C37" w14:textId="77777777" w:rsidR="00DE3D9F" w:rsidRPr="001B6C67" w:rsidRDefault="00DE3D9F" w:rsidP="00DE3D9F">
      <w:pPr>
        <w:pStyle w:val="SingleTxtGA"/>
        <w:rPr>
          <w:lang w:val="ar-SA" w:eastAsia="zh-TW" w:bidi="en-GB"/>
        </w:rPr>
      </w:pPr>
      <w:r w:rsidRPr="00AF3116">
        <w:rPr>
          <w:rtl/>
        </w:rPr>
        <w:t>102</w:t>
      </w:r>
      <w:r w:rsidRPr="001B6C67">
        <w:rPr>
          <w:rtl/>
        </w:rPr>
        <w:t>-</w:t>
      </w:r>
      <w:r w:rsidRPr="001B6C67">
        <w:rPr>
          <w:rtl/>
        </w:rPr>
        <w:tab/>
        <w:t xml:space="preserve">يُحظَر أي فعل تعذيب أو سوء معاملة بموجب الدستور (المادة </w:t>
      </w:r>
      <w:r w:rsidRPr="00AF3116">
        <w:rPr>
          <w:rtl/>
        </w:rPr>
        <w:t>29</w:t>
      </w:r>
      <w:r w:rsidRPr="001B6C67">
        <w:rPr>
          <w:rtl/>
        </w:rPr>
        <w:t xml:space="preserve">) وعدة مواد من قانون العقوبات، مثل المواد </w:t>
      </w:r>
      <w:r w:rsidRPr="00AF3116">
        <w:rPr>
          <w:rtl/>
        </w:rPr>
        <w:t>157</w:t>
      </w:r>
      <w:r w:rsidRPr="001B6C67">
        <w:rPr>
          <w:rtl/>
        </w:rPr>
        <w:t xml:space="preserve"> و</w:t>
      </w:r>
      <w:r w:rsidRPr="00AF3116">
        <w:rPr>
          <w:rtl/>
        </w:rPr>
        <w:t>200</w:t>
      </w:r>
      <w:r w:rsidRPr="001B6C67">
        <w:rPr>
          <w:rtl/>
        </w:rPr>
        <w:t xml:space="preserve"> و</w:t>
      </w:r>
      <w:r w:rsidRPr="00AF3116">
        <w:rPr>
          <w:rtl/>
        </w:rPr>
        <w:t>295</w:t>
      </w:r>
      <w:r w:rsidRPr="001B6C67">
        <w:rPr>
          <w:rtl/>
        </w:rPr>
        <w:t xml:space="preserve"> و</w:t>
      </w:r>
      <w:r w:rsidRPr="00AF3116">
        <w:rPr>
          <w:rtl/>
        </w:rPr>
        <w:t>296</w:t>
      </w:r>
      <w:r w:rsidRPr="001B6C67">
        <w:rPr>
          <w:rtl/>
        </w:rPr>
        <w:t xml:space="preserve"> و</w:t>
      </w:r>
      <w:r w:rsidRPr="00AF3116">
        <w:rPr>
          <w:rtl/>
        </w:rPr>
        <w:t>297</w:t>
      </w:r>
      <w:r w:rsidRPr="001B6C67">
        <w:rPr>
          <w:rtl/>
        </w:rPr>
        <w:t xml:space="preserve"> و</w:t>
      </w:r>
      <w:r w:rsidRPr="00AF3116">
        <w:rPr>
          <w:rtl/>
        </w:rPr>
        <w:t>298</w:t>
      </w:r>
      <w:r w:rsidRPr="001B6C67">
        <w:rPr>
          <w:rtl/>
        </w:rPr>
        <w:t xml:space="preserve"> و</w:t>
      </w:r>
      <w:r w:rsidRPr="00AF3116">
        <w:rPr>
          <w:rtl/>
        </w:rPr>
        <w:t>288</w:t>
      </w:r>
      <w:r w:rsidRPr="001B6C67">
        <w:rPr>
          <w:rtl/>
        </w:rPr>
        <w:t xml:space="preserve"> و</w:t>
      </w:r>
      <w:r w:rsidRPr="00AF3116">
        <w:rPr>
          <w:rtl/>
        </w:rPr>
        <w:t>289</w:t>
      </w:r>
      <w:r w:rsidRPr="001B6C67">
        <w:rPr>
          <w:rtl/>
        </w:rPr>
        <w:t>، وما إلى ذلك.</w:t>
      </w:r>
    </w:p>
    <w:p w14:paraId="7780F9E4" w14:textId="77777777" w:rsidR="00DE3D9F" w:rsidRPr="001B6C67" w:rsidRDefault="00DE3D9F" w:rsidP="00DE3D9F">
      <w:pPr>
        <w:pStyle w:val="SingleTxtGA"/>
        <w:rPr>
          <w:lang w:val="ar-SA" w:eastAsia="zh-TW" w:bidi="en-GB"/>
        </w:rPr>
      </w:pPr>
      <w:r w:rsidRPr="00AF3116">
        <w:rPr>
          <w:rtl/>
        </w:rPr>
        <w:t>103</w:t>
      </w:r>
      <w:r w:rsidRPr="001B6C67">
        <w:rPr>
          <w:rtl/>
        </w:rPr>
        <w:t>-</w:t>
      </w:r>
      <w:r w:rsidRPr="001B6C67">
        <w:rPr>
          <w:rtl/>
        </w:rPr>
        <w:tab/>
        <w:t xml:space="preserve">وقد وافق مجلس الوزراء من حيث المبدأ على مشروع قانون منع وقمع التعذيب والاختفاء القسري في </w:t>
      </w:r>
      <w:r>
        <w:rPr>
          <w:rtl/>
        </w:rPr>
        <w:t>أيار</w:t>
      </w:r>
      <w:r w:rsidRPr="001B6C67">
        <w:rPr>
          <w:rtl/>
        </w:rPr>
        <w:t>/</w:t>
      </w:r>
      <w:r>
        <w:rPr>
          <w:rtl/>
        </w:rPr>
        <w:t>مايو</w:t>
      </w:r>
      <w:r w:rsidRPr="001B6C67">
        <w:rPr>
          <w:rtl/>
        </w:rPr>
        <w:t xml:space="preserve"> </w:t>
      </w:r>
      <w:r w:rsidRPr="00AF3116">
        <w:rPr>
          <w:rtl/>
        </w:rPr>
        <w:t>2016</w:t>
      </w:r>
      <w:r w:rsidRPr="001B6C67">
        <w:rPr>
          <w:rtl/>
        </w:rPr>
        <w:t xml:space="preserve"> وتداولت فيه الجمعية التشريعية الوطنية في </w:t>
      </w:r>
      <w:r>
        <w:rPr>
          <w:rtl/>
        </w:rPr>
        <w:t>آذار</w:t>
      </w:r>
      <w:r w:rsidRPr="001B6C67">
        <w:rPr>
          <w:rtl/>
        </w:rPr>
        <w:t>/</w:t>
      </w:r>
      <w:r>
        <w:rPr>
          <w:rtl/>
        </w:rPr>
        <w:t>مارس</w:t>
      </w:r>
      <w:r w:rsidRPr="001B6C67">
        <w:rPr>
          <w:rtl/>
        </w:rPr>
        <w:t xml:space="preserve"> </w:t>
      </w:r>
      <w:r w:rsidRPr="00AF3116">
        <w:rPr>
          <w:rtl/>
        </w:rPr>
        <w:t>2017</w:t>
      </w:r>
      <w:r w:rsidRPr="001B6C67">
        <w:rPr>
          <w:rtl/>
        </w:rPr>
        <w:t xml:space="preserve">. ولما كانت الجمعية التشريعية الوطنية لم تنته بعد من المداولات قبل حلها، بسبب صعوبات تقنية، فإن وزارة العدل سحبت مشروع القانون وأجرت مشاورات عامة من جديد وفقاً للمادة </w:t>
      </w:r>
      <w:r w:rsidRPr="00AF3116">
        <w:rPr>
          <w:rtl/>
        </w:rPr>
        <w:t>77</w:t>
      </w:r>
      <w:r w:rsidRPr="001B6C67">
        <w:rPr>
          <w:rtl/>
        </w:rPr>
        <w:t xml:space="preserve"> من الدستور. وأعيد تقديم المشروع المنقح لاحقاً لينظر فيه مجلس الوزراء في نيسان/أبريل </w:t>
      </w:r>
      <w:r w:rsidRPr="00AF3116">
        <w:rPr>
          <w:rtl/>
        </w:rPr>
        <w:t>2020</w:t>
      </w:r>
      <w:r w:rsidRPr="001B6C67">
        <w:rPr>
          <w:rtl/>
        </w:rPr>
        <w:t xml:space="preserve">. </w:t>
      </w:r>
    </w:p>
    <w:p w14:paraId="29FF9DB6" w14:textId="77777777" w:rsidR="00DE3D9F" w:rsidRPr="001B6C67" w:rsidRDefault="00DE3D9F" w:rsidP="00DE3D9F">
      <w:pPr>
        <w:pStyle w:val="SingleTxtGA"/>
        <w:rPr>
          <w:lang w:val="ar-SA" w:eastAsia="zh-TW" w:bidi="en-GB"/>
        </w:rPr>
      </w:pPr>
      <w:r w:rsidRPr="00AF3116">
        <w:rPr>
          <w:rtl/>
        </w:rPr>
        <w:t>104</w:t>
      </w:r>
      <w:r w:rsidRPr="001B6C67">
        <w:rPr>
          <w:rtl/>
        </w:rPr>
        <w:t>-</w:t>
      </w:r>
      <w:r w:rsidRPr="001B6C67">
        <w:rPr>
          <w:rtl/>
        </w:rPr>
        <w:tab/>
        <w:t xml:space="preserve">وفي الوقت الذي يجري فيه النظر في مشروع قانون منع وقمع التعذيب والاختفاء القسري، أصدر رئيس الوزراء الأمر رقم </w:t>
      </w:r>
      <w:r w:rsidRPr="00AF3116">
        <w:rPr>
          <w:rtl/>
        </w:rPr>
        <w:t>131</w:t>
      </w:r>
      <w:r w:rsidRPr="001B6C67">
        <w:rPr>
          <w:rtl/>
        </w:rPr>
        <w:t>/</w:t>
      </w:r>
      <w:r w:rsidRPr="00AF3116">
        <w:rPr>
          <w:rtl/>
        </w:rPr>
        <w:t>2560</w:t>
      </w:r>
      <w:r w:rsidRPr="001B6C67">
        <w:rPr>
          <w:rtl/>
        </w:rPr>
        <w:t xml:space="preserve"> المؤرخ </w:t>
      </w:r>
      <w:r w:rsidRPr="00AF3116">
        <w:rPr>
          <w:rtl/>
        </w:rPr>
        <w:t>23</w:t>
      </w:r>
      <w:r w:rsidRPr="001B6C67">
        <w:rPr>
          <w:rtl/>
        </w:rPr>
        <w:t xml:space="preserve"> أيار/مايو </w:t>
      </w:r>
      <w:r w:rsidRPr="00AF3116">
        <w:rPr>
          <w:rtl/>
        </w:rPr>
        <w:t>2017</w:t>
      </w:r>
      <w:r w:rsidRPr="001B6C67">
        <w:rPr>
          <w:rtl/>
        </w:rPr>
        <w:t xml:space="preserve">، ورقم </w:t>
      </w:r>
      <w:r w:rsidRPr="00AF3116">
        <w:rPr>
          <w:rtl/>
        </w:rPr>
        <w:t>198</w:t>
      </w:r>
      <w:r w:rsidRPr="001B6C67">
        <w:rPr>
          <w:rtl/>
        </w:rPr>
        <w:t>/</w:t>
      </w:r>
      <w:r w:rsidRPr="00AF3116">
        <w:rPr>
          <w:rtl/>
        </w:rPr>
        <w:t>2560</w:t>
      </w:r>
      <w:r w:rsidRPr="001B6C67">
        <w:rPr>
          <w:rtl/>
        </w:rPr>
        <w:t xml:space="preserve"> المؤرخ </w:t>
      </w:r>
      <w:r w:rsidRPr="00AF3116">
        <w:rPr>
          <w:rtl/>
        </w:rPr>
        <w:t>18</w:t>
      </w:r>
      <w:r w:rsidRPr="001B6C67">
        <w:rPr>
          <w:rtl/>
        </w:rPr>
        <w:t xml:space="preserve"> آب/أغسطس </w:t>
      </w:r>
      <w:r w:rsidRPr="00AF3116">
        <w:rPr>
          <w:rtl/>
        </w:rPr>
        <w:t>2017</w:t>
      </w:r>
      <w:r w:rsidRPr="001B6C67">
        <w:rPr>
          <w:rtl/>
        </w:rPr>
        <w:t xml:space="preserve"> (الأعضاء الإضافيون)، ورقم </w:t>
      </w:r>
      <w:r w:rsidRPr="00AF3116">
        <w:rPr>
          <w:rtl/>
        </w:rPr>
        <w:t>338</w:t>
      </w:r>
      <w:r w:rsidRPr="001B6C67">
        <w:rPr>
          <w:rtl/>
        </w:rPr>
        <w:t>/</w:t>
      </w:r>
      <w:r w:rsidRPr="00AF3116">
        <w:rPr>
          <w:rtl/>
        </w:rPr>
        <w:t>2562</w:t>
      </w:r>
      <w:r w:rsidRPr="001B6C67">
        <w:rPr>
          <w:rtl/>
        </w:rPr>
        <w:t xml:space="preserve"> المؤرخ </w:t>
      </w:r>
      <w:r w:rsidRPr="00AF3116">
        <w:rPr>
          <w:rtl/>
        </w:rPr>
        <w:t>15</w:t>
      </w:r>
      <w:r w:rsidRPr="001B6C67">
        <w:rPr>
          <w:rtl/>
        </w:rPr>
        <w:t xml:space="preserve"> تشرين الثاني/نوفمبر </w:t>
      </w:r>
      <w:r w:rsidRPr="00AF3116">
        <w:rPr>
          <w:rtl/>
        </w:rPr>
        <w:t>2019</w:t>
      </w:r>
      <w:r w:rsidRPr="001B6C67">
        <w:rPr>
          <w:rtl/>
        </w:rPr>
        <w:t xml:space="preserve"> (الجديد) لإنشاء اللجنة الوطنية لإدارة القضايا المتعلقة بالتعذيب والاختفاء القسري، التي يرأسها وزير العدل وتتألف من ممثلين من الوكالات ذات الصلة كأعضاء في</w:t>
      </w:r>
      <w:r>
        <w:rPr>
          <w:rtl/>
        </w:rPr>
        <w:t>ها</w:t>
      </w:r>
      <w:r w:rsidRPr="001B6C67">
        <w:rPr>
          <w:rtl/>
        </w:rPr>
        <w:t>، من أجل معالجة حالات التعذيب والاختفاء القسري المزعومة ومنع وقوعها في المستقبل. وتدعم اللجنةَ أربعُ لجان فرعية بشأن (</w:t>
      </w:r>
      <w:r w:rsidRPr="00AF3116">
        <w:rPr>
          <w:rtl/>
        </w:rPr>
        <w:t>1</w:t>
      </w:r>
      <w:r w:rsidRPr="001B6C67">
        <w:rPr>
          <w:rtl/>
        </w:rPr>
        <w:t>) المتابعة والرصد، (</w:t>
      </w:r>
      <w:r w:rsidRPr="00AF3116">
        <w:rPr>
          <w:rtl/>
        </w:rPr>
        <w:t>2</w:t>
      </w:r>
      <w:r w:rsidRPr="001B6C67">
        <w:rPr>
          <w:rtl/>
        </w:rPr>
        <w:t>) المساعدة والانتصاف، (</w:t>
      </w:r>
      <w:r w:rsidRPr="00AF3116">
        <w:rPr>
          <w:rtl/>
        </w:rPr>
        <w:t>3</w:t>
      </w:r>
      <w:r w:rsidRPr="001B6C67">
        <w:rPr>
          <w:rtl/>
        </w:rPr>
        <w:t>) الوقاية والتدريب (</w:t>
      </w:r>
      <w:r w:rsidRPr="00AF3116">
        <w:rPr>
          <w:rtl/>
        </w:rPr>
        <w:t>4</w:t>
      </w:r>
      <w:r w:rsidRPr="001B6C67">
        <w:rPr>
          <w:rtl/>
        </w:rPr>
        <w:t>) فحص الحالات. وسيُحاكَم وفقاً للقانون أي موظف عام يثبت تورطه في التعذيب و/أو الاختفاء القسري.</w:t>
      </w:r>
    </w:p>
    <w:p w14:paraId="4E520896" w14:textId="77777777" w:rsidR="00DE3D9F" w:rsidRPr="001B6C67" w:rsidRDefault="00DE3D9F" w:rsidP="00883EBA">
      <w:pPr>
        <w:pStyle w:val="H23GA"/>
        <w:rPr>
          <w:lang w:val="ar-SA" w:eastAsia="zh-TW" w:bidi="en-GB"/>
        </w:rPr>
      </w:pPr>
      <w:r w:rsidRPr="001B6C67">
        <w:rPr>
          <w:rtl/>
        </w:rPr>
        <w:tab/>
      </w:r>
      <w:r w:rsidRPr="001B6C67">
        <w:rPr>
          <w:rtl/>
        </w:rPr>
        <w:tab/>
      </w:r>
      <w:r w:rsidRPr="00AF3116">
        <w:rPr>
          <w:rtl/>
        </w:rPr>
        <w:t>الحق في حرية التعبير</w:t>
      </w:r>
    </w:p>
    <w:p w14:paraId="3C20488C" w14:textId="77777777" w:rsidR="00DE3D9F" w:rsidRPr="001B6C67" w:rsidRDefault="00DE3D9F" w:rsidP="00DE3D9F">
      <w:pPr>
        <w:pStyle w:val="SingleTxtGA"/>
        <w:rPr>
          <w:lang w:val="ar-SA" w:eastAsia="zh-TW" w:bidi="en-GB"/>
        </w:rPr>
      </w:pPr>
      <w:r w:rsidRPr="00AF3116">
        <w:rPr>
          <w:rtl/>
        </w:rPr>
        <w:t>105</w:t>
      </w:r>
      <w:r w:rsidRPr="001B6C67">
        <w:rPr>
          <w:rtl/>
        </w:rPr>
        <w:t>-</w:t>
      </w:r>
      <w:r w:rsidRPr="001B6C67">
        <w:rPr>
          <w:rtl/>
        </w:rPr>
        <w:tab/>
        <w:t xml:space="preserve">يكفل الدستور التايلندي الحق في حرية التعبير، وفقاً للقوانين الدولية، ولا سيما المادة </w:t>
      </w:r>
      <w:r w:rsidRPr="00AF3116">
        <w:rPr>
          <w:rtl/>
        </w:rPr>
        <w:t>19</w:t>
      </w:r>
      <w:r w:rsidRPr="001B6C67">
        <w:rPr>
          <w:rtl/>
        </w:rPr>
        <w:t xml:space="preserve"> من العهد الدولي الخاص بالحقوق المدنية والسياسية. وتعترف تايلند بهذه الحريات بوصفها عوامل تمكينية لجميع حقوق الإنسان الأخرى وأساس ديمقراطيتنا. </w:t>
      </w:r>
    </w:p>
    <w:p w14:paraId="3D8BE579" w14:textId="3AECD94F" w:rsidR="00DE3D9F" w:rsidRPr="001B6C67" w:rsidRDefault="00DE3D9F" w:rsidP="00DE3D9F">
      <w:pPr>
        <w:pStyle w:val="SingleTxtGA"/>
        <w:rPr>
          <w:lang w:val="ar-SA" w:eastAsia="zh-TW" w:bidi="en-GB"/>
        </w:rPr>
      </w:pPr>
      <w:r w:rsidRPr="00AF3116">
        <w:rPr>
          <w:rtl/>
        </w:rPr>
        <w:t>106</w:t>
      </w:r>
      <w:r w:rsidRPr="001B6C67">
        <w:rPr>
          <w:rtl/>
        </w:rPr>
        <w:t>-</w:t>
      </w:r>
      <w:r w:rsidRPr="001B6C67">
        <w:rPr>
          <w:rtl/>
        </w:rPr>
        <w:tab/>
        <w:t xml:space="preserve">وتنص المادة </w:t>
      </w:r>
      <w:r w:rsidRPr="00AF3116">
        <w:rPr>
          <w:rtl/>
        </w:rPr>
        <w:t>35</w:t>
      </w:r>
      <w:r w:rsidRPr="001B6C67">
        <w:rPr>
          <w:rtl/>
        </w:rPr>
        <w:t xml:space="preserve"> من دستور عام </w:t>
      </w:r>
      <w:r w:rsidRPr="00AF3116">
        <w:rPr>
          <w:rtl/>
        </w:rPr>
        <w:t>2017</w:t>
      </w:r>
      <w:r w:rsidRPr="001B6C67">
        <w:rPr>
          <w:rtl/>
        </w:rPr>
        <w:t xml:space="preserve"> على ضمانات حرية الصحافة والإعلام، بما في ذلك</w:t>
      </w:r>
      <w:r w:rsidR="00883EBA">
        <w:rPr>
          <w:rFonts w:hint="cs"/>
          <w:rtl/>
        </w:rPr>
        <w:t> </w:t>
      </w:r>
      <w:r w:rsidRPr="001B6C67">
        <w:rPr>
          <w:rtl/>
        </w:rPr>
        <w:t>ما يلي:</w:t>
      </w:r>
    </w:p>
    <w:p w14:paraId="3AEF18CA" w14:textId="77777777" w:rsidR="00DE3D9F" w:rsidRPr="001B6C67" w:rsidRDefault="00DE3D9F" w:rsidP="00883EBA">
      <w:pPr>
        <w:pStyle w:val="SingleTxtGA"/>
        <w:ind w:left="2608" w:hanging="680"/>
        <w:rPr>
          <w:lang w:val="ar-SA" w:eastAsia="zh-TW" w:bidi="en-GB"/>
        </w:rPr>
      </w:pPr>
      <w:r w:rsidRPr="00AF3116">
        <w:rPr>
          <w:rtl/>
        </w:rPr>
        <w:t>1</w:t>
      </w:r>
      <w:r w:rsidRPr="001B6C67">
        <w:rPr>
          <w:rtl/>
        </w:rPr>
        <w:t>-</w:t>
      </w:r>
      <w:r w:rsidRPr="001B6C67">
        <w:rPr>
          <w:rtl/>
        </w:rPr>
        <w:tab/>
        <w:t>يتمتع الإعلاميون بحرية تقديم الأخبار أو التعبير عن آرائهم وفقاً للأخلاقيات المهنية؛</w:t>
      </w:r>
    </w:p>
    <w:p w14:paraId="0196E251" w14:textId="4E71389C" w:rsidR="00DE3D9F" w:rsidRPr="001B6C67" w:rsidRDefault="00DE3D9F" w:rsidP="00883EBA">
      <w:pPr>
        <w:pStyle w:val="SingleTxtGA"/>
        <w:ind w:left="2608" w:hanging="680"/>
        <w:rPr>
          <w:lang w:val="ar-SA" w:eastAsia="zh-TW" w:bidi="en-GB"/>
        </w:rPr>
      </w:pPr>
      <w:r w:rsidRPr="00AF3116">
        <w:rPr>
          <w:rtl/>
        </w:rPr>
        <w:t>2</w:t>
      </w:r>
      <w:r w:rsidRPr="001B6C67">
        <w:rPr>
          <w:rtl/>
        </w:rPr>
        <w:t>-</w:t>
      </w:r>
      <w:r w:rsidRPr="001B6C67">
        <w:rPr>
          <w:rtl/>
        </w:rPr>
        <w:tab/>
        <w:t>لا يجوز إغلاق صحيفة أو وسائط إعلام أخرى والحرمان من الحرية المنصوص عليها</w:t>
      </w:r>
      <w:r>
        <w:rPr>
          <w:rtl/>
        </w:rPr>
        <w:t xml:space="preserve"> في</w:t>
      </w:r>
      <w:r w:rsidRPr="001B6C67">
        <w:rPr>
          <w:rtl/>
        </w:rPr>
        <w:t xml:space="preserve"> الفقرة الأولى. ولا يجوز أن يمارس الرقابة مسؤول مختص على أي أخبار أو</w:t>
      </w:r>
      <w:r w:rsidR="00D55C97">
        <w:rPr>
          <w:rFonts w:hint="cs"/>
          <w:rtl/>
        </w:rPr>
        <w:t> </w:t>
      </w:r>
      <w:r w:rsidRPr="001B6C67">
        <w:rPr>
          <w:rtl/>
        </w:rPr>
        <w:t>تصريحات يدلي بها أحد الإعلاميين قبل نشرها في صحيفة أو وسائط إعلام أخرى، إلا في الوقت الذي يكون فيه البلد في حالة حرب؛</w:t>
      </w:r>
    </w:p>
    <w:p w14:paraId="1474E43E" w14:textId="77777777" w:rsidR="00DE3D9F" w:rsidRPr="001B6C67" w:rsidRDefault="00DE3D9F" w:rsidP="00883EBA">
      <w:pPr>
        <w:pStyle w:val="SingleTxtGA"/>
        <w:ind w:left="2608" w:hanging="680"/>
        <w:rPr>
          <w:lang w:val="ar-SA" w:eastAsia="zh-TW" w:bidi="en-GB"/>
        </w:rPr>
      </w:pPr>
      <w:r w:rsidRPr="00AF3116">
        <w:rPr>
          <w:rtl/>
        </w:rPr>
        <w:t>3</w:t>
      </w:r>
      <w:r w:rsidRPr="001B6C67">
        <w:rPr>
          <w:rtl/>
        </w:rPr>
        <w:t>-</w:t>
      </w:r>
      <w:r w:rsidRPr="001B6C67">
        <w:rPr>
          <w:rtl/>
        </w:rPr>
        <w:tab/>
        <w:t>لا تمنح الدولة أي أموال أو ممتلكات أخرى كإعانات للصحف الخاصة أو غيرها من وسائط الإعلام الخاصة.</w:t>
      </w:r>
    </w:p>
    <w:p w14:paraId="6364D572" w14:textId="77777777" w:rsidR="00DE3D9F" w:rsidRPr="001B6C67" w:rsidRDefault="00DE3D9F" w:rsidP="00883EBA">
      <w:pPr>
        <w:pStyle w:val="H23GA"/>
        <w:rPr>
          <w:lang w:val="ar-SA" w:eastAsia="zh-TW" w:bidi="en-GB"/>
        </w:rPr>
      </w:pPr>
      <w:r w:rsidRPr="001B6C67">
        <w:rPr>
          <w:rtl/>
        </w:rPr>
        <w:lastRenderedPageBreak/>
        <w:tab/>
      </w:r>
      <w:r w:rsidRPr="001B6C67">
        <w:rPr>
          <w:rtl/>
        </w:rPr>
        <w:tab/>
      </w:r>
      <w:r w:rsidRPr="00AF3116">
        <w:rPr>
          <w:rtl/>
        </w:rPr>
        <w:t>الحق في عدم التعرض للاسترقاق</w:t>
      </w:r>
    </w:p>
    <w:p w14:paraId="2E5D613A" w14:textId="2B5988FD" w:rsidR="00DE3D9F" w:rsidRPr="001B6C67" w:rsidRDefault="00DE3D9F" w:rsidP="00DE3D9F">
      <w:pPr>
        <w:pStyle w:val="SingleTxtGA"/>
        <w:rPr>
          <w:lang w:val="ar-SA" w:eastAsia="zh-TW" w:bidi="en-GB"/>
        </w:rPr>
      </w:pPr>
      <w:r w:rsidRPr="00AF3116">
        <w:rPr>
          <w:rtl/>
        </w:rPr>
        <w:t>107</w:t>
      </w:r>
      <w:r w:rsidRPr="001B6C67">
        <w:rPr>
          <w:rtl/>
        </w:rPr>
        <w:t>-</w:t>
      </w:r>
      <w:r w:rsidRPr="001B6C67">
        <w:rPr>
          <w:rtl/>
        </w:rPr>
        <w:tab/>
      </w:r>
      <w:r w:rsidRPr="00883EBA">
        <w:rPr>
          <w:spacing w:val="4"/>
          <w:rtl/>
        </w:rPr>
        <w:t xml:space="preserve">يتعارض الرق مع أحكام المادة </w:t>
      </w:r>
      <w:r w:rsidRPr="00AF3116">
        <w:rPr>
          <w:spacing w:val="4"/>
          <w:rtl/>
        </w:rPr>
        <w:t>312</w:t>
      </w:r>
      <w:r w:rsidRPr="00883EBA">
        <w:rPr>
          <w:spacing w:val="4"/>
          <w:rtl/>
        </w:rPr>
        <w:t xml:space="preserve"> من قانون العقوبات وقانون مكافحة الاتجار بالبشر</w:t>
      </w:r>
      <w:r w:rsidRPr="00883EBA">
        <w:rPr>
          <w:spacing w:val="4"/>
        </w:rPr>
        <w:t>B.E</w:t>
      </w:r>
      <w:r w:rsidRPr="001B6C67">
        <w:t xml:space="preserve">. </w:t>
      </w:r>
      <w:r w:rsidRPr="00AF3116">
        <w:t>2551</w:t>
      </w:r>
      <w:r w:rsidRPr="001B6C67">
        <w:t xml:space="preserve"> (</w:t>
      </w:r>
      <w:r w:rsidRPr="00AF3116">
        <w:t>2008</w:t>
      </w:r>
      <w:r w:rsidRPr="001B6C67">
        <w:t>)</w:t>
      </w:r>
      <w:r w:rsidRPr="001B6C67">
        <w:rPr>
          <w:rtl/>
        </w:rPr>
        <w:t xml:space="preserve">. وقد تم مؤخراً تعديل هذا التشريع الأخير في عام </w:t>
      </w:r>
      <w:r w:rsidRPr="00AF3116">
        <w:rPr>
          <w:rtl/>
        </w:rPr>
        <w:t>2015</w:t>
      </w:r>
      <w:r w:rsidRPr="001B6C67">
        <w:rPr>
          <w:rtl/>
        </w:rPr>
        <w:t xml:space="preserve"> لزيادة تكثيف جهود البلد الرامية إلى مكافحة الاتجار بالأشخاص من خلال منح السلطات صلاحية إغلاق المؤسسات التجارية أو المصانع مؤقتاً، فضلاً عن تقديم الحماية من المسؤولية المدنية والجنائية على حد سواء لمن يقومون، بحسن نية، بإخطار المسؤولين بالجرائم المرتكبة التي ينص عليها هذا القانون. وقد تم تعديل هذا القانون أيضاً في عامي </w:t>
      </w:r>
      <w:r w:rsidRPr="00AF3116">
        <w:rPr>
          <w:rtl/>
        </w:rPr>
        <w:t>2017</w:t>
      </w:r>
      <w:r w:rsidRPr="001B6C67">
        <w:rPr>
          <w:rtl/>
        </w:rPr>
        <w:t xml:space="preserve"> و</w:t>
      </w:r>
      <w:r w:rsidRPr="00AF3116">
        <w:rPr>
          <w:rtl/>
        </w:rPr>
        <w:t>2019</w:t>
      </w:r>
      <w:r w:rsidRPr="001B6C67">
        <w:rPr>
          <w:rtl/>
        </w:rPr>
        <w:t xml:space="preserve"> لمعالجة المسألة بشكل أكثر فعالية من خلال إعطاء تعريف أوضح لمصطلح "الاتجار بالأشخاص"، ومن خلال التركيز على منع وقمع العمل القسري وحماية الضحايا وإنصافهم، على التوالي.</w:t>
      </w:r>
    </w:p>
    <w:p w14:paraId="4F67B1F4" w14:textId="28DDD986" w:rsidR="00DE3D9F" w:rsidRPr="001B6C67" w:rsidRDefault="00DE3D9F" w:rsidP="00DE3D9F">
      <w:pPr>
        <w:pStyle w:val="SingleTxtGA"/>
        <w:rPr>
          <w:lang w:val="ar-SA" w:eastAsia="zh-TW" w:bidi="en-GB"/>
        </w:rPr>
      </w:pPr>
      <w:r w:rsidRPr="00AF3116">
        <w:rPr>
          <w:rtl/>
        </w:rPr>
        <w:t>108</w:t>
      </w:r>
      <w:r w:rsidRPr="001B6C67">
        <w:rPr>
          <w:rtl/>
        </w:rPr>
        <w:t>-</w:t>
      </w:r>
      <w:r w:rsidRPr="001B6C67">
        <w:rPr>
          <w:rtl/>
        </w:rPr>
        <w:tab/>
        <w:t>وتجتذب تايلند، بوصفها بلد منشأ وعبور ومقصد، العديد من المهاجرين، ولا سيما من البلدان المجاورة، وبعضهم معرض لخطر الاستغلال والاتجار. وقد بُذِلَت جهود هائلة لمكافحة الاتجار بالأشخاص ومساعدة من يقعون فريسة له من رعايا تايلنديين أو مهاجرين. وسيُسمَح لجميع ضحايا الاتجار بالأشخاص بالإقامة مؤقتاً في تايلند خلال الإجراءات القانونية ذات الصلة. ويمكنهم اختيار البقاء إما في ملاجئ وزارة التنمية الاجتماعية والأمن البشري أو في الملاجئ التي تديرها المنظمات غير الحكومية، وستُتاح لهم فرصة لكسب الدخل. وتواصل تايلند إيلاء أهمية للتعاون مع بلدان المنشأ والشركاء الدوليين الآخرين في توفير الحماية للضحايا وتعزيز إعادة إدماجهم في المجتمع. وتعمل تايلند عن كثب مع السفارات والمنظمات الدولية المعنية لإعادة ضحايا الاتجار بالبشر</w:t>
      </w:r>
      <w:r>
        <w:rPr>
          <w:rtl/>
        </w:rPr>
        <w:t xml:space="preserve"> إلى أوطانهم</w:t>
      </w:r>
      <w:r w:rsidRPr="001B6C67">
        <w:rPr>
          <w:rtl/>
        </w:rPr>
        <w:t xml:space="preserve"> بأمان. وتنظم تايلند أيضاً مع البلدان المجاورة لنا اجتماعات ثنائية بشأن إعادة الضحايا إلى أوطانهم وإعادة إدماجهم لتكون بمثابة آلية لحماية الضحايا بفعالية من خلال تبادل المعلومات والتنسيق بشأن الملاحقة القضائية. وقد</w:t>
      </w:r>
      <w:r w:rsidR="00D55BE1">
        <w:rPr>
          <w:rFonts w:hint="cs"/>
          <w:rtl/>
        </w:rPr>
        <w:t> </w:t>
      </w:r>
      <w:r w:rsidRPr="001B6C67">
        <w:rPr>
          <w:rtl/>
        </w:rPr>
        <w:t>تعاونت تايلند أيضاً مع القطاع الخاص والمنظمات الدولية والمنظمات غير الحكومية لتعزيز حماية ضحايا الاتجار بالبشر.</w:t>
      </w:r>
    </w:p>
    <w:p w14:paraId="5822CD35" w14:textId="77777777" w:rsidR="00DE3D9F" w:rsidRPr="001B6C67" w:rsidRDefault="00DE3D9F" w:rsidP="00883EBA">
      <w:pPr>
        <w:pStyle w:val="H23GA"/>
        <w:rPr>
          <w:lang w:val="ar-SA" w:eastAsia="zh-TW" w:bidi="en-GB"/>
        </w:rPr>
      </w:pPr>
      <w:r w:rsidRPr="001B6C67">
        <w:rPr>
          <w:rtl/>
        </w:rPr>
        <w:tab/>
      </w:r>
      <w:r w:rsidRPr="001B6C67">
        <w:rPr>
          <w:rtl/>
        </w:rPr>
        <w:tab/>
      </w:r>
      <w:r w:rsidRPr="00AF3116">
        <w:rPr>
          <w:rtl/>
        </w:rPr>
        <w:t>الأعمال التجارية وحقوق الإنسان</w:t>
      </w:r>
    </w:p>
    <w:p w14:paraId="4A2755DA" w14:textId="77777777" w:rsidR="00DE3D9F" w:rsidRPr="001B6C67" w:rsidRDefault="00DE3D9F" w:rsidP="00DE3D9F">
      <w:pPr>
        <w:pStyle w:val="SingleTxtGA"/>
        <w:rPr>
          <w:lang w:val="ar-SA" w:eastAsia="zh-TW" w:bidi="en-GB"/>
        </w:rPr>
      </w:pPr>
      <w:r w:rsidRPr="00AF3116">
        <w:rPr>
          <w:rtl/>
        </w:rPr>
        <w:t>109</w:t>
      </w:r>
      <w:r w:rsidRPr="001B6C67">
        <w:rPr>
          <w:rtl/>
        </w:rPr>
        <w:t>-</w:t>
      </w:r>
      <w:r w:rsidRPr="001B6C67">
        <w:rPr>
          <w:rtl/>
        </w:rPr>
        <w:tab/>
        <w:t xml:space="preserve">في </w:t>
      </w:r>
      <w:r w:rsidRPr="00AF3116">
        <w:rPr>
          <w:rtl/>
        </w:rPr>
        <w:t>31</w:t>
      </w:r>
      <w:r w:rsidRPr="001B6C67">
        <w:rPr>
          <w:rtl/>
        </w:rPr>
        <w:t xml:space="preserve"> أيار/مايو </w:t>
      </w:r>
      <w:r w:rsidRPr="00AF3116">
        <w:rPr>
          <w:rtl/>
        </w:rPr>
        <w:t>2017</w:t>
      </w:r>
      <w:r w:rsidRPr="001B6C67">
        <w:rPr>
          <w:rtl/>
        </w:rPr>
        <w:t>، وقعت الوزارات المعنية وغرف الأعمال التجارية واللجنة الوطنية لحقوق الإنسان وشبكة الاتفاق العالمي للأمم المتحدة في تايلاند على إعلان التعاون لتعزيز مبادئ الأمم المتحدة التوجيهية المتعلقة بالأعمال التجارية وحقوق الإنسان.</w:t>
      </w:r>
    </w:p>
    <w:p w14:paraId="62155FBD" w14:textId="3EA2EF50" w:rsidR="00DE3D9F" w:rsidRPr="001B6C67" w:rsidRDefault="00DE3D9F" w:rsidP="00DE3D9F">
      <w:pPr>
        <w:pStyle w:val="SingleTxtGA"/>
        <w:rPr>
          <w:lang w:val="ar-SA" w:eastAsia="zh-TW" w:bidi="en-GB"/>
        </w:rPr>
      </w:pPr>
      <w:r w:rsidRPr="00AF3116">
        <w:rPr>
          <w:rtl/>
        </w:rPr>
        <w:t>110</w:t>
      </w:r>
      <w:r w:rsidRPr="001B6C67">
        <w:rPr>
          <w:rtl/>
        </w:rPr>
        <w:t>-</w:t>
      </w:r>
      <w:r w:rsidRPr="001B6C67">
        <w:rPr>
          <w:rtl/>
        </w:rPr>
        <w:tab/>
        <w:t>واعتمدت تايلاند،</w:t>
      </w:r>
      <w:r>
        <w:rPr>
          <w:rtl/>
        </w:rPr>
        <w:t xml:space="preserve"> </w:t>
      </w:r>
      <w:r w:rsidRPr="001B6C67">
        <w:rPr>
          <w:rtl/>
        </w:rPr>
        <w:t>كأول دولة في آسيا، خطة عمل وطنية بشأن الأعمال التجارية وحقوق الإنسان</w:t>
      </w:r>
      <w:r w:rsidR="007D3947">
        <w:rPr>
          <w:rFonts w:hint="cs"/>
          <w:rtl/>
        </w:rPr>
        <w:t xml:space="preserve"> </w:t>
      </w:r>
      <w:r w:rsidRPr="007D3947">
        <w:rPr>
          <w:spacing w:val="-6"/>
          <w:rtl/>
        </w:rPr>
        <w:t xml:space="preserve">في </w:t>
      </w:r>
      <w:r w:rsidRPr="00AF3116">
        <w:rPr>
          <w:spacing w:val="-6"/>
          <w:rtl/>
        </w:rPr>
        <w:t>29</w:t>
      </w:r>
      <w:r w:rsidRPr="007D3947">
        <w:rPr>
          <w:spacing w:val="-6"/>
          <w:rtl/>
        </w:rPr>
        <w:t xml:space="preserve"> تشرين الأول/أكتوبر </w:t>
      </w:r>
      <w:r w:rsidRPr="00AF3116">
        <w:rPr>
          <w:spacing w:val="-6"/>
          <w:rtl/>
        </w:rPr>
        <w:t>2019</w:t>
      </w:r>
      <w:r w:rsidRPr="007D3947">
        <w:rPr>
          <w:spacing w:val="-6"/>
          <w:rtl/>
        </w:rPr>
        <w:t>. وتتضمن هذه الخطة أربعة مجالات ذات أولوية</w:t>
      </w:r>
      <w:r w:rsidR="00D55BE1" w:rsidRPr="007D3947">
        <w:rPr>
          <w:rFonts w:hint="cs"/>
          <w:spacing w:val="-6"/>
          <w:rtl/>
        </w:rPr>
        <w:t>:</w:t>
      </w:r>
      <w:r w:rsidRPr="007D3947">
        <w:rPr>
          <w:spacing w:val="-6"/>
        </w:rPr>
        <w:t xml:space="preserve"> </w:t>
      </w:r>
      <w:r w:rsidRPr="007D3947">
        <w:rPr>
          <w:spacing w:val="-6"/>
          <w:rtl/>
        </w:rPr>
        <w:t>(</w:t>
      </w:r>
      <w:r w:rsidRPr="00AF3116">
        <w:rPr>
          <w:spacing w:val="-6"/>
          <w:rtl/>
        </w:rPr>
        <w:t>1</w:t>
      </w:r>
      <w:r w:rsidRPr="007D3947">
        <w:rPr>
          <w:spacing w:val="-6"/>
          <w:rtl/>
        </w:rPr>
        <w:t>)</w:t>
      </w:r>
      <w:r w:rsidR="00D55BE1" w:rsidRPr="007D3947">
        <w:rPr>
          <w:rFonts w:hint="cs"/>
          <w:spacing w:val="-6"/>
          <w:rtl/>
        </w:rPr>
        <w:t> </w:t>
      </w:r>
      <w:r w:rsidRPr="007D3947">
        <w:rPr>
          <w:spacing w:val="-6"/>
          <w:rtl/>
        </w:rPr>
        <w:t>العمل، (</w:t>
      </w:r>
      <w:r w:rsidRPr="00AF3116">
        <w:rPr>
          <w:spacing w:val="-6"/>
          <w:rtl/>
        </w:rPr>
        <w:t>2</w:t>
      </w:r>
      <w:r w:rsidRPr="007D3947">
        <w:rPr>
          <w:spacing w:val="-6"/>
          <w:rtl/>
        </w:rPr>
        <w:t>)</w:t>
      </w:r>
      <w:r w:rsidR="007D3947" w:rsidRPr="007D3947">
        <w:rPr>
          <w:rFonts w:hint="cs"/>
          <w:spacing w:val="-6"/>
          <w:rtl/>
        </w:rPr>
        <w:t xml:space="preserve"> </w:t>
      </w:r>
      <w:r w:rsidRPr="007D3947">
        <w:rPr>
          <w:spacing w:val="-6"/>
          <w:rtl/>
        </w:rPr>
        <w:t>الأراضي والبيئة والموارد الطبيعية</w:t>
      </w:r>
      <w:r w:rsidRPr="001B6C67">
        <w:rPr>
          <w:rtl/>
        </w:rPr>
        <w:t>، (</w:t>
      </w:r>
      <w:r w:rsidRPr="00AF3116">
        <w:rPr>
          <w:rtl/>
        </w:rPr>
        <w:t>3</w:t>
      </w:r>
      <w:r w:rsidRPr="001B6C67">
        <w:rPr>
          <w:rtl/>
        </w:rPr>
        <w:t>) المدافعين عن حقوق الإنسان، (</w:t>
      </w:r>
      <w:r w:rsidRPr="00AF3116">
        <w:rPr>
          <w:rtl/>
        </w:rPr>
        <w:t>4</w:t>
      </w:r>
      <w:r w:rsidRPr="001B6C67">
        <w:rPr>
          <w:rtl/>
        </w:rPr>
        <w:t>) الاستثمار عبر الحدود والمشاريع التجارية المتعددة الجنسيات. وقد أُنشِئت لجنة متعددة أصحاب المصلحة لوصف تنفيذ خطة العمل الوطنية وإعدادها ورصدها وتحليلها.</w:t>
      </w:r>
    </w:p>
    <w:p w14:paraId="6906C3CD" w14:textId="77777777" w:rsidR="00DE3D9F" w:rsidRPr="001B6C67" w:rsidRDefault="00DE3D9F" w:rsidP="00DE3D9F">
      <w:pPr>
        <w:pStyle w:val="SingleTxtGA"/>
        <w:rPr>
          <w:lang w:val="ar-SA" w:eastAsia="zh-TW" w:bidi="en-GB"/>
        </w:rPr>
      </w:pPr>
      <w:r w:rsidRPr="00AF3116">
        <w:rPr>
          <w:rtl/>
        </w:rPr>
        <w:t>111</w:t>
      </w:r>
      <w:r w:rsidRPr="001B6C67">
        <w:rPr>
          <w:rtl/>
        </w:rPr>
        <w:t>-</w:t>
      </w:r>
      <w:r w:rsidRPr="001B6C67">
        <w:rPr>
          <w:rtl/>
        </w:rPr>
        <w:tab/>
        <w:t>وبالإضافة إلى ذلك، سيحظى تنفيذ خطة العمل الوطنية بدعم جهات من بينها تايلند وبرنامج التعاون التابع لمنظمة التعاون والتنمية في الميدان الاقتصادي في تعزيز السلوك التجاري المسؤول وتمكينه، مع وضع خطة عمل للتعاون في مجال السلوك التجاري المسؤول مدتها سنتان.</w:t>
      </w:r>
    </w:p>
    <w:p w14:paraId="43929020" w14:textId="04948AFB" w:rsidR="00DE3D9F" w:rsidRPr="001B6C67" w:rsidRDefault="00DE3D9F" w:rsidP="00883EBA">
      <w:pPr>
        <w:pStyle w:val="H23GA"/>
        <w:rPr>
          <w:lang w:val="ar-SA" w:eastAsia="zh-TW" w:bidi="en-GB"/>
        </w:rPr>
      </w:pPr>
      <w:r w:rsidRPr="001B6C67">
        <w:rPr>
          <w:rtl/>
        </w:rPr>
        <w:lastRenderedPageBreak/>
        <w:tab/>
      </w:r>
      <w:r w:rsidRPr="001B6C67">
        <w:rPr>
          <w:rtl/>
        </w:rPr>
        <w:tab/>
      </w:r>
      <w:r w:rsidRPr="00AF3116">
        <w:rPr>
          <w:rtl/>
        </w:rPr>
        <w:t>حقوق فئات محددة</w:t>
      </w:r>
    </w:p>
    <w:p w14:paraId="68AFF0BE" w14:textId="6E570C96" w:rsidR="00DE3D9F" w:rsidRPr="00883EBA" w:rsidRDefault="00DE3D9F" w:rsidP="00883EBA">
      <w:pPr>
        <w:pStyle w:val="H4GA"/>
        <w:rPr>
          <w:lang w:val="en-US" w:eastAsia="zh-TW" w:bidi="en-GB"/>
        </w:rPr>
      </w:pPr>
      <w:r w:rsidRPr="001B6C67">
        <w:rPr>
          <w:rtl/>
        </w:rPr>
        <w:tab/>
      </w:r>
      <w:r w:rsidRPr="001B6C67">
        <w:rPr>
          <w:rtl/>
        </w:rPr>
        <w:tab/>
      </w:r>
      <w:r w:rsidRPr="00AF3116">
        <w:rPr>
          <w:rtl/>
        </w:rPr>
        <w:t>الأطفال</w:t>
      </w:r>
    </w:p>
    <w:p w14:paraId="40B3900D" w14:textId="77777777" w:rsidR="00DE3D9F" w:rsidRPr="001B6C67" w:rsidRDefault="00DE3D9F" w:rsidP="00DE3D9F">
      <w:pPr>
        <w:pStyle w:val="SingleTxtGA"/>
        <w:rPr>
          <w:lang w:val="ar-SA" w:eastAsia="zh-TW" w:bidi="en-GB"/>
        </w:rPr>
      </w:pPr>
      <w:r w:rsidRPr="00AF3116">
        <w:rPr>
          <w:rtl/>
        </w:rPr>
        <w:t>112</w:t>
      </w:r>
      <w:r w:rsidRPr="001B6C67">
        <w:rPr>
          <w:rtl/>
        </w:rPr>
        <w:t>-</w:t>
      </w:r>
      <w:r w:rsidRPr="001B6C67">
        <w:rPr>
          <w:rtl/>
        </w:rPr>
        <w:tab/>
        <w:t xml:space="preserve">يعزز القانون الوطني لتعزيز تنمية الطفل والشباب </w:t>
      </w:r>
      <w:r w:rsidRPr="001B6C67">
        <w:t xml:space="preserve">B.E. </w:t>
      </w:r>
      <w:r w:rsidRPr="00AF3116">
        <w:t>2550</w:t>
      </w:r>
      <w:r w:rsidRPr="001B6C67">
        <w:t xml:space="preserve"> (</w:t>
      </w:r>
      <w:r w:rsidRPr="00AF3116">
        <w:t>2007</w:t>
      </w:r>
      <w:r w:rsidRPr="001B6C67">
        <w:t>)</w:t>
      </w:r>
      <w:r w:rsidRPr="001B6C67">
        <w:rPr>
          <w:rtl/>
        </w:rPr>
        <w:t xml:space="preserve"> مصلحة الطفل الفضلى ويكفل حقوق الطفل الأساسية دون تمييز. ويعزز القانون أيضاً ويغرس في الأطفال أخلاقاً وقيماً من قبيل الرابطة الأسرية، والفخر الوطني والقيم الديمقراطية، وحرية التعبير، والمشاركة في الحياة العامة. ويؤكد من جديد حقوق الطفل في الحصول على أعلى مستوى من الرعاية الصحية المتاحة، وعلى حقوقه في اللعب والمشاركة في الشؤون الثقافية والاجتماعية. </w:t>
      </w:r>
    </w:p>
    <w:p w14:paraId="43AA1332" w14:textId="77777777" w:rsidR="00DE3D9F" w:rsidRPr="001B6C67" w:rsidRDefault="00DE3D9F" w:rsidP="00DE3D9F">
      <w:pPr>
        <w:pStyle w:val="SingleTxtGA"/>
        <w:rPr>
          <w:lang w:val="ar-SA" w:eastAsia="zh-TW" w:bidi="en-GB"/>
        </w:rPr>
      </w:pPr>
      <w:r w:rsidRPr="00AF3116">
        <w:rPr>
          <w:rtl/>
        </w:rPr>
        <w:t>113</w:t>
      </w:r>
      <w:r w:rsidRPr="001B6C67">
        <w:rPr>
          <w:rtl/>
        </w:rPr>
        <w:t>-</w:t>
      </w:r>
      <w:r w:rsidRPr="001B6C67">
        <w:rPr>
          <w:rtl/>
        </w:rPr>
        <w:tab/>
        <w:t xml:space="preserve">وتوفر الخطة الوطنية لتنمية </w:t>
      </w:r>
      <w:r>
        <w:rPr>
          <w:rtl/>
        </w:rPr>
        <w:t>الأطفال</w:t>
      </w:r>
      <w:r w:rsidRPr="001B6C67">
        <w:rPr>
          <w:rtl/>
        </w:rPr>
        <w:t xml:space="preserve"> والشباب </w:t>
      </w:r>
      <w:r w:rsidRPr="001B6C67">
        <w:t xml:space="preserve">B.E. </w:t>
      </w:r>
      <w:r w:rsidRPr="00AF3116">
        <w:t>2560</w:t>
      </w:r>
      <w:r w:rsidRPr="001B6C67">
        <w:t>-</w:t>
      </w:r>
      <w:r w:rsidRPr="00AF3116">
        <w:t>2564</w:t>
      </w:r>
      <w:r w:rsidRPr="001B6C67">
        <w:rPr>
          <w:rtl/>
        </w:rPr>
        <w:t xml:space="preserve"> (</w:t>
      </w:r>
      <w:r w:rsidRPr="00AF3116">
        <w:rPr>
          <w:rtl/>
        </w:rPr>
        <w:t>2017</w:t>
      </w:r>
      <w:r w:rsidRPr="001B6C67">
        <w:rPr>
          <w:rtl/>
        </w:rPr>
        <w:t>-</w:t>
      </w:r>
      <w:r w:rsidRPr="00AF3116">
        <w:rPr>
          <w:rtl/>
        </w:rPr>
        <w:t>2021</w:t>
      </w:r>
      <w:r w:rsidRPr="001B6C67">
        <w:rPr>
          <w:rtl/>
        </w:rPr>
        <w:t xml:space="preserve">) إطاراً لوضع البرامج والأنشطة للأطفال والشباب بما يتماشى مع الخطة </w:t>
      </w:r>
      <w:r w:rsidRPr="00AF3116">
        <w:rPr>
          <w:rtl/>
        </w:rPr>
        <w:t>الوطنية الثانية عشرة للتنمية الاقتصادية</w:t>
      </w:r>
      <w:r w:rsidRPr="001B6C67">
        <w:rPr>
          <w:rtl/>
        </w:rPr>
        <w:t xml:space="preserve"> والاجتماعية. والهدف الرئيسي من الخطة هو ضمان أن يعيش الأطفال والشباب حياة آمنة ومأمونة؛ وأن</w:t>
      </w:r>
      <w:r>
        <w:rPr>
          <w:rtl/>
        </w:rPr>
        <w:t xml:space="preserve"> يكونوا</w:t>
      </w:r>
      <w:r w:rsidRPr="001B6C67">
        <w:rPr>
          <w:rtl/>
        </w:rPr>
        <w:t xml:space="preserve"> بصحة بدنية وعقلية جيدة؛ وأن</w:t>
      </w:r>
      <w:r>
        <w:rPr>
          <w:rtl/>
        </w:rPr>
        <w:t xml:space="preserve"> تكون</w:t>
      </w:r>
      <w:r w:rsidRPr="001B6C67">
        <w:rPr>
          <w:rtl/>
        </w:rPr>
        <w:t xml:space="preserve"> لديهم أخلاقيات وأخلاق جيدة وإحساس بالواجب المدني؛ وأن</w:t>
      </w:r>
      <w:r>
        <w:rPr>
          <w:rtl/>
        </w:rPr>
        <w:t xml:space="preserve"> يكونوا</w:t>
      </w:r>
      <w:r w:rsidRPr="001B6C67">
        <w:rPr>
          <w:rtl/>
        </w:rPr>
        <w:t xml:space="preserve"> قادر</w:t>
      </w:r>
      <w:r>
        <w:rPr>
          <w:rtl/>
        </w:rPr>
        <w:t>ي</w:t>
      </w:r>
      <w:r w:rsidRPr="001B6C67">
        <w:rPr>
          <w:rtl/>
        </w:rPr>
        <w:t>ن على التعبير عن أنفسهم بطريقة مبدعة؛ وأن ينعمو</w:t>
      </w:r>
      <w:r>
        <w:rPr>
          <w:rtl/>
        </w:rPr>
        <w:t>ا</w:t>
      </w:r>
      <w:r w:rsidRPr="001B6C67">
        <w:rPr>
          <w:rtl/>
        </w:rPr>
        <w:t xml:space="preserve"> بسعادة جوهرية. </w:t>
      </w:r>
    </w:p>
    <w:p w14:paraId="6EAF4226" w14:textId="77777777" w:rsidR="00DE3D9F" w:rsidRPr="001B6C67" w:rsidRDefault="00DE3D9F" w:rsidP="00DE3D9F">
      <w:pPr>
        <w:pStyle w:val="SingleTxtGA"/>
        <w:rPr>
          <w:lang w:val="ar-SA" w:eastAsia="zh-TW" w:bidi="en-GB"/>
        </w:rPr>
      </w:pPr>
      <w:bookmarkStart w:id="25" w:name="_Ref51771110"/>
      <w:r w:rsidRPr="00AF3116">
        <w:rPr>
          <w:rtl/>
        </w:rPr>
        <w:t>114</w:t>
      </w:r>
      <w:r w:rsidRPr="001B6C67">
        <w:rPr>
          <w:rtl/>
        </w:rPr>
        <w:t>-</w:t>
      </w:r>
      <w:r w:rsidRPr="001B6C67">
        <w:rPr>
          <w:rtl/>
        </w:rPr>
        <w:tab/>
        <w:t xml:space="preserve">وبموجب قرار صادر عن مجلس الوزراء في عام </w:t>
      </w:r>
      <w:r w:rsidRPr="00AF3116">
        <w:rPr>
          <w:rtl/>
        </w:rPr>
        <w:t>2005</w:t>
      </w:r>
      <w:r w:rsidRPr="001B6C67">
        <w:rPr>
          <w:rtl/>
        </w:rPr>
        <w:t>، يحصل جميع الأطفال على خمس</w:t>
      </w:r>
      <w:r>
        <w:rPr>
          <w:rtl/>
        </w:rPr>
        <w:t>ة</w:t>
      </w:r>
      <w:r w:rsidRPr="001B6C67">
        <w:rPr>
          <w:rtl/>
        </w:rPr>
        <w:t xml:space="preserve"> عشر عاماً من التعليم الأساسي دون تمييز، بغض النظر عن جنسيتهم أو قدرتهم على تقديم وثائق رسمية تؤكد أي وضع آخر، وفقاً لسياسة "التعليم للجميع". وتقدم الدولة دعم الإنفاق عن كل فرد للمؤسسات التعليمية المعنية في تيسير هذا الإجراء.</w:t>
      </w:r>
      <w:bookmarkEnd w:id="25"/>
    </w:p>
    <w:p w14:paraId="5489959A" w14:textId="74F74F2C" w:rsidR="00DE3D9F" w:rsidRPr="001B6C67" w:rsidRDefault="00DE3D9F" w:rsidP="00DE3D9F">
      <w:pPr>
        <w:pStyle w:val="SingleTxtGA"/>
        <w:rPr>
          <w:lang w:val="ar-SA" w:eastAsia="zh-TW" w:bidi="en-GB"/>
        </w:rPr>
      </w:pPr>
      <w:bookmarkStart w:id="26" w:name="_Ref51770753"/>
      <w:r w:rsidRPr="00AF3116">
        <w:rPr>
          <w:rtl/>
        </w:rPr>
        <w:t>115</w:t>
      </w:r>
      <w:r w:rsidRPr="001B6C67">
        <w:rPr>
          <w:rtl/>
        </w:rPr>
        <w:t>-</w:t>
      </w:r>
      <w:r w:rsidRPr="001B6C67">
        <w:rPr>
          <w:rtl/>
        </w:rPr>
        <w:tab/>
        <w:t xml:space="preserve">وتم تأسيس صندوق التعليم المنصف بموجب قانون صندوق المساواة في التعليم لعام </w:t>
      </w:r>
      <w:r w:rsidRPr="00AF3116">
        <w:rPr>
          <w:rtl/>
        </w:rPr>
        <w:t>2018</w:t>
      </w:r>
      <w:r w:rsidRPr="001B6C67">
        <w:rPr>
          <w:rtl/>
        </w:rPr>
        <w:t xml:space="preserve">، اعتباراً من </w:t>
      </w:r>
      <w:r w:rsidRPr="00AF3116">
        <w:rPr>
          <w:rtl/>
        </w:rPr>
        <w:t>14</w:t>
      </w:r>
      <w:r w:rsidRPr="001B6C67">
        <w:rPr>
          <w:rtl/>
        </w:rPr>
        <w:t xml:space="preserve"> أيار/مايو </w:t>
      </w:r>
      <w:r w:rsidRPr="00AF3116">
        <w:rPr>
          <w:rtl/>
        </w:rPr>
        <w:t>2018</w:t>
      </w:r>
      <w:r w:rsidRPr="001B6C67">
        <w:rPr>
          <w:rtl/>
        </w:rPr>
        <w:t>. والصندوق أداة هامة في الحد من عدم المساواة وزيادة فرص التعليم. وهو يستجيب لاحتياجات المحرومين لتلقي التعليم معاً، فضلاً عن تعزيز وتحسين نوعية المعلمين وكفاءتهم. وبالإضافة إلى ذلك، يقدم الصندوق دعماً للأنشطة الرامية إلى تنمية المهارات المهنية والمهارات</w:t>
      </w:r>
      <w:r w:rsidR="00D55BE1">
        <w:rPr>
          <w:rFonts w:hint="cs"/>
          <w:rtl/>
        </w:rPr>
        <w:t> </w:t>
      </w:r>
      <w:r w:rsidRPr="001B6C67">
        <w:rPr>
          <w:rtl/>
        </w:rPr>
        <w:t xml:space="preserve">الحياتية. </w:t>
      </w:r>
      <w:bookmarkEnd w:id="26"/>
    </w:p>
    <w:p w14:paraId="3D3D2111" w14:textId="77777777" w:rsidR="00DE3D9F" w:rsidRPr="001B6C67" w:rsidRDefault="00DE3D9F" w:rsidP="00DE3D9F">
      <w:pPr>
        <w:pStyle w:val="SingleTxtGA"/>
        <w:rPr>
          <w:lang w:val="ar-SA" w:eastAsia="zh-TW" w:bidi="en-GB"/>
        </w:rPr>
      </w:pPr>
      <w:r w:rsidRPr="00AF3116">
        <w:rPr>
          <w:rtl/>
        </w:rPr>
        <w:t>116</w:t>
      </w:r>
      <w:r w:rsidRPr="001B6C67">
        <w:rPr>
          <w:rtl/>
        </w:rPr>
        <w:t>-</w:t>
      </w:r>
      <w:r w:rsidRPr="001B6C67">
        <w:rPr>
          <w:rtl/>
        </w:rPr>
        <w:tab/>
        <w:t xml:space="preserve">ووفقاً للمادة </w:t>
      </w:r>
      <w:r w:rsidRPr="00AF3116">
        <w:rPr>
          <w:rtl/>
        </w:rPr>
        <w:t>287</w:t>
      </w:r>
      <w:r w:rsidRPr="001B6C67">
        <w:rPr>
          <w:rtl/>
        </w:rPr>
        <w:t>/</w:t>
      </w:r>
      <w:r w:rsidRPr="00AF3116">
        <w:rPr>
          <w:rtl/>
        </w:rPr>
        <w:t>1</w:t>
      </w:r>
      <w:r w:rsidRPr="001B6C67">
        <w:rPr>
          <w:rtl/>
        </w:rPr>
        <w:t xml:space="preserve"> من قانون العقوبات، يُعتبر استغلال الأطفال في المواد الإباحية جريمة محددة بموجب القانون التايلندي </w:t>
      </w:r>
      <w:r>
        <w:rPr>
          <w:rtl/>
        </w:rPr>
        <w:t>و</w:t>
      </w:r>
      <w:r w:rsidRPr="001B6C67">
        <w:rPr>
          <w:rtl/>
        </w:rPr>
        <w:t>يُعاقب كل من كانت بحوزته هذه المواد.</w:t>
      </w:r>
    </w:p>
    <w:p w14:paraId="6D2A6722" w14:textId="77777777" w:rsidR="00DE3D9F" w:rsidRPr="001B6C67" w:rsidRDefault="00DE3D9F" w:rsidP="00DE3D9F">
      <w:pPr>
        <w:pStyle w:val="SingleTxtGA"/>
        <w:rPr>
          <w:lang w:val="ar-SA" w:eastAsia="zh-TW" w:bidi="en-GB"/>
        </w:rPr>
      </w:pPr>
      <w:r w:rsidRPr="00AF3116">
        <w:rPr>
          <w:rtl/>
        </w:rPr>
        <w:t>117</w:t>
      </w:r>
      <w:r w:rsidRPr="001B6C67">
        <w:rPr>
          <w:rtl/>
        </w:rPr>
        <w:t>-</w:t>
      </w:r>
      <w:r w:rsidRPr="001B6C67">
        <w:rPr>
          <w:rtl/>
        </w:rPr>
        <w:tab/>
        <w:t xml:space="preserve">في </w:t>
      </w:r>
      <w:r w:rsidRPr="00AF3116">
        <w:rPr>
          <w:rtl/>
        </w:rPr>
        <w:t>21</w:t>
      </w:r>
      <w:r w:rsidRPr="001B6C67">
        <w:rPr>
          <w:rtl/>
        </w:rPr>
        <w:t xml:space="preserve"> كانون الثاني/يناير </w:t>
      </w:r>
      <w:r w:rsidRPr="00AF3116">
        <w:rPr>
          <w:rtl/>
        </w:rPr>
        <w:t>2019</w:t>
      </w:r>
      <w:r w:rsidRPr="001B6C67">
        <w:rPr>
          <w:rtl/>
        </w:rPr>
        <w:t xml:space="preserve">، وقعت </w:t>
      </w:r>
      <w:r w:rsidRPr="00AF3116">
        <w:rPr>
          <w:rtl/>
        </w:rPr>
        <w:t>7</w:t>
      </w:r>
      <w:r w:rsidRPr="001B6C67">
        <w:rPr>
          <w:rtl/>
        </w:rPr>
        <w:t xml:space="preserve"> وكالات تايلاندية معنية مذكرة تفاهم بشأن تحديد التدابير والنهج البديلة لاحتجاز الأطفال في مراكز احتجاز المهاجرين. وتهدف مذكرة التفاهم إلى تحديد المسؤوليات وتوفير مبادئ توجيهية مشتركة لدمج الإجراءات المتعلقة بعدم احتجاز الأطفال المهاجرين دون سن </w:t>
      </w:r>
      <w:r w:rsidRPr="00AF3116">
        <w:rPr>
          <w:rtl/>
        </w:rPr>
        <w:t>18</w:t>
      </w:r>
      <w:r w:rsidRPr="001B6C67">
        <w:rPr>
          <w:rtl/>
        </w:rPr>
        <w:t xml:space="preserve"> عاماً. وبدلاً من البقاء في مركز لاحتجاز المهاجرين، سيوضع الأطفال وأمهاتهم أو أولياء أمورهم إما تحت رعاية وزارة التنمية الاجتماعية والأمن البشري أو المنظمات الخاصة أو منظمات المجتمع المدني في انتظار حلول طويلة الأجل.</w:t>
      </w:r>
    </w:p>
    <w:p w14:paraId="0EC37B04" w14:textId="77777777" w:rsidR="00DE3D9F" w:rsidRPr="001B6C67" w:rsidRDefault="00DE3D9F" w:rsidP="00883EBA">
      <w:pPr>
        <w:pStyle w:val="H4GA"/>
        <w:rPr>
          <w:lang w:val="ar-SA" w:eastAsia="zh-TW" w:bidi="en-GB"/>
        </w:rPr>
      </w:pPr>
      <w:r w:rsidRPr="001B6C67">
        <w:rPr>
          <w:rtl/>
        </w:rPr>
        <w:tab/>
      </w:r>
      <w:r w:rsidRPr="001B6C67">
        <w:rPr>
          <w:rtl/>
        </w:rPr>
        <w:tab/>
      </w:r>
      <w:r w:rsidRPr="00AF3116">
        <w:rPr>
          <w:rtl/>
        </w:rPr>
        <w:t>النساء</w:t>
      </w:r>
      <w:bookmarkStart w:id="27" w:name="_Ref45066190"/>
    </w:p>
    <w:p w14:paraId="7C52FF13" w14:textId="77777777" w:rsidR="00DE3D9F" w:rsidRPr="001B6C67" w:rsidRDefault="00DE3D9F" w:rsidP="00DE3D9F">
      <w:pPr>
        <w:pStyle w:val="SingleTxtGA"/>
        <w:rPr>
          <w:lang w:val="ar-SA" w:eastAsia="zh-TW" w:bidi="en-GB"/>
        </w:rPr>
      </w:pPr>
      <w:r w:rsidRPr="00AF3116">
        <w:rPr>
          <w:rtl/>
        </w:rPr>
        <w:t>118</w:t>
      </w:r>
      <w:r w:rsidRPr="001B6C67">
        <w:rPr>
          <w:rtl/>
        </w:rPr>
        <w:t>-</w:t>
      </w:r>
      <w:r w:rsidRPr="001B6C67">
        <w:rPr>
          <w:rtl/>
        </w:rPr>
        <w:tab/>
        <w:t>عززت الحكومة التشريعات والسياسات ذات الصلة لتعزيز المساواة في الحقوق والفرص الاقتصادية، مثل قانون المساواة بين الجنسين (</w:t>
      </w:r>
      <w:r w:rsidRPr="00AF3116">
        <w:rPr>
          <w:rtl/>
        </w:rPr>
        <w:t>2015</w:t>
      </w:r>
      <w:r w:rsidRPr="001B6C67">
        <w:rPr>
          <w:rtl/>
        </w:rPr>
        <w:t>)، وقانون الضمان الاجتماعي (</w:t>
      </w:r>
      <w:r w:rsidRPr="00AF3116">
        <w:rPr>
          <w:rtl/>
        </w:rPr>
        <w:t>1990</w:t>
      </w:r>
      <w:r w:rsidRPr="001B6C67">
        <w:rPr>
          <w:rtl/>
        </w:rPr>
        <w:t>)، وتعديل قانون حماية العمل (</w:t>
      </w:r>
      <w:r w:rsidRPr="00AF3116">
        <w:rPr>
          <w:rtl/>
        </w:rPr>
        <w:t>2008</w:t>
      </w:r>
      <w:r w:rsidRPr="001B6C67">
        <w:rPr>
          <w:rtl/>
        </w:rPr>
        <w:t xml:space="preserve">) لضمان الأجر المتساوي عن العمل المتساوي. وبالإضافة إلى ذلك، أنشأت تايلند صندوق تمكين المرأة التايلندي، فضلاً عن ثمانية مراكز تعليمية للنهوض بالمرأة والأسرة في جميع أنحاء البلد. </w:t>
      </w:r>
    </w:p>
    <w:p w14:paraId="171065B4" w14:textId="77777777" w:rsidR="00DE3D9F" w:rsidRPr="001B6C67" w:rsidRDefault="00DE3D9F" w:rsidP="00DE3D9F">
      <w:pPr>
        <w:pStyle w:val="SingleTxtGA"/>
        <w:rPr>
          <w:lang w:val="ar-SA" w:eastAsia="zh-TW" w:bidi="en-GB"/>
        </w:rPr>
      </w:pPr>
      <w:r w:rsidRPr="00AF3116">
        <w:rPr>
          <w:rtl/>
        </w:rPr>
        <w:lastRenderedPageBreak/>
        <w:t>119</w:t>
      </w:r>
      <w:r w:rsidRPr="001B6C67">
        <w:rPr>
          <w:rtl/>
        </w:rPr>
        <w:t>-</w:t>
      </w:r>
      <w:r w:rsidRPr="001B6C67">
        <w:rPr>
          <w:rtl/>
        </w:rPr>
        <w:tab/>
        <w:t xml:space="preserve">وقد حددت جميع الخطط الوطنية لحقوق الإنسان النساء والفتيات كفئة مستهدفة وتضمنت </w:t>
      </w:r>
      <w:r w:rsidRPr="00883EBA">
        <w:rPr>
          <w:spacing w:val="-4"/>
          <w:rtl/>
        </w:rPr>
        <w:t>استراتيجيات والتزامات لتعزيز حقوقهن وحمايتها. وتضع الاستراتيجية الوطنية لتنمية المرأة (</w:t>
      </w:r>
      <w:r w:rsidRPr="00AF3116">
        <w:rPr>
          <w:spacing w:val="-4"/>
          <w:rtl/>
        </w:rPr>
        <w:t>2017</w:t>
      </w:r>
      <w:r w:rsidRPr="00883EBA">
        <w:rPr>
          <w:spacing w:val="-4"/>
          <w:rtl/>
        </w:rPr>
        <w:t>-</w:t>
      </w:r>
      <w:r w:rsidRPr="00AF3116">
        <w:rPr>
          <w:spacing w:val="-4"/>
          <w:rtl/>
        </w:rPr>
        <w:t>2021</w:t>
      </w:r>
      <w:r w:rsidRPr="00883EBA">
        <w:rPr>
          <w:spacing w:val="-4"/>
          <w:rtl/>
        </w:rPr>
        <w:t>)</w:t>
      </w:r>
      <w:r w:rsidRPr="001B6C67">
        <w:rPr>
          <w:rtl/>
        </w:rPr>
        <w:t xml:space="preserve"> خارطة طريق </w:t>
      </w:r>
      <w:r>
        <w:rPr>
          <w:rtl/>
        </w:rPr>
        <w:t>ل</w:t>
      </w:r>
      <w:r w:rsidRPr="001B6C67">
        <w:rPr>
          <w:rtl/>
        </w:rPr>
        <w:t>لمضي قدماً بالمساواة بين الجنسين وتمكين المرأة و</w:t>
      </w:r>
      <w:r>
        <w:rPr>
          <w:rtl/>
        </w:rPr>
        <w:t>إ</w:t>
      </w:r>
      <w:r w:rsidRPr="001B6C67">
        <w:rPr>
          <w:rtl/>
        </w:rPr>
        <w:t>دم</w:t>
      </w:r>
      <w:r>
        <w:rPr>
          <w:rtl/>
        </w:rPr>
        <w:t>ا</w:t>
      </w:r>
      <w:r w:rsidRPr="001B6C67">
        <w:rPr>
          <w:rtl/>
        </w:rPr>
        <w:t xml:space="preserve">ج المبادئ والمعايير الواردة في اتفاقية القضاء على جميع أشكال التمييز ضد المرأة، وإعلان ومنهاج عمل بيجين، وخطة التنمية المستدامة لعام </w:t>
      </w:r>
      <w:r w:rsidRPr="00AF3116">
        <w:rPr>
          <w:rtl/>
        </w:rPr>
        <w:t>2030</w:t>
      </w:r>
      <w:r w:rsidRPr="001B6C67">
        <w:rPr>
          <w:rtl/>
        </w:rPr>
        <w:t xml:space="preserve">. </w:t>
      </w:r>
      <w:bookmarkEnd w:id="27"/>
    </w:p>
    <w:p w14:paraId="6B1A7026" w14:textId="77777777" w:rsidR="00DE3D9F" w:rsidRPr="001B6C67" w:rsidRDefault="00DE3D9F" w:rsidP="00883EBA">
      <w:pPr>
        <w:pStyle w:val="H4GA"/>
        <w:rPr>
          <w:lang w:val="ar-SA" w:eastAsia="zh-TW" w:bidi="en-GB"/>
        </w:rPr>
      </w:pPr>
      <w:r w:rsidRPr="001B6C67">
        <w:rPr>
          <w:rtl/>
        </w:rPr>
        <w:tab/>
      </w:r>
      <w:r w:rsidRPr="001B6C67">
        <w:rPr>
          <w:rtl/>
        </w:rPr>
        <w:tab/>
      </w:r>
      <w:proofErr w:type="spellStart"/>
      <w:r w:rsidRPr="001B6C67">
        <w:rPr>
          <w:rtl/>
        </w:rPr>
        <w:t>المثليات</w:t>
      </w:r>
      <w:proofErr w:type="spellEnd"/>
      <w:r w:rsidRPr="001B6C67">
        <w:rPr>
          <w:rtl/>
        </w:rPr>
        <w:t xml:space="preserve"> </w:t>
      </w:r>
      <w:proofErr w:type="spellStart"/>
      <w:r w:rsidRPr="001B6C67">
        <w:rPr>
          <w:rtl/>
        </w:rPr>
        <w:t>والمثليون</w:t>
      </w:r>
      <w:proofErr w:type="spellEnd"/>
      <w:r w:rsidRPr="001B6C67">
        <w:rPr>
          <w:rtl/>
        </w:rPr>
        <w:t xml:space="preserve"> ومزدوجو الميل الجنسي ومغايرو الهوية الجنسانية</w:t>
      </w:r>
    </w:p>
    <w:p w14:paraId="704D3FC3" w14:textId="77777777" w:rsidR="00DE3D9F" w:rsidRPr="001B6C67" w:rsidRDefault="00DE3D9F" w:rsidP="00DE3D9F">
      <w:pPr>
        <w:pStyle w:val="SingleTxtGA"/>
        <w:rPr>
          <w:lang w:val="ar-SA" w:eastAsia="zh-TW" w:bidi="en-GB"/>
        </w:rPr>
      </w:pPr>
      <w:r w:rsidRPr="00AF3116">
        <w:rPr>
          <w:rtl/>
        </w:rPr>
        <w:t>120</w:t>
      </w:r>
      <w:r w:rsidRPr="001B6C67">
        <w:rPr>
          <w:rtl/>
        </w:rPr>
        <w:t>-</w:t>
      </w:r>
      <w:r w:rsidRPr="001B6C67">
        <w:rPr>
          <w:rtl/>
        </w:rPr>
        <w:tab/>
        <w:t xml:space="preserve">قانون المساواة بين الجنسين لعام </w:t>
      </w:r>
      <w:r w:rsidRPr="00AF3116">
        <w:rPr>
          <w:rtl/>
        </w:rPr>
        <w:t>2015</w:t>
      </w:r>
      <w:r w:rsidRPr="001B6C67">
        <w:rPr>
          <w:rtl/>
        </w:rPr>
        <w:t xml:space="preserve"> جزء بارز من التشريعات الرامية إلى التصدي للتمييز </w:t>
      </w:r>
      <w:proofErr w:type="spellStart"/>
      <w:r w:rsidRPr="001B6C67">
        <w:rPr>
          <w:rtl/>
        </w:rPr>
        <w:t>الجنساني</w:t>
      </w:r>
      <w:proofErr w:type="spellEnd"/>
      <w:r w:rsidRPr="001B6C67">
        <w:rPr>
          <w:rtl/>
        </w:rPr>
        <w:t xml:space="preserve"> سواء ضد الذكور أو الإناث أو من يعبرون عن أنفسهم بطريقة مختلفة عمن ينتمون للجنس الذي وُلِد</w:t>
      </w:r>
      <w:r>
        <w:rPr>
          <w:rtl/>
        </w:rPr>
        <w:t>وا</w:t>
      </w:r>
      <w:r w:rsidRPr="001B6C67">
        <w:rPr>
          <w:rtl/>
        </w:rPr>
        <w:t xml:space="preserve"> به. وينشئ القانون أيضاً آليات وطنية لتبسيط السياسات ذات الصلة والإشراف على الالتماسات وتوفير سبل الانتصاف للأشخاص الذين يتعرضون للتمييز على أساس نوعهم الاجتماعي.</w:t>
      </w:r>
    </w:p>
    <w:p w14:paraId="5E9413A6" w14:textId="77777777" w:rsidR="00DE3D9F" w:rsidRPr="001B6C67" w:rsidRDefault="00DE3D9F" w:rsidP="00DE3D9F">
      <w:pPr>
        <w:pStyle w:val="SingleTxtGA"/>
        <w:rPr>
          <w:lang w:val="ar-SA" w:eastAsia="zh-TW" w:bidi="en-GB"/>
        </w:rPr>
      </w:pPr>
      <w:r w:rsidRPr="00AF3116">
        <w:rPr>
          <w:rtl/>
        </w:rPr>
        <w:t>121</w:t>
      </w:r>
      <w:r w:rsidRPr="001B6C67">
        <w:rPr>
          <w:rtl/>
        </w:rPr>
        <w:t>-</w:t>
      </w:r>
      <w:r w:rsidRPr="001B6C67">
        <w:rPr>
          <w:rtl/>
        </w:rPr>
        <w:tab/>
        <w:t xml:space="preserve">وتضمن الخطة </w:t>
      </w:r>
      <w:r w:rsidRPr="00AF3116">
        <w:rPr>
          <w:rtl/>
        </w:rPr>
        <w:t>الوطنية الرابعة</w:t>
      </w:r>
      <w:r w:rsidRPr="001B6C67">
        <w:rPr>
          <w:rtl/>
        </w:rPr>
        <w:t xml:space="preserve"> لحقوق الإنسان (</w:t>
      </w:r>
      <w:r w:rsidRPr="00AF3116">
        <w:rPr>
          <w:rtl/>
        </w:rPr>
        <w:t>2019</w:t>
      </w:r>
      <w:r w:rsidRPr="001B6C67">
        <w:rPr>
          <w:rtl/>
        </w:rPr>
        <w:t>-</w:t>
      </w:r>
      <w:r w:rsidRPr="00AF3116">
        <w:rPr>
          <w:rtl/>
        </w:rPr>
        <w:t>2023</w:t>
      </w:r>
      <w:r w:rsidRPr="001B6C67">
        <w:rPr>
          <w:rtl/>
        </w:rPr>
        <w:t>) التزام جميع الجهات الفاعلة بتعزيز حقوق الإنسان والمساواة بين الجنسين، وهو أمر أساسي لتحقيق التنمية المستدامة.</w:t>
      </w:r>
    </w:p>
    <w:p w14:paraId="71C2B23A" w14:textId="77777777" w:rsidR="00DE3D9F" w:rsidRPr="001B6C67" w:rsidRDefault="00DE3D9F" w:rsidP="00DE3D9F">
      <w:pPr>
        <w:pStyle w:val="SingleTxtGA"/>
        <w:rPr>
          <w:lang w:val="ar-SA" w:eastAsia="zh-TW" w:bidi="en-GB"/>
        </w:rPr>
      </w:pPr>
      <w:r w:rsidRPr="00AF3116">
        <w:rPr>
          <w:rtl/>
        </w:rPr>
        <w:t>122</w:t>
      </w:r>
      <w:r w:rsidRPr="001B6C67">
        <w:rPr>
          <w:rtl/>
        </w:rPr>
        <w:t>-</w:t>
      </w:r>
      <w:r w:rsidRPr="001B6C67">
        <w:rPr>
          <w:rtl/>
        </w:rPr>
        <w:tab/>
        <w:t xml:space="preserve">وتقوم تايلند حالياً بصياغة قانون الشراكة المدنية لضمان الحقوق القانونية </w:t>
      </w:r>
      <w:proofErr w:type="spellStart"/>
      <w:r w:rsidRPr="001B6C67">
        <w:rPr>
          <w:rtl/>
        </w:rPr>
        <w:t>للمثليات</w:t>
      </w:r>
      <w:proofErr w:type="spellEnd"/>
      <w:r w:rsidRPr="001B6C67">
        <w:rPr>
          <w:rtl/>
        </w:rPr>
        <w:t xml:space="preserve"> والمثليين ومزدوجي الميل الجنسي ومغايري الهوية الجنسانية الذين يرغبون في الاقتران في إطار شراكة مدنية، وهو يشمل قضايا مثل العلاقة القانونية وحقوق الملكية والميراث.</w:t>
      </w:r>
    </w:p>
    <w:p w14:paraId="553C3CA0" w14:textId="3C7C238A" w:rsidR="00DE3D9F" w:rsidRPr="00D55BE1" w:rsidRDefault="00DE3D9F" w:rsidP="00883EBA">
      <w:pPr>
        <w:pStyle w:val="H4GA"/>
        <w:rPr>
          <w:lang w:val="en-US" w:eastAsia="zh-TW" w:bidi="en-GB"/>
        </w:rPr>
      </w:pPr>
      <w:r w:rsidRPr="001B6C67">
        <w:rPr>
          <w:rtl/>
        </w:rPr>
        <w:tab/>
      </w:r>
      <w:r w:rsidRPr="001B6C67">
        <w:rPr>
          <w:rtl/>
        </w:rPr>
        <w:tab/>
      </w:r>
      <w:r w:rsidRPr="00AF3116">
        <w:rPr>
          <w:rtl/>
        </w:rPr>
        <w:t>الأشخاص ذوو الإعاقة</w:t>
      </w:r>
    </w:p>
    <w:p w14:paraId="02EEB326" w14:textId="77777777" w:rsidR="00DE3D9F" w:rsidRPr="001B6C67" w:rsidRDefault="00DE3D9F" w:rsidP="00DE3D9F">
      <w:pPr>
        <w:pStyle w:val="SingleTxtGA"/>
        <w:rPr>
          <w:lang w:val="ar-SA" w:eastAsia="zh-TW" w:bidi="en-GB"/>
        </w:rPr>
      </w:pPr>
      <w:r w:rsidRPr="00AF3116">
        <w:rPr>
          <w:rtl/>
        </w:rPr>
        <w:t>123</w:t>
      </w:r>
      <w:r w:rsidRPr="001B6C67">
        <w:rPr>
          <w:rtl/>
        </w:rPr>
        <w:t>-</w:t>
      </w:r>
      <w:r w:rsidRPr="001B6C67">
        <w:rPr>
          <w:rtl/>
        </w:rPr>
        <w:tab/>
        <w:t xml:space="preserve">يكفل قانون تمكين الأشخاص ذوي الإعاقة </w:t>
      </w:r>
      <w:r w:rsidRPr="001B6C67">
        <w:t xml:space="preserve">B.E. </w:t>
      </w:r>
      <w:r w:rsidRPr="00AF3116">
        <w:t>2550</w:t>
      </w:r>
      <w:r w:rsidRPr="001B6C67">
        <w:t xml:space="preserve"> (</w:t>
      </w:r>
      <w:r w:rsidRPr="00AF3116">
        <w:t>2007</w:t>
      </w:r>
      <w:r w:rsidRPr="001B6C67">
        <w:t>)</w:t>
      </w:r>
      <w:r w:rsidRPr="001B6C67">
        <w:rPr>
          <w:rtl/>
        </w:rPr>
        <w:t xml:space="preserve"> وتعديله في عام </w:t>
      </w:r>
      <w:r w:rsidRPr="00AF3116">
        <w:rPr>
          <w:rtl/>
        </w:rPr>
        <w:t>2013</w:t>
      </w:r>
      <w:r w:rsidRPr="001B6C67">
        <w:rPr>
          <w:rtl/>
        </w:rPr>
        <w:t xml:space="preserve"> تمتع الأشخاص ذوي الإعاقة تمتعاً كاملاً بحقوق الإنسان والحريات الأساسية </w:t>
      </w:r>
      <w:r>
        <w:rPr>
          <w:rtl/>
        </w:rPr>
        <w:t>على قدم المساواة</w:t>
      </w:r>
      <w:r w:rsidRPr="001B6C67">
        <w:rPr>
          <w:rtl/>
        </w:rPr>
        <w:t>. ويحمي أيضاً الأشخاص ذوي الإعاقة من جميع وسائل التمييز الجائر. ويضمن أيضاً تمتع الأشخاص ذوي الإعاقة بالحق في الوصول إلى المرافق والخدمات العامة والاستفادة منها، بما في ذلك الرعاية الطبية والتعليم والعمل وبدل الإعاقة ومترجمو لغة الإشارة والمساعدون الشخصيون وتعديل المنزل وإمكانية الحصول على المعلومات والتكنولوجيا المساعدة.</w:t>
      </w:r>
    </w:p>
    <w:p w14:paraId="1A5B774C" w14:textId="77777777" w:rsidR="00DE3D9F" w:rsidRPr="00883EBA" w:rsidRDefault="00DE3D9F" w:rsidP="00DE3D9F">
      <w:pPr>
        <w:pStyle w:val="SingleTxtGA"/>
        <w:rPr>
          <w:lang w:val="en-US" w:eastAsia="zh-TW" w:bidi="en-GB"/>
        </w:rPr>
      </w:pPr>
      <w:r w:rsidRPr="00AF3116">
        <w:rPr>
          <w:rtl/>
        </w:rPr>
        <w:t>124</w:t>
      </w:r>
      <w:r w:rsidRPr="001B6C67">
        <w:rPr>
          <w:rtl/>
        </w:rPr>
        <w:t>-</w:t>
      </w:r>
      <w:r w:rsidRPr="001B6C67">
        <w:rPr>
          <w:rtl/>
        </w:rPr>
        <w:tab/>
        <w:t xml:space="preserve">وتعد الخطة الوطنية </w:t>
      </w:r>
      <w:r w:rsidRPr="00AF3116">
        <w:rPr>
          <w:rtl/>
        </w:rPr>
        <w:t>الخامسة الحالية</w:t>
      </w:r>
      <w:r w:rsidRPr="001B6C67">
        <w:rPr>
          <w:rtl/>
        </w:rPr>
        <w:t xml:space="preserve"> لتمكين الأشخاص ذوي الإعاقة (</w:t>
      </w:r>
      <w:r w:rsidRPr="00AF3116">
        <w:rPr>
          <w:rtl/>
        </w:rPr>
        <w:t>2017</w:t>
      </w:r>
      <w:r w:rsidRPr="001B6C67">
        <w:rPr>
          <w:rtl/>
        </w:rPr>
        <w:t>-</w:t>
      </w:r>
      <w:r w:rsidRPr="00AF3116">
        <w:rPr>
          <w:rtl/>
        </w:rPr>
        <w:t>2020</w:t>
      </w:r>
      <w:r w:rsidRPr="001B6C67">
        <w:rPr>
          <w:rtl/>
        </w:rPr>
        <w:t>) بمثابة إطار شامل لجميع الوكالات الحكومية ذات الصلة في تعزيز وحماية حقوق الأشخاص ذوي الإعاقة. وهي تسلط الضوء على بناء القدرات المستدامة للأشخاص ذوي الإعاقة وتنظيمهم للحصول بشكل كامل وعادل على حقوقهم</w:t>
      </w:r>
      <w:r>
        <w:rPr>
          <w:rtl/>
        </w:rPr>
        <w:t>،</w:t>
      </w:r>
      <w:r w:rsidRPr="001B6C67">
        <w:rPr>
          <w:rtl/>
        </w:rPr>
        <w:t xml:space="preserve"> وعلى مراكز </w:t>
      </w:r>
      <w:r>
        <w:rPr>
          <w:rtl/>
        </w:rPr>
        <w:t>ل</w:t>
      </w:r>
      <w:r w:rsidRPr="001B6C67">
        <w:rPr>
          <w:rtl/>
        </w:rPr>
        <w:t xml:space="preserve">لخدمات البيئية </w:t>
      </w:r>
      <w:proofErr w:type="spellStart"/>
      <w:r w:rsidRPr="001B6C67">
        <w:rPr>
          <w:rtl/>
        </w:rPr>
        <w:t>والتكنولوجيية</w:t>
      </w:r>
      <w:proofErr w:type="spellEnd"/>
      <w:r w:rsidRPr="001B6C67">
        <w:rPr>
          <w:rtl/>
        </w:rPr>
        <w:t xml:space="preserve"> والإنمائية للأشخاص ذوي الإعاقة</w:t>
      </w:r>
      <w:r>
        <w:rPr>
          <w:rtl/>
        </w:rPr>
        <w:t xml:space="preserve"> يمكن الوصول إليها</w:t>
      </w:r>
      <w:r w:rsidRPr="001B6C67">
        <w:rPr>
          <w:rtl/>
        </w:rPr>
        <w:t xml:space="preserve"> في المناطق الريفية والنائية.</w:t>
      </w:r>
    </w:p>
    <w:p w14:paraId="41FC64D2" w14:textId="0F9F36AB" w:rsidR="00DE3D9F" w:rsidRPr="001B6C67" w:rsidRDefault="00DE3D9F" w:rsidP="00DE3D9F">
      <w:pPr>
        <w:pStyle w:val="SingleTxtGA"/>
        <w:rPr>
          <w:lang w:val="ar-SA" w:eastAsia="zh-TW" w:bidi="en-GB"/>
        </w:rPr>
      </w:pPr>
      <w:r w:rsidRPr="00AF3116">
        <w:rPr>
          <w:rtl/>
        </w:rPr>
        <w:t>125</w:t>
      </w:r>
      <w:r w:rsidRPr="001B6C67">
        <w:rPr>
          <w:rtl/>
        </w:rPr>
        <w:t>-</w:t>
      </w:r>
      <w:r w:rsidRPr="001B6C67">
        <w:rPr>
          <w:rtl/>
        </w:rPr>
        <w:tab/>
        <w:t xml:space="preserve">وفي مجال التوظيف، يستوجب قرار مجلس الوزراء </w:t>
      </w:r>
      <w:r w:rsidRPr="001B6C67">
        <w:t xml:space="preserve">B.E. </w:t>
      </w:r>
      <w:r w:rsidRPr="00AF3116">
        <w:t>2558</w:t>
      </w:r>
      <w:r w:rsidRPr="001B6C67">
        <w:t xml:space="preserve"> (</w:t>
      </w:r>
      <w:r w:rsidRPr="00AF3116">
        <w:t>2015</w:t>
      </w:r>
      <w:r w:rsidRPr="001B6C67">
        <w:t>)</w:t>
      </w:r>
      <w:r w:rsidRPr="001B6C67">
        <w:rPr>
          <w:rtl/>
        </w:rPr>
        <w:t xml:space="preserve"> الصادر في </w:t>
      </w:r>
      <w:r w:rsidRPr="00AF3116">
        <w:rPr>
          <w:rtl/>
        </w:rPr>
        <w:t>27</w:t>
      </w:r>
      <w:r w:rsidRPr="001B6C67">
        <w:rPr>
          <w:rtl/>
        </w:rPr>
        <w:t xml:space="preserve"> تشرين الأول/أكتوبر من الوكالات الحكومية التي تضم </w:t>
      </w:r>
      <w:r w:rsidRPr="00AF3116">
        <w:rPr>
          <w:rtl/>
        </w:rPr>
        <w:t>100</w:t>
      </w:r>
      <w:r w:rsidRPr="001B6C67">
        <w:rPr>
          <w:rtl/>
        </w:rPr>
        <w:t xml:space="preserve"> موظف أو أكثر أن توظف الأشخاص ذوي</w:t>
      </w:r>
      <w:r w:rsidR="00D55C97">
        <w:rPr>
          <w:rFonts w:hint="cs"/>
          <w:rtl/>
        </w:rPr>
        <w:t> </w:t>
      </w:r>
      <w:r w:rsidRPr="001B6C67">
        <w:rPr>
          <w:rtl/>
        </w:rPr>
        <w:t xml:space="preserve">الإعاقة بحسب النسبة التي ينص عليها القانون. </w:t>
      </w:r>
    </w:p>
    <w:p w14:paraId="0AB49E57" w14:textId="77777777" w:rsidR="00DE3D9F" w:rsidRPr="001B6C67" w:rsidRDefault="00DE3D9F" w:rsidP="00883EBA">
      <w:pPr>
        <w:pStyle w:val="H4GA"/>
        <w:rPr>
          <w:lang w:val="ar-SA" w:eastAsia="zh-TW" w:bidi="en-GB"/>
        </w:rPr>
      </w:pPr>
      <w:r w:rsidRPr="001B6C67">
        <w:rPr>
          <w:rtl/>
        </w:rPr>
        <w:tab/>
      </w:r>
      <w:r w:rsidRPr="001B6C67">
        <w:rPr>
          <w:rtl/>
        </w:rPr>
        <w:tab/>
      </w:r>
      <w:r w:rsidRPr="00AF3116">
        <w:rPr>
          <w:rtl/>
        </w:rPr>
        <w:t>السجناء والمحتجزون</w:t>
      </w:r>
    </w:p>
    <w:p w14:paraId="4E2B1F1C" w14:textId="77777777" w:rsidR="00DE3D9F" w:rsidRPr="001B6C67" w:rsidRDefault="00DE3D9F" w:rsidP="00DE3D9F">
      <w:pPr>
        <w:pStyle w:val="SingleTxtGA"/>
        <w:rPr>
          <w:lang w:val="ar-SA" w:eastAsia="zh-TW" w:bidi="en-GB"/>
        </w:rPr>
      </w:pPr>
      <w:r w:rsidRPr="00AF3116">
        <w:rPr>
          <w:rtl/>
        </w:rPr>
        <w:t>126</w:t>
      </w:r>
      <w:r w:rsidRPr="001B6C67">
        <w:rPr>
          <w:rtl/>
        </w:rPr>
        <w:t>-</w:t>
      </w:r>
      <w:r w:rsidRPr="001B6C67">
        <w:rPr>
          <w:rtl/>
        </w:rPr>
        <w:tab/>
        <w:t xml:space="preserve">يضمن قانون الإصلاحيات الجديد لعام </w:t>
      </w:r>
      <w:r w:rsidRPr="00AF3116">
        <w:rPr>
          <w:rtl/>
        </w:rPr>
        <w:t>2017</w:t>
      </w:r>
      <w:r w:rsidRPr="001B6C67">
        <w:rPr>
          <w:rtl/>
        </w:rPr>
        <w:t xml:space="preserve">، من بين أمور أخرى، حماية حقوق المحتجزين بما يتماشى مع قواعد الأمم المتحدة الدنيا الموحدة لمعاملة السجناء، أو "قواعد مانديلا"، والمعايير الدولية ذات الصلة. وفي تموز/يوليه </w:t>
      </w:r>
      <w:r w:rsidRPr="00AF3116">
        <w:rPr>
          <w:rtl/>
        </w:rPr>
        <w:t>2016</w:t>
      </w:r>
      <w:r w:rsidRPr="001B6C67">
        <w:rPr>
          <w:rtl/>
        </w:rPr>
        <w:t xml:space="preserve">، بدأ تنفيذ مشروع تجريبي لتنفيذ قواعد مانديلا في سجن </w:t>
      </w:r>
      <w:proofErr w:type="spellStart"/>
      <w:r w:rsidRPr="001B6C67">
        <w:rPr>
          <w:rtl/>
        </w:rPr>
        <w:t>ثونبوري</w:t>
      </w:r>
      <w:proofErr w:type="spellEnd"/>
      <w:r w:rsidRPr="001B6C67">
        <w:rPr>
          <w:rtl/>
        </w:rPr>
        <w:t xml:space="preserve"> للحبس الاحتياطي، ويجري توسيعه ليشمل سجوناً ومرافق إصلاحية أخرى في جميع أنحاء تايلند. </w:t>
      </w:r>
    </w:p>
    <w:p w14:paraId="67555527" w14:textId="75410847" w:rsidR="00DE3D9F" w:rsidRPr="001B6C67" w:rsidRDefault="00DE3D9F" w:rsidP="00DE3D9F">
      <w:pPr>
        <w:pStyle w:val="SingleTxtGA"/>
        <w:rPr>
          <w:lang w:val="ar-SA" w:eastAsia="zh-TW" w:bidi="en-GB"/>
        </w:rPr>
      </w:pPr>
      <w:bookmarkStart w:id="28" w:name="_Ref41082581"/>
      <w:r w:rsidRPr="00AF3116">
        <w:rPr>
          <w:rtl/>
        </w:rPr>
        <w:lastRenderedPageBreak/>
        <w:t>127</w:t>
      </w:r>
      <w:r w:rsidRPr="001B6C67">
        <w:rPr>
          <w:rtl/>
        </w:rPr>
        <w:t>-</w:t>
      </w:r>
      <w:r w:rsidRPr="001B6C67">
        <w:rPr>
          <w:rtl/>
        </w:rPr>
        <w:tab/>
        <w:t xml:space="preserve">وقد أدت تايلند دوراً رئيسياً في وضع قواعد الأمم المتحدة لمعاملة السجينات والتدابير غير </w:t>
      </w:r>
      <w:proofErr w:type="spellStart"/>
      <w:r w:rsidRPr="001B6C67">
        <w:rPr>
          <w:rtl/>
        </w:rPr>
        <w:t>الاحتجازية</w:t>
      </w:r>
      <w:proofErr w:type="spellEnd"/>
      <w:r w:rsidRPr="001B6C67">
        <w:rPr>
          <w:rtl/>
        </w:rPr>
        <w:t xml:space="preserve"> للمجرمات أو قواعد بانكوك، التي نشأت عن مفهوم مشروع تايلند لتعزيز حياة السجينات الذي استهلته صاحبة السمو الملكي الأميرة </w:t>
      </w:r>
      <w:proofErr w:type="spellStart"/>
      <w:r w:rsidRPr="001B6C67">
        <w:rPr>
          <w:rtl/>
        </w:rPr>
        <w:t>باجراكيتيابها</w:t>
      </w:r>
      <w:proofErr w:type="spellEnd"/>
      <w:r w:rsidRPr="001B6C67">
        <w:rPr>
          <w:rtl/>
        </w:rPr>
        <w:t xml:space="preserve"> </w:t>
      </w:r>
      <w:proofErr w:type="spellStart"/>
      <w:r w:rsidRPr="001B6C67">
        <w:rPr>
          <w:rtl/>
        </w:rPr>
        <w:t>ناريندرا</w:t>
      </w:r>
      <w:proofErr w:type="spellEnd"/>
      <w:r w:rsidRPr="001B6C67">
        <w:rPr>
          <w:rtl/>
        </w:rPr>
        <w:t xml:space="preserve"> </w:t>
      </w:r>
      <w:proofErr w:type="spellStart"/>
      <w:r w:rsidRPr="001B6C67">
        <w:rPr>
          <w:rtl/>
        </w:rPr>
        <w:t>ديبيافاتي</w:t>
      </w:r>
      <w:proofErr w:type="spellEnd"/>
      <w:r w:rsidRPr="001B6C67">
        <w:rPr>
          <w:rtl/>
        </w:rPr>
        <w:t xml:space="preserve"> وأُقِر في الدورة الخامسة والستين</w:t>
      </w:r>
      <w:r w:rsidR="00883EBA">
        <w:rPr>
          <w:rFonts w:hint="cs"/>
          <w:rtl/>
        </w:rPr>
        <w:t> </w:t>
      </w:r>
      <w:r w:rsidRPr="001B6C67">
        <w:rPr>
          <w:rtl/>
        </w:rPr>
        <w:t xml:space="preserve">للجمعية العامة للأمم المتحدة في </w:t>
      </w:r>
      <w:r w:rsidRPr="00AF3116">
        <w:rPr>
          <w:rtl/>
        </w:rPr>
        <w:t>21</w:t>
      </w:r>
      <w:r w:rsidRPr="001B6C67">
        <w:rPr>
          <w:rtl/>
        </w:rPr>
        <w:t xml:space="preserve"> كانون الأول/ديسمبر </w:t>
      </w:r>
      <w:r w:rsidRPr="00AF3116">
        <w:rPr>
          <w:rtl/>
        </w:rPr>
        <w:t>2010</w:t>
      </w:r>
      <w:r w:rsidRPr="001B6C67">
        <w:rPr>
          <w:rtl/>
        </w:rPr>
        <w:t>. وهذا بمثابة دليل توجيهي</w:t>
      </w:r>
      <w:r w:rsidR="00883EBA">
        <w:rPr>
          <w:rFonts w:hint="cs"/>
          <w:rtl/>
        </w:rPr>
        <w:t> </w:t>
      </w:r>
      <w:r w:rsidRPr="001B6C67">
        <w:rPr>
          <w:rtl/>
        </w:rPr>
        <w:t>بشأن معاملة نزيلات السجون في جميع الدول، فيما يتعلق بالاختلافات بين الجنسين والاحتياجات الخاصة بالنساء.</w:t>
      </w:r>
      <w:bookmarkEnd w:id="28"/>
    </w:p>
    <w:p w14:paraId="4FB0AD28" w14:textId="77777777" w:rsidR="00DE3D9F" w:rsidRPr="001B6C67" w:rsidRDefault="00DE3D9F" w:rsidP="00DE3D9F">
      <w:pPr>
        <w:pStyle w:val="SingleTxtGA"/>
        <w:rPr>
          <w:lang w:val="ar-SA" w:eastAsia="zh-TW" w:bidi="en-GB"/>
        </w:rPr>
      </w:pPr>
      <w:bookmarkStart w:id="29" w:name="_Ref41082606"/>
      <w:r w:rsidRPr="00AF3116">
        <w:rPr>
          <w:rtl/>
        </w:rPr>
        <w:t>128</w:t>
      </w:r>
      <w:r w:rsidRPr="001B6C67">
        <w:rPr>
          <w:rtl/>
        </w:rPr>
        <w:t>-</w:t>
      </w:r>
      <w:r w:rsidRPr="001B6C67">
        <w:rPr>
          <w:rtl/>
        </w:rPr>
        <w:tab/>
        <w:t xml:space="preserve">وتعمل إدارة الإصلاحيات ومعهد العدالة التايلندي معاً لتنفيذ قواعد بانكوك. ومنذ عام </w:t>
      </w:r>
      <w:r w:rsidRPr="00AF3116">
        <w:rPr>
          <w:rtl/>
        </w:rPr>
        <w:t>2015</w:t>
      </w:r>
      <w:r w:rsidRPr="001B6C67">
        <w:rPr>
          <w:rtl/>
        </w:rPr>
        <w:t>، اعتمدت قواعد بانكوك ستة سجون نموذجية في جميع أنحاء تايلاند.</w:t>
      </w:r>
      <w:bookmarkEnd w:id="29"/>
    </w:p>
    <w:p w14:paraId="47EFB843" w14:textId="2A8C3C37" w:rsidR="00DE3D9F" w:rsidRPr="00AF3116" w:rsidRDefault="00DE3D9F" w:rsidP="00DE3D9F">
      <w:pPr>
        <w:pStyle w:val="SingleTxtGA"/>
        <w:rPr>
          <w:lang w:val="en-US" w:eastAsia="zh-TW" w:bidi="en-GB"/>
        </w:rPr>
      </w:pPr>
      <w:r w:rsidRPr="00AF3116">
        <w:rPr>
          <w:rtl/>
        </w:rPr>
        <w:t>129</w:t>
      </w:r>
      <w:r w:rsidRPr="001B6C67">
        <w:rPr>
          <w:rtl/>
        </w:rPr>
        <w:t>-</w:t>
      </w:r>
      <w:r w:rsidRPr="001B6C67">
        <w:rPr>
          <w:rtl/>
        </w:rPr>
        <w:tab/>
        <w:t xml:space="preserve">وإذ تسلم وزارة العدل بمشكلة الاكتظاظ في أماكن الاحتجاز التي تشرف عليها إدارة الإصلاحيات، فإنها تقوم حالياً بصياغة لائحة وزارية بموجب قانون الإصلاحيات لعام </w:t>
      </w:r>
      <w:r w:rsidRPr="00AF3116">
        <w:rPr>
          <w:rtl/>
        </w:rPr>
        <w:t>2017</w:t>
      </w:r>
      <w:r w:rsidRPr="001B6C67">
        <w:rPr>
          <w:rtl/>
        </w:rPr>
        <w:t xml:space="preserve"> لتحديد ست</w:t>
      </w:r>
      <w:r w:rsidR="00D55BE1">
        <w:rPr>
          <w:rFonts w:hint="cs"/>
          <w:rtl/>
        </w:rPr>
        <w:t> </w:t>
      </w:r>
      <w:r w:rsidRPr="001B6C67">
        <w:rPr>
          <w:rtl/>
        </w:rPr>
        <w:t>عقوبات جنائية بديلة للسجن، بما في ذلك:’</w:t>
      </w:r>
      <w:r w:rsidRPr="00AF3116">
        <w:rPr>
          <w:rtl/>
        </w:rPr>
        <w:t>1</w:t>
      </w:r>
      <w:r w:rsidRPr="001B6C67">
        <w:rPr>
          <w:rtl/>
        </w:rPr>
        <w:t>‘ الاحتجاز المتقطع، ’</w:t>
      </w:r>
      <w:r w:rsidRPr="00AF3116">
        <w:rPr>
          <w:rtl/>
        </w:rPr>
        <w:t>2</w:t>
      </w:r>
      <w:r w:rsidRPr="001B6C67">
        <w:rPr>
          <w:rtl/>
        </w:rPr>
        <w:t>‘ الاحتجاز خلال ساعات محددة، ’</w:t>
      </w:r>
      <w:r w:rsidRPr="00AF3116">
        <w:rPr>
          <w:rtl/>
        </w:rPr>
        <w:t>3</w:t>
      </w:r>
      <w:r w:rsidRPr="001B6C67">
        <w:rPr>
          <w:rtl/>
        </w:rPr>
        <w:t>‘ الاحتجاز داخل مكان احتجاز محدد، ’</w:t>
      </w:r>
      <w:r w:rsidRPr="00AF3116">
        <w:rPr>
          <w:rtl/>
        </w:rPr>
        <w:t>4</w:t>
      </w:r>
      <w:r w:rsidRPr="001B6C67">
        <w:rPr>
          <w:rtl/>
        </w:rPr>
        <w:t>‘ خدمة المجتمع المحلي، ’</w:t>
      </w:r>
      <w:r w:rsidRPr="00AF3116">
        <w:rPr>
          <w:rtl/>
        </w:rPr>
        <w:t>5</w:t>
      </w:r>
      <w:r w:rsidRPr="001B6C67">
        <w:rPr>
          <w:rtl/>
        </w:rPr>
        <w:t xml:space="preserve">‘ القيود المفروضة على السفر وفقاً للمادة </w:t>
      </w:r>
      <w:r w:rsidRPr="00AF3116">
        <w:rPr>
          <w:rtl/>
        </w:rPr>
        <w:t>89</w:t>
      </w:r>
      <w:r w:rsidRPr="001B6C67">
        <w:rPr>
          <w:rtl/>
        </w:rPr>
        <w:t>/</w:t>
      </w:r>
      <w:r w:rsidRPr="00AF3116">
        <w:rPr>
          <w:rtl/>
        </w:rPr>
        <w:t>2</w:t>
      </w:r>
      <w:r w:rsidRPr="001B6C67">
        <w:rPr>
          <w:rtl/>
        </w:rPr>
        <w:t xml:space="preserve"> من قانون الإجراءات الجنائية، ’</w:t>
      </w:r>
      <w:r w:rsidRPr="00AF3116">
        <w:rPr>
          <w:rtl/>
        </w:rPr>
        <w:t>6</w:t>
      </w:r>
      <w:r w:rsidRPr="001B6C67">
        <w:rPr>
          <w:rtl/>
        </w:rPr>
        <w:t>‘ أي عقوبة أخرى تحددها إدارة</w:t>
      </w:r>
      <w:r w:rsidR="00D55BE1">
        <w:rPr>
          <w:rFonts w:hint="cs"/>
          <w:rtl/>
        </w:rPr>
        <w:t> </w:t>
      </w:r>
      <w:r w:rsidRPr="001B6C67">
        <w:rPr>
          <w:rtl/>
        </w:rPr>
        <w:t xml:space="preserve">الإصلاحيات. </w:t>
      </w:r>
    </w:p>
    <w:p w14:paraId="527CCF49" w14:textId="43CDCEE6" w:rsidR="00DE3D9F" w:rsidRPr="001B6C67" w:rsidRDefault="00DE3D9F" w:rsidP="00DE3D9F">
      <w:pPr>
        <w:pStyle w:val="SingleTxtGA"/>
        <w:rPr>
          <w:lang w:val="ar-SA" w:eastAsia="zh-TW" w:bidi="en-GB"/>
        </w:rPr>
      </w:pPr>
      <w:r w:rsidRPr="00AF3116">
        <w:rPr>
          <w:rtl/>
        </w:rPr>
        <w:t>130</w:t>
      </w:r>
      <w:r w:rsidRPr="001B6C67">
        <w:rPr>
          <w:rtl/>
        </w:rPr>
        <w:t>-</w:t>
      </w:r>
      <w:r w:rsidRPr="001B6C67">
        <w:rPr>
          <w:rtl/>
        </w:rPr>
        <w:tab/>
        <w:t xml:space="preserve">وفي </w:t>
      </w:r>
      <w:r w:rsidRPr="00AF3116">
        <w:rPr>
          <w:rtl/>
        </w:rPr>
        <w:t>1</w:t>
      </w:r>
      <w:r w:rsidRPr="001B6C67">
        <w:rPr>
          <w:rtl/>
        </w:rPr>
        <w:t xml:space="preserve"> آذار/مارس </w:t>
      </w:r>
      <w:r w:rsidRPr="00AF3116">
        <w:rPr>
          <w:rtl/>
        </w:rPr>
        <w:t>2018</w:t>
      </w:r>
      <w:r w:rsidRPr="001B6C67">
        <w:rPr>
          <w:rtl/>
        </w:rPr>
        <w:t xml:space="preserve">، اعتمدت محكمة العدل وإدارة الإفراج تحت المراقبة نظام المراقبة الإلكترونية كبديل لاحتجاز السجناء الذين أُفرج عنهم مؤقتاً، عوضاً عن دفع كفالة. وقد أتاح مركز المراقبة الإلكترونية الذي أُطلِق في أيلول/سبتمبر </w:t>
      </w:r>
      <w:r w:rsidRPr="00AF3116">
        <w:rPr>
          <w:rtl/>
        </w:rPr>
        <w:t>2017</w:t>
      </w:r>
      <w:r w:rsidRPr="001B6C67">
        <w:rPr>
          <w:rtl/>
        </w:rPr>
        <w:t xml:space="preserve"> الإفراج عن المتهمين أو المدعى عليهم الذين لا</w:t>
      </w:r>
      <w:r w:rsidR="00D55C97">
        <w:rPr>
          <w:rFonts w:hint="cs"/>
          <w:rtl/>
        </w:rPr>
        <w:t> </w:t>
      </w:r>
      <w:r w:rsidRPr="001B6C67">
        <w:rPr>
          <w:rtl/>
        </w:rPr>
        <w:t xml:space="preserve">يستطيعون دفع كفالة مالية. وسيسمح ذلك بخفض عدد السجناء، والأهم من ذلك أنه سيسمح بخفض التفاوت الاجتماعي وفرط تمثيل الفقراء في الاحتجاز السابق للمحاكمة. ولضمان عدم تأثر حرية المتهمين في القضايا الجنائية إلا بالقدر الضروري وبأقل ما يمكن، فإن من ممارسات المحكمة الآن أنها يجب أن تنتهي من القضايا الجنائية التي يحتجز فيها المدعى عليهم في غضون </w:t>
      </w:r>
      <w:r w:rsidRPr="00AF3116">
        <w:rPr>
          <w:rtl/>
        </w:rPr>
        <w:t>6</w:t>
      </w:r>
      <w:r w:rsidRPr="001B6C67">
        <w:rPr>
          <w:rtl/>
        </w:rPr>
        <w:t xml:space="preserve"> أشهر من تاريخ بدء الاحتجاز. </w:t>
      </w:r>
    </w:p>
    <w:p w14:paraId="19290168" w14:textId="77777777" w:rsidR="00DE3D9F" w:rsidRPr="001B6C67" w:rsidRDefault="00DE3D9F" w:rsidP="00DE3D9F">
      <w:pPr>
        <w:pStyle w:val="SingleTxtGA"/>
        <w:rPr>
          <w:lang w:val="ar-SA" w:eastAsia="zh-TW" w:bidi="en-GB"/>
        </w:rPr>
      </w:pPr>
      <w:r w:rsidRPr="00AF3116">
        <w:rPr>
          <w:rtl/>
        </w:rPr>
        <w:t>131</w:t>
      </w:r>
      <w:r w:rsidRPr="001B6C67">
        <w:rPr>
          <w:rtl/>
        </w:rPr>
        <w:t>-</w:t>
      </w:r>
      <w:r w:rsidRPr="001B6C67">
        <w:rPr>
          <w:rtl/>
        </w:rPr>
        <w:tab/>
        <w:t xml:space="preserve">وفي </w:t>
      </w:r>
      <w:r w:rsidRPr="00AF3116">
        <w:rPr>
          <w:rtl/>
        </w:rPr>
        <w:t>22</w:t>
      </w:r>
      <w:r w:rsidRPr="001B6C67">
        <w:rPr>
          <w:rtl/>
        </w:rPr>
        <w:t xml:space="preserve"> كانون الثاني/يناير </w:t>
      </w:r>
      <w:r w:rsidRPr="00AF3116">
        <w:rPr>
          <w:rtl/>
        </w:rPr>
        <w:t>2019</w:t>
      </w:r>
      <w:r w:rsidRPr="001B6C67">
        <w:rPr>
          <w:rtl/>
        </w:rPr>
        <w:t xml:space="preserve">، أبرمت وزارة الصحة وإدارة الإصلاحيات ومكتب الأمن الصحي الوطني مذكرة تفاهم لتحسين نظام الخدمات الصحية للسجناء. وكان ذلك وفقاً لقرار مجلس الوزراء الصادر في </w:t>
      </w:r>
      <w:r w:rsidRPr="00AF3116">
        <w:rPr>
          <w:rtl/>
        </w:rPr>
        <w:t>17</w:t>
      </w:r>
      <w:r w:rsidRPr="001B6C67">
        <w:rPr>
          <w:rtl/>
        </w:rPr>
        <w:t xml:space="preserve"> تشرين الثاني/نوفمبر </w:t>
      </w:r>
      <w:r w:rsidRPr="00AF3116">
        <w:rPr>
          <w:rtl/>
        </w:rPr>
        <w:t>2015</w:t>
      </w:r>
      <w:r w:rsidRPr="001B6C67">
        <w:rPr>
          <w:rtl/>
        </w:rPr>
        <w:t xml:space="preserve"> الذي طلب إلى السلطات المختصة أن تكلف العاملين الصحيين من المستشفيات المحلية بتقديم الخدمات في السجون، وأن تنشئ جناحاً خاصاً للسجناء الذين يحتاجون إلى العلاج خارج مرافق السجون، وأن تحسن نظام الخدمات الصحية الشاملة للسجناء. </w:t>
      </w:r>
    </w:p>
    <w:p w14:paraId="5527BD1C" w14:textId="77777777" w:rsidR="00DE3D9F" w:rsidRPr="001B6C67" w:rsidRDefault="00DE3D9F" w:rsidP="00883EBA">
      <w:pPr>
        <w:pStyle w:val="H4GA"/>
        <w:rPr>
          <w:lang w:val="ar-SA" w:eastAsia="zh-TW" w:bidi="en-GB"/>
        </w:rPr>
      </w:pPr>
      <w:r w:rsidRPr="001B6C67">
        <w:rPr>
          <w:rtl/>
        </w:rPr>
        <w:tab/>
      </w:r>
      <w:r w:rsidRPr="001B6C67">
        <w:rPr>
          <w:rtl/>
        </w:rPr>
        <w:tab/>
      </w:r>
      <w:r w:rsidRPr="00AF3116">
        <w:rPr>
          <w:rtl/>
        </w:rPr>
        <w:t>عديمو الجنسية</w:t>
      </w:r>
    </w:p>
    <w:p w14:paraId="708EBC34" w14:textId="77777777" w:rsidR="00DE3D9F" w:rsidRPr="001B6C67" w:rsidRDefault="00DE3D9F" w:rsidP="00DE3D9F">
      <w:pPr>
        <w:pStyle w:val="SingleTxtGA"/>
        <w:rPr>
          <w:lang w:val="ar-SA" w:eastAsia="zh-TW" w:bidi="en-GB"/>
        </w:rPr>
      </w:pPr>
      <w:r w:rsidRPr="00AF3116">
        <w:rPr>
          <w:rtl/>
        </w:rPr>
        <w:t>132</w:t>
      </w:r>
      <w:r w:rsidRPr="001B6C67">
        <w:rPr>
          <w:rtl/>
        </w:rPr>
        <w:t>-</w:t>
      </w:r>
      <w:r w:rsidRPr="001B6C67">
        <w:rPr>
          <w:rtl/>
        </w:rPr>
        <w:tab/>
        <w:t xml:space="preserve">ينص قانون التسجيل المدني (رقم </w:t>
      </w:r>
      <w:r w:rsidRPr="00AF3116">
        <w:rPr>
          <w:rtl/>
        </w:rPr>
        <w:t>2</w:t>
      </w:r>
      <w:r w:rsidRPr="001B6C67">
        <w:rPr>
          <w:rtl/>
        </w:rPr>
        <w:t xml:space="preserve">) </w:t>
      </w:r>
      <w:r w:rsidRPr="001B6C67">
        <w:t xml:space="preserve">B.E. </w:t>
      </w:r>
      <w:r w:rsidRPr="00AF3116">
        <w:t>2551</w:t>
      </w:r>
      <w:r w:rsidRPr="001B6C67">
        <w:t xml:space="preserve"> (</w:t>
      </w:r>
      <w:r w:rsidRPr="00AF3116">
        <w:t>2008</w:t>
      </w:r>
      <w:r w:rsidRPr="001B6C67">
        <w:t>)</w:t>
      </w:r>
      <w:r w:rsidRPr="001B6C67">
        <w:rPr>
          <w:rtl/>
        </w:rPr>
        <w:t xml:space="preserve"> على تسجيل جميع الأشخاص عديمي الجنسية المولودين في تايلند. ويمكّن تعديل قانون الجنسية، من خلال قانون الجنسية (رقم </w:t>
      </w:r>
      <w:r w:rsidRPr="00AF3116">
        <w:rPr>
          <w:rtl/>
        </w:rPr>
        <w:t>4</w:t>
      </w:r>
      <w:r w:rsidRPr="001B6C67">
        <w:rPr>
          <w:rtl/>
        </w:rPr>
        <w:t xml:space="preserve">) </w:t>
      </w:r>
      <w:r w:rsidRPr="001B6C67">
        <w:t xml:space="preserve">B.E. </w:t>
      </w:r>
      <w:r w:rsidRPr="00AF3116">
        <w:t>2551</w:t>
      </w:r>
      <w:r w:rsidRPr="001B6C67">
        <w:t xml:space="preserve"> (</w:t>
      </w:r>
      <w:r w:rsidRPr="00AF3116">
        <w:t>2008</w:t>
      </w:r>
      <w:r w:rsidRPr="001B6C67">
        <w:t>)</w:t>
      </w:r>
      <w:r w:rsidRPr="001B6C67">
        <w:rPr>
          <w:rtl/>
        </w:rPr>
        <w:t xml:space="preserve">، الأشخاص عديمي الجنسية المولودين في تايلند من تقديم طلب للحصول على الجنسية التايلندية وفقاً للشروط التي يحددها مجلس الوزراء. وعلاوة على ذلك، فلمنع أطفال الآباء الأجانب أو عديمي الجنسية من أن يصبحوا دون وضع قانوني أو مهاجرين غير شرعيين، وافق مجلس الوزراء على قرارين في </w:t>
      </w:r>
      <w:r w:rsidRPr="00AF3116">
        <w:rPr>
          <w:rtl/>
        </w:rPr>
        <w:t>7</w:t>
      </w:r>
      <w:r w:rsidRPr="001B6C67">
        <w:rPr>
          <w:rtl/>
        </w:rPr>
        <w:t xml:space="preserve"> كانون الأول/ديسمبر </w:t>
      </w:r>
      <w:r w:rsidRPr="00AF3116">
        <w:rPr>
          <w:rtl/>
        </w:rPr>
        <w:t>2016</w:t>
      </w:r>
      <w:r w:rsidRPr="001B6C67">
        <w:rPr>
          <w:rtl/>
        </w:rPr>
        <w:t xml:space="preserve"> من أجل (</w:t>
      </w:r>
      <w:r w:rsidRPr="00AF3116">
        <w:rPr>
          <w:rtl/>
        </w:rPr>
        <w:t>1</w:t>
      </w:r>
      <w:r w:rsidRPr="001B6C67">
        <w:rPr>
          <w:rtl/>
        </w:rPr>
        <w:t>) منح الأطفال الأجانب المولودين في تايلند الحق في الإقامة القانونية في تايلند ومنع تجريمهم كمهاجرين غير شرعيين، (</w:t>
      </w:r>
      <w:r w:rsidRPr="00AF3116">
        <w:rPr>
          <w:rtl/>
        </w:rPr>
        <w:t>2</w:t>
      </w:r>
      <w:r w:rsidRPr="001B6C67">
        <w:rPr>
          <w:rtl/>
        </w:rPr>
        <w:t xml:space="preserve">) توفير مسار قانوني للأطفال الأجانب المولودين في تايلند لتقديم طلب للحصول على الجنسية التايلندية. </w:t>
      </w:r>
    </w:p>
    <w:p w14:paraId="2ED6F959" w14:textId="77777777" w:rsidR="00DE3D9F" w:rsidRPr="001B6C67" w:rsidRDefault="00DE3D9F" w:rsidP="00DE3D9F">
      <w:pPr>
        <w:pStyle w:val="SingleTxtGA"/>
        <w:rPr>
          <w:lang w:val="ar-SA" w:eastAsia="zh-TW" w:bidi="en-GB"/>
        </w:rPr>
      </w:pPr>
      <w:r w:rsidRPr="00AF3116">
        <w:rPr>
          <w:rtl/>
        </w:rPr>
        <w:lastRenderedPageBreak/>
        <w:t>133</w:t>
      </w:r>
      <w:r w:rsidRPr="001B6C67">
        <w:rPr>
          <w:rtl/>
        </w:rPr>
        <w:t>-</w:t>
      </w:r>
      <w:r w:rsidRPr="001B6C67">
        <w:rPr>
          <w:rtl/>
        </w:rPr>
        <w:tab/>
        <w:t xml:space="preserve">وتعالج تايلند مسألة انعدام الجنسية في البلد منذ أكثر من ثلاثة عقود من خلال تنفيذ نهج تدريجي. وتتمثل الخطوة الأولى في تسجيل جميع الأشخاص عديمي الجنسية المولودين في تايلند بهدف منحهم وضعاً قانونياً وحقوقاً أثناء إقامتهم في البلد وخضوعهم لإجراءات طلب الحصول على الجنسية التايلندية. وكخطوة تالية، ييسر تعديل قانون الجنسية </w:t>
      </w:r>
      <w:r w:rsidRPr="001B6C67">
        <w:t xml:space="preserve">B.E. </w:t>
      </w:r>
      <w:r w:rsidRPr="00AF3116">
        <w:t>2551</w:t>
      </w:r>
      <w:r w:rsidRPr="001B6C67">
        <w:t xml:space="preserve"> (</w:t>
      </w:r>
      <w:r w:rsidRPr="00AF3116">
        <w:t>2008</w:t>
      </w:r>
      <w:r w:rsidRPr="001B6C67">
        <w:t>)</w:t>
      </w:r>
      <w:r w:rsidRPr="001B6C67">
        <w:rPr>
          <w:rtl/>
        </w:rPr>
        <w:t xml:space="preserve"> مسار تجنيس فئات محددة من المواطنين غير التايلنديين، مثل المهاجرين الذين فروا إلى تايلند ويقيمون في البلد منذ فترة طويلة والذين لا يستطيعون العودة إلى بلدانهم الأصلية، وعديمي الجنسية، والأشخاص الذين لا جذور لهم. وتصدر الحكومة أيضاً للفئات المذكورة أعلاه بطاقات هوية تسمح لها بالعمل والحصول على الخدمات العامة مثل الرعاية الصحية والتعليم، مما يمكنها من أن تعيش حياة طبيعية في المجتمع التايلندي وتشارك في تنمية البلد.</w:t>
      </w:r>
    </w:p>
    <w:p w14:paraId="082898E3" w14:textId="77777777" w:rsidR="00DE3D9F" w:rsidRPr="001B6C67" w:rsidRDefault="00DE3D9F" w:rsidP="00883EBA">
      <w:pPr>
        <w:pStyle w:val="H4GA"/>
        <w:rPr>
          <w:lang w:val="ar-SA" w:eastAsia="zh-TW" w:bidi="en-GB"/>
        </w:rPr>
      </w:pPr>
      <w:r w:rsidRPr="001B6C67">
        <w:rPr>
          <w:rtl/>
        </w:rPr>
        <w:tab/>
      </w:r>
      <w:r w:rsidRPr="001B6C67">
        <w:rPr>
          <w:rtl/>
        </w:rPr>
        <w:tab/>
      </w:r>
      <w:r w:rsidRPr="00AF3116">
        <w:rPr>
          <w:rtl/>
        </w:rPr>
        <w:t>المدافعون عن حقوق الإنسان</w:t>
      </w:r>
    </w:p>
    <w:p w14:paraId="187DEFDE" w14:textId="77777777" w:rsidR="00DE3D9F" w:rsidRPr="001B6C67" w:rsidRDefault="00DE3D9F" w:rsidP="00DE3D9F">
      <w:pPr>
        <w:pStyle w:val="SingleTxtGA"/>
        <w:rPr>
          <w:lang w:val="ar-SA" w:eastAsia="zh-TW" w:bidi="en-GB"/>
        </w:rPr>
      </w:pPr>
      <w:r w:rsidRPr="00AF3116">
        <w:rPr>
          <w:rtl/>
        </w:rPr>
        <w:t>134</w:t>
      </w:r>
      <w:r w:rsidRPr="001B6C67">
        <w:rPr>
          <w:rtl/>
        </w:rPr>
        <w:t>-</w:t>
      </w:r>
      <w:r w:rsidRPr="001B6C67">
        <w:rPr>
          <w:rtl/>
        </w:rPr>
        <w:tab/>
        <w:t xml:space="preserve">تعترف تايلند بدور المدافعين عن حقوق الإنسان وتحترم حقوقهم وفقاً لإعلان الأمم المتحدة المتعلق بالمدافعين عن حقوق الإنسان. وتشمل الخطة </w:t>
      </w:r>
      <w:r w:rsidRPr="00AF3116">
        <w:rPr>
          <w:rtl/>
        </w:rPr>
        <w:t>الوطنية الرابعة لحقوق الإنسان</w:t>
      </w:r>
      <w:r w:rsidRPr="001B6C67">
        <w:rPr>
          <w:rtl/>
        </w:rPr>
        <w:t xml:space="preserve"> (</w:t>
      </w:r>
      <w:r w:rsidRPr="00AF3116">
        <w:rPr>
          <w:rtl/>
        </w:rPr>
        <w:t>2019</w:t>
      </w:r>
      <w:r w:rsidRPr="001B6C67">
        <w:rPr>
          <w:rtl/>
        </w:rPr>
        <w:t>-</w:t>
      </w:r>
      <w:r w:rsidRPr="00AF3116">
        <w:rPr>
          <w:rtl/>
        </w:rPr>
        <w:t>2023</w:t>
      </w:r>
      <w:r w:rsidRPr="001B6C67">
        <w:rPr>
          <w:rtl/>
        </w:rPr>
        <w:t>) المدافعين عن حقوق الإنسان كفئة مستهدفة وتتضمن تدابير محددة لحماية حقوقه</w:t>
      </w:r>
      <w:r>
        <w:rPr>
          <w:rtl/>
        </w:rPr>
        <w:t>م</w:t>
      </w:r>
      <w:r w:rsidRPr="00D345AA">
        <w:rPr>
          <w:rtl/>
        </w:rPr>
        <w:t xml:space="preserve"> </w:t>
      </w:r>
      <w:r w:rsidRPr="001B6C67">
        <w:rPr>
          <w:rtl/>
        </w:rPr>
        <w:t>وتعزيز</w:t>
      </w:r>
      <w:r>
        <w:rPr>
          <w:rtl/>
        </w:rPr>
        <w:t>ها</w:t>
      </w:r>
      <w:r w:rsidRPr="001B6C67">
        <w:rPr>
          <w:rtl/>
        </w:rPr>
        <w:t>.</w:t>
      </w:r>
    </w:p>
    <w:p w14:paraId="3267E25A" w14:textId="77777777" w:rsidR="00DE3D9F" w:rsidRPr="001B6C67" w:rsidRDefault="00DE3D9F" w:rsidP="00DE3D9F">
      <w:pPr>
        <w:pStyle w:val="SingleTxtGA"/>
        <w:rPr>
          <w:lang w:val="ar-SA" w:eastAsia="zh-TW" w:bidi="en-GB"/>
        </w:rPr>
      </w:pPr>
      <w:r w:rsidRPr="00AF3116">
        <w:rPr>
          <w:rtl/>
        </w:rPr>
        <w:t>135</w:t>
      </w:r>
      <w:r w:rsidRPr="001B6C67">
        <w:rPr>
          <w:rtl/>
        </w:rPr>
        <w:t>-</w:t>
      </w:r>
      <w:r w:rsidRPr="001B6C67">
        <w:rPr>
          <w:rtl/>
        </w:rPr>
        <w:tab/>
        <w:t xml:space="preserve">وقد نفذت وزارة العدل مجموعة من التدابير المتعلقة بالمدافعين عن حقوق الإنسان، بما في ذلك وضع دليل للمدافعين عن حقوق الإنسان بالاشتراك مع </w:t>
      </w:r>
      <w:r>
        <w:rPr>
          <w:rtl/>
        </w:rPr>
        <w:t xml:space="preserve">مكتب </w:t>
      </w:r>
      <w:r w:rsidRPr="001B6C67">
        <w:rPr>
          <w:rtl/>
        </w:rPr>
        <w:t>مفوضية الأمم المتحدة</w:t>
      </w:r>
      <w:r>
        <w:rPr>
          <w:rtl/>
        </w:rPr>
        <w:t xml:space="preserve"> السامية الإقليمي</w:t>
      </w:r>
      <w:r w:rsidRPr="001B6C67">
        <w:rPr>
          <w:rtl/>
        </w:rPr>
        <w:t xml:space="preserve"> لحقوق الإنسان</w:t>
      </w:r>
      <w:r>
        <w:rPr>
          <w:rtl/>
        </w:rPr>
        <w:t xml:space="preserve"> في </w:t>
      </w:r>
      <w:r w:rsidRPr="001B6C67">
        <w:rPr>
          <w:rtl/>
        </w:rPr>
        <w:t>جنوب شرق آسيا.</w:t>
      </w:r>
    </w:p>
    <w:p w14:paraId="56637434" w14:textId="77777777" w:rsidR="00DE3D9F" w:rsidRPr="001B6C67" w:rsidRDefault="00DE3D9F" w:rsidP="00DE3D9F">
      <w:pPr>
        <w:pStyle w:val="SingleTxtGA"/>
        <w:rPr>
          <w:lang w:val="ar-SA" w:eastAsia="zh-TW" w:bidi="en-GB"/>
        </w:rPr>
      </w:pPr>
      <w:r w:rsidRPr="00AF3116">
        <w:rPr>
          <w:rtl/>
        </w:rPr>
        <w:t>136</w:t>
      </w:r>
      <w:r w:rsidRPr="001B6C67">
        <w:rPr>
          <w:rtl/>
        </w:rPr>
        <w:t>-</w:t>
      </w:r>
      <w:r w:rsidRPr="001B6C67">
        <w:rPr>
          <w:rtl/>
        </w:rPr>
        <w:tab/>
        <w:t>وفي محاولة لإنشاء أداة شاملة لحماية الحق في حرية التعبير من الاحتجاج بالتقاضي الاستراتيجي ضد مشاركة الجمهور، أضافت محكمة العدل مادتين جديدتين إلى قانون الإجراءات الجنائية</w:t>
      </w:r>
      <w:r>
        <w:rPr>
          <w:rtl/>
        </w:rPr>
        <w:t>:</w:t>
      </w:r>
      <w:r w:rsidRPr="001B6C67">
        <w:rPr>
          <w:rtl/>
        </w:rPr>
        <w:t xml:space="preserve"> المادة </w:t>
      </w:r>
      <w:r w:rsidRPr="00AF3116">
        <w:rPr>
          <w:rtl/>
        </w:rPr>
        <w:t>161</w:t>
      </w:r>
      <w:r w:rsidRPr="001B6C67">
        <w:rPr>
          <w:rtl/>
        </w:rPr>
        <w:t>/</w:t>
      </w:r>
      <w:r w:rsidRPr="00AF3116">
        <w:rPr>
          <w:rtl/>
        </w:rPr>
        <w:t>1</w:t>
      </w:r>
      <w:r w:rsidRPr="001B6C67">
        <w:rPr>
          <w:rtl/>
        </w:rPr>
        <w:t xml:space="preserve"> التي تمنح المحكمة صلاحية رفض أي قضية جنائية في مرحلة رفع الدعوى إن اتضح للمحكمة أن سبب الدعوى القانونية ينشأ عن سوء نية لمضايقة شخص آخر أو استغلاله</w:t>
      </w:r>
      <w:r>
        <w:rPr>
          <w:rtl/>
        </w:rPr>
        <w:t>؛</w:t>
      </w:r>
      <w:r w:rsidRPr="001B6C67">
        <w:rPr>
          <w:rtl/>
        </w:rPr>
        <w:t xml:space="preserve"> والمادة </w:t>
      </w:r>
      <w:r w:rsidRPr="00AF3116">
        <w:rPr>
          <w:rtl/>
        </w:rPr>
        <w:t>165</w:t>
      </w:r>
      <w:r w:rsidRPr="001B6C67">
        <w:rPr>
          <w:rtl/>
        </w:rPr>
        <w:t>/</w:t>
      </w:r>
      <w:r w:rsidRPr="00AF3116">
        <w:rPr>
          <w:rtl/>
        </w:rPr>
        <w:t>2</w:t>
      </w:r>
      <w:r w:rsidRPr="001B6C67">
        <w:rPr>
          <w:rtl/>
        </w:rPr>
        <w:t xml:space="preserve"> التي تسمح للمحكمة بالقيام بدور أكثر فعالية من خلال سلطة استدعاء الشهود والأدلة التي يقترحها المتهم كشاهد للمحكمة. </w:t>
      </w:r>
    </w:p>
    <w:p w14:paraId="406DE31B" w14:textId="77777777" w:rsidR="00DE3D9F" w:rsidRPr="001B6C67" w:rsidRDefault="00DE3D9F" w:rsidP="00883EBA">
      <w:pPr>
        <w:pStyle w:val="H23GA"/>
        <w:rPr>
          <w:lang w:val="ar-SA" w:eastAsia="zh-TW" w:bidi="en-GB"/>
        </w:rPr>
      </w:pPr>
      <w:r w:rsidRPr="001B6C67">
        <w:rPr>
          <w:rtl/>
        </w:rPr>
        <w:tab/>
      </w:r>
      <w:r w:rsidRPr="001B6C67">
        <w:rPr>
          <w:rtl/>
        </w:rPr>
        <w:tab/>
      </w:r>
      <w:r w:rsidRPr="00AF3116">
        <w:rPr>
          <w:rtl/>
        </w:rPr>
        <w:t>صكوك حقوق الإنسان التي تحتج بها/تنفذها المحاكم/السلطات الإدارية مباشرة</w:t>
      </w:r>
    </w:p>
    <w:p w14:paraId="52AE5215" w14:textId="77777777" w:rsidR="00DE3D9F" w:rsidRPr="001B6C67" w:rsidRDefault="00DE3D9F" w:rsidP="00DE3D9F">
      <w:pPr>
        <w:pStyle w:val="SingleTxtGA"/>
        <w:rPr>
          <w:lang w:val="ar-SA" w:eastAsia="zh-TW" w:bidi="en-GB"/>
        </w:rPr>
      </w:pPr>
      <w:r w:rsidRPr="00AF3116">
        <w:rPr>
          <w:rtl/>
        </w:rPr>
        <w:t>137</w:t>
      </w:r>
      <w:r w:rsidRPr="001B6C67">
        <w:rPr>
          <w:rtl/>
        </w:rPr>
        <w:t>-</w:t>
      </w:r>
      <w:r w:rsidRPr="001B6C67">
        <w:rPr>
          <w:rtl/>
        </w:rPr>
        <w:tab/>
        <w:t>تنفذ تايلند، بوصفها بلداً ثنائياً، التزاماتها الدولية في مجال حقوق الإنسان من خلال وضع تشريعات وتدابير إدارية مناسبة لأن الصكوك الدولية لا تنطبق مباشرة على القانون المحلي التايلندي.</w:t>
      </w:r>
    </w:p>
    <w:p w14:paraId="048FD037" w14:textId="77777777" w:rsidR="00DE3D9F" w:rsidRPr="001B6C67" w:rsidRDefault="00DE3D9F" w:rsidP="00DE3D9F">
      <w:pPr>
        <w:pStyle w:val="SingleTxtGA"/>
        <w:rPr>
          <w:lang w:val="ar-SA" w:eastAsia="zh-TW" w:bidi="en-GB"/>
        </w:rPr>
      </w:pPr>
      <w:r w:rsidRPr="00AF3116">
        <w:rPr>
          <w:rtl/>
        </w:rPr>
        <w:t>138</w:t>
      </w:r>
      <w:r w:rsidRPr="001B6C67">
        <w:rPr>
          <w:rtl/>
        </w:rPr>
        <w:t>-</w:t>
      </w:r>
      <w:r w:rsidRPr="001B6C67">
        <w:rPr>
          <w:rtl/>
        </w:rPr>
        <w:tab/>
        <w:t xml:space="preserve">والحقوق المكرسة في المعاهدات الدولية الأساسية لحقوق الإنسان التي تُعد تايلند طرفاً فيها محمية إما بموجب الدستور أو القوانين. وقد أُبرِزَت في التقارير الدورية ذات الصلة الخاصة بمعاهدات محددة التفاصيل التي تبين أي تشريعات تضمن أي حقوق. </w:t>
      </w:r>
    </w:p>
    <w:p w14:paraId="1C3386A1" w14:textId="50BA89FC" w:rsidR="00DE3D9F" w:rsidRPr="001B6C67" w:rsidRDefault="00DE3D9F" w:rsidP="00DE3D9F">
      <w:pPr>
        <w:pStyle w:val="SingleTxtGA"/>
        <w:rPr>
          <w:lang w:val="ar-SA" w:eastAsia="zh-TW" w:bidi="en-GB"/>
        </w:rPr>
      </w:pPr>
      <w:r w:rsidRPr="00AF3116">
        <w:rPr>
          <w:rtl/>
        </w:rPr>
        <w:t>139</w:t>
      </w:r>
      <w:r w:rsidRPr="001B6C67">
        <w:rPr>
          <w:rtl/>
        </w:rPr>
        <w:t>-</w:t>
      </w:r>
      <w:r w:rsidRPr="001B6C67">
        <w:rPr>
          <w:rtl/>
        </w:rPr>
        <w:tab/>
        <w:t>وهناك أمثلة على حالات تقوم فيها المحاكم والسلطات الإدارية بالاحتجاج بصكوك حقوق الإنسان أو إنفاذها مباشرة. وعند تقرير ما إذا كان مكتب رئيس الوزراء يجب أن يدفع تعويضاً لضحية</w:t>
      </w:r>
      <w:r w:rsidR="00D55C97">
        <w:rPr>
          <w:rFonts w:hint="cs"/>
          <w:rtl/>
        </w:rPr>
        <w:t> </w:t>
      </w:r>
      <w:r w:rsidRPr="001B6C67">
        <w:rPr>
          <w:rtl/>
        </w:rPr>
        <w:t xml:space="preserve">التعذيب الذي ارتكبه أحد المسؤولين، قضت المحكمة الإدارية العليا في الحكم </w:t>
      </w:r>
      <w:r w:rsidRPr="00AF3116">
        <w:rPr>
          <w:rtl/>
        </w:rPr>
        <w:t>1350</w:t>
      </w:r>
      <w:r w:rsidRPr="001B6C67">
        <w:rPr>
          <w:rtl/>
        </w:rPr>
        <w:t>/</w:t>
      </w:r>
      <w:r w:rsidRPr="00AF3116">
        <w:rPr>
          <w:rtl/>
        </w:rPr>
        <w:t>2559</w:t>
      </w:r>
      <w:r w:rsidRPr="001B6C67">
        <w:rPr>
          <w:rtl/>
        </w:rPr>
        <w:t xml:space="preserve"> بأنه "بما أن تايلند طرف في اتفاقية مناهضة التعذيب وغيره من ضروب المعاملة أو العقوبة القاسية أو</w:t>
      </w:r>
      <w:r w:rsidR="00D55C97">
        <w:rPr>
          <w:rFonts w:hint="cs"/>
          <w:rtl/>
        </w:rPr>
        <w:t> </w:t>
      </w:r>
      <w:r w:rsidRPr="001B6C67">
        <w:rPr>
          <w:rtl/>
        </w:rPr>
        <w:t xml:space="preserve">اللاإنسانية أو المهينة بالانضمام إليها منذ </w:t>
      </w:r>
      <w:r w:rsidRPr="00AF3116">
        <w:rPr>
          <w:rtl/>
        </w:rPr>
        <w:t>2</w:t>
      </w:r>
      <w:r w:rsidRPr="001B6C67">
        <w:rPr>
          <w:rtl/>
        </w:rPr>
        <w:t xml:space="preserve"> تشرين الأول/أكتوبر </w:t>
      </w:r>
      <w:r w:rsidRPr="00AF3116">
        <w:rPr>
          <w:rtl/>
        </w:rPr>
        <w:t>2007</w:t>
      </w:r>
      <w:r w:rsidR="00D55C97">
        <w:rPr>
          <w:rFonts w:hint="cs"/>
          <w:rtl/>
        </w:rPr>
        <w:t xml:space="preserve"> </w:t>
      </w:r>
      <w:r w:rsidRPr="001B6C67">
        <w:rPr>
          <w:rtl/>
        </w:rPr>
        <w:t>...، فإنها ملزمة بالامتثال</w:t>
      </w:r>
      <w:r w:rsidR="00D55C97">
        <w:rPr>
          <w:rFonts w:hint="cs"/>
          <w:rtl/>
        </w:rPr>
        <w:t> </w:t>
      </w:r>
      <w:r w:rsidRPr="001B6C67">
        <w:rPr>
          <w:rtl/>
        </w:rPr>
        <w:t>للاتفاقية [...]".</w:t>
      </w:r>
    </w:p>
    <w:p w14:paraId="7FC08E40" w14:textId="3F999F8A" w:rsidR="00DE3D9F" w:rsidRPr="001B6C67" w:rsidRDefault="00DE3D9F" w:rsidP="00DE3D9F">
      <w:pPr>
        <w:pStyle w:val="SingleTxtGA"/>
        <w:rPr>
          <w:lang w:val="ar-SA" w:eastAsia="zh-TW" w:bidi="en-GB"/>
        </w:rPr>
      </w:pPr>
      <w:bookmarkStart w:id="30" w:name="_Ref45066201"/>
      <w:r w:rsidRPr="00AF3116">
        <w:rPr>
          <w:rtl/>
        </w:rPr>
        <w:lastRenderedPageBreak/>
        <w:t>140</w:t>
      </w:r>
      <w:r w:rsidRPr="001B6C67">
        <w:rPr>
          <w:rtl/>
        </w:rPr>
        <w:t>-</w:t>
      </w:r>
      <w:r w:rsidRPr="001B6C67">
        <w:rPr>
          <w:rtl/>
        </w:rPr>
        <w:tab/>
        <w:t xml:space="preserve">ويمكن العثور على مثال آخر في قضية نظرت فيها محكمة الاستئناف في عام </w:t>
      </w:r>
      <w:r w:rsidRPr="00AF3116">
        <w:rPr>
          <w:rtl/>
        </w:rPr>
        <w:t>2019</w:t>
      </w:r>
      <w:r w:rsidRPr="001B6C67">
        <w:rPr>
          <w:rtl/>
        </w:rPr>
        <w:t xml:space="preserve"> وقررت</w:t>
      </w:r>
      <w:r w:rsidR="007D3947">
        <w:rPr>
          <w:rFonts w:hint="cs"/>
          <w:rtl/>
        </w:rPr>
        <w:t> </w:t>
      </w:r>
      <w:r w:rsidRPr="001B6C67">
        <w:rPr>
          <w:rtl/>
        </w:rPr>
        <w:t>(</w:t>
      </w:r>
      <w:r w:rsidRPr="00AF3116">
        <w:rPr>
          <w:rtl/>
        </w:rPr>
        <w:t>18776</w:t>
      </w:r>
      <w:r w:rsidRPr="001B6C67">
        <w:rPr>
          <w:rtl/>
        </w:rPr>
        <w:t>/</w:t>
      </w:r>
      <w:r w:rsidRPr="00AF3116">
        <w:rPr>
          <w:rtl/>
        </w:rPr>
        <w:t>2561</w:t>
      </w:r>
      <w:r w:rsidRPr="001B6C67">
        <w:rPr>
          <w:rtl/>
        </w:rPr>
        <w:t>) أنه حتى لو لم يتم بعدُ الاعتراف، بموجب القانون التايلاندي، بالشراكة المدنية المسجلة في المملكة المتحدة بين المتوفى والمدعي (الذي طلب تعيينه من قبل المحكمة كمنفذ لوصية المتوفى)، فإن الاتفاق في حد ذاته لا يتعارض مع الحفاظ على النظام العام أو الأخلاق الحميدة في تايلاند. ويرجع ذلك جزئياً إلى أن تايلند تحترم مبدأ المساواة بموجب القانون وعدم التمييز على أساس النوع الاجتماعي وفقاً للإعلان العالمي لحقوق الإنسان.</w:t>
      </w:r>
      <w:bookmarkEnd w:id="30"/>
    </w:p>
    <w:p w14:paraId="191E1D32" w14:textId="77777777" w:rsidR="00DE3D9F" w:rsidRPr="001B6C67" w:rsidRDefault="00DE3D9F" w:rsidP="00883EBA">
      <w:pPr>
        <w:pStyle w:val="H1GA"/>
        <w:rPr>
          <w:lang w:val="ar-SA" w:eastAsia="zh-TW" w:bidi="en-GB"/>
        </w:rPr>
      </w:pPr>
      <w:r>
        <w:rPr>
          <w:rtl/>
        </w:rPr>
        <w:tab/>
      </w:r>
      <w:bookmarkStart w:id="31" w:name="_Toc92899419"/>
      <w:r w:rsidRPr="001B6C67">
        <w:rPr>
          <w:rtl/>
        </w:rPr>
        <w:t>جيم-</w:t>
      </w:r>
      <w:r w:rsidRPr="001B6C67">
        <w:rPr>
          <w:rtl/>
        </w:rPr>
        <w:tab/>
      </w:r>
      <w:r w:rsidRPr="00AF3116">
        <w:rPr>
          <w:rtl/>
        </w:rPr>
        <w:t>إطار تعزيز حقوق الإنسان على الصعيد الوطني</w:t>
      </w:r>
      <w:bookmarkStart w:id="32" w:name="_Toc89701538"/>
      <w:bookmarkEnd w:id="32"/>
      <w:bookmarkEnd w:id="31"/>
    </w:p>
    <w:p w14:paraId="3352C907" w14:textId="77777777" w:rsidR="00DE3D9F" w:rsidRPr="001B6C67" w:rsidRDefault="00DE3D9F" w:rsidP="00883EBA">
      <w:pPr>
        <w:pStyle w:val="H23GA"/>
        <w:rPr>
          <w:lang w:val="ar-SA" w:eastAsia="zh-TW" w:bidi="en-GB"/>
        </w:rPr>
      </w:pPr>
      <w:r w:rsidRPr="001B6C67">
        <w:rPr>
          <w:rtl/>
        </w:rPr>
        <w:tab/>
      </w:r>
      <w:r w:rsidRPr="001B6C67">
        <w:rPr>
          <w:rtl/>
        </w:rPr>
        <w:tab/>
      </w:r>
      <w:r w:rsidRPr="00AF3116">
        <w:rPr>
          <w:rtl/>
        </w:rPr>
        <w:t>البرلمانات والجمعيات الوطنية والإقليمية</w:t>
      </w:r>
    </w:p>
    <w:p w14:paraId="09F6DE6C" w14:textId="77777777" w:rsidR="00DE3D9F" w:rsidRPr="001B6C67" w:rsidRDefault="00DE3D9F" w:rsidP="00DE3D9F">
      <w:pPr>
        <w:pStyle w:val="SingleTxtGA"/>
        <w:rPr>
          <w:rFonts w:eastAsia="Cordia New"/>
          <w:lang w:val="ar-SA" w:eastAsia="zh-TW" w:bidi="en-GB"/>
        </w:rPr>
      </w:pPr>
      <w:r w:rsidRPr="00AF3116">
        <w:rPr>
          <w:rtl/>
        </w:rPr>
        <w:t>141</w:t>
      </w:r>
      <w:r w:rsidRPr="001B6C67">
        <w:rPr>
          <w:rtl/>
        </w:rPr>
        <w:t>-</w:t>
      </w:r>
      <w:r w:rsidRPr="001B6C67">
        <w:rPr>
          <w:rtl/>
        </w:rPr>
        <w:tab/>
        <w:t xml:space="preserve">البرلمان هو الجهاز الرئيسي في العملية التشريعية التايلاندية (انظر الفقرات </w:t>
      </w:r>
      <w:r w:rsidRPr="00AF3116">
        <w:rPr>
          <w:rtl/>
        </w:rPr>
        <w:t>37</w:t>
      </w:r>
      <w:r w:rsidRPr="001B6C67">
        <w:rPr>
          <w:rtl/>
        </w:rPr>
        <w:t>-</w:t>
      </w:r>
      <w:r w:rsidRPr="00AF3116">
        <w:rPr>
          <w:rtl/>
        </w:rPr>
        <w:t>40</w:t>
      </w:r>
      <w:r w:rsidRPr="001B6C67">
        <w:rPr>
          <w:rtl/>
        </w:rPr>
        <w:t>). وقد اتت هذه العملية بمشاريع قوانين تعزز حقوق الإنسان وتحميها في تايلند. ويحق لمجلس الوزراء وأعضاء المجلسين والناخبين المؤهلين تقديم مشروع قانون إلى البرلمان لينظر فيه.</w:t>
      </w:r>
    </w:p>
    <w:p w14:paraId="5EBF96A5" w14:textId="77777777" w:rsidR="00DE3D9F" w:rsidRPr="001B6C67" w:rsidRDefault="00DE3D9F" w:rsidP="00DE3D9F">
      <w:pPr>
        <w:pStyle w:val="SingleTxtGA"/>
        <w:rPr>
          <w:rFonts w:eastAsia="Cordia New"/>
          <w:lang w:val="ar-SA" w:eastAsia="zh-TW" w:bidi="en-GB"/>
        </w:rPr>
      </w:pPr>
      <w:r w:rsidRPr="00AF3116">
        <w:rPr>
          <w:rtl/>
        </w:rPr>
        <w:t>142</w:t>
      </w:r>
      <w:r w:rsidRPr="001B6C67">
        <w:rPr>
          <w:rtl/>
        </w:rPr>
        <w:t>-</w:t>
      </w:r>
      <w:r w:rsidRPr="001B6C67">
        <w:rPr>
          <w:rtl/>
        </w:rPr>
        <w:tab/>
        <w:t xml:space="preserve">وكما ورد في الفقرة </w:t>
      </w:r>
      <w:r w:rsidRPr="00AF3116">
        <w:rPr>
          <w:rtl/>
        </w:rPr>
        <w:t>84</w:t>
      </w:r>
      <w:r w:rsidRPr="001B6C67">
        <w:rPr>
          <w:rtl/>
        </w:rPr>
        <w:t xml:space="preserve">، تنشئ المادة </w:t>
      </w:r>
      <w:r w:rsidRPr="00AF3116">
        <w:rPr>
          <w:rtl/>
        </w:rPr>
        <w:t>77</w:t>
      </w:r>
      <w:r w:rsidRPr="001B6C67">
        <w:rPr>
          <w:rtl/>
        </w:rPr>
        <w:t xml:space="preserve"> من دستور عام </w:t>
      </w:r>
      <w:r w:rsidRPr="00AF3116">
        <w:rPr>
          <w:rtl/>
        </w:rPr>
        <w:t>2017</w:t>
      </w:r>
      <w:r w:rsidRPr="001B6C67">
        <w:rPr>
          <w:rtl/>
        </w:rPr>
        <w:t xml:space="preserve"> آلية جديدة للتشاور العام مع أصحاب المصلحة في عملية وضع القوانين. ويجب أن تجرى هذه المشاورات قبل سن كل قانون وكذلك بعد دخول القانون حيز النفاذ كتقييم لمدى ملاءمة القانون في ظل السياقات الاجتماعية المتغيرة.</w:t>
      </w:r>
    </w:p>
    <w:p w14:paraId="770327BB" w14:textId="77777777" w:rsidR="00DE3D9F" w:rsidRPr="001B6C67" w:rsidRDefault="00DE3D9F" w:rsidP="00883EBA">
      <w:pPr>
        <w:pStyle w:val="H23GA"/>
        <w:rPr>
          <w:lang w:val="ar-SA" w:eastAsia="zh-TW" w:bidi="en-GB"/>
        </w:rPr>
      </w:pPr>
      <w:r w:rsidRPr="001B6C67">
        <w:rPr>
          <w:rtl/>
        </w:rPr>
        <w:tab/>
      </w:r>
      <w:r w:rsidRPr="001B6C67">
        <w:rPr>
          <w:rtl/>
        </w:rPr>
        <w:tab/>
      </w:r>
      <w:r w:rsidRPr="00AF3116">
        <w:rPr>
          <w:rtl/>
        </w:rPr>
        <w:t>المؤسّسة الوطنية لحقوق الإنسان</w:t>
      </w:r>
    </w:p>
    <w:p w14:paraId="4F18316F" w14:textId="00397567" w:rsidR="00DE3D9F" w:rsidRPr="001B6C67" w:rsidRDefault="00DE3D9F" w:rsidP="00DE3D9F">
      <w:pPr>
        <w:pStyle w:val="SingleTxtGA"/>
        <w:rPr>
          <w:lang w:val="ar-SA" w:eastAsia="zh-TW" w:bidi="en-GB"/>
        </w:rPr>
      </w:pPr>
      <w:r w:rsidRPr="00AF3116">
        <w:rPr>
          <w:rtl/>
        </w:rPr>
        <w:t>143</w:t>
      </w:r>
      <w:r w:rsidRPr="001B6C67">
        <w:rPr>
          <w:rtl/>
        </w:rPr>
        <w:t>-</w:t>
      </w:r>
      <w:r w:rsidRPr="001B6C67">
        <w:rPr>
          <w:rtl/>
        </w:rPr>
        <w:tab/>
        <w:t>تتوافق واجبات وصلاحيات اللجنة الوطنية لحقوق الإنسان في تعزيز وحماية حقوق الإنسان مع</w:t>
      </w:r>
      <w:r w:rsidR="00535610">
        <w:rPr>
          <w:rFonts w:hint="cs"/>
          <w:rtl/>
        </w:rPr>
        <w:t> </w:t>
      </w:r>
      <w:r w:rsidRPr="001B6C67">
        <w:rPr>
          <w:rtl/>
        </w:rPr>
        <w:t xml:space="preserve">الفقرة </w:t>
      </w:r>
      <w:r w:rsidRPr="00AF3116">
        <w:rPr>
          <w:rtl/>
        </w:rPr>
        <w:t>1</w:t>
      </w:r>
      <w:r w:rsidRPr="001B6C67">
        <w:rPr>
          <w:rtl/>
        </w:rPr>
        <w:t xml:space="preserve"> من المادة </w:t>
      </w:r>
      <w:r w:rsidRPr="00AF3116">
        <w:rPr>
          <w:rtl/>
        </w:rPr>
        <w:t>247</w:t>
      </w:r>
      <w:r w:rsidRPr="001B6C67">
        <w:rPr>
          <w:rtl/>
        </w:rPr>
        <w:t xml:space="preserve"> من دستور عام </w:t>
      </w:r>
      <w:r w:rsidRPr="00AF3116">
        <w:rPr>
          <w:rtl/>
        </w:rPr>
        <w:t>2017</w:t>
      </w:r>
      <w:r w:rsidRPr="001B6C67">
        <w:rPr>
          <w:rtl/>
        </w:rPr>
        <w:t xml:space="preserve"> والمواد </w:t>
      </w:r>
      <w:r w:rsidRPr="00AF3116">
        <w:rPr>
          <w:rtl/>
        </w:rPr>
        <w:t>26</w:t>
      </w:r>
      <w:r w:rsidRPr="001B6C67">
        <w:rPr>
          <w:rtl/>
        </w:rPr>
        <w:t>-</w:t>
      </w:r>
      <w:r w:rsidRPr="00AF3116">
        <w:rPr>
          <w:rtl/>
        </w:rPr>
        <w:t>27</w:t>
      </w:r>
      <w:r w:rsidRPr="001B6C67">
        <w:rPr>
          <w:rtl/>
        </w:rPr>
        <w:t xml:space="preserve"> و</w:t>
      </w:r>
      <w:r w:rsidRPr="00AF3116">
        <w:rPr>
          <w:rtl/>
        </w:rPr>
        <w:t>34</w:t>
      </w:r>
      <w:r w:rsidRPr="001B6C67">
        <w:rPr>
          <w:rtl/>
        </w:rPr>
        <w:t>-</w:t>
      </w:r>
      <w:r w:rsidRPr="00AF3116">
        <w:rPr>
          <w:rtl/>
        </w:rPr>
        <w:t>46</w:t>
      </w:r>
      <w:r w:rsidRPr="001B6C67">
        <w:rPr>
          <w:rtl/>
        </w:rPr>
        <w:t xml:space="preserve"> من القانون الأساسي (انظر أيضاً الفقرة </w:t>
      </w:r>
      <w:r w:rsidRPr="00AF3116">
        <w:rPr>
          <w:rtl/>
        </w:rPr>
        <w:t>55</w:t>
      </w:r>
      <w:r w:rsidRPr="001B6C67">
        <w:rPr>
          <w:rtl/>
        </w:rPr>
        <w:t xml:space="preserve">). </w:t>
      </w:r>
    </w:p>
    <w:p w14:paraId="6E2D5CF1" w14:textId="77777777" w:rsidR="00DE3D9F" w:rsidRPr="001B6C67" w:rsidRDefault="00DE3D9F" w:rsidP="00DE3D9F">
      <w:pPr>
        <w:pStyle w:val="SingleTxtGA"/>
        <w:rPr>
          <w:lang w:val="ar-SA" w:eastAsia="zh-TW" w:bidi="en-GB"/>
        </w:rPr>
      </w:pPr>
      <w:r w:rsidRPr="00AF3116">
        <w:rPr>
          <w:rtl/>
        </w:rPr>
        <w:t>144</w:t>
      </w:r>
      <w:r w:rsidRPr="001B6C67">
        <w:rPr>
          <w:rtl/>
        </w:rPr>
        <w:t>-</w:t>
      </w:r>
      <w:r w:rsidRPr="001B6C67">
        <w:rPr>
          <w:rtl/>
        </w:rPr>
        <w:tab/>
        <w:t xml:space="preserve">وتُنفَّذ المهام الترويجية للجنة عن طريق زيادة الوعي بمعايير وقضايا حقوق الإنسان، وكذلك من خلال برامج </w:t>
      </w:r>
      <w:r>
        <w:rPr>
          <w:rtl/>
        </w:rPr>
        <w:t>ا</w:t>
      </w:r>
      <w:r w:rsidRPr="001B6C67">
        <w:rPr>
          <w:rtl/>
        </w:rPr>
        <w:t>لتدريس والبحث، وعن طريق مخاطبة الرأي العام.</w:t>
      </w:r>
    </w:p>
    <w:p w14:paraId="5D537FC9" w14:textId="77777777" w:rsidR="00DE3D9F" w:rsidRPr="001B6C67" w:rsidRDefault="00DE3D9F" w:rsidP="00883EBA">
      <w:pPr>
        <w:pStyle w:val="H23GA"/>
        <w:rPr>
          <w:lang w:val="ar-SA" w:eastAsia="zh-TW" w:bidi="en-GB"/>
        </w:rPr>
      </w:pPr>
      <w:r w:rsidRPr="001B6C67">
        <w:rPr>
          <w:rtl/>
        </w:rPr>
        <w:tab/>
      </w:r>
      <w:r w:rsidRPr="001B6C67">
        <w:rPr>
          <w:rtl/>
        </w:rPr>
        <w:tab/>
      </w:r>
      <w:r w:rsidRPr="00AF3116">
        <w:rPr>
          <w:rtl/>
        </w:rPr>
        <w:t>صكوك الأمم المتحدة الرئيسية لحقوق الإنسان</w:t>
      </w:r>
    </w:p>
    <w:p w14:paraId="675A3422" w14:textId="77777777" w:rsidR="00DE3D9F" w:rsidRPr="001B6C67" w:rsidRDefault="00DE3D9F" w:rsidP="00DE3D9F">
      <w:pPr>
        <w:pStyle w:val="SingleTxtGA"/>
        <w:rPr>
          <w:lang w:val="ar-SA" w:eastAsia="zh-TW" w:bidi="en-GB"/>
        </w:rPr>
      </w:pPr>
      <w:r w:rsidRPr="00AF3116">
        <w:rPr>
          <w:rtl/>
        </w:rPr>
        <w:t>145</w:t>
      </w:r>
      <w:r w:rsidRPr="001B6C67">
        <w:rPr>
          <w:rtl/>
        </w:rPr>
        <w:t>-</w:t>
      </w:r>
      <w:r w:rsidRPr="001B6C67">
        <w:rPr>
          <w:rtl/>
        </w:rPr>
        <w:tab/>
        <w:t>تُرجِمَت جميع الصكوك الدولية لحقوق الإنسان التي أصبحت تايلند طرفاً فيها ونُشِرَت ووُزِّعَت على عامة الجمهور.</w:t>
      </w:r>
    </w:p>
    <w:p w14:paraId="0A8EEEB2" w14:textId="77777777" w:rsidR="00DE3D9F" w:rsidRPr="001B6C67" w:rsidRDefault="00DE3D9F" w:rsidP="00883EBA">
      <w:pPr>
        <w:pStyle w:val="H23GA"/>
        <w:rPr>
          <w:lang w:val="ar-SA" w:eastAsia="zh-TW" w:bidi="en-GB"/>
        </w:rPr>
      </w:pPr>
      <w:r w:rsidRPr="001B6C67">
        <w:rPr>
          <w:rtl/>
        </w:rPr>
        <w:tab/>
      </w:r>
      <w:r w:rsidRPr="001B6C67">
        <w:rPr>
          <w:rtl/>
        </w:rPr>
        <w:tab/>
      </w:r>
      <w:r w:rsidRPr="00AF3116">
        <w:rPr>
          <w:rtl/>
        </w:rPr>
        <w:t>إذكاء الوعي بحقوق الإنسان بين الموظفين الحكوميين وغيرهم من المهنيين</w:t>
      </w:r>
    </w:p>
    <w:p w14:paraId="2867DD2F" w14:textId="06054D74" w:rsidR="00DE3D9F" w:rsidRPr="001B6C67" w:rsidRDefault="00DE3D9F" w:rsidP="00DE3D9F">
      <w:pPr>
        <w:pStyle w:val="SingleTxtGA"/>
        <w:rPr>
          <w:lang w:val="ar-SA" w:eastAsia="zh-TW" w:bidi="en-GB"/>
        </w:rPr>
      </w:pPr>
      <w:r w:rsidRPr="00AF3116">
        <w:rPr>
          <w:rtl/>
        </w:rPr>
        <w:t>146</w:t>
      </w:r>
      <w:r w:rsidRPr="001B6C67">
        <w:rPr>
          <w:rtl/>
        </w:rPr>
        <w:t>-</w:t>
      </w:r>
      <w:r w:rsidRPr="001B6C67">
        <w:rPr>
          <w:rtl/>
        </w:rPr>
        <w:tab/>
        <w:t xml:space="preserve">عملت وكالات ومؤسسات مختلفة على إذكاء الوعي بحقوق الإنسان بين الموظفين العموميين، بمن فيهم موظفو إنفاذ القانون والمدعون العامون والقضاة وموظفو الإصلاحيات </w:t>
      </w:r>
      <w:proofErr w:type="spellStart"/>
      <w:r w:rsidRPr="001B6C67">
        <w:rPr>
          <w:rtl/>
        </w:rPr>
        <w:t>والموظفو</w:t>
      </w:r>
      <w:proofErr w:type="spellEnd"/>
      <w:r w:rsidRPr="001B6C67">
        <w:rPr>
          <w:rtl/>
        </w:rPr>
        <w:t xml:space="preserve"> المعنيون بحماية الطفل، فضلاً عن مهنيين آخرين في تايلند. ونُظِّمت اجتماعات وحلقات عمل وتدريب</w:t>
      </w:r>
      <w:r>
        <w:rPr>
          <w:rtl/>
        </w:rPr>
        <w:t>ات</w:t>
      </w:r>
      <w:r w:rsidRPr="001B6C67">
        <w:rPr>
          <w:rtl/>
        </w:rPr>
        <w:t xml:space="preserve"> وحلقات دراسية ومحاضرات ومنشورات لنشر المعلومات عن المعايير والقواعد الدولية لحقوق الإنسان وتعزيزها </w:t>
      </w:r>
      <w:r w:rsidRPr="00535610">
        <w:rPr>
          <w:spacing w:val="-4"/>
          <w:rtl/>
        </w:rPr>
        <w:t>وتيسير تبادل الخبرات بين الوكالات التايلندية والقطاع الخاص ومنظمات المجتمع المدني، بما في ذلك الأوساط</w:t>
      </w:r>
      <w:r w:rsidR="00535610">
        <w:rPr>
          <w:rFonts w:hint="cs"/>
          <w:spacing w:val="-4"/>
          <w:rtl/>
        </w:rPr>
        <w:t> </w:t>
      </w:r>
      <w:r w:rsidRPr="00535610">
        <w:rPr>
          <w:spacing w:val="-4"/>
          <w:rtl/>
        </w:rPr>
        <w:t>الأكاديمية ووسائط الإعلام والمنظمات الدولية ذات الصلة وعامة الجمهور. وساعد المجتمع</w:t>
      </w:r>
      <w:r w:rsidRPr="001B6C67">
        <w:rPr>
          <w:rtl/>
        </w:rPr>
        <w:t xml:space="preserve"> </w:t>
      </w:r>
      <w:r w:rsidRPr="00535610">
        <w:rPr>
          <w:spacing w:val="-4"/>
          <w:rtl/>
        </w:rPr>
        <w:t>الدولي (مثل هيئة الأمم المتحدة للمرأة واليونيسيف وبرنامج الأمم المتحدة الإنمائي واللجنة الدولية للصليب الأحمر)</w:t>
      </w:r>
      <w:r w:rsidRPr="001B6C67">
        <w:rPr>
          <w:rtl/>
        </w:rPr>
        <w:t xml:space="preserve"> أيضاً في تشكيل البرامج وفقاً للمعايير الدولية. </w:t>
      </w:r>
    </w:p>
    <w:p w14:paraId="339D2898" w14:textId="77777777" w:rsidR="00DE3D9F" w:rsidRPr="001B6C67" w:rsidRDefault="00DE3D9F" w:rsidP="00DE3D9F">
      <w:pPr>
        <w:pStyle w:val="SingleTxtGA"/>
        <w:rPr>
          <w:lang w:val="ar-SA" w:eastAsia="zh-TW" w:bidi="en-GB"/>
        </w:rPr>
      </w:pPr>
      <w:r w:rsidRPr="00AF3116">
        <w:rPr>
          <w:rtl/>
        </w:rPr>
        <w:t>147</w:t>
      </w:r>
      <w:r w:rsidRPr="001B6C67">
        <w:rPr>
          <w:rtl/>
        </w:rPr>
        <w:t>-</w:t>
      </w:r>
      <w:r w:rsidRPr="001B6C67">
        <w:rPr>
          <w:rtl/>
        </w:rPr>
        <w:tab/>
        <w:t xml:space="preserve">ومن الأمثلة على برامج </w:t>
      </w:r>
      <w:r>
        <w:rPr>
          <w:rtl/>
        </w:rPr>
        <w:t>إذكاء الوعي</w:t>
      </w:r>
      <w:r w:rsidRPr="001B6C67">
        <w:rPr>
          <w:rtl/>
        </w:rPr>
        <w:t xml:space="preserve"> ما يلي:</w:t>
      </w:r>
    </w:p>
    <w:p w14:paraId="2F2B24DD" w14:textId="77777777" w:rsidR="00DE3D9F" w:rsidRPr="001B6C67" w:rsidRDefault="00DE3D9F" w:rsidP="00883EBA">
      <w:pPr>
        <w:pStyle w:val="SingleTxtGA"/>
        <w:numPr>
          <w:ilvl w:val="0"/>
          <w:numId w:val="31"/>
        </w:numPr>
        <w:tabs>
          <w:tab w:val="clear" w:pos="1928"/>
          <w:tab w:val="left" w:pos="1982"/>
        </w:tabs>
        <w:rPr>
          <w:lang w:val="ar-SA" w:eastAsia="zh-TW" w:bidi="en-GB"/>
        </w:rPr>
      </w:pPr>
      <w:r w:rsidRPr="001B6C67">
        <w:rPr>
          <w:rtl/>
        </w:rPr>
        <w:lastRenderedPageBreak/>
        <w:t xml:space="preserve">بين عامي </w:t>
      </w:r>
      <w:r w:rsidRPr="00AF3116">
        <w:rPr>
          <w:rtl/>
        </w:rPr>
        <w:t>2015</w:t>
      </w:r>
      <w:r w:rsidRPr="001B6C67">
        <w:rPr>
          <w:rtl/>
        </w:rPr>
        <w:t xml:space="preserve"> و</w:t>
      </w:r>
      <w:r w:rsidRPr="00AF3116">
        <w:rPr>
          <w:rtl/>
        </w:rPr>
        <w:t>2019</w:t>
      </w:r>
      <w:r w:rsidRPr="001B6C67">
        <w:rPr>
          <w:rtl/>
        </w:rPr>
        <w:t>، نظمت إدارة حماية الحقوق والحريات التابعة لوزارة العدل تدريباً على مبادئ حقوق الإنسان المتعلقة بإنفاذ القانون لفائدة المسؤولين الحكوميين المعنيين من أجل تعزيز فهمهم لحقوق الإنسان، بما في ذلك التزامات تايلاند بموجب المعاهدات الدولية لحقوق الإنسان، بغية تقليل خطر انتهاكات حقوق الإنسان أثناء أدائهم لواجباتهم الرسمية وتعزيز فعالية تنفيذ القوانين واللوائح وتطبيقها؛</w:t>
      </w:r>
    </w:p>
    <w:p w14:paraId="2531FD5E" w14:textId="77777777" w:rsidR="00DE3D9F" w:rsidRPr="001B6C67" w:rsidRDefault="00DE3D9F" w:rsidP="00883EBA">
      <w:pPr>
        <w:pStyle w:val="SingleTxtGA"/>
        <w:numPr>
          <w:ilvl w:val="0"/>
          <w:numId w:val="31"/>
        </w:numPr>
        <w:tabs>
          <w:tab w:val="clear" w:pos="1928"/>
          <w:tab w:val="left" w:pos="1982"/>
        </w:tabs>
        <w:rPr>
          <w:lang w:val="ar-SA" w:eastAsia="zh-TW" w:bidi="en-GB"/>
        </w:rPr>
      </w:pPr>
      <w:r w:rsidRPr="001B6C67">
        <w:rPr>
          <w:rtl/>
        </w:rPr>
        <w:t xml:space="preserve">منذ عام </w:t>
      </w:r>
      <w:r w:rsidRPr="00AF3116">
        <w:rPr>
          <w:rtl/>
        </w:rPr>
        <w:t>2018</w:t>
      </w:r>
      <w:r w:rsidRPr="001B6C67">
        <w:rPr>
          <w:rtl/>
        </w:rPr>
        <w:t>، نظمت وزارة الخارجية</w:t>
      </w:r>
      <w:r>
        <w:rPr>
          <w:rtl/>
        </w:rPr>
        <w:t>،</w:t>
      </w:r>
      <w:r w:rsidRPr="001B6C67">
        <w:rPr>
          <w:rtl/>
        </w:rPr>
        <w:t xml:space="preserve"> بالتعاون مع المفوضية السامية لحقوق الإنسان</w:t>
      </w:r>
      <w:r>
        <w:rPr>
          <w:rtl/>
        </w:rPr>
        <w:t>،</w:t>
      </w:r>
      <w:r w:rsidRPr="001B6C67">
        <w:rPr>
          <w:rtl/>
        </w:rPr>
        <w:t xml:space="preserve"> حلقة عمل سنوية لبناء القدرات بشأن تقديم التقارير لهيئات معاهدات حقوق الإنسان لفائدة المسؤولين الحكوميين المكلفين بإعداد التقارير الوطنية للبلد بموجب الصكوك الدولية الأساسية لحقوق الإنسان. وتشمل أهداف حلقة العمل تعزيز قدرات الموظفين، لا سيما من خلال زيادة الوعي والفهم وتطوير المهارات اللازمة لصياغة وتقديم تقرير وطني؛</w:t>
      </w:r>
    </w:p>
    <w:p w14:paraId="09D1B2C7" w14:textId="77777777" w:rsidR="00DE3D9F" w:rsidRPr="001B6C67" w:rsidRDefault="00DE3D9F" w:rsidP="00883EBA">
      <w:pPr>
        <w:pStyle w:val="SingleTxtGA"/>
        <w:numPr>
          <w:ilvl w:val="0"/>
          <w:numId w:val="31"/>
        </w:numPr>
        <w:tabs>
          <w:tab w:val="clear" w:pos="1928"/>
          <w:tab w:val="left" w:pos="1982"/>
        </w:tabs>
        <w:rPr>
          <w:lang w:val="ar-SA" w:eastAsia="zh-TW" w:bidi="en-GB"/>
        </w:rPr>
      </w:pPr>
      <w:r w:rsidRPr="001B6C67">
        <w:rPr>
          <w:rtl/>
        </w:rPr>
        <w:t xml:space="preserve">يقدم مكتب لجنة الخدمة المدنية دورة تدريبية في مجال حقوق الإنسان الأساسية تدرس ذاتياً لمدة شهرين من خلال منصة للتعلم الإلكتروني للعاملين في الخدمة المدنية والموظفين. ويحضر هذه الدورة التدريبية كل عام نحو </w:t>
      </w:r>
      <w:r w:rsidRPr="00AF3116">
        <w:rPr>
          <w:rtl/>
        </w:rPr>
        <w:t>600</w:t>
      </w:r>
      <w:r w:rsidRPr="001B6C67">
        <w:rPr>
          <w:rtl/>
        </w:rPr>
        <w:t xml:space="preserve"> مشارك. </w:t>
      </w:r>
    </w:p>
    <w:p w14:paraId="4CC4358A" w14:textId="77777777" w:rsidR="00DE3D9F" w:rsidRPr="001B6C67" w:rsidRDefault="00DE3D9F" w:rsidP="00DE3D9F">
      <w:pPr>
        <w:pStyle w:val="SingleTxtGA"/>
        <w:rPr>
          <w:lang w:val="ar-SA" w:eastAsia="zh-TW" w:bidi="en-GB"/>
        </w:rPr>
      </w:pPr>
      <w:r w:rsidRPr="00AF3116">
        <w:rPr>
          <w:rtl/>
        </w:rPr>
        <w:t>148</w:t>
      </w:r>
      <w:r w:rsidRPr="001B6C67">
        <w:rPr>
          <w:rtl/>
        </w:rPr>
        <w:t>-</w:t>
      </w:r>
      <w:r w:rsidRPr="001B6C67">
        <w:rPr>
          <w:rtl/>
        </w:rPr>
        <w:tab/>
        <w:t>وفيما يخص المهنيين القانونيين، تُعدّ وحدة حقوق الإنسان مادة إلزامية لمن يحضرون امتحان نقابة المحامين. وهذا الموضوع متاح أيضاً في معظم كليات الحقوق في جميع أنحاء البلد.</w:t>
      </w:r>
    </w:p>
    <w:p w14:paraId="1E46C048" w14:textId="77777777" w:rsidR="00DE3D9F" w:rsidRPr="001B6C67" w:rsidRDefault="00DE3D9F" w:rsidP="00883EBA">
      <w:pPr>
        <w:pStyle w:val="H23GA"/>
        <w:rPr>
          <w:lang w:val="ar-SA" w:eastAsia="zh-TW" w:bidi="en-GB"/>
        </w:rPr>
      </w:pPr>
      <w:r w:rsidRPr="001B6C67">
        <w:rPr>
          <w:rtl/>
        </w:rPr>
        <w:tab/>
      </w:r>
      <w:r w:rsidRPr="001B6C67">
        <w:rPr>
          <w:rtl/>
        </w:rPr>
        <w:tab/>
      </w:r>
      <w:r w:rsidRPr="00AF3116">
        <w:rPr>
          <w:rtl/>
        </w:rPr>
        <w:t>تعزيز الوعي بحقوق الإنسان عن طريق البرامج التعليمية والإعلام الذي ترعاه الحكومة</w:t>
      </w:r>
    </w:p>
    <w:p w14:paraId="1B4B5922" w14:textId="77777777" w:rsidR="00DE3D9F" w:rsidRPr="001B6C67" w:rsidRDefault="00DE3D9F" w:rsidP="00DE3D9F">
      <w:pPr>
        <w:pStyle w:val="SingleTxtGA"/>
        <w:rPr>
          <w:lang w:val="ar-SA" w:eastAsia="zh-TW" w:bidi="en-GB"/>
        </w:rPr>
      </w:pPr>
      <w:r w:rsidRPr="00AF3116">
        <w:rPr>
          <w:rtl/>
        </w:rPr>
        <w:t>149</w:t>
      </w:r>
      <w:r w:rsidRPr="001B6C67">
        <w:rPr>
          <w:rtl/>
        </w:rPr>
        <w:t>-</w:t>
      </w:r>
      <w:r w:rsidRPr="001B6C67">
        <w:rPr>
          <w:rtl/>
        </w:rPr>
        <w:tab/>
        <w:t>تم تنظيم التثقيف العام بشأن حقوق الإنسان من خلال التعلم الرسمي وغير الرسمي والتدريب والحلقات الدراسية. ووُضِعَت مناهج للتعليم والتعلّم لتوعية المعلمين والعاملين في مجال التعليم، والمسؤولين من المنظمات الإدارية المحلية</w:t>
      </w:r>
      <w:r>
        <w:rPr>
          <w:rtl/>
        </w:rPr>
        <w:t>،</w:t>
      </w:r>
      <w:r w:rsidRPr="001B6C67">
        <w:rPr>
          <w:rtl/>
        </w:rPr>
        <w:t xml:space="preserve"> والمتطوعين في مجال حقوق الإنسان. </w:t>
      </w:r>
    </w:p>
    <w:p w14:paraId="34A73210" w14:textId="77777777" w:rsidR="00DE3D9F" w:rsidRPr="001B6C67" w:rsidRDefault="00DE3D9F" w:rsidP="00DE3D9F">
      <w:pPr>
        <w:pStyle w:val="SingleTxtGA"/>
        <w:rPr>
          <w:lang w:val="ar-SA" w:eastAsia="zh-TW" w:bidi="en-GB"/>
        </w:rPr>
      </w:pPr>
      <w:r w:rsidRPr="00AF3116">
        <w:rPr>
          <w:rtl/>
        </w:rPr>
        <w:t>150</w:t>
      </w:r>
      <w:r w:rsidRPr="001B6C67">
        <w:rPr>
          <w:rtl/>
        </w:rPr>
        <w:t>-</w:t>
      </w:r>
      <w:r w:rsidRPr="001B6C67">
        <w:rPr>
          <w:rtl/>
        </w:rPr>
        <w:tab/>
        <w:t xml:space="preserve">وتؤدي وزارة التعليم دوراً رئيسياً في تعزيز وتنمية القيم الاجتماعية مثل الرعاية والاحترام والمسؤولية والسلام والوئام والتعايش السلمي في المدارس. وتؤكد سياساتها التعليمية على أهمية نشر المعرفة بشأن حقوق الإنسان وما يتصل بها من معلومات وتعليم. وتنعكس هذه السياسات في المناهج التعليمية للمدارس، ولا سيما في الدراسات الاجتماعية. وللحماية من تطور مظاهر التحيز والقوالب النمطية الضارة، يتعلم الطلاب احترام التعددية الثقافية والاحتفال بها، بما في ذلك من خلال </w:t>
      </w:r>
      <w:r>
        <w:rPr>
          <w:rtl/>
        </w:rPr>
        <w:t>منصات</w:t>
      </w:r>
      <w:r w:rsidRPr="001B6C67">
        <w:rPr>
          <w:rtl/>
        </w:rPr>
        <w:t xml:space="preserve"> تعلم من قبيل الألعاب والمشاريع الطلابية والمخيمات المدرسية والرحلات الميدانية إلى المتاحف والمواقع الأثرية. </w:t>
      </w:r>
    </w:p>
    <w:p w14:paraId="0D3858F2" w14:textId="77777777" w:rsidR="00DE3D9F" w:rsidRPr="001B6C67" w:rsidRDefault="00DE3D9F" w:rsidP="00DE3D9F">
      <w:pPr>
        <w:pStyle w:val="SingleTxtGA"/>
        <w:rPr>
          <w:lang w:val="ar-SA" w:eastAsia="zh-TW" w:bidi="en-GB"/>
        </w:rPr>
      </w:pPr>
      <w:r w:rsidRPr="00AF3116">
        <w:rPr>
          <w:rtl/>
        </w:rPr>
        <w:t>151</w:t>
      </w:r>
      <w:r w:rsidRPr="001B6C67">
        <w:rPr>
          <w:rtl/>
        </w:rPr>
        <w:t>-</w:t>
      </w:r>
      <w:r w:rsidRPr="001B6C67">
        <w:rPr>
          <w:rtl/>
        </w:rPr>
        <w:tab/>
        <w:t>وبالإضافة إلى ذلك، نفذت وزارة التعليم استراتيجيات وخططاً ومشاريع محددة لتلبية الاحتياجات الخاصة للأطفال والأشخاص من أصل إثني في تايلند بطريقة شاملة، مثل "خطة التنمية التعليمية في المنطقة الحدودية (</w:t>
      </w:r>
      <w:r w:rsidRPr="00AF3116">
        <w:rPr>
          <w:rtl/>
        </w:rPr>
        <w:t>2017</w:t>
      </w:r>
      <w:r w:rsidRPr="001B6C67">
        <w:rPr>
          <w:rtl/>
        </w:rPr>
        <w:t>-</w:t>
      </w:r>
      <w:r w:rsidRPr="00AF3116">
        <w:rPr>
          <w:rtl/>
        </w:rPr>
        <w:t>2021</w:t>
      </w:r>
      <w:r w:rsidRPr="001B6C67">
        <w:rPr>
          <w:rtl/>
        </w:rPr>
        <w:t>)</w:t>
      </w:r>
      <w:r w:rsidRPr="00883EBA">
        <w:rPr>
          <w:rFonts w:ascii="Simplified Arabic" w:hAnsi="Simplified Arabic"/>
        </w:rPr>
        <w:t>"</w:t>
      </w:r>
      <w:r w:rsidRPr="001B6C67">
        <w:rPr>
          <w:rtl/>
        </w:rPr>
        <w:t>، التي تهدف إلى تحسين التعليم ونوعية حياة الطلاب وطلاب الجامعات والأشخاص الذين يعيشون في المناطق الحدودية المتصلة بميانمار وجمهورية لاو الديمقراطية الشعبية وكمبوديا.</w:t>
      </w:r>
    </w:p>
    <w:p w14:paraId="45B8FA2E" w14:textId="3905483E" w:rsidR="00DE3D9F" w:rsidRPr="001B6C67" w:rsidRDefault="00DE3D9F" w:rsidP="00DE3D9F">
      <w:pPr>
        <w:pStyle w:val="SingleTxtGA"/>
        <w:rPr>
          <w:lang w:val="ar-SA" w:eastAsia="zh-TW" w:bidi="en-GB"/>
        </w:rPr>
      </w:pPr>
      <w:r w:rsidRPr="00AF3116">
        <w:rPr>
          <w:rtl/>
        </w:rPr>
        <w:t>152</w:t>
      </w:r>
      <w:r w:rsidRPr="001B6C67">
        <w:rPr>
          <w:rtl/>
        </w:rPr>
        <w:t>-</w:t>
      </w:r>
      <w:r w:rsidRPr="001B6C67">
        <w:rPr>
          <w:rtl/>
        </w:rPr>
        <w:tab/>
        <w:t>وشرعت الحكومة في "مشروع مدارس الشراكة بين القطاعين العام والخاص" باستخدام نهج شامل ومتكامل للأطفال، ولا سيما الأطفال ذوي الدخل المنخفض أو المحرومين أو الضعفاء، وكذلك</w:t>
      </w:r>
      <w:r w:rsidR="00883EBA">
        <w:rPr>
          <w:rFonts w:hint="cs"/>
          <w:rtl/>
        </w:rPr>
        <w:t> </w:t>
      </w:r>
      <w:r w:rsidRPr="001B6C67">
        <w:rPr>
          <w:rtl/>
        </w:rPr>
        <w:t>الأيتام.</w:t>
      </w:r>
    </w:p>
    <w:p w14:paraId="64628E60" w14:textId="77777777" w:rsidR="00DE3D9F" w:rsidRPr="001B6C67" w:rsidRDefault="00DE3D9F" w:rsidP="00DE3D9F">
      <w:pPr>
        <w:pStyle w:val="SingleTxtGA"/>
        <w:rPr>
          <w:lang w:val="ar-SA" w:eastAsia="zh-TW" w:bidi="en-GB"/>
        </w:rPr>
      </w:pPr>
      <w:r w:rsidRPr="00AF3116">
        <w:rPr>
          <w:rtl/>
        </w:rPr>
        <w:t>153</w:t>
      </w:r>
      <w:r w:rsidRPr="001B6C67">
        <w:rPr>
          <w:rtl/>
        </w:rPr>
        <w:t>-</w:t>
      </w:r>
      <w:r w:rsidRPr="001B6C67">
        <w:rPr>
          <w:rtl/>
        </w:rPr>
        <w:tab/>
        <w:t xml:space="preserve">وما برحت وزارة العدل تنظم حلقات عمل لتعزيز مبادئ حقوق الإنسان بين الشباب. وركزت حلقات العمل على مبادئ المساواة وعدم التمييز والتنوع الثقافي والتعددية الثقافية، بما في ذلك من خلال استراتيجيات تعلم من قبيل تيسير المناقشات والحوارات التفاعلية والفنون والموسيقى والألعاب. وبالإضافة </w:t>
      </w:r>
      <w:r w:rsidRPr="001B6C67">
        <w:rPr>
          <w:rtl/>
        </w:rPr>
        <w:lastRenderedPageBreak/>
        <w:t xml:space="preserve">إلى ذلك، شرعت وزارة العدل، في إطار شراكة مع جهات حكومية وغير حكومية، في "مشروع المدارس المدعومة بالعدالة"، وهو برنامج خارج المناهج الدراسية للشباب من أجل تعزيز مشاركتهم في صياغة القواعد التي تؤثر على حياتهم اليومية في المدارس، بما في ذلك قواعد معالجة قضايا التنمر وتعاطي المخدرات. ويتعلم الطلاب احترام حقوق الآخرين والالتزام بالقواعد التي وضعوها. وفي الوقت الراهن، شاركت في هذا المشروع أكثر من </w:t>
      </w:r>
      <w:r w:rsidRPr="00AF3116">
        <w:rPr>
          <w:rtl/>
        </w:rPr>
        <w:t>850</w:t>
      </w:r>
      <w:r w:rsidRPr="001B6C67">
        <w:rPr>
          <w:rtl/>
        </w:rPr>
        <w:t xml:space="preserve"> مدرسة ابتدائية وثانوية رائدة في جميع أنحاء البلد.</w:t>
      </w:r>
    </w:p>
    <w:p w14:paraId="33FCE6A5" w14:textId="32784052" w:rsidR="00DE3D9F" w:rsidRPr="001B6C67" w:rsidRDefault="00DE3D9F" w:rsidP="00DE3D9F">
      <w:pPr>
        <w:pStyle w:val="SingleTxtGA"/>
        <w:rPr>
          <w:lang w:val="ar-SA" w:eastAsia="zh-TW" w:bidi="en-GB"/>
        </w:rPr>
      </w:pPr>
      <w:r w:rsidRPr="00AF3116">
        <w:rPr>
          <w:rtl/>
        </w:rPr>
        <w:t>154</w:t>
      </w:r>
      <w:r w:rsidRPr="001B6C67">
        <w:rPr>
          <w:rtl/>
        </w:rPr>
        <w:t>-</w:t>
      </w:r>
      <w:r w:rsidRPr="001B6C67">
        <w:rPr>
          <w:rtl/>
        </w:rPr>
        <w:tab/>
        <w:t>وقدمت وكالات حكومية إلى الجمهور برامج أخرى لحقوق الإنسان من أجل زيادة الوعي</w:t>
      </w:r>
      <w:r w:rsidR="00883EBA">
        <w:rPr>
          <w:rFonts w:hint="cs"/>
          <w:rtl/>
        </w:rPr>
        <w:t> </w:t>
      </w:r>
      <w:r w:rsidRPr="001B6C67">
        <w:rPr>
          <w:rtl/>
        </w:rPr>
        <w:t>بقضايا</w:t>
      </w:r>
      <w:r w:rsidR="00883EBA">
        <w:rPr>
          <w:rFonts w:hint="cs"/>
          <w:rtl/>
        </w:rPr>
        <w:t> </w:t>
      </w:r>
      <w:r w:rsidRPr="001B6C67">
        <w:rPr>
          <w:rtl/>
        </w:rPr>
        <w:t>حقوق الإنسان في المجتمع التايلندي. وتشمل هذه البرامج، على سبيل المثال لا</w:t>
      </w:r>
      <w:r w:rsidR="00883EBA">
        <w:rPr>
          <w:rFonts w:hint="cs"/>
          <w:rtl/>
        </w:rPr>
        <w:t> </w:t>
      </w:r>
      <w:r w:rsidRPr="001B6C67">
        <w:rPr>
          <w:rtl/>
        </w:rPr>
        <w:t>الحصر:</w:t>
      </w:r>
      <w:r w:rsidR="00883EBA">
        <w:rPr>
          <w:rFonts w:hint="cs"/>
          <w:rtl/>
        </w:rPr>
        <w:t> </w:t>
      </w:r>
      <w:r w:rsidRPr="001B6C67">
        <w:rPr>
          <w:rtl/>
        </w:rPr>
        <w:t>’</w:t>
      </w:r>
      <w:r w:rsidRPr="00AF3116">
        <w:rPr>
          <w:rtl/>
        </w:rPr>
        <w:t>1</w:t>
      </w:r>
      <w:r w:rsidRPr="001B6C67">
        <w:rPr>
          <w:rtl/>
        </w:rPr>
        <w:t>‘</w:t>
      </w:r>
      <w:r w:rsidR="00883EBA">
        <w:rPr>
          <w:rFonts w:hint="cs"/>
          <w:rtl/>
        </w:rPr>
        <w:t> </w:t>
      </w:r>
      <w:r w:rsidRPr="001B6C67">
        <w:rPr>
          <w:rtl/>
        </w:rPr>
        <w:t xml:space="preserve">البرنامج التنفيذي لحقوق الإنسان الذي يقدمه معهد الملك </w:t>
      </w:r>
      <w:proofErr w:type="spellStart"/>
      <w:r w:rsidRPr="001B6C67">
        <w:rPr>
          <w:rtl/>
        </w:rPr>
        <w:t>براجاديبوك</w:t>
      </w:r>
      <w:proofErr w:type="spellEnd"/>
      <w:r w:rsidRPr="001B6C67">
        <w:rPr>
          <w:rtl/>
        </w:rPr>
        <w:t xml:space="preserve"> واللجنة الوطنية لحقوق الإنسان؛</w:t>
      </w:r>
      <w:r w:rsidR="00883EBA">
        <w:rPr>
          <w:rFonts w:hint="cs"/>
          <w:rtl/>
        </w:rPr>
        <w:t> </w:t>
      </w:r>
      <w:r w:rsidRPr="001B6C67">
        <w:t>’</w:t>
      </w:r>
      <w:r w:rsidRPr="00AF3116">
        <w:rPr>
          <w:rtl/>
        </w:rPr>
        <w:t>2</w:t>
      </w:r>
      <w:r w:rsidRPr="001B6C67">
        <w:rPr>
          <w:rtl/>
        </w:rPr>
        <w:t xml:space="preserve">‘ شهادة حقوق الإنسان التي تقدمها عدة جامعات؛ </w:t>
      </w:r>
      <w:r w:rsidRPr="001B6C67">
        <w:t>’</w:t>
      </w:r>
      <w:r w:rsidRPr="00AF3116">
        <w:rPr>
          <w:rtl/>
        </w:rPr>
        <w:t>3</w:t>
      </w:r>
      <w:r w:rsidRPr="001B6C67">
        <w:rPr>
          <w:rtl/>
        </w:rPr>
        <w:t>‘ التدريب على حقوق الإنسان الذي تقدمه إدارة الحقوق والحريات.</w:t>
      </w:r>
    </w:p>
    <w:p w14:paraId="082925C1" w14:textId="77777777" w:rsidR="00DE3D9F" w:rsidRPr="001B6C67" w:rsidRDefault="00DE3D9F" w:rsidP="00DE3D9F">
      <w:pPr>
        <w:pStyle w:val="SingleTxtGA"/>
        <w:rPr>
          <w:lang w:val="ar-SA" w:eastAsia="zh-TW" w:bidi="en-GB"/>
        </w:rPr>
      </w:pPr>
      <w:r w:rsidRPr="00AF3116">
        <w:rPr>
          <w:rtl/>
        </w:rPr>
        <w:t>155</w:t>
      </w:r>
      <w:r w:rsidRPr="001B6C67">
        <w:rPr>
          <w:rtl/>
        </w:rPr>
        <w:t>-</w:t>
      </w:r>
      <w:r w:rsidRPr="001B6C67">
        <w:rPr>
          <w:rtl/>
        </w:rPr>
        <w:tab/>
        <w:t xml:space="preserve">وعقدت اللجنة الوطنية لحقوق الإنسان سلسلة من برامج "تدريب المدربين" بشأن التثقيف في مجال حقوق الإنسان والقضايا ذات الصلة للمدربين والعاملين في مجال التعليم على مستوى الجامعة. وقد أبرمت مذكرات تفاهم مع أكثر من </w:t>
      </w:r>
      <w:r w:rsidRPr="00AF3116">
        <w:rPr>
          <w:rtl/>
        </w:rPr>
        <w:t>50</w:t>
      </w:r>
      <w:r w:rsidRPr="001B6C67">
        <w:rPr>
          <w:rtl/>
        </w:rPr>
        <w:t xml:space="preserve"> مؤسسة للتعليم العالي في البلد منذ عام </w:t>
      </w:r>
      <w:r w:rsidRPr="00AF3116">
        <w:rPr>
          <w:rtl/>
        </w:rPr>
        <w:t>2016</w:t>
      </w:r>
      <w:r w:rsidRPr="001B6C67">
        <w:rPr>
          <w:rtl/>
        </w:rPr>
        <w:t>. وتهدف اللجنة الوطنية لحقوق الإنسان من خلال هذه البرامج إلى العمل – من خلال المدربين والعاملين في مجال التعليم الذين حضروها – على نشر المعرفة وبناء الوعي بحقوق الإنسان بين الأطفال والشباب لكي يمضوا قدماً بتعزيز حقوق الإنسان وحمايتها في المجتمع.</w:t>
      </w:r>
    </w:p>
    <w:p w14:paraId="2D9A207A" w14:textId="77777777" w:rsidR="00DE3D9F" w:rsidRPr="001B6C67" w:rsidRDefault="00DE3D9F" w:rsidP="00DE3D9F">
      <w:pPr>
        <w:pStyle w:val="SingleTxtGA"/>
        <w:rPr>
          <w:lang w:val="ar-SA" w:eastAsia="zh-TW" w:bidi="en-GB"/>
        </w:rPr>
      </w:pPr>
      <w:r w:rsidRPr="00AF3116">
        <w:rPr>
          <w:rtl/>
        </w:rPr>
        <w:t>156</w:t>
      </w:r>
      <w:r w:rsidRPr="001B6C67">
        <w:rPr>
          <w:rtl/>
        </w:rPr>
        <w:t>-</w:t>
      </w:r>
      <w:r w:rsidRPr="001B6C67">
        <w:rPr>
          <w:rtl/>
        </w:rPr>
        <w:tab/>
        <w:t xml:space="preserve">وتقدم مؤسسات التعليم العالي، بما فيها الجامعات، في بانكوك ومحافظات أخرى، بشكل متزايد، دورات تدريبية بشأن حقوق الإنسان للطلاب في مختلف المستويات، وكذلك لعامة الجمهور. فعلى سبيل المثال، تقدم جامعة </w:t>
      </w:r>
      <w:proofErr w:type="spellStart"/>
      <w:r w:rsidRPr="001B6C67">
        <w:rPr>
          <w:rtl/>
        </w:rPr>
        <w:t>ماهيدول</w:t>
      </w:r>
      <w:proofErr w:type="spellEnd"/>
      <w:r w:rsidRPr="001B6C67">
        <w:rPr>
          <w:rtl/>
        </w:rPr>
        <w:t xml:space="preserve"> دورات في مجال حقوق الإنسان في درجات البكالوريوس والماجستير والدكتوراه. وتدير جامعة </w:t>
      </w:r>
      <w:proofErr w:type="spellStart"/>
      <w:r w:rsidRPr="001B6C67">
        <w:rPr>
          <w:rtl/>
        </w:rPr>
        <w:t>شولالونغكورن</w:t>
      </w:r>
      <w:proofErr w:type="spellEnd"/>
      <w:r w:rsidRPr="001B6C67">
        <w:rPr>
          <w:rtl/>
        </w:rPr>
        <w:t xml:space="preserve"> دورة تدريبية لفترة ثلاثة أسابيع عن حقوق الإنسان والعدالة في المجتمع وسيادة القانون. ولدى جامعة </w:t>
      </w:r>
      <w:proofErr w:type="spellStart"/>
      <w:r w:rsidRPr="001B6C67">
        <w:rPr>
          <w:rtl/>
        </w:rPr>
        <w:t>ثاماسات</w:t>
      </w:r>
      <w:proofErr w:type="spellEnd"/>
      <w:r w:rsidRPr="001B6C67">
        <w:rPr>
          <w:rtl/>
        </w:rPr>
        <w:t xml:space="preserve"> برنامج تدريبي لمدة سبعة أسابيع بشأن قوانين حقوق الإنسان والحقوق المدنية. وتقدم أيضاً جامعات أخرى مثل جامعة </w:t>
      </w:r>
      <w:proofErr w:type="spellStart"/>
      <w:r w:rsidRPr="001B6C67">
        <w:rPr>
          <w:rtl/>
        </w:rPr>
        <w:t>سوخوتاي</w:t>
      </w:r>
      <w:proofErr w:type="spellEnd"/>
      <w:r w:rsidRPr="001B6C67">
        <w:rPr>
          <w:rtl/>
        </w:rPr>
        <w:t xml:space="preserve"> </w:t>
      </w:r>
      <w:proofErr w:type="spellStart"/>
      <w:r w:rsidRPr="001B6C67">
        <w:rPr>
          <w:rtl/>
        </w:rPr>
        <w:t>ثاماثيرات</w:t>
      </w:r>
      <w:proofErr w:type="spellEnd"/>
      <w:r w:rsidRPr="001B6C67">
        <w:rPr>
          <w:rtl/>
        </w:rPr>
        <w:t xml:space="preserve">، وجامعة </w:t>
      </w:r>
      <w:proofErr w:type="spellStart"/>
      <w:r w:rsidRPr="001B6C67">
        <w:rPr>
          <w:rtl/>
        </w:rPr>
        <w:t>أوبون</w:t>
      </w:r>
      <w:proofErr w:type="spellEnd"/>
      <w:r w:rsidRPr="001B6C67">
        <w:rPr>
          <w:rtl/>
        </w:rPr>
        <w:t xml:space="preserve"> </w:t>
      </w:r>
      <w:proofErr w:type="spellStart"/>
      <w:r w:rsidRPr="001B6C67">
        <w:rPr>
          <w:rtl/>
        </w:rPr>
        <w:t>راتشاثاني</w:t>
      </w:r>
      <w:proofErr w:type="spellEnd"/>
      <w:r w:rsidRPr="001B6C67">
        <w:rPr>
          <w:rtl/>
        </w:rPr>
        <w:t xml:space="preserve">، وجامعة مها </w:t>
      </w:r>
      <w:proofErr w:type="spellStart"/>
      <w:r w:rsidRPr="001B6C67">
        <w:rPr>
          <w:rtl/>
        </w:rPr>
        <w:t>ساراخام</w:t>
      </w:r>
      <w:proofErr w:type="spellEnd"/>
      <w:r w:rsidRPr="001B6C67">
        <w:rPr>
          <w:rtl/>
        </w:rPr>
        <w:t xml:space="preserve">، وجامعة </w:t>
      </w:r>
      <w:proofErr w:type="spellStart"/>
      <w:r w:rsidRPr="001B6C67">
        <w:rPr>
          <w:rtl/>
        </w:rPr>
        <w:t>شيانغ</w:t>
      </w:r>
      <w:proofErr w:type="spellEnd"/>
      <w:r w:rsidRPr="001B6C67">
        <w:rPr>
          <w:rtl/>
        </w:rPr>
        <w:t xml:space="preserve"> ماي، وجامعة ماي </w:t>
      </w:r>
      <w:proofErr w:type="spellStart"/>
      <w:r w:rsidRPr="001B6C67">
        <w:rPr>
          <w:rtl/>
        </w:rPr>
        <w:t>فا</w:t>
      </w:r>
      <w:proofErr w:type="spellEnd"/>
      <w:r w:rsidRPr="001B6C67">
        <w:rPr>
          <w:rtl/>
        </w:rPr>
        <w:t xml:space="preserve"> </w:t>
      </w:r>
      <w:proofErr w:type="spellStart"/>
      <w:r w:rsidRPr="001B6C67">
        <w:rPr>
          <w:rtl/>
        </w:rPr>
        <w:t>لوانغ</w:t>
      </w:r>
      <w:proofErr w:type="spellEnd"/>
      <w:r w:rsidRPr="001B6C67">
        <w:rPr>
          <w:rtl/>
        </w:rPr>
        <w:t xml:space="preserve">، وجامعة </w:t>
      </w:r>
      <w:proofErr w:type="spellStart"/>
      <w:r w:rsidRPr="001B6C67">
        <w:rPr>
          <w:rtl/>
        </w:rPr>
        <w:t>باياب</w:t>
      </w:r>
      <w:proofErr w:type="spellEnd"/>
      <w:r w:rsidRPr="001B6C67">
        <w:rPr>
          <w:rtl/>
        </w:rPr>
        <w:t xml:space="preserve">، فضلاً عن عدة جامعات في </w:t>
      </w:r>
      <w:proofErr w:type="spellStart"/>
      <w:r w:rsidRPr="001B6C67">
        <w:rPr>
          <w:rtl/>
        </w:rPr>
        <w:t>ر</w:t>
      </w:r>
      <w:r>
        <w:rPr>
          <w:rtl/>
        </w:rPr>
        <w:t>ا</w:t>
      </w:r>
      <w:r w:rsidRPr="001B6C67">
        <w:rPr>
          <w:rtl/>
        </w:rPr>
        <w:t>ج</w:t>
      </w:r>
      <w:r>
        <w:rPr>
          <w:rtl/>
        </w:rPr>
        <w:t>ا</w:t>
      </w:r>
      <w:r w:rsidRPr="001B6C67">
        <w:rPr>
          <w:rtl/>
        </w:rPr>
        <w:t>بهات</w:t>
      </w:r>
      <w:proofErr w:type="spellEnd"/>
      <w:r w:rsidRPr="001B6C67">
        <w:rPr>
          <w:rtl/>
        </w:rPr>
        <w:t xml:space="preserve"> دورات تدريبية متصلة بحقوق الإنسان أو تضم إدارة لحقوق الإنسان.</w:t>
      </w:r>
    </w:p>
    <w:p w14:paraId="0CDCA71D" w14:textId="77777777" w:rsidR="00DE3D9F" w:rsidRPr="001B6C67" w:rsidRDefault="00DE3D9F" w:rsidP="00DE3D9F">
      <w:pPr>
        <w:pStyle w:val="SingleTxtGA"/>
        <w:rPr>
          <w:lang w:val="ar-SA" w:eastAsia="zh-TW" w:bidi="en-GB"/>
        </w:rPr>
      </w:pPr>
      <w:r w:rsidRPr="00AF3116">
        <w:rPr>
          <w:rtl/>
        </w:rPr>
        <w:t>157</w:t>
      </w:r>
      <w:r w:rsidRPr="001B6C67">
        <w:rPr>
          <w:rtl/>
        </w:rPr>
        <w:t>-</w:t>
      </w:r>
      <w:r w:rsidRPr="001B6C67">
        <w:rPr>
          <w:rtl/>
        </w:rPr>
        <w:tab/>
        <w:t xml:space="preserve">وبدأت وزارة الخارجية في عام </w:t>
      </w:r>
      <w:r w:rsidRPr="00AF3116">
        <w:rPr>
          <w:rtl/>
        </w:rPr>
        <w:t>2017</w:t>
      </w:r>
      <w:r w:rsidRPr="001B6C67">
        <w:rPr>
          <w:rtl/>
        </w:rPr>
        <w:t xml:space="preserve"> "سلسلة التثقيف في مجال حقوق الإنسان". وصدر في إطار هذه السلسلة كتابان للأطفال بعنوان "الفرخ الصغير والبط الصغير. نحن مختلفان، نحن صديقان" و"حلم </w:t>
      </w:r>
      <w:proofErr w:type="spellStart"/>
      <w:r w:rsidRPr="001B6C67">
        <w:rPr>
          <w:rtl/>
        </w:rPr>
        <w:t>كونميك</w:t>
      </w:r>
      <w:proofErr w:type="spellEnd"/>
      <w:r w:rsidRPr="001B6C67">
        <w:rPr>
          <w:rtl/>
        </w:rPr>
        <w:t xml:space="preserve">"، </w:t>
      </w:r>
      <w:r>
        <w:rPr>
          <w:rtl/>
        </w:rPr>
        <w:t>وهما</w:t>
      </w:r>
      <w:r w:rsidRPr="001B6C67">
        <w:rPr>
          <w:rtl/>
        </w:rPr>
        <w:t xml:space="preserve"> يهدفان إلى زيادة الوعي بمبادئ حقوق الإنسان بين الأطفال والشباب وتعزيز احترام الاختلافات وقبولها وعدم التمييز والكرامة الإنسانية وتكافؤ الفرص وإدماج الضعفاء وكذلك التعايش السلمي في المجتمع التعددي. </w:t>
      </w:r>
    </w:p>
    <w:p w14:paraId="0803BF42" w14:textId="77777777" w:rsidR="00DE3D9F" w:rsidRPr="001B6C67" w:rsidRDefault="00DE3D9F" w:rsidP="00883EBA">
      <w:pPr>
        <w:pStyle w:val="H23GA"/>
        <w:rPr>
          <w:lang w:val="ar-SA" w:eastAsia="zh-TW" w:bidi="en-GB"/>
        </w:rPr>
      </w:pPr>
      <w:r w:rsidRPr="001B6C67">
        <w:rPr>
          <w:rtl/>
        </w:rPr>
        <w:tab/>
      </w:r>
      <w:r w:rsidRPr="001B6C67">
        <w:rPr>
          <w:rtl/>
        </w:rPr>
        <w:tab/>
      </w:r>
      <w:r w:rsidRPr="00AF3116">
        <w:rPr>
          <w:rtl/>
        </w:rPr>
        <w:t>تعزيز الوعي بحقوق الإنسان عن طريق وسائط الإعلام</w:t>
      </w:r>
    </w:p>
    <w:p w14:paraId="12CCF18A" w14:textId="1FF37024" w:rsidR="00DE3D9F" w:rsidRPr="001B6C67" w:rsidRDefault="00DE3D9F" w:rsidP="00DE3D9F">
      <w:pPr>
        <w:pStyle w:val="SingleTxtGA"/>
        <w:rPr>
          <w:lang w:val="ar-SA" w:eastAsia="zh-TW" w:bidi="en-GB"/>
        </w:rPr>
      </w:pPr>
      <w:r w:rsidRPr="00AF3116">
        <w:rPr>
          <w:rtl/>
        </w:rPr>
        <w:t>158</w:t>
      </w:r>
      <w:r w:rsidRPr="001B6C67">
        <w:rPr>
          <w:rtl/>
        </w:rPr>
        <w:t>-</w:t>
      </w:r>
      <w:r w:rsidRPr="001B6C67">
        <w:rPr>
          <w:rtl/>
        </w:rPr>
        <w:tab/>
        <w:t>شمل نشر المعلومات المتعلقة بحقوق الإنسان عن طريق وسائط الإعلام أشكالاً مختلفة، هي:</w:t>
      </w:r>
      <w:r w:rsidR="00883EBA">
        <w:rPr>
          <w:rFonts w:hint="cs"/>
          <w:rtl/>
        </w:rPr>
        <w:t> </w:t>
      </w:r>
      <w:r w:rsidRPr="001B6C67">
        <w:rPr>
          <w:rtl/>
        </w:rPr>
        <w:t>’</w:t>
      </w:r>
      <w:r w:rsidRPr="00AF3116">
        <w:rPr>
          <w:rtl/>
        </w:rPr>
        <w:t>1</w:t>
      </w:r>
      <w:r w:rsidRPr="001B6C67">
        <w:rPr>
          <w:rtl/>
        </w:rPr>
        <w:t xml:space="preserve">‘ المنشورات، مثل الكتب والكراريس والجرائد؛ </w:t>
      </w:r>
      <w:r w:rsidRPr="001B6C67">
        <w:t>’</w:t>
      </w:r>
      <w:r w:rsidRPr="00AF3116">
        <w:rPr>
          <w:rtl/>
        </w:rPr>
        <w:t>2</w:t>
      </w:r>
      <w:r w:rsidRPr="001B6C67">
        <w:rPr>
          <w:rtl/>
        </w:rPr>
        <w:t xml:space="preserve">‘ بحوث حقوق الإنسان، مثل البحوث المتعلقة بالسجناء والأطفال في نظام العدالة، وحقوق الطفل، والعنف والأطفال، وما إلى ذلك؛ </w:t>
      </w:r>
      <w:r w:rsidRPr="001B6C67">
        <w:t>’</w:t>
      </w:r>
      <w:r w:rsidRPr="00AF3116">
        <w:rPr>
          <w:rtl/>
        </w:rPr>
        <w:t>3</w:t>
      </w:r>
      <w:r w:rsidRPr="001B6C67">
        <w:rPr>
          <w:rtl/>
        </w:rPr>
        <w:t xml:space="preserve">‘ رصد وتقييم مناهج حقوق الإنسان في المعاهد التعليمية دون المستوى الجامعي؛ </w:t>
      </w:r>
      <w:r w:rsidRPr="001B6C67">
        <w:t>’</w:t>
      </w:r>
      <w:r w:rsidRPr="00AF3116">
        <w:rPr>
          <w:rtl/>
        </w:rPr>
        <w:t>4</w:t>
      </w:r>
      <w:r w:rsidRPr="001B6C67">
        <w:rPr>
          <w:rtl/>
        </w:rPr>
        <w:t xml:space="preserve">‘ البحث والتطوير في مجال مناهج التدريس والتعلم والتدريب؛ </w:t>
      </w:r>
      <w:r w:rsidRPr="001B6C67">
        <w:t>’</w:t>
      </w:r>
      <w:r w:rsidRPr="00AF3116">
        <w:rPr>
          <w:rtl/>
        </w:rPr>
        <w:t>5</w:t>
      </w:r>
      <w:r w:rsidRPr="001B6C67">
        <w:rPr>
          <w:rtl/>
        </w:rPr>
        <w:t xml:space="preserve">‘ حملات تثقيف الجمهور من خلال وسائط الإعلام السمعية البصرية، مثل الإذاعة، ووسائط الإعلام التصويرية التلفزيونية، والعرض بالفيديو؛ </w:t>
      </w:r>
      <w:r w:rsidRPr="001B6C67">
        <w:t>’</w:t>
      </w:r>
      <w:r w:rsidRPr="00AF3116">
        <w:rPr>
          <w:rtl/>
        </w:rPr>
        <w:t>6</w:t>
      </w:r>
      <w:r w:rsidRPr="001B6C67">
        <w:rPr>
          <w:rtl/>
        </w:rPr>
        <w:t>‘ وسائل الإعلام الإلكترونية، مثل الإنترنت، والتعلم الإلكتروني، ووسائل التواصل الاجتماعي، والبريد الإلكتروني.</w:t>
      </w:r>
    </w:p>
    <w:p w14:paraId="5B5AF533" w14:textId="77777777" w:rsidR="00DE3D9F" w:rsidRPr="001B6C67" w:rsidRDefault="00DE3D9F" w:rsidP="00DE3D9F">
      <w:pPr>
        <w:pStyle w:val="SingleTxtGA"/>
        <w:rPr>
          <w:lang w:val="ar-SA" w:eastAsia="zh-TW" w:bidi="en-GB"/>
        </w:rPr>
      </w:pPr>
      <w:r w:rsidRPr="00AF3116">
        <w:rPr>
          <w:rtl/>
        </w:rPr>
        <w:lastRenderedPageBreak/>
        <w:t>159</w:t>
      </w:r>
      <w:r w:rsidRPr="001B6C67">
        <w:rPr>
          <w:rtl/>
        </w:rPr>
        <w:t>-</w:t>
      </w:r>
      <w:r w:rsidRPr="001B6C67">
        <w:rPr>
          <w:rtl/>
        </w:rPr>
        <w:tab/>
        <w:t xml:space="preserve">وبمناسبة </w:t>
      </w:r>
      <w:r w:rsidRPr="00AF3116">
        <w:rPr>
          <w:rtl/>
        </w:rPr>
        <w:t>الذكرى السبعين للإعلان العالمي</w:t>
      </w:r>
      <w:r w:rsidRPr="001B6C67">
        <w:rPr>
          <w:rtl/>
        </w:rPr>
        <w:t xml:space="preserve"> لحقوق الإنسان، شاركت الوكالات الحكومية المعنية والمنظمات الدولية والسفارات الأجنبية في تايلاند ومنظمات المجتمع المدني في تنظيم "شهر حقوق الإنسان في تايلاند" في شهر كانون الأول/ديسمبر </w:t>
      </w:r>
      <w:r w:rsidRPr="00AF3116">
        <w:rPr>
          <w:rtl/>
        </w:rPr>
        <w:t>2018</w:t>
      </w:r>
      <w:r w:rsidRPr="001B6C67">
        <w:rPr>
          <w:rtl/>
        </w:rPr>
        <w:t xml:space="preserve">. وكجزء من الأنشطة، شاركت وزارة الخارجية ووزارة العدل والمكتب الإقليمي </w:t>
      </w:r>
      <w:r>
        <w:rPr>
          <w:rtl/>
        </w:rPr>
        <w:t>ل</w:t>
      </w:r>
      <w:r w:rsidRPr="001B6C67">
        <w:rPr>
          <w:rtl/>
        </w:rPr>
        <w:t xml:space="preserve">لمفوضية السامية لحقوق الإنسان </w:t>
      </w:r>
      <w:r>
        <w:rPr>
          <w:rtl/>
        </w:rPr>
        <w:t xml:space="preserve">في </w:t>
      </w:r>
      <w:r w:rsidRPr="001B6C67">
        <w:rPr>
          <w:rtl/>
        </w:rPr>
        <w:t xml:space="preserve">جنوب شرق آسيا ومفوضية الأمم المتحدة لشؤون اللاجئين في تنظيم حدث بعنوان "الذكرى السنوية السبعين للإعلان العالمي لحقوق الإنسان والذكرى السنوية الأولى لخطة تايلند الوطنية لحقوق الإنسان: نحو مجتمع قائم على الرعاية والمشاركة" في مركز بانكوك للفنون والثقافة، بانكوك، تايلاند. وحضر هذا الحدث أكثر من </w:t>
      </w:r>
      <w:r w:rsidRPr="00AF3116">
        <w:rPr>
          <w:rtl/>
        </w:rPr>
        <w:t>200</w:t>
      </w:r>
      <w:r w:rsidRPr="001B6C67">
        <w:rPr>
          <w:rtl/>
        </w:rPr>
        <w:t xml:space="preserve"> ممثل من الوكالات الحكومية والسلك الدبلوماسي والمنظمات الدولية والقطاع الخاص ومنظمات المجتمع المدني، فضلاً عن عامة الجمهور، بمن فيهم الشباب. وأُعلِن عن هذا الحدث من خلال قنوات إعلامية مختلفة تهدف إلى تعزيز الوعي بحقوق الإنسان وفهمها في المجتمع التايلندي، ودعم الجهود الجارية لتعزيز عمل حقوق الإنسان على الصعيدين الوطني والدولي، وإعادة تأكيد التزامات الحكومة بتعزيز وحماية حقوق الإنسان في تايلند وخارجها. </w:t>
      </w:r>
    </w:p>
    <w:p w14:paraId="4B7D9CF6" w14:textId="77777777" w:rsidR="00DE3D9F" w:rsidRPr="001B6C67" w:rsidRDefault="00DE3D9F" w:rsidP="00883EBA">
      <w:pPr>
        <w:pStyle w:val="H23GA"/>
        <w:rPr>
          <w:lang w:val="ar-SA" w:eastAsia="zh-TW" w:bidi="en-GB"/>
        </w:rPr>
      </w:pPr>
      <w:r w:rsidRPr="001B6C67">
        <w:rPr>
          <w:rtl/>
        </w:rPr>
        <w:tab/>
      </w:r>
      <w:r w:rsidRPr="001B6C67">
        <w:rPr>
          <w:rtl/>
        </w:rPr>
        <w:tab/>
      </w:r>
      <w:r w:rsidRPr="00AF3116">
        <w:rPr>
          <w:rtl/>
        </w:rPr>
        <w:t>دور المجتمع المدني</w:t>
      </w:r>
    </w:p>
    <w:p w14:paraId="2CFB77BD" w14:textId="77777777" w:rsidR="00DE3D9F" w:rsidRPr="00883EBA" w:rsidRDefault="00DE3D9F" w:rsidP="00DE3D9F">
      <w:pPr>
        <w:pStyle w:val="SingleTxtGA"/>
        <w:rPr>
          <w:spacing w:val="-4"/>
          <w:lang w:val="ar-SA" w:eastAsia="zh-TW" w:bidi="en-GB"/>
        </w:rPr>
      </w:pPr>
      <w:r w:rsidRPr="00AF3116">
        <w:rPr>
          <w:rtl/>
        </w:rPr>
        <w:t>160</w:t>
      </w:r>
      <w:r w:rsidRPr="001B6C67">
        <w:rPr>
          <w:rtl/>
        </w:rPr>
        <w:t>-</w:t>
      </w:r>
      <w:r w:rsidRPr="001B6C67">
        <w:rPr>
          <w:rtl/>
        </w:rPr>
        <w:tab/>
        <w:t>يضطلع المجتمع المدني بدور نشيط في تعزيز حقوق الإنسان وحمايتها في تايلند. وبصورة عامة، ي</w:t>
      </w:r>
      <w:r>
        <w:rPr>
          <w:rtl/>
        </w:rPr>
        <w:t>ُ</w:t>
      </w:r>
      <w:r w:rsidRPr="001B6C67">
        <w:rPr>
          <w:rtl/>
        </w:rPr>
        <w:t>عتر</w:t>
      </w:r>
      <w:r>
        <w:rPr>
          <w:rtl/>
        </w:rPr>
        <w:t>َ</w:t>
      </w:r>
      <w:r w:rsidRPr="001B6C67">
        <w:rPr>
          <w:rtl/>
        </w:rPr>
        <w:t xml:space="preserve">ف بدوره في جملة أمور منها تعبئة التنمية البشرية والتدخل والإصلاح الاجتماعيين، ورصد </w:t>
      </w:r>
      <w:r w:rsidRPr="00883EBA">
        <w:rPr>
          <w:spacing w:val="-4"/>
          <w:rtl/>
        </w:rPr>
        <w:t xml:space="preserve">حالة حقوق الإنسان، وتولي مهمة "الضوابط والموازين"، والمشاركة في إعداد التقارير الوطنية، فضلاً عن صياغة عدة قوانين ووثائق ذات صلة مثل الخطط الوطنية لحقوق الإنسان، حسبما ورد في الفقرتين </w:t>
      </w:r>
      <w:r w:rsidRPr="00AF3116">
        <w:rPr>
          <w:spacing w:val="-4"/>
          <w:rtl/>
        </w:rPr>
        <w:t>97</w:t>
      </w:r>
      <w:r w:rsidRPr="00883EBA">
        <w:rPr>
          <w:spacing w:val="-4"/>
          <w:rtl/>
        </w:rPr>
        <w:t xml:space="preserve"> و</w:t>
      </w:r>
      <w:r w:rsidRPr="00AF3116">
        <w:rPr>
          <w:spacing w:val="-4"/>
          <w:rtl/>
        </w:rPr>
        <w:t>98</w:t>
      </w:r>
      <w:r w:rsidRPr="00883EBA">
        <w:rPr>
          <w:spacing w:val="-4"/>
          <w:rtl/>
        </w:rPr>
        <w:t>.</w:t>
      </w:r>
    </w:p>
    <w:p w14:paraId="462D567E" w14:textId="77777777" w:rsidR="00DE3D9F" w:rsidRPr="001B6C67" w:rsidRDefault="00DE3D9F" w:rsidP="00DE3D9F">
      <w:pPr>
        <w:pStyle w:val="SingleTxtGA"/>
        <w:rPr>
          <w:lang w:val="ar-SA" w:eastAsia="zh-TW" w:bidi="en-GB"/>
        </w:rPr>
      </w:pPr>
      <w:r w:rsidRPr="00AF3116">
        <w:rPr>
          <w:rtl/>
        </w:rPr>
        <w:t>161</w:t>
      </w:r>
      <w:r w:rsidRPr="001B6C67">
        <w:rPr>
          <w:rtl/>
        </w:rPr>
        <w:t>-</w:t>
      </w:r>
      <w:r w:rsidRPr="001B6C67">
        <w:rPr>
          <w:rtl/>
        </w:rPr>
        <w:tab/>
        <w:t xml:space="preserve">وتضع الحكومة نهجاً منسقاً للحكومة بأسرها والمجتمع بأسره، وتعلق أهمية على تعزيز الشراكة مع المجتمع المدني. ونظمت الوكالات المعنية حوارات ومشاورات منتظمة مع منظمات المجتمع المدني بصورة فردية أو مشتركة. فعلى سبيل المثال، عقدت وزارة الخارجية مشاورات واجتماعات منتظمة مع منظمات المجتمع المدني في مجال حقوق الإنسان منذ عام </w:t>
      </w:r>
      <w:r w:rsidRPr="00AF3116">
        <w:rPr>
          <w:rtl/>
        </w:rPr>
        <w:t>2017</w:t>
      </w:r>
      <w:r w:rsidRPr="001B6C67">
        <w:rPr>
          <w:rtl/>
        </w:rPr>
        <w:t>.</w:t>
      </w:r>
    </w:p>
    <w:p w14:paraId="545BE887" w14:textId="77777777" w:rsidR="00DE3D9F" w:rsidRPr="001B6C67" w:rsidRDefault="00DE3D9F" w:rsidP="00DE3D9F">
      <w:pPr>
        <w:pStyle w:val="SingleTxtGA"/>
        <w:rPr>
          <w:lang w:val="ar-SA" w:eastAsia="zh-TW" w:bidi="en-GB"/>
        </w:rPr>
      </w:pPr>
      <w:r w:rsidRPr="00AF3116">
        <w:rPr>
          <w:rtl/>
        </w:rPr>
        <w:t>162</w:t>
      </w:r>
      <w:r w:rsidRPr="001B6C67">
        <w:rPr>
          <w:rtl/>
        </w:rPr>
        <w:t>-</w:t>
      </w:r>
      <w:r w:rsidRPr="001B6C67">
        <w:rPr>
          <w:rtl/>
        </w:rPr>
        <w:tab/>
        <w:t>وكما هو محدد في التقارير القطرية لتايلاند، فإن المجتمع المدني قد انخرط في عملية إعداد تقارير البلد المختلفة بموجب المعاهدات الدولية الأساسية لحقوق الإنسان التي تعتبر تايلند طرفاً فيها وفي إطار الاستعراض الدوري الشامل. وقد ثبت أن مشاركة جميع القطاعات، بما في ذلك القطاع العام والقطاع الخاص والمجتمع المدني والمجموعات الإثنية، فضلاً عن جميع الأشخاص المعنيين في جميع أنحاء البلد، كانت بناءة ومثمرة.</w:t>
      </w:r>
    </w:p>
    <w:p w14:paraId="64F46B31" w14:textId="77777777" w:rsidR="00DE3D9F" w:rsidRPr="001B6C67" w:rsidRDefault="00DE3D9F" w:rsidP="00DE3D9F">
      <w:pPr>
        <w:pStyle w:val="SingleTxtGA"/>
        <w:rPr>
          <w:lang w:val="ar-SA" w:eastAsia="zh-TW" w:bidi="en-GB"/>
        </w:rPr>
      </w:pPr>
      <w:r w:rsidRPr="00AF3116">
        <w:rPr>
          <w:rtl/>
        </w:rPr>
        <w:t>163</w:t>
      </w:r>
      <w:r w:rsidRPr="001B6C67">
        <w:rPr>
          <w:rtl/>
        </w:rPr>
        <w:t>-</w:t>
      </w:r>
      <w:r w:rsidRPr="001B6C67">
        <w:rPr>
          <w:rtl/>
        </w:rPr>
        <w:tab/>
        <w:t xml:space="preserve">وعلى أرض الواقع، عملت الحكومة أيضاً مع منظمات المجتمع المدني في طائفة واسعة من المجالات. فعلى سبيل المثال، عملت رابطة النساء المناصرات للسلام على مساعدة وتمكين النساء والأطفال المتأثرين بالحالة في جنوب تايلند ونقلت احتياجاتهم إلى صانعي القرار. وعملت أيضاً رابطة الأطفال والشباب المناصرين للسلام في المقاطعات الحدودية الجنوبية في تايلند (فريق لوك </w:t>
      </w:r>
      <w:proofErr w:type="spellStart"/>
      <w:r w:rsidRPr="001B6C67">
        <w:rPr>
          <w:rtl/>
        </w:rPr>
        <w:t>رينغ</w:t>
      </w:r>
      <w:proofErr w:type="spellEnd"/>
      <w:r w:rsidRPr="001B6C67">
        <w:rPr>
          <w:rtl/>
        </w:rPr>
        <w:t>) مع منظمة إنقاذ الطفولة في مشروع للحد من مخاطر الكوارث في المدارس المحلية.</w:t>
      </w:r>
    </w:p>
    <w:p w14:paraId="0FC12313" w14:textId="77777777" w:rsidR="00DE3D9F" w:rsidRPr="001B6C67" w:rsidRDefault="00DE3D9F" w:rsidP="00DE3D9F">
      <w:pPr>
        <w:pStyle w:val="SingleTxtGA"/>
        <w:rPr>
          <w:lang w:val="ar-SA" w:eastAsia="zh-TW" w:bidi="en-GB"/>
        </w:rPr>
      </w:pPr>
      <w:r w:rsidRPr="00AF3116">
        <w:rPr>
          <w:rtl/>
        </w:rPr>
        <w:t>164</w:t>
      </w:r>
      <w:r w:rsidRPr="001B6C67">
        <w:rPr>
          <w:rtl/>
        </w:rPr>
        <w:t>-</w:t>
      </w:r>
      <w:r w:rsidRPr="001B6C67">
        <w:rPr>
          <w:rtl/>
        </w:rPr>
        <w:tab/>
        <w:t xml:space="preserve">وتواصل وكالات حكومية </w:t>
      </w:r>
      <w:r>
        <w:rPr>
          <w:rtl/>
        </w:rPr>
        <w:t>عديدة</w:t>
      </w:r>
      <w:r w:rsidRPr="001B6C67">
        <w:rPr>
          <w:rtl/>
        </w:rPr>
        <w:t>، مثل وزارة الخارجية ووزارة العدل ووزارة التنمية الاجتماعية والأمن البشري ومكتب القضاء، بالتعاون مع منظمات المجتمع المدني والمنظمات الدولية ذات الصلة، تقديم برامج تدريبية في مجال حقوق الإنسان للمسؤولين المعنيين، بمن فيهم ضباط الشرطة والأفراد العسكريون وضباط الإصلاحيات والموظفون القضائيون.</w:t>
      </w:r>
    </w:p>
    <w:p w14:paraId="7F6B556F" w14:textId="6D03FD97" w:rsidR="00DE3D9F" w:rsidRPr="001B6C67" w:rsidRDefault="00DE3D9F" w:rsidP="00DE3D9F">
      <w:pPr>
        <w:pStyle w:val="SingleTxtGA"/>
        <w:rPr>
          <w:lang w:val="ar-SA" w:eastAsia="zh-TW" w:bidi="en-GB"/>
        </w:rPr>
      </w:pPr>
      <w:r w:rsidRPr="00AF3116">
        <w:rPr>
          <w:rtl/>
        </w:rPr>
        <w:lastRenderedPageBreak/>
        <w:t>165</w:t>
      </w:r>
      <w:r w:rsidRPr="001B6C67">
        <w:rPr>
          <w:rtl/>
        </w:rPr>
        <w:t>-</w:t>
      </w:r>
      <w:r w:rsidRPr="001B6C67">
        <w:rPr>
          <w:rtl/>
        </w:rPr>
        <w:tab/>
        <w:t xml:space="preserve">وكمثال في مجال بحوث حقوق الإنسان، عملت كلية فنون الاتصال بجامعة </w:t>
      </w:r>
      <w:proofErr w:type="spellStart"/>
      <w:r w:rsidRPr="001B6C67">
        <w:rPr>
          <w:rtl/>
        </w:rPr>
        <w:t>شولالونغكورن</w:t>
      </w:r>
      <w:proofErr w:type="spellEnd"/>
      <w:r w:rsidRPr="001B6C67">
        <w:rPr>
          <w:rtl/>
        </w:rPr>
        <w:t xml:space="preserve"> بدعم</w:t>
      </w:r>
      <w:r w:rsidR="005F6F8E">
        <w:rPr>
          <w:rFonts w:hint="cs"/>
          <w:rtl/>
        </w:rPr>
        <w:t> </w:t>
      </w:r>
      <w:r w:rsidRPr="001B6C67">
        <w:rPr>
          <w:rtl/>
        </w:rPr>
        <w:t>من وزارة الخارجية على مشروع بحثي بعنوان "الإعلام وتعزيز وحماية حقوق الإنسان لأولئك الذين يعانون من أوضاع هشة". وكانت الفئات المستهدفة في البحث هي الأقليات الإثنية، والأشخاص ذوي</w:t>
      </w:r>
      <w:r w:rsidR="005F6F8E">
        <w:rPr>
          <w:rFonts w:hint="cs"/>
          <w:rtl/>
        </w:rPr>
        <w:t> </w:t>
      </w:r>
      <w:r w:rsidRPr="001B6C67">
        <w:rPr>
          <w:rtl/>
        </w:rPr>
        <w:t xml:space="preserve">الإعاقة، وكبار السن، </w:t>
      </w:r>
      <w:proofErr w:type="spellStart"/>
      <w:r w:rsidRPr="001B6C67">
        <w:rPr>
          <w:rtl/>
        </w:rPr>
        <w:t>والمثليات</w:t>
      </w:r>
      <w:proofErr w:type="spellEnd"/>
      <w:r w:rsidRPr="001B6C67">
        <w:rPr>
          <w:rtl/>
        </w:rPr>
        <w:t xml:space="preserve"> والمثليين ومزدوجي الميل الجنسي ومغايري الهوية الجنسانية. ونُشِرت نتائج البحث في عام </w:t>
      </w:r>
      <w:r w:rsidRPr="00AF3116">
        <w:rPr>
          <w:rtl/>
        </w:rPr>
        <w:t>2019</w:t>
      </w:r>
      <w:r w:rsidRPr="001B6C67">
        <w:rPr>
          <w:rtl/>
        </w:rPr>
        <w:t xml:space="preserve"> (باللغة التايلاندية، ويمكن الوصول إليها في الموقع الشبكي التالي</w:t>
      </w:r>
      <w:r w:rsidRPr="001B6C67">
        <w:t>:</w:t>
      </w:r>
      <w:r w:rsidRPr="001B6C67">
        <w:rPr>
          <w:rtl/>
        </w:rPr>
        <w:t xml:space="preserve"> </w:t>
      </w:r>
      <w:r w:rsidRPr="00D55C97">
        <w:rPr>
          <w:rFonts w:asciiTheme="majorBidi" w:hAnsiTheme="majorBidi" w:cstheme="majorBidi"/>
        </w:rPr>
        <w:t>http://humanrights.mfa.go.th/en/humanrightsinmedia.pdf</w:t>
      </w:r>
      <w:r w:rsidRPr="001B6C67">
        <w:rPr>
          <w:rtl/>
        </w:rPr>
        <w:t>).</w:t>
      </w:r>
    </w:p>
    <w:p w14:paraId="53B972BE" w14:textId="77777777" w:rsidR="00DE3D9F" w:rsidRPr="001B6C67" w:rsidRDefault="00DE3D9F" w:rsidP="00883EBA">
      <w:pPr>
        <w:pStyle w:val="H23GA"/>
        <w:rPr>
          <w:lang w:val="ar-SA" w:eastAsia="zh-TW" w:bidi="en-GB"/>
        </w:rPr>
      </w:pPr>
      <w:r w:rsidRPr="001B6C67">
        <w:rPr>
          <w:rtl/>
        </w:rPr>
        <w:tab/>
      </w:r>
      <w:r w:rsidRPr="001B6C67">
        <w:rPr>
          <w:rtl/>
        </w:rPr>
        <w:tab/>
      </w:r>
      <w:r w:rsidRPr="00AF3116">
        <w:rPr>
          <w:rtl/>
        </w:rPr>
        <w:t>التعاون والمساعدة في مجال التنمية</w:t>
      </w:r>
    </w:p>
    <w:p w14:paraId="0C73C0C3" w14:textId="77777777" w:rsidR="00DE3D9F" w:rsidRPr="001B6C67" w:rsidRDefault="00DE3D9F" w:rsidP="00DE3D9F">
      <w:pPr>
        <w:pStyle w:val="SingleTxtGA"/>
        <w:rPr>
          <w:lang w:val="ar-SA" w:eastAsia="zh-TW" w:bidi="en-GB"/>
        </w:rPr>
      </w:pPr>
      <w:r w:rsidRPr="00AF3116">
        <w:rPr>
          <w:rtl/>
        </w:rPr>
        <w:t>166</w:t>
      </w:r>
      <w:r w:rsidRPr="001B6C67">
        <w:rPr>
          <w:rtl/>
        </w:rPr>
        <w:t>-</w:t>
      </w:r>
      <w:r w:rsidRPr="001B6C67">
        <w:rPr>
          <w:rtl/>
        </w:rPr>
        <w:tab/>
        <w:t>تفترض تايلند أن التعاون التقني وبناء القدرات أمران حاسمان لدعم الدول الأخرى في ترجمة التزاماتها في مجال حقوق الإنسان إلى نتائج ملموسة على أرض الواقع، وأن جهود التعاون التقني يدفعها الطلب على أساس حوار حقيقي مع الدول الطالبة.</w:t>
      </w:r>
    </w:p>
    <w:p w14:paraId="4FB6B53B" w14:textId="01F52E07" w:rsidR="00DE3D9F" w:rsidRPr="001B6C67" w:rsidRDefault="00DE3D9F" w:rsidP="00DE3D9F">
      <w:pPr>
        <w:pStyle w:val="SingleTxtGA"/>
        <w:rPr>
          <w:lang w:val="ar-SA" w:eastAsia="zh-TW" w:bidi="en-GB"/>
        </w:rPr>
      </w:pPr>
      <w:r w:rsidRPr="00AF3116">
        <w:rPr>
          <w:rtl/>
        </w:rPr>
        <w:t>167</w:t>
      </w:r>
      <w:r w:rsidRPr="001B6C67">
        <w:rPr>
          <w:rtl/>
        </w:rPr>
        <w:t>-</w:t>
      </w:r>
      <w:r w:rsidRPr="001B6C67">
        <w:rPr>
          <w:rtl/>
        </w:rPr>
        <w:tab/>
        <w:t>وقد عززت وكالة التعاون الدولي التايلندية التابعة لوزارة الخارجية بنشاط التعاون الدولي مع البلدان المهتمة والمنظمات الدولية والمنظمات غير الحكومية ذات الصلة. ويتخذ هذا التعاون أشكالاً مختلفة من التعاون الثنائي والتعاون بين بلدان الجنوب، والتعاون الثلاثي شمال</w:t>
      </w:r>
      <w:r w:rsidR="00D55C97">
        <w:rPr>
          <w:rFonts w:hint="cs"/>
          <w:rtl/>
        </w:rPr>
        <w:t xml:space="preserve"> </w:t>
      </w:r>
      <w:r w:rsidR="00D55C97">
        <w:rPr>
          <w:rtl/>
        </w:rPr>
        <w:t>–</w:t>
      </w:r>
      <w:r w:rsidR="00D55C97">
        <w:rPr>
          <w:rFonts w:hint="cs"/>
          <w:rtl/>
        </w:rPr>
        <w:t xml:space="preserve"> </w:t>
      </w:r>
      <w:r w:rsidRPr="001B6C67">
        <w:rPr>
          <w:rtl/>
        </w:rPr>
        <w:t>جنوب</w:t>
      </w:r>
      <w:r w:rsidR="00D55C97">
        <w:rPr>
          <w:rFonts w:hint="cs"/>
          <w:rtl/>
        </w:rPr>
        <w:t xml:space="preserve"> </w:t>
      </w:r>
      <w:r w:rsidRPr="001B6C67">
        <w:rPr>
          <w:rtl/>
        </w:rPr>
        <w:t>-</w:t>
      </w:r>
      <w:r w:rsidR="00D55C97">
        <w:rPr>
          <w:rFonts w:hint="cs"/>
          <w:rtl/>
        </w:rPr>
        <w:t xml:space="preserve"> </w:t>
      </w:r>
      <w:r w:rsidRPr="001B6C67">
        <w:rPr>
          <w:rtl/>
        </w:rPr>
        <w:t>جنوب وجنوب</w:t>
      </w:r>
      <w:r w:rsidR="00146491">
        <w:rPr>
          <w:rFonts w:hint="cs"/>
          <w:rtl/>
        </w:rPr>
        <w:t> </w:t>
      </w:r>
      <w:r w:rsidR="00D55C97">
        <w:rPr>
          <w:rtl/>
        </w:rPr>
        <w:t>–</w:t>
      </w:r>
      <w:r w:rsidR="00D55C97">
        <w:rPr>
          <w:rFonts w:hint="cs"/>
          <w:rtl/>
        </w:rPr>
        <w:t xml:space="preserve"> </w:t>
      </w:r>
      <w:r w:rsidRPr="001B6C67">
        <w:rPr>
          <w:rtl/>
        </w:rPr>
        <w:t>جنوب</w:t>
      </w:r>
      <w:r w:rsidR="00D55C97">
        <w:rPr>
          <w:rFonts w:hint="cs"/>
          <w:rtl/>
        </w:rPr>
        <w:t xml:space="preserve"> </w:t>
      </w:r>
      <w:r w:rsidRPr="001B6C67">
        <w:rPr>
          <w:rtl/>
        </w:rPr>
        <w:t>-</w:t>
      </w:r>
      <w:r w:rsidR="00D55C97">
        <w:rPr>
          <w:rFonts w:hint="cs"/>
          <w:rtl/>
        </w:rPr>
        <w:t xml:space="preserve"> </w:t>
      </w:r>
      <w:r w:rsidRPr="001B6C67">
        <w:rPr>
          <w:rtl/>
        </w:rPr>
        <w:t>جنوب. وفي الوقت الراهن، هناك عدة مشاريع للتعاون الدولي تتصل بتعزيز حقوق الإنسان، ولا سيما حقوق الأشخاص الذين يعانون من أوضاع هشة، والحقوق الاقتصادية والاجتماعية، بما في ذلك الحق في الصحة (صحة الأم وصحة الطفل) والحق في التعليم، وربطها بتحقيق التنمية المستدامة، مع</w:t>
      </w:r>
      <w:r w:rsidR="005F6F8E">
        <w:rPr>
          <w:rFonts w:hint="cs"/>
          <w:rtl/>
        </w:rPr>
        <w:t> </w:t>
      </w:r>
      <w:r w:rsidRPr="001B6C67">
        <w:rPr>
          <w:rtl/>
        </w:rPr>
        <w:t>عدم ترك أحد خلف الركب. ويهدف هذا التعاون إلى تعزيز القدرات الوطنية لبناء أوجه التآزر بين</w:t>
      </w:r>
      <w:r w:rsidR="005F6F8E">
        <w:rPr>
          <w:rFonts w:hint="cs"/>
          <w:rtl/>
        </w:rPr>
        <w:t> </w:t>
      </w:r>
      <w:r w:rsidRPr="001B6C67">
        <w:rPr>
          <w:rtl/>
        </w:rPr>
        <w:t>حقوق الإنسان وتنفيذ أهداف التنمية المستدامة.</w:t>
      </w:r>
    </w:p>
    <w:p w14:paraId="2F5381B6" w14:textId="77777777" w:rsidR="00DE3D9F" w:rsidRPr="001B6C67" w:rsidRDefault="00DE3D9F" w:rsidP="00DE3D9F">
      <w:pPr>
        <w:pStyle w:val="SingleTxtGA"/>
        <w:rPr>
          <w:lang w:val="ar-SA" w:eastAsia="zh-TW" w:bidi="en-GB"/>
        </w:rPr>
      </w:pPr>
      <w:r w:rsidRPr="00AF3116">
        <w:rPr>
          <w:rtl/>
        </w:rPr>
        <w:t>168</w:t>
      </w:r>
      <w:r w:rsidRPr="001B6C67">
        <w:rPr>
          <w:rtl/>
        </w:rPr>
        <w:t>-</w:t>
      </w:r>
      <w:r w:rsidRPr="001B6C67">
        <w:rPr>
          <w:rtl/>
        </w:rPr>
        <w:tab/>
        <w:t xml:space="preserve">وفيما يتعلق بالحق في التعليم، نفذت وكالة التعاون الدولي التايلندية مشاريع لتدريب المعلمين، وقدمت منحاً دراسية قصيرة الأجل للدراسات والتدريب، فضلاً عن مشاريع لإنشاء و/أو تطوير مؤسسات ومدارس تعليمية. وفيما يتعلق بحقوق الطفل، </w:t>
      </w:r>
      <w:r>
        <w:rPr>
          <w:rtl/>
        </w:rPr>
        <w:t>بدأ العمل</w:t>
      </w:r>
      <w:r w:rsidRPr="001B6C67">
        <w:rPr>
          <w:rtl/>
        </w:rPr>
        <w:t xml:space="preserve"> في "مشروع تنمية الأطفال والشباب" في كمبوديا و"مشروع تنمية نوعية حياة الأطفال" في الفلبين وبوتان. وفيما يتعلق بالصحة البدنية والعقلية، قدمت تايلند برنامجاً للمساعدة الصحية العامة في كمبوديا ومشاريع لتطوير المستشفيات وكليات الطب (بما في ذلك إدارة للطوارئ في مستشفى داوي، ميانمار)، فضلاً عن أنشطة ل</w:t>
      </w:r>
      <w:r>
        <w:rPr>
          <w:rtl/>
        </w:rPr>
        <w:t>إذكاء ا</w:t>
      </w:r>
      <w:r w:rsidRPr="001B6C67">
        <w:rPr>
          <w:rtl/>
        </w:rPr>
        <w:t xml:space="preserve">لوعي </w:t>
      </w:r>
      <w:r>
        <w:rPr>
          <w:rtl/>
        </w:rPr>
        <w:t>ب</w:t>
      </w:r>
      <w:r w:rsidRPr="001B6C67">
        <w:rPr>
          <w:rtl/>
        </w:rPr>
        <w:t>الأمراض الناشئة حديثاً. وبالإضافة إلى ذلك، عملت وكالة التعاون الدولي التايلندية مع صندوق الأمم المتحدة للسكان في مشروع تعاون ثلاثي بشأن خفض معدل وفيات الأمهات. وفيما يتعلق بحماية الأشخاص الذين يعانون من أوضاع هشة، نُفِّذ مشروع لإنشاء أول مركز لضحايا الاتجار بالبشر والفئات المعرضة للخطر.</w:t>
      </w:r>
    </w:p>
    <w:p w14:paraId="31A3DE76" w14:textId="24B0AC5B" w:rsidR="00DE3D9F" w:rsidRPr="001B6C67" w:rsidRDefault="00DE3D9F" w:rsidP="00DE3D9F">
      <w:pPr>
        <w:pStyle w:val="SingleTxtGA"/>
        <w:rPr>
          <w:lang w:val="ar-SA" w:eastAsia="zh-TW" w:bidi="en-GB"/>
        </w:rPr>
      </w:pPr>
      <w:r w:rsidRPr="00AF3116">
        <w:rPr>
          <w:rtl/>
        </w:rPr>
        <w:t>169</w:t>
      </w:r>
      <w:r w:rsidRPr="001B6C67">
        <w:rPr>
          <w:rtl/>
        </w:rPr>
        <w:t>-</w:t>
      </w:r>
      <w:r w:rsidRPr="001B6C67">
        <w:rPr>
          <w:rtl/>
        </w:rPr>
        <w:tab/>
        <w:t xml:space="preserve">ولنشر المعرفة بشأن الآليات الوطنية للإبلاغ والمتابعة في المنطقة وخارجها، شاركت وزارة الخارجية والمكتب الإقليمي للمفوضية السامية لحقوق الإنسان في جنوب شرق آسيا في استضافة الحوار الإقليمي بشأن الآليات الوطنية للإبلاغ والمتابعة في بانكوك في </w:t>
      </w:r>
      <w:r w:rsidRPr="00AF3116">
        <w:rPr>
          <w:rtl/>
        </w:rPr>
        <w:t>29</w:t>
      </w:r>
      <w:r w:rsidRPr="001B6C67">
        <w:rPr>
          <w:rtl/>
        </w:rPr>
        <w:t xml:space="preserve"> و</w:t>
      </w:r>
      <w:r w:rsidRPr="00AF3116">
        <w:rPr>
          <w:rtl/>
        </w:rPr>
        <w:t>30</w:t>
      </w:r>
      <w:r w:rsidRPr="001B6C67">
        <w:rPr>
          <w:rtl/>
        </w:rPr>
        <w:t xml:space="preserve"> آب/أغسطس </w:t>
      </w:r>
      <w:r w:rsidRPr="00AF3116">
        <w:rPr>
          <w:rtl/>
        </w:rPr>
        <w:t>2019</w:t>
      </w:r>
      <w:r w:rsidRPr="001B6C67">
        <w:rPr>
          <w:rtl/>
        </w:rPr>
        <w:t>. وحضر</w:t>
      </w:r>
      <w:r w:rsidR="005F6F8E">
        <w:rPr>
          <w:rFonts w:hint="cs"/>
          <w:rtl/>
        </w:rPr>
        <w:t> </w:t>
      </w:r>
      <w:r w:rsidRPr="001B6C67">
        <w:rPr>
          <w:rtl/>
        </w:rPr>
        <w:t xml:space="preserve">الحوار نحو </w:t>
      </w:r>
      <w:r w:rsidRPr="00AF3116">
        <w:rPr>
          <w:rtl/>
        </w:rPr>
        <w:t>50</w:t>
      </w:r>
      <w:r w:rsidRPr="001B6C67">
        <w:rPr>
          <w:rtl/>
        </w:rPr>
        <w:t xml:space="preserve"> مشاركاً من الوكالات المعنية المسؤولة عن الإبلاغ عن إعمال حقوق الإنسان ومتابعتها من </w:t>
      </w:r>
      <w:r w:rsidRPr="00AF3116">
        <w:rPr>
          <w:rtl/>
        </w:rPr>
        <w:t>12</w:t>
      </w:r>
      <w:r w:rsidRPr="001B6C67">
        <w:rPr>
          <w:rtl/>
        </w:rPr>
        <w:t xml:space="preserve"> بلداً في منطقة آسيا والمحيط الهادئ، وهي باكستان وبروني دار السلام وبنغلاديش وتيمور - ليشتي والصين والفلبين وفيجي </w:t>
      </w:r>
      <w:proofErr w:type="spellStart"/>
      <w:r w:rsidRPr="001B6C67">
        <w:rPr>
          <w:rtl/>
        </w:rPr>
        <w:t>وفييت</w:t>
      </w:r>
      <w:proofErr w:type="spellEnd"/>
      <w:r w:rsidRPr="001B6C67">
        <w:rPr>
          <w:rtl/>
        </w:rPr>
        <w:t xml:space="preserve"> نام وكمبوديا وماليزيا وميانمار، فضلاً عن ممثلين من الوكالات التايلندية ذات الصلة. وكان الحوار منبراً لتبادل الممارسات الجيدة والدروس المستفادة في استخدام الآليات الوطنية للإبلاغ والمتابعة وبناء قدرات الوكالات المعنية وتشكيل مدخلات للمحافل ذات الصلة مثل مجلس حقوق الإنسان. وبالإضافة إلى ذلك، عزز هذا الحوار شبكة الوكالات الحكومية في تنفيذ التزامات البلد وتوصياته في مجال حقوق الإنسان والإبلاغ عنها ومتابعتها.</w:t>
      </w:r>
    </w:p>
    <w:p w14:paraId="769A294F" w14:textId="77777777" w:rsidR="00DE3D9F" w:rsidRPr="001B6C67" w:rsidRDefault="00DE3D9F" w:rsidP="00DE3D9F">
      <w:pPr>
        <w:pStyle w:val="SingleTxtGA"/>
        <w:rPr>
          <w:lang w:val="ar-SA" w:eastAsia="zh-TW" w:bidi="en-GB"/>
        </w:rPr>
      </w:pPr>
      <w:r w:rsidRPr="00AF3116">
        <w:rPr>
          <w:rtl/>
        </w:rPr>
        <w:lastRenderedPageBreak/>
        <w:t>170</w:t>
      </w:r>
      <w:r w:rsidRPr="001B6C67">
        <w:rPr>
          <w:rtl/>
        </w:rPr>
        <w:t>-</w:t>
      </w:r>
      <w:r w:rsidRPr="001B6C67">
        <w:rPr>
          <w:rtl/>
        </w:rPr>
        <w:tab/>
        <w:t xml:space="preserve">وقد خصصت إدارة حماية الحقوق والحريات التابعة لوزارة العدل مسؤولين كمتحدثين لتبادل الخبرات في تنفيذ مبادئ الأمم المتحدة التوجيهية بشأن الأعمال التجارية وحقوق الإنسان، بما في ذلك إعداد خطة عمل وطنية بشأن الأعمال التجارية وحقوق الإنسان، في بلدان مختلفة مثل باكستان وفيتنام وماليزيا. وتعاونت إدارة حماية الحقوق والحريات أيضاً في هذا المجال مع وكالات الأمم المتحدة ذات الصلة، بما فيها برنامج الأمم المتحدة الإنمائي </w:t>
      </w:r>
      <w:r>
        <w:rPr>
          <w:rtl/>
        </w:rPr>
        <w:t>و</w:t>
      </w:r>
      <w:r w:rsidRPr="001B6C67">
        <w:rPr>
          <w:rtl/>
        </w:rPr>
        <w:t>اللجنة الاقتصادية والاجتماعية لآسيا والمحيط الهادئ.</w:t>
      </w:r>
    </w:p>
    <w:p w14:paraId="132FB0BE" w14:textId="080FDF16" w:rsidR="00DE3D9F" w:rsidRPr="001B6C67" w:rsidRDefault="00DE3D9F" w:rsidP="00DE3D9F">
      <w:pPr>
        <w:pStyle w:val="SingleTxtGA"/>
        <w:rPr>
          <w:lang w:val="ar-SA" w:eastAsia="zh-TW" w:bidi="en-GB"/>
        </w:rPr>
      </w:pPr>
      <w:r w:rsidRPr="00AF3116">
        <w:rPr>
          <w:rtl/>
        </w:rPr>
        <w:t>171</w:t>
      </w:r>
      <w:r w:rsidRPr="001B6C67">
        <w:rPr>
          <w:rtl/>
        </w:rPr>
        <w:t>-</w:t>
      </w:r>
      <w:r w:rsidRPr="001B6C67">
        <w:rPr>
          <w:rtl/>
        </w:rPr>
        <w:tab/>
        <w:t>وعملا</w:t>
      </w:r>
      <w:r>
        <w:rPr>
          <w:rtl/>
        </w:rPr>
        <w:t>ً</w:t>
      </w:r>
      <w:r w:rsidRPr="001B6C67">
        <w:rPr>
          <w:rtl/>
        </w:rPr>
        <w:t xml:space="preserve"> بالفقرتين </w:t>
      </w:r>
      <w:r w:rsidRPr="00AF3116">
        <w:rPr>
          <w:rtl/>
        </w:rPr>
        <w:t>127</w:t>
      </w:r>
      <w:r w:rsidRPr="001B6C67">
        <w:rPr>
          <w:rtl/>
        </w:rPr>
        <w:t xml:space="preserve"> و</w:t>
      </w:r>
      <w:r w:rsidRPr="00AF3116">
        <w:rPr>
          <w:rtl/>
        </w:rPr>
        <w:t>128</w:t>
      </w:r>
      <w:r w:rsidRPr="001B6C67">
        <w:rPr>
          <w:rtl/>
        </w:rPr>
        <w:t>، ينظم معهد تايلاند للعدالة دورات سنوية حول معاملة السجينات وفقاً لقواعد بانكوك ل</w:t>
      </w:r>
      <w:r>
        <w:rPr>
          <w:rtl/>
        </w:rPr>
        <w:t xml:space="preserve">فائدة </w:t>
      </w:r>
      <w:r w:rsidRPr="001B6C67">
        <w:rPr>
          <w:rtl/>
        </w:rPr>
        <w:t xml:space="preserve">كبار موظفي الإصلاحيات في آسيان منذ عام </w:t>
      </w:r>
      <w:r w:rsidRPr="00AF3116">
        <w:rPr>
          <w:rtl/>
        </w:rPr>
        <w:t>2017</w:t>
      </w:r>
      <w:r w:rsidRPr="001B6C67">
        <w:rPr>
          <w:rtl/>
        </w:rPr>
        <w:t>. وبالإضافة إلى ذلك، نُظِّمت أنشطة لبناء القدرات والتدريب بناءً على الطلب في بلدان مختلفة مثل إندونيسيا وكينيا وماليزيا. وقد</w:t>
      </w:r>
      <w:r w:rsidR="00D55C97">
        <w:rPr>
          <w:rFonts w:hint="cs"/>
          <w:rtl/>
        </w:rPr>
        <w:t> </w:t>
      </w:r>
      <w:r>
        <w:rPr>
          <w:rtl/>
        </w:rPr>
        <w:t>نُظِّمت</w:t>
      </w:r>
      <w:r w:rsidRPr="001B6C67">
        <w:rPr>
          <w:rtl/>
        </w:rPr>
        <w:t xml:space="preserve"> على أساس ثنائي، وكذلك في إطار ثلاثي مع اللجنة الدولية للصليب الأحمر ومكتب الأمم المتحدة المعني بالمخدرات والجريمة.</w:t>
      </w:r>
    </w:p>
    <w:p w14:paraId="279C1203" w14:textId="77777777" w:rsidR="00DE3D9F" w:rsidRPr="001B6C67" w:rsidRDefault="00DE3D9F" w:rsidP="00883EBA">
      <w:pPr>
        <w:pStyle w:val="H1GA"/>
        <w:rPr>
          <w:lang w:val="ar-SA" w:eastAsia="zh-TW" w:bidi="en-GB"/>
        </w:rPr>
      </w:pPr>
      <w:r>
        <w:rPr>
          <w:rtl/>
        </w:rPr>
        <w:tab/>
      </w:r>
      <w:bookmarkStart w:id="33" w:name="_Toc92899420"/>
      <w:r w:rsidRPr="001B6C67">
        <w:rPr>
          <w:rtl/>
        </w:rPr>
        <w:t>دال-</w:t>
      </w:r>
      <w:r w:rsidRPr="001B6C67">
        <w:rPr>
          <w:rtl/>
        </w:rPr>
        <w:tab/>
      </w:r>
      <w:r w:rsidRPr="00AF3116">
        <w:rPr>
          <w:rtl/>
        </w:rPr>
        <w:t>عملية تقديم التقارير إلى الأمم المتحدة على الصعيد الوطني</w:t>
      </w:r>
      <w:bookmarkStart w:id="34" w:name="_Toc89701539"/>
      <w:bookmarkEnd w:id="34"/>
      <w:bookmarkEnd w:id="33"/>
    </w:p>
    <w:p w14:paraId="296BBE47" w14:textId="3D79E069" w:rsidR="00DE3D9F" w:rsidRPr="001B6C67" w:rsidRDefault="00DE3D9F" w:rsidP="00DE3D9F">
      <w:pPr>
        <w:pStyle w:val="SingleTxtGA"/>
        <w:rPr>
          <w:lang w:val="ar-SA" w:eastAsia="zh-TW" w:bidi="en-GB"/>
        </w:rPr>
      </w:pPr>
      <w:r w:rsidRPr="00AF3116">
        <w:rPr>
          <w:rtl/>
        </w:rPr>
        <w:t>172</w:t>
      </w:r>
      <w:r w:rsidRPr="001B6C67">
        <w:rPr>
          <w:rtl/>
        </w:rPr>
        <w:t>-</w:t>
      </w:r>
      <w:r w:rsidRPr="001B6C67">
        <w:rPr>
          <w:rtl/>
        </w:rPr>
        <w:tab/>
        <w:t>تم إعداد التقارير الإلزامية عن تنفيذ صكوك حقوق الإنسان التي انضمت إليها تايلند بمشاركة نشطة من جميع أصحاب المصلحة. وقد تم إنشاء لجنة وطنية أو فريق عامل كآلية أساسية لإعداد كل تقرير تضم الوكالات ذات الصلة من القطاعين العام والخاص والأوساط الأكاديمية وأصحاب المصلحة أو</w:t>
      </w:r>
      <w:r w:rsidR="00D55C97">
        <w:rPr>
          <w:rFonts w:hint="cs"/>
          <w:rtl/>
        </w:rPr>
        <w:t> </w:t>
      </w:r>
      <w:r w:rsidRPr="001B6C67">
        <w:rPr>
          <w:rtl/>
        </w:rPr>
        <w:t xml:space="preserve">الفئات المستهدفة التي تهدف الصكوك إلى توفير الحماية لها. </w:t>
      </w:r>
    </w:p>
    <w:p w14:paraId="256F84AF" w14:textId="77777777" w:rsidR="00DE3D9F" w:rsidRPr="001B6C67" w:rsidRDefault="00DE3D9F" w:rsidP="00DE3D9F">
      <w:pPr>
        <w:pStyle w:val="SingleTxtGA"/>
        <w:rPr>
          <w:lang w:val="ar-SA" w:eastAsia="zh-TW" w:bidi="en-GB"/>
        </w:rPr>
      </w:pPr>
      <w:r w:rsidRPr="00AF3116">
        <w:rPr>
          <w:rtl/>
        </w:rPr>
        <w:t>173</w:t>
      </w:r>
      <w:r w:rsidRPr="001B6C67">
        <w:rPr>
          <w:rtl/>
        </w:rPr>
        <w:t>-</w:t>
      </w:r>
      <w:r w:rsidRPr="001B6C67">
        <w:rPr>
          <w:rtl/>
        </w:rPr>
        <w:tab/>
        <w:t xml:space="preserve">والميسرون الرئيسيون في إعداد التقرير هم، بحسب الاتفاقية المعنية، وزارة العدل (العهد الدولي الخاص بالحقوق المدنية والسياسية، العهد الدولي الخاص بالحقوق الاقتصادية والاجتماعية والثقافية، الاتفاقية الدولية للقضاء على التمييز العنصري، لجنة مناهضة التعذيب) ووزارة التنمية الاجتماعية والأمن البشري (اتفاقية القضاء على جميع أشكال التمييز ضد المرأة، اتفاقية حقوق الطفل، اتفاقية حقوق الأشخاص ذوي الإعاقة). وتتولى وزارة العدل ووزارة الخارجية مسؤولية إعداد تقارير الاستعراض الدوري الشامل. وسُلِّط الضوء وسيُسلّط في التقارير المختلفة على القوائم الكاملة للمنظمات والأشخاص المشاركين في إعداد كل تقرير. </w:t>
      </w:r>
    </w:p>
    <w:p w14:paraId="4241EDB7" w14:textId="77777777" w:rsidR="00DE3D9F" w:rsidRPr="001B6C67" w:rsidRDefault="00DE3D9F" w:rsidP="00DE3D9F">
      <w:pPr>
        <w:pStyle w:val="SingleTxtGA"/>
        <w:rPr>
          <w:lang w:val="ar-SA" w:eastAsia="zh-TW" w:bidi="en-GB"/>
        </w:rPr>
      </w:pPr>
      <w:r w:rsidRPr="00AF3116">
        <w:rPr>
          <w:rtl/>
        </w:rPr>
        <w:t>174</w:t>
      </w:r>
      <w:r w:rsidRPr="001B6C67">
        <w:rPr>
          <w:rtl/>
        </w:rPr>
        <w:t>-</w:t>
      </w:r>
      <w:r w:rsidRPr="001B6C67">
        <w:rPr>
          <w:rtl/>
        </w:rPr>
        <w:tab/>
        <w:t xml:space="preserve">ويتبع إعداد التقارير من حيث الشكل والمضمون والمبادئ التوجيهية المتطلبات والمبادئ التوجيهية للجان الأمم المتحدة المسؤولة عن هذه الصكوك. </w:t>
      </w:r>
    </w:p>
    <w:p w14:paraId="76494B89" w14:textId="77777777" w:rsidR="00DE3D9F" w:rsidRPr="001B6C67" w:rsidRDefault="00DE3D9F" w:rsidP="00DE3D9F">
      <w:pPr>
        <w:pStyle w:val="SingleTxtGA"/>
        <w:rPr>
          <w:lang w:val="ar-SA" w:eastAsia="zh-TW" w:bidi="en-GB"/>
        </w:rPr>
      </w:pPr>
      <w:r w:rsidRPr="00AF3116">
        <w:rPr>
          <w:rtl/>
        </w:rPr>
        <w:t>175</w:t>
      </w:r>
      <w:r w:rsidRPr="001B6C67">
        <w:rPr>
          <w:rtl/>
        </w:rPr>
        <w:t>-</w:t>
      </w:r>
      <w:r w:rsidRPr="001B6C67">
        <w:rPr>
          <w:rtl/>
        </w:rPr>
        <w:tab/>
        <w:t>وفي معظم الحالات، يصاغ التقرير في البداية باللغة التايلندية، بمساهمات من مختلف الأفرقة العاملة</w:t>
      </w:r>
      <w:r w:rsidRPr="00AB5507">
        <w:rPr>
          <w:rtl/>
        </w:rPr>
        <w:t xml:space="preserve"> </w:t>
      </w:r>
      <w:r w:rsidRPr="001B6C67">
        <w:rPr>
          <w:rtl/>
        </w:rPr>
        <w:t xml:space="preserve">المسؤولة عن مواضيع محددة، التي تضم ممثلين من القطاعين العام والخاص. وبعد ذلك، يُعرَض مشروع التقرير على جلسات استماع علنية، على الصعيدين الإقليمي والوطني، لجمع التعليقات والتوصيات. ثم يُقدَّم التقرير المعدَّل إلى الوكالات المسؤولة للموافقة عليه ثم يُترجَم إلى اللغة الإنكليزية. </w:t>
      </w:r>
    </w:p>
    <w:p w14:paraId="74E3C09A" w14:textId="77777777" w:rsidR="00DE3D9F" w:rsidRPr="001B6C67" w:rsidRDefault="00DE3D9F" w:rsidP="00DE3D9F">
      <w:pPr>
        <w:pStyle w:val="SingleTxtGA"/>
        <w:rPr>
          <w:lang w:val="ar-SA" w:eastAsia="zh-TW" w:bidi="en-GB"/>
        </w:rPr>
      </w:pPr>
      <w:r w:rsidRPr="00AF3116">
        <w:rPr>
          <w:rtl/>
        </w:rPr>
        <w:t>176</w:t>
      </w:r>
      <w:r w:rsidRPr="001B6C67">
        <w:rPr>
          <w:rtl/>
        </w:rPr>
        <w:t>-</w:t>
      </w:r>
      <w:r w:rsidRPr="001B6C67">
        <w:rPr>
          <w:rtl/>
        </w:rPr>
        <w:tab/>
        <w:t>ويقدَّم التقرير النهائي إلى مجلس الوزراء للموافقة عليه، ثم إلى وزارة الخارجية لتقديمه رسمياً إلى الأمم المتحدة.</w:t>
      </w:r>
    </w:p>
    <w:p w14:paraId="6060BB45" w14:textId="77777777" w:rsidR="00DE3D9F" w:rsidRPr="001B6C67" w:rsidRDefault="00DE3D9F" w:rsidP="00DE3D9F">
      <w:pPr>
        <w:pStyle w:val="SingleTxtGA"/>
        <w:rPr>
          <w:lang w:val="ar-SA" w:eastAsia="zh-TW" w:bidi="en-GB"/>
        </w:rPr>
      </w:pPr>
      <w:r w:rsidRPr="00AF3116">
        <w:rPr>
          <w:rtl/>
        </w:rPr>
        <w:t>177</w:t>
      </w:r>
      <w:r w:rsidRPr="001B6C67">
        <w:rPr>
          <w:rtl/>
        </w:rPr>
        <w:t>-</w:t>
      </w:r>
      <w:r w:rsidRPr="001B6C67">
        <w:rPr>
          <w:rtl/>
        </w:rPr>
        <w:tab/>
        <w:t>وفيما يلي التقارير التي قدمتها تايلند إلى الأمم المتحدة:</w:t>
      </w:r>
    </w:p>
    <w:tbl>
      <w:tblPr>
        <w:bidiVisual/>
        <w:tblW w:w="7653"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404"/>
        <w:gridCol w:w="2990"/>
        <w:gridCol w:w="2259"/>
      </w:tblGrid>
      <w:tr w:rsidR="00DE3D9F" w:rsidRPr="00883EBA" w14:paraId="57378D29" w14:textId="77777777" w:rsidTr="005F6F8E">
        <w:trPr>
          <w:tblHeader/>
        </w:trPr>
        <w:tc>
          <w:tcPr>
            <w:tcW w:w="2404" w:type="dxa"/>
            <w:tcBorders>
              <w:top w:val="single" w:sz="4" w:space="0" w:color="auto"/>
              <w:bottom w:val="single" w:sz="12" w:space="0" w:color="auto"/>
            </w:tcBorders>
            <w:shd w:val="clear" w:color="auto" w:fill="auto"/>
            <w:vAlign w:val="bottom"/>
          </w:tcPr>
          <w:p w14:paraId="79FD327C" w14:textId="77777777" w:rsidR="00DE3D9F" w:rsidRPr="00883EBA" w:rsidRDefault="00F50514" w:rsidP="0093366D">
            <w:pPr>
              <w:spacing w:before="80" w:after="80" w:line="320" w:lineRule="exact"/>
              <w:ind w:left="80" w:right="294"/>
              <w:textDirection w:val="tbRlV"/>
              <w:rPr>
                <w:rFonts w:ascii="Simplified Arabic" w:hAnsi="Simplified Arabic"/>
                <w:i/>
                <w:sz w:val="22"/>
                <w:lang w:val="ar-SA" w:eastAsia="zh-TW" w:bidi="en-GB"/>
              </w:rPr>
            </w:pPr>
            <w:dir w:val="rtl">
              <w:r w:rsidR="00DE3D9F" w:rsidRPr="00AF3116">
                <w:rPr>
                  <w:rFonts w:ascii="Simplified Arabic" w:hAnsi="Simplified Arabic"/>
                  <w:i/>
                  <w:iCs/>
                  <w:sz w:val="22"/>
                  <w:rtl/>
                </w:rPr>
                <w:t>الاتفاقيات</w:t>
              </w:r>
              <w:r w:rsidR="00DE3D9F" w:rsidRPr="00AF3116">
                <w:rPr>
                  <w:rFonts w:cs="Times New Roman" w:hint="cs"/>
                  <w:i/>
                  <w:iCs/>
                  <w:sz w:val="22"/>
                  <w:rtl/>
                </w:rPr>
                <w:t>‬</w:t>
              </w:r>
              <w:r w:rsidR="00DE3D9F" w:rsidRPr="00883EBA">
                <w:rPr>
                  <w:sz w:val="22"/>
                </w:rPr>
                <w:t>‬</w:t>
              </w:r>
              <w:r w:rsidR="00DE3D9F" w:rsidRPr="00883EBA">
                <w:rPr>
                  <w:sz w:val="22"/>
                </w:rPr>
                <w:t>‬</w:t>
              </w:r>
              <w:r w:rsidR="003B756C">
                <w:t>‬</w:t>
              </w:r>
              <w:r>
                <w:t>‬</w:t>
              </w:r>
            </w:dir>
          </w:p>
        </w:tc>
        <w:tc>
          <w:tcPr>
            <w:tcW w:w="2990" w:type="dxa"/>
            <w:tcBorders>
              <w:top w:val="single" w:sz="4" w:space="0" w:color="auto"/>
              <w:bottom w:val="single" w:sz="12" w:space="0" w:color="auto"/>
            </w:tcBorders>
            <w:shd w:val="clear" w:color="auto" w:fill="auto"/>
            <w:vAlign w:val="bottom"/>
          </w:tcPr>
          <w:p w14:paraId="0186B8E2" w14:textId="77777777" w:rsidR="00DE3D9F" w:rsidRPr="00883EBA" w:rsidRDefault="00DE3D9F" w:rsidP="0093366D">
            <w:pPr>
              <w:spacing w:before="80" w:after="80" w:line="320" w:lineRule="exact"/>
              <w:ind w:left="125" w:right="469"/>
              <w:textDirection w:val="tbRlV"/>
              <w:rPr>
                <w:rFonts w:ascii="Simplified Arabic" w:hAnsi="Simplified Arabic"/>
                <w:i/>
                <w:sz w:val="22"/>
                <w:lang w:val="ar-SA" w:eastAsia="zh-TW" w:bidi="en-GB"/>
              </w:rPr>
            </w:pPr>
            <w:r w:rsidRPr="00AF3116">
              <w:rPr>
                <w:rFonts w:ascii="Simplified Arabic" w:hAnsi="Simplified Arabic"/>
                <w:i/>
                <w:iCs/>
                <w:sz w:val="22"/>
                <w:rtl/>
              </w:rPr>
              <w:t>الوثائق</w:t>
            </w:r>
          </w:p>
        </w:tc>
        <w:tc>
          <w:tcPr>
            <w:tcW w:w="2259" w:type="dxa"/>
            <w:tcBorders>
              <w:top w:val="single" w:sz="4" w:space="0" w:color="auto"/>
              <w:bottom w:val="single" w:sz="12" w:space="0" w:color="auto"/>
            </w:tcBorders>
            <w:shd w:val="clear" w:color="auto" w:fill="auto"/>
            <w:vAlign w:val="bottom"/>
          </w:tcPr>
          <w:p w14:paraId="286F7711" w14:textId="77777777" w:rsidR="00DE3D9F" w:rsidRPr="00AF3116" w:rsidRDefault="00DE3D9F" w:rsidP="0093366D">
            <w:pPr>
              <w:spacing w:before="80" w:after="80" w:line="320" w:lineRule="exact"/>
              <w:ind w:left="91"/>
              <w:textDirection w:val="tbRlV"/>
              <w:rPr>
                <w:rFonts w:ascii="Simplified Arabic" w:hAnsi="Simplified Arabic"/>
                <w:i/>
                <w:spacing w:val="-2"/>
                <w:sz w:val="22"/>
                <w:lang w:val="ar-SA" w:eastAsia="zh-TW" w:bidi="en-GB"/>
              </w:rPr>
            </w:pPr>
            <w:r w:rsidRPr="00AF3116">
              <w:rPr>
                <w:rFonts w:ascii="Simplified Arabic" w:hAnsi="Simplified Arabic"/>
                <w:i/>
                <w:iCs/>
                <w:spacing w:val="-2"/>
                <w:sz w:val="22"/>
                <w:rtl/>
              </w:rPr>
              <w:t>التاريخ</w:t>
            </w:r>
          </w:p>
        </w:tc>
      </w:tr>
      <w:tr w:rsidR="00DE3D9F" w:rsidRPr="00883EBA" w14:paraId="4DEDBA53" w14:textId="77777777" w:rsidTr="005F6F8E">
        <w:trPr>
          <w:trHeight w:hRule="exact" w:val="113"/>
          <w:tblHeader/>
        </w:trPr>
        <w:tc>
          <w:tcPr>
            <w:tcW w:w="2404" w:type="dxa"/>
            <w:tcBorders>
              <w:top w:val="single" w:sz="12" w:space="0" w:color="auto"/>
            </w:tcBorders>
            <w:shd w:val="clear" w:color="auto" w:fill="auto"/>
          </w:tcPr>
          <w:p w14:paraId="092F35E7" w14:textId="77777777" w:rsidR="00DE3D9F" w:rsidRPr="00146491" w:rsidRDefault="00DE3D9F" w:rsidP="0093366D">
            <w:pPr>
              <w:spacing w:before="40" w:after="120" w:line="320" w:lineRule="exact"/>
              <w:ind w:left="80" w:right="294"/>
              <w:rPr>
                <w:rFonts w:ascii="Simplified Arabic" w:hAnsi="Simplified Arabic"/>
                <w:szCs w:val="20"/>
              </w:rPr>
            </w:pPr>
          </w:p>
        </w:tc>
        <w:tc>
          <w:tcPr>
            <w:tcW w:w="2990" w:type="dxa"/>
            <w:tcBorders>
              <w:top w:val="single" w:sz="12" w:space="0" w:color="auto"/>
            </w:tcBorders>
            <w:shd w:val="clear" w:color="auto" w:fill="auto"/>
          </w:tcPr>
          <w:p w14:paraId="73338C2C" w14:textId="77777777" w:rsidR="00DE3D9F" w:rsidRPr="00146491" w:rsidRDefault="00DE3D9F" w:rsidP="0093366D">
            <w:pPr>
              <w:spacing w:before="40" w:after="120" w:line="320" w:lineRule="exact"/>
              <w:ind w:left="125" w:right="469"/>
              <w:rPr>
                <w:rFonts w:ascii="Simplified Arabic" w:hAnsi="Simplified Arabic"/>
                <w:szCs w:val="20"/>
              </w:rPr>
            </w:pPr>
          </w:p>
        </w:tc>
        <w:tc>
          <w:tcPr>
            <w:tcW w:w="2259" w:type="dxa"/>
            <w:tcBorders>
              <w:top w:val="single" w:sz="12" w:space="0" w:color="auto"/>
            </w:tcBorders>
            <w:shd w:val="clear" w:color="auto" w:fill="auto"/>
          </w:tcPr>
          <w:p w14:paraId="1B95691A" w14:textId="77777777" w:rsidR="00DE3D9F" w:rsidRPr="00146491" w:rsidRDefault="00DE3D9F" w:rsidP="0093366D">
            <w:pPr>
              <w:spacing w:before="40" w:after="120" w:line="320" w:lineRule="exact"/>
              <w:ind w:left="91"/>
              <w:rPr>
                <w:rFonts w:ascii="Simplified Arabic" w:hAnsi="Simplified Arabic"/>
                <w:spacing w:val="-2"/>
                <w:szCs w:val="20"/>
              </w:rPr>
            </w:pPr>
          </w:p>
        </w:tc>
      </w:tr>
      <w:tr w:rsidR="00DE3D9F" w:rsidRPr="00883EBA" w14:paraId="7C2DEEA8" w14:textId="77777777" w:rsidTr="00146491">
        <w:tc>
          <w:tcPr>
            <w:tcW w:w="2404" w:type="dxa"/>
            <w:tcBorders>
              <w:bottom w:val="nil"/>
            </w:tcBorders>
            <w:shd w:val="clear" w:color="auto" w:fill="auto"/>
          </w:tcPr>
          <w:p w14:paraId="3411DE9D" w14:textId="77777777" w:rsidR="00DE3D9F" w:rsidRPr="00146491" w:rsidRDefault="00DE3D9F" w:rsidP="00146491">
            <w:pPr>
              <w:spacing w:before="40" w:after="120" w:line="300" w:lineRule="exact"/>
              <w:ind w:left="80" w:right="294"/>
              <w:textDirection w:val="tbRlV"/>
              <w:rPr>
                <w:rFonts w:ascii="Simplified Arabic" w:hAnsi="Simplified Arabic"/>
                <w:szCs w:val="20"/>
                <w:lang w:val="ar-SA" w:eastAsia="zh-TW" w:bidi="en-GB"/>
              </w:rPr>
            </w:pPr>
            <w:r w:rsidRPr="00146491">
              <w:rPr>
                <w:rFonts w:ascii="Simplified Arabic" w:hAnsi="Simplified Arabic"/>
                <w:szCs w:val="20"/>
                <w:rtl/>
              </w:rPr>
              <w:t>اتفاقية مناهضة التعذيب</w:t>
            </w:r>
          </w:p>
        </w:tc>
        <w:tc>
          <w:tcPr>
            <w:tcW w:w="2990" w:type="dxa"/>
            <w:tcBorders>
              <w:bottom w:val="nil"/>
            </w:tcBorders>
            <w:shd w:val="clear" w:color="auto" w:fill="auto"/>
          </w:tcPr>
          <w:p w14:paraId="2C960C6C" w14:textId="77777777" w:rsidR="00DE3D9F" w:rsidRPr="00146491" w:rsidRDefault="00DE3D9F" w:rsidP="00146491">
            <w:pPr>
              <w:spacing w:before="40" w:after="120" w:line="300" w:lineRule="exact"/>
              <w:ind w:left="125" w:right="469"/>
              <w:textDirection w:val="tbRlV"/>
              <w:rPr>
                <w:rFonts w:ascii="Simplified Arabic" w:hAnsi="Simplified Arabic"/>
                <w:szCs w:val="20"/>
                <w:lang w:val="ar-SA" w:eastAsia="zh-TW" w:bidi="en-GB"/>
              </w:rPr>
            </w:pPr>
            <w:r w:rsidRPr="00146491">
              <w:rPr>
                <w:rFonts w:ascii="Simplified Arabic" w:hAnsi="Simplified Arabic"/>
                <w:szCs w:val="20"/>
                <w:rtl/>
              </w:rPr>
              <w:t>التقرير الأول</w:t>
            </w:r>
          </w:p>
        </w:tc>
        <w:tc>
          <w:tcPr>
            <w:tcW w:w="2259" w:type="dxa"/>
            <w:tcBorders>
              <w:bottom w:val="nil"/>
            </w:tcBorders>
            <w:shd w:val="clear" w:color="auto" w:fill="auto"/>
          </w:tcPr>
          <w:p w14:paraId="1367477B" w14:textId="77777777" w:rsidR="00DE3D9F" w:rsidRPr="00146491" w:rsidRDefault="00DE3D9F" w:rsidP="00146491">
            <w:pPr>
              <w:spacing w:before="40" w:after="120" w:line="300" w:lineRule="exact"/>
              <w:ind w:left="91"/>
              <w:textDirection w:val="tbRlV"/>
              <w:rPr>
                <w:rFonts w:ascii="Simplified Arabic" w:hAnsi="Simplified Arabic"/>
                <w:spacing w:val="-2"/>
                <w:szCs w:val="20"/>
                <w:lang w:val="ar-SA" w:eastAsia="zh-TW" w:bidi="en-GB"/>
              </w:rPr>
            </w:pPr>
            <w:r w:rsidRPr="00146491">
              <w:rPr>
                <w:rFonts w:ascii="Simplified Arabic" w:hAnsi="Simplified Arabic"/>
                <w:spacing w:val="-2"/>
                <w:szCs w:val="20"/>
                <w:rtl/>
              </w:rPr>
              <w:t>27 شباط/فبراير 2013</w:t>
            </w:r>
          </w:p>
        </w:tc>
      </w:tr>
      <w:tr w:rsidR="00DE3D9F" w:rsidRPr="00883EBA" w14:paraId="6EFC1354" w14:textId="77777777" w:rsidTr="00146491">
        <w:tc>
          <w:tcPr>
            <w:tcW w:w="2404" w:type="dxa"/>
            <w:vMerge w:val="restart"/>
            <w:tcBorders>
              <w:top w:val="nil"/>
              <w:bottom w:val="nil"/>
            </w:tcBorders>
            <w:shd w:val="clear" w:color="auto" w:fill="auto"/>
          </w:tcPr>
          <w:p w14:paraId="09298CFC" w14:textId="77777777" w:rsidR="00DE3D9F" w:rsidRPr="00146491" w:rsidRDefault="00DE3D9F" w:rsidP="00146491">
            <w:pPr>
              <w:spacing w:before="40" w:after="120" w:line="300" w:lineRule="exact"/>
              <w:ind w:left="80" w:right="294"/>
              <w:textDirection w:val="tbRlV"/>
              <w:rPr>
                <w:rFonts w:ascii="Simplified Arabic" w:hAnsi="Simplified Arabic"/>
                <w:szCs w:val="20"/>
                <w:lang w:val="ar-SA" w:eastAsia="zh-TW" w:bidi="en-GB"/>
              </w:rPr>
            </w:pPr>
            <w:r w:rsidRPr="00146491">
              <w:rPr>
                <w:rFonts w:ascii="Simplified Arabic" w:hAnsi="Simplified Arabic"/>
                <w:szCs w:val="20"/>
                <w:rtl/>
              </w:rPr>
              <w:t>‎العهد الدولي الخاص بالحقوق المدنية والسياسية‏‏</w:t>
            </w:r>
          </w:p>
        </w:tc>
        <w:tc>
          <w:tcPr>
            <w:tcW w:w="2990" w:type="dxa"/>
            <w:tcBorders>
              <w:top w:val="nil"/>
              <w:bottom w:val="nil"/>
            </w:tcBorders>
            <w:shd w:val="clear" w:color="auto" w:fill="auto"/>
          </w:tcPr>
          <w:p w14:paraId="1A124D08" w14:textId="77777777" w:rsidR="00DE3D9F" w:rsidRPr="00146491" w:rsidRDefault="00DE3D9F" w:rsidP="00146491">
            <w:pPr>
              <w:spacing w:before="40" w:after="120" w:line="300" w:lineRule="exact"/>
              <w:ind w:left="125" w:right="469"/>
              <w:textDirection w:val="tbRlV"/>
              <w:rPr>
                <w:rFonts w:ascii="Simplified Arabic" w:hAnsi="Simplified Arabic"/>
                <w:szCs w:val="20"/>
                <w:lang w:val="ar-SA" w:eastAsia="zh-TW" w:bidi="en-GB"/>
              </w:rPr>
            </w:pPr>
            <w:r w:rsidRPr="00146491">
              <w:rPr>
                <w:rFonts w:ascii="Simplified Arabic" w:hAnsi="Simplified Arabic"/>
                <w:szCs w:val="20"/>
                <w:rtl/>
              </w:rPr>
              <w:t>التقرير الأول</w:t>
            </w:r>
          </w:p>
        </w:tc>
        <w:tc>
          <w:tcPr>
            <w:tcW w:w="2259" w:type="dxa"/>
            <w:tcBorders>
              <w:top w:val="nil"/>
              <w:bottom w:val="nil"/>
            </w:tcBorders>
            <w:shd w:val="clear" w:color="auto" w:fill="auto"/>
          </w:tcPr>
          <w:p w14:paraId="4B21E932" w14:textId="77777777" w:rsidR="00DE3D9F" w:rsidRPr="00146491" w:rsidRDefault="00DE3D9F" w:rsidP="00146491">
            <w:pPr>
              <w:spacing w:before="40" w:after="120" w:line="300" w:lineRule="exact"/>
              <w:ind w:left="91"/>
              <w:textDirection w:val="tbRlV"/>
              <w:rPr>
                <w:rFonts w:ascii="Simplified Arabic" w:hAnsi="Simplified Arabic"/>
                <w:spacing w:val="-2"/>
                <w:szCs w:val="20"/>
                <w:lang w:val="ar-SA" w:eastAsia="zh-TW" w:bidi="en-GB"/>
              </w:rPr>
            </w:pPr>
            <w:r w:rsidRPr="00146491">
              <w:rPr>
                <w:rFonts w:ascii="Simplified Arabic" w:hAnsi="Simplified Arabic"/>
                <w:spacing w:val="-2"/>
                <w:szCs w:val="20"/>
                <w:rtl/>
              </w:rPr>
              <w:t>2 حزيران/يونيه 2004</w:t>
            </w:r>
          </w:p>
        </w:tc>
      </w:tr>
      <w:tr w:rsidR="00DE3D9F" w:rsidRPr="00883EBA" w14:paraId="0EB3F77A" w14:textId="77777777" w:rsidTr="00146491">
        <w:tc>
          <w:tcPr>
            <w:tcW w:w="2404" w:type="dxa"/>
            <w:vMerge/>
            <w:tcBorders>
              <w:top w:val="nil"/>
            </w:tcBorders>
            <w:shd w:val="clear" w:color="auto" w:fill="auto"/>
          </w:tcPr>
          <w:p w14:paraId="577E7A7F" w14:textId="77777777" w:rsidR="00DE3D9F" w:rsidRPr="00146491" w:rsidRDefault="00DE3D9F" w:rsidP="00146491">
            <w:pPr>
              <w:spacing w:before="40" w:after="120" w:line="300" w:lineRule="exact"/>
              <w:ind w:left="80" w:right="294"/>
              <w:rPr>
                <w:rFonts w:ascii="Simplified Arabic" w:hAnsi="Simplified Arabic"/>
                <w:szCs w:val="20"/>
              </w:rPr>
            </w:pPr>
          </w:p>
        </w:tc>
        <w:tc>
          <w:tcPr>
            <w:tcW w:w="2990" w:type="dxa"/>
            <w:tcBorders>
              <w:top w:val="nil"/>
            </w:tcBorders>
            <w:shd w:val="clear" w:color="auto" w:fill="auto"/>
          </w:tcPr>
          <w:p w14:paraId="2A2E3314" w14:textId="77777777" w:rsidR="00DE3D9F" w:rsidRPr="00146491" w:rsidRDefault="00DE3D9F" w:rsidP="00146491">
            <w:pPr>
              <w:spacing w:before="40" w:after="120" w:line="300" w:lineRule="exact"/>
              <w:ind w:left="125" w:right="469"/>
              <w:textDirection w:val="tbRlV"/>
              <w:rPr>
                <w:rFonts w:ascii="Simplified Arabic" w:hAnsi="Simplified Arabic"/>
                <w:szCs w:val="20"/>
                <w:lang w:val="ar-SA" w:eastAsia="zh-TW" w:bidi="en-GB"/>
              </w:rPr>
            </w:pPr>
            <w:r w:rsidRPr="00146491">
              <w:rPr>
                <w:rFonts w:ascii="Simplified Arabic" w:hAnsi="Simplified Arabic"/>
                <w:szCs w:val="20"/>
                <w:rtl/>
              </w:rPr>
              <w:t>التقرير الثاني</w:t>
            </w:r>
          </w:p>
        </w:tc>
        <w:tc>
          <w:tcPr>
            <w:tcW w:w="2259" w:type="dxa"/>
            <w:tcBorders>
              <w:top w:val="nil"/>
            </w:tcBorders>
            <w:shd w:val="clear" w:color="auto" w:fill="auto"/>
          </w:tcPr>
          <w:p w14:paraId="496A510B" w14:textId="77777777" w:rsidR="00DE3D9F" w:rsidRPr="00146491" w:rsidRDefault="00DE3D9F" w:rsidP="00146491">
            <w:pPr>
              <w:spacing w:before="40" w:after="120" w:line="300" w:lineRule="exact"/>
              <w:ind w:left="91"/>
              <w:textDirection w:val="tbRlV"/>
              <w:rPr>
                <w:rFonts w:ascii="Simplified Arabic" w:hAnsi="Simplified Arabic"/>
                <w:spacing w:val="-2"/>
                <w:szCs w:val="20"/>
                <w:lang w:val="ar-SA" w:eastAsia="zh-TW" w:bidi="en-GB"/>
              </w:rPr>
            </w:pPr>
            <w:r w:rsidRPr="00146491">
              <w:rPr>
                <w:rFonts w:ascii="Simplified Arabic" w:hAnsi="Simplified Arabic"/>
                <w:spacing w:val="-2"/>
                <w:szCs w:val="20"/>
                <w:rtl/>
              </w:rPr>
              <w:t>23 حزيران/يونيه 2015</w:t>
            </w:r>
          </w:p>
        </w:tc>
      </w:tr>
      <w:tr w:rsidR="00DE3D9F" w:rsidRPr="00883EBA" w14:paraId="487A39CE" w14:textId="77777777" w:rsidTr="005F6F8E">
        <w:tc>
          <w:tcPr>
            <w:tcW w:w="2404" w:type="dxa"/>
            <w:shd w:val="clear" w:color="auto" w:fill="auto"/>
          </w:tcPr>
          <w:p w14:paraId="2929CD0D" w14:textId="77777777" w:rsidR="00DE3D9F" w:rsidRPr="00146491" w:rsidRDefault="00DE3D9F" w:rsidP="00146491">
            <w:pPr>
              <w:spacing w:before="40" w:after="120" w:line="300" w:lineRule="exact"/>
              <w:ind w:left="80" w:right="294"/>
              <w:textDirection w:val="tbRlV"/>
              <w:rPr>
                <w:rFonts w:ascii="Simplified Arabic" w:hAnsi="Simplified Arabic"/>
                <w:szCs w:val="20"/>
                <w:lang w:val="ar-SA" w:eastAsia="zh-TW" w:bidi="en-GB"/>
              </w:rPr>
            </w:pPr>
            <w:r w:rsidRPr="00146491">
              <w:rPr>
                <w:rFonts w:ascii="Simplified Arabic" w:hAnsi="Simplified Arabic"/>
                <w:szCs w:val="20"/>
                <w:rtl/>
              </w:rPr>
              <w:t>اتفاقية القضاء على جميع أشكال التمييز ضد المرأة</w:t>
            </w:r>
          </w:p>
        </w:tc>
        <w:tc>
          <w:tcPr>
            <w:tcW w:w="2990" w:type="dxa"/>
            <w:shd w:val="clear" w:color="auto" w:fill="auto"/>
          </w:tcPr>
          <w:p w14:paraId="43AC3B5F" w14:textId="77777777" w:rsidR="00DE3D9F" w:rsidRPr="00146491" w:rsidRDefault="00DE3D9F" w:rsidP="00146491">
            <w:pPr>
              <w:spacing w:before="40" w:after="120" w:line="300" w:lineRule="exact"/>
              <w:ind w:left="125" w:right="469"/>
              <w:textDirection w:val="tbRlV"/>
              <w:rPr>
                <w:rFonts w:ascii="Simplified Arabic" w:hAnsi="Simplified Arabic"/>
                <w:szCs w:val="20"/>
                <w:lang w:eastAsia="zh-TW" w:bidi="en-GB"/>
              </w:rPr>
            </w:pPr>
            <w:r w:rsidRPr="00146491">
              <w:rPr>
                <w:rFonts w:ascii="Simplified Arabic" w:hAnsi="Simplified Arabic"/>
                <w:szCs w:val="20"/>
                <w:rtl/>
              </w:rPr>
              <w:t>التقرير الأول</w:t>
            </w:r>
          </w:p>
        </w:tc>
        <w:tc>
          <w:tcPr>
            <w:tcW w:w="2259" w:type="dxa"/>
            <w:shd w:val="clear" w:color="auto" w:fill="auto"/>
          </w:tcPr>
          <w:p w14:paraId="416E8893" w14:textId="77777777" w:rsidR="00DE3D9F" w:rsidRPr="00146491" w:rsidRDefault="00DE3D9F" w:rsidP="00146491">
            <w:pPr>
              <w:spacing w:before="40" w:after="120" w:line="300" w:lineRule="exact"/>
              <w:ind w:left="91"/>
              <w:textDirection w:val="tbRlV"/>
              <w:rPr>
                <w:rFonts w:ascii="Simplified Arabic" w:hAnsi="Simplified Arabic"/>
                <w:spacing w:val="-2"/>
                <w:szCs w:val="20"/>
                <w:lang w:val="ar-SA" w:eastAsia="zh-TW" w:bidi="en-GB"/>
              </w:rPr>
            </w:pPr>
            <w:r w:rsidRPr="00146491">
              <w:rPr>
                <w:rFonts w:ascii="Simplified Arabic" w:hAnsi="Simplified Arabic"/>
                <w:spacing w:val="-2"/>
                <w:szCs w:val="20"/>
                <w:rtl/>
              </w:rPr>
              <w:t>1 حزيران/يونيه 1987</w:t>
            </w:r>
          </w:p>
        </w:tc>
      </w:tr>
      <w:tr w:rsidR="00DE3D9F" w:rsidRPr="00883EBA" w14:paraId="40F4BE4D" w14:textId="77777777" w:rsidTr="005F6F8E">
        <w:tc>
          <w:tcPr>
            <w:tcW w:w="2404" w:type="dxa"/>
            <w:shd w:val="clear" w:color="auto" w:fill="auto"/>
          </w:tcPr>
          <w:p w14:paraId="14087BD7" w14:textId="77777777" w:rsidR="00DE3D9F" w:rsidRPr="00146491" w:rsidRDefault="00DE3D9F" w:rsidP="00146491">
            <w:pPr>
              <w:spacing w:before="40" w:after="120" w:line="300" w:lineRule="exact"/>
              <w:ind w:left="80" w:right="294"/>
              <w:rPr>
                <w:rFonts w:ascii="Simplified Arabic" w:hAnsi="Simplified Arabic"/>
                <w:szCs w:val="20"/>
                <w:rtl/>
                <w:lang w:val="fr-CH"/>
              </w:rPr>
            </w:pPr>
          </w:p>
        </w:tc>
        <w:tc>
          <w:tcPr>
            <w:tcW w:w="2990" w:type="dxa"/>
            <w:shd w:val="clear" w:color="auto" w:fill="auto"/>
          </w:tcPr>
          <w:p w14:paraId="24839F14" w14:textId="77777777" w:rsidR="00DE3D9F" w:rsidRPr="00146491" w:rsidRDefault="00DE3D9F" w:rsidP="00146491">
            <w:pPr>
              <w:spacing w:before="40" w:after="120" w:line="300" w:lineRule="exact"/>
              <w:ind w:left="125" w:right="469"/>
              <w:textDirection w:val="tbRlV"/>
              <w:rPr>
                <w:rFonts w:ascii="Simplified Arabic" w:hAnsi="Simplified Arabic"/>
                <w:szCs w:val="20"/>
                <w:lang w:val="ar-SA" w:eastAsia="zh-TW" w:bidi="en-GB"/>
              </w:rPr>
            </w:pPr>
            <w:r w:rsidRPr="00146491">
              <w:rPr>
                <w:rFonts w:ascii="Simplified Arabic" w:hAnsi="Simplified Arabic"/>
                <w:szCs w:val="20"/>
                <w:rtl/>
              </w:rPr>
              <w:t>التقرير الجامع للتقريرين الثاني والثالث</w:t>
            </w:r>
          </w:p>
        </w:tc>
        <w:tc>
          <w:tcPr>
            <w:tcW w:w="2259" w:type="dxa"/>
            <w:shd w:val="clear" w:color="auto" w:fill="auto"/>
          </w:tcPr>
          <w:p w14:paraId="687A900A" w14:textId="77777777" w:rsidR="00DE3D9F" w:rsidRPr="00146491" w:rsidRDefault="00DE3D9F" w:rsidP="00146491">
            <w:pPr>
              <w:spacing w:before="40" w:after="120" w:line="300" w:lineRule="exact"/>
              <w:ind w:left="91"/>
              <w:textDirection w:val="tbRlV"/>
              <w:rPr>
                <w:rFonts w:ascii="Simplified Arabic" w:hAnsi="Simplified Arabic"/>
                <w:spacing w:val="-2"/>
                <w:szCs w:val="20"/>
                <w:lang w:val="ar-SA" w:eastAsia="zh-TW" w:bidi="en-GB"/>
              </w:rPr>
            </w:pPr>
            <w:r w:rsidRPr="00146491">
              <w:rPr>
                <w:rFonts w:ascii="Simplified Arabic" w:hAnsi="Simplified Arabic"/>
                <w:spacing w:val="-2"/>
                <w:szCs w:val="20"/>
                <w:rtl/>
              </w:rPr>
              <w:t>3 آذار/مارس 1997</w:t>
            </w:r>
          </w:p>
        </w:tc>
      </w:tr>
      <w:tr w:rsidR="00DE3D9F" w:rsidRPr="00883EBA" w14:paraId="0E8C3A11" w14:textId="77777777" w:rsidTr="005F6F8E">
        <w:tc>
          <w:tcPr>
            <w:tcW w:w="2404" w:type="dxa"/>
            <w:shd w:val="clear" w:color="auto" w:fill="auto"/>
          </w:tcPr>
          <w:p w14:paraId="083574AE" w14:textId="77777777" w:rsidR="00DE3D9F" w:rsidRPr="00146491" w:rsidRDefault="00DE3D9F" w:rsidP="00146491">
            <w:pPr>
              <w:spacing w:before="40" w:after="120" w:line="300" w:lineRule="exact"/>
              <w:ind w:left="80" w:right="294"/>
              <w:rPr>
                <w:rFonts w:ascii="Simplified Arabic" w:hAnsi="Simplified Arabic"/>
                <w:szCs w:val="20"/>
              </w:rPr>
            </w:pPr>
          </w:p>
        </w:tc>
        <w:tc>
          <w:tcPr>
            <w:tcW w:w="2990" w:type="dxa"/>
            <w:shd w:val="clear" w:color="auto" w:fill="auto"/>
          </w:tcPr>
          <w:p w14:paraId="05C9EF7C" w14:textId="77777777" w:rsidR="00DE3D9F" w:rsidRPr="00146491" w:rsidRDefault="00DE3D9F" w:rsidP="00146491">
            <w:pPr>
              <w:spacing w:before="40" w:after="120" w:line="300" w:lineRule="exact"/>
              <w:ind w:left="125" w:right="469"/>
              <w:textDirection w:val="tbRlV"/>
              <w:rPr>
                <w:rFonts w:ascii="Simplified Arabic" w:hAnsi="Simplified Arabic"/>
                <w:szCs w:val="20"/>
                <w:lang w:val="ar-SA" w:eastAsia="zh-TW" w:bidi="en-GB"/>
              </w:rPr>
            </w:pPr>
            <w:r w:rsidRPr="00146491">
              <w:rPr>
                <w:rFonts w:ascii="Simplified Arabic" w:hAnsi="Simplified Arabic"/>
                <w:szCs w:val="20"/>
                <w:rtl/>
              </w:rPr>
              <w:t>التقرير الجامع للتقريرين الرابع والخامس</w:t>
            </w:r>
          </w:p>
        </w:tc>
        <w:tc>
          <w:tcPr>
            <w:tcW w:w="2259" w:type="dxa"/>
            <w:shd w:val="clear" w:color="auto" w:fill="auto"/>
          </w:tcPr>
          <w:p w14:paraId="2EF52B55" w14:textId="77777777" w:rsidR="00DE3D9F" w:rsidRPr="00146491" w:rsidRDefault="00DE3D9F" w:rsidP="00146491">
            <w:pPr>
              <w:spacing w:before="40" w:after="120" w:line="300" w:lineRule="exact"/>
              <w:ind w:left="91"/>
              <w:textDirection w:val="tbRlV"/>
              <w:rPr>
                <w:rFonts w:ascii="Simplified Arabic" w:hAnsi="Simplified Arabic"/>
                <w:spacing w:val="-2"/>
                <w:szCs w:val="20"/>
                <w:lang w:val="ar-SA" w:eastAsia="zh-TW" w:bidi="en-GB"/>
              </w:rPr>
            </w:pPr>
            <w:r w:rsidRPr="00146491">
              <w:rPr>
                <w:rFonts w:ascii="Simplified Arabic" w:hAnsi="Simplified Arabic"/>
                <w:spacing w:val="-2"/>
                <w:szCs w:val="20"/>
                <w:rtl/>
              </w:rPr>
              <w:t>24 حزيران/يونيه 2004</w:t>
            </w:r>
          </w:p>
        </w:tc>
      </w:tr>
      <w:tr w:rsidR="00DE3D9F" w:rsidRPr="00883EBA" w14:paraId="3DD9FD78" w14:textId="77777777" w:rsidTr="005F6F8E">
        <w:tc>
          <w:tcPr>
            <w:tcW w:w="2404" w:type="dxa"/>
            <w:shd w:val="clear" w:color="auto" w:fill="auto"/>
          </w:tcPr>
          <w:p w14:paraId="349C5E04" w14:textId="77777777" w:rsidR="00DE3D9F" w:rsidRPr="00146491" w:rsidRDefault="00DE3D9F" w:rsidP="00146491">
            <w:pPr>
              <w:spacing w:before="40" w:after="120" w:line="300" w:lineRule="exact"/>
              <w:ind w:left="80" w:right="294"/>
              <w:rPr>
                <w:rFonts w:ascii="Simplified Arabic" w:hAnsi="Simplified Arabic"/>
                <w:szCs w:val="20"/>
              </w:rPr>
            </w:pPr>
          </w:p>
        </w:tc>
        <w:tc>
          <w:tcPr>
            <w:tcW w:w="2990" w:type="dxa"/>
            <w:shd w:val="clear" w:color="auto" w:fill="auto"/>
          </w:tcPr>
          <w:p w14:paraId="6DCF9000" w14:textId="77777777" w:rsidR="00DE3D9F" w:rsidRPr="00146491" w:rsidRDefault="00DE3D9F" w:rsidP="00146491">
            <w:pPr>
              <w:spacing w:before="40" w:after="120" w:line="300" w:lineRule="exact"/>
              <w:ind w:left="125" w:right="469"/>
              <w:textDirection w:val="tbRlV"/>
              <w:rPr>
                <w:rFonts w:ascii="Simplified Arabic" w:hAnsi="Simplified Arabic"/>
                <w:szCs w:val="20"/>
                <w:lang w:val="ar-SA" w:eastAsia="zh-TW" w:bidi="en-GB"/>
              </w:rPr>
            </w:pPr>
            <w:r w:rsidRPr="00146491">
              <w:rPr>
                <w:rFonts w:ascii="Simplified Arabic" w:hAnsi="Simplified Arabic"/>
                <w:szCs w:val="20"/>
                <w:rtl/>
              </w:rPr>
              <w:t>التقرير الجامع للتقريرين السادس والسابع</w:t>
            </w:r>
          </w:p>
        </w:tc>
        <w:tc>
          <w:tcPr>
            <w:tcW w:w="2259" w:type="dxa"/>
            <w:shd w:val="clear" w:color="auto" w:fill="auto"/>
          </w:tcPr>
          <w:p w14:paraId="4ED433F4" w14:textId="77777777" w:rsidR="00DE3D9F" w:rsidRPr="00146491" w:rsidRDefault="00DE3D9F" w:rsidP="00146491">
            <w:pPr>
              <w:spacing w:before="40" w:after="120" w:line="300" w:lineRule="exact"/>
              <w:ind w:left="91"/>
              <w:textDirection w:val="tbRlV"/>
              <w:rPr>
                <w:rFonts w:ascii="Simplified Arabic" w:hAnsi="Simplified Arabic"/>
                <w:spacing w:val="-2"/>
                <w:szCs w:val="20"/>
                <w:lang w:val="ar-SA" w:eastAsia="zh-TW" w:bidi="en-GB"/>
              </w:rPr>
            </w:pPr>
            <w:r w:rsidRPr="00146491">
              <w:rPr>
                <w:rFonts w:ascii="Simplified Arabic" w:hAnsi="Simplified Arabic"/>
                <w:spacing w:val="-2"/>
                <w:szCs w:val="20"/>
                <w:rtl/>
              </w:rPr>
              <w:t>18 حزيران/يونيه 2015</w:t>
            </w:r>
          </w:p>
        </w:tc>
      </w:tr>
      <w:tr w:rsidR="00DE3D9F" w:rsidRPr="00883EBA" w14:paraId="68D46C06" w14:textId="77777777" w:rsidTr="005F6F8E">
        <w:tc>
          <w:tcPr>
            <w:tcW w:w="2404" w:type="dxa"/>
            <w:shd w:val="clear" w:color="auto" w:fill="auto"/>
          </w:tcPr>
          <w:p w14:paraId="6EDDB8A9" w14:textId="77777777" w:rsidR="00DE3D9F" w:rsidRPr="00146491" w:rsidRDefault="00DE3D9F" w:rsidP="00146491">
            <w:pPr>
              <w:spacing w:before="40" w:after="120" w:line="300" w:lineRule="exact"/>
              <w:ind w:left="80" w:right="294"/>
              <w:textDirection w:val="tbRlV"/>
              <w:rPr>
                <w:rFonts w:ascii="Simplified Arabic" w:hAnsi="Simplified Arabic"/>
                <w:szCs w:val="20"/>
                <w:lang w:val="ar-SA" w:eastAsia="zh-TW" w:bidi="en-GB"/>
              </w:rPr>
            </w:pPr>
            <w:r w:rsidRPr="00146491">
              <w:rPr>
                <w:rFonts w:ascii="Simplified Arabic" w:hAnsi="Simplified Arabic"/>
                <w:szCs w:val="20"/>
                <w:rtl/>
              </w:rPr>
              <w:t>الاتفاقية الدولية للقضاء على التمييز العنصري</w:t>
            </w:r>
          </w:p>
        </w:tc>
        <w:tc>
          <w:tcPr>
            <w:tcW w:w="2990" w:type="dxa"/>
            <w:shd w:val="clear" w:color="auto" w:fill="auto"/>
          </w:tcPr>
          <w:p w14:paraId="4B0223F4" w14:textId="77777777" w:rsidR="00DE3D9F" w:rsidRPr="00146491" w:rsidRDefault="00DE3D9F" w:rsidP="00146491">
            <w:pPr>
              <w:spacing w:before="40" w:after="120" w:line="300" w:lineRule="exact"/>
              <w:ind w:left="125" w:right="469"/>
              <w:textDirection w:val="tbRlV"/>
              <w:rPr>
                <w:rFonts w:ascii="Simplified Arabic" w:hAnsi="Simplified Arabic"/>
                <w:szCs w:val="20"/>
                <w:lang w:eastAsia="zh-TW" w:bidi="en-GB"/>
              </w:rPr>
            </w:pPr>
            <w:r w:rsidRPr="00146491">
              <w:rPr>
                <w:rFonts w:ascii="Simplified Arabic" w:hAnsi="Simplified Arabic"/>
                <w:szCs w:val="20"/>
                <w:rtl/>
              </w:rPr>
              <w:t>التقرير الجامع للتقارير الأول والثاني والثالث</w:t>
            </w:r>
          </w:p>
        </w:tc>
        <w:tc>
          <w:tcPr>
            <w:tcW w:w="2259" w:type="dxa"/>
            <w:shd w:val="clear" w:color="auto" w:fill="auto"/>
          </w:tcPr>
          <w:p w14:paraId="2C2A2B86" w14:textId="77777777" w:rsidR="00DE3D9F" w:rsidRPr="00146491" w:rsidRDefault="00DE3D9F" w:rsidP="00146491">
            <w:pPr>
              <w:spacing w:before="40" w:after="120" w:line="300" w:lineRule="exact"/>
              <w:ind w:left="91"/>
              <w:textDirection w:val="tbRlV"/>
              <w:rPr>
                <w:rFonts w:ascii="Simplified Arabic" w:hAnsi="Simplified Arabic"/>
                <w:spacing w:val="-2"/>
                <w:szCs w:val="20"/>
                <w:lang w:val="ar-SA" w:eastAsia="zh-TW" w:bidi="en-GB"/>
              </w:rPr>
            </w:pPr>
            <w:r w:rsidRPr="00146491">
              <w:rPr>
                <w:rFonts w:ascii="Simplified Arabic" w:hAnsi="Simplified Arabic"/>
                <w:spacing w:val="-2"/>
                <w:szCs w:val="20"/>
                <w:rtl/>
              </w:rPr>
              <w:t>27 حزيران/يونيه 2011</w:t>
            </w:r>
          </w:p>
        </w:tc>
      </w:tr>
      <w:tr w:rsidR="00DE3D9F" w:rsidRPr="00883EBA" w14:paraId="13144D58" w14:textId="77777777" w:rsidTr="005F6F8E">
        <w:tc>
          <w:tcPr>
            <w:tcW w:w="2404" w:type="dxa"/>
            <w:shd w:val="clear" w:color="auto" w:fill="auto"/>
          </w:tcPr>
          <w:p w14:paraId="384112CC" w14:textId="77777777" w:rsidR="00DE3D9F" w:rsidRPr="00146491" w:rsidRDefault="00DE3D9F" w:rsidP="00146491">
            <w:pPr>
              <w:spacing w:before="40" w:after="120" w:line="300" w:lineRule="exact"/>
              <w:ind w:left="80" w:right="294"/>
              <w:rPr>
                <w:rFonts w:ascii="Simplified Arabic" w:hAnsi="Simplified Arabic"/>
                <w:szCs w:val="20"/>
              </w:rPr>
            </w:pPr>
          </w:p>
        </w:tc>
        <w:tc>
          <w:tcPr>
            <w:tcW w:w="2990" w:type="dxa"/>
            <w:shd w:val="clear" w:color="auto" w:fill="auto"/>
          </w:tcPr>
          <w:p w14:paraId="337AF62D" w14:textId="77777777" w:rsidR="00DE3D9F" w:rsidRPr="00146491" w:rsidRDefault="00DE3D9F" w:rsidP="00146491">
            <w:pPr>
              <w:spacing w:before="40" w:after="120" w:line="300" w:lineRule="exact"/>
              <w:ind w:left="125" w:right="469"/>
              <w:textDirection w:val="tbRlV"/>
              <w:rPr>
                <w:rFonts w:ascii="Simplified Arabic" w:hAnsi="Simplified Arabic"/>
                <w:szCs w:val="20"/>
                <w:lang w:val="ar-SA" w:eastAsia="zh-TW" w:bidi="en-GB"/>
              </w:rPr>
            </w:pPr>
            <w:r w:rsidRPr="00146491">
              <w:rPr>
                <w:rFonts w:ascii="Simplified Arabic" w:hAnsi="Simplified Arabic"/>
                <w:szCs w:val="20"/>
                <w:rtl/>
              </w:rPr>
              <w:t>التقرير الجامع للتقارير الرابع والخامس والسادس والسابع والثامن</w:t>
            </w:r>
          </w:p>
        </w:tc>
        <w:tc>
          <w:tcPr>
            <w:tcW w:w="2259" w:type="dxa"/>
            <w:shd w:val="clear" w:color="auto" w:fill="auto"/>
          </w:tcPr>
          <w:p w14:paraId="0F42DC91" w14:textId="77777777" w:rsidR="00DE3D9F" w:rsidRPr="00146491" w:rsidRDefault="00DE3D9F" w:rsidP="00146491">
            <w:pPr>
              <w:spacing w:before="40" w:after="120" w:line="300" w:lineRule="exact"/>
              <w:ind w:left="91"/>
              <w:textDirection w:val="tbRlV"/>
              <w:rPr>
                <w:rFonts w:ascii="Simplified Arabic" w:hAnsi="Simplified Arabic"/>
                <w:spacing w:val="-2"/>
                <w:szCs w:val="20"/>
                <w:lang w:val="ar-SA" w:eastAsia="zh-TW" w:bidi="en-GB"/>
              </w:rPr>
            </w:pPr>
            <w:r w:rsidRPr="00146491">
              <w:rPr>
                <w:rFonts w:ascii="Simplified Arabic" w:hAnsi="Simplified Arabic"/>
                <w:spacing w:val="-2"/>
                <w:szCs w:val="20"/>
                <w:rtl/>
              </w:rPr>
              <w:t>24 نيسان/أبريل 2019</w:t>
            </w:r>
          </w:p>
        </w:tc>
      </w:tr>
      <w:tr w:rsidR="00DE3D9F" w:rsidRPr="00883EBA" w14:paraId="7727BD70" w14:textId="77777777" w:rsidTr="005F6F8E">
        <w:tc>
          <w:tcPr>
            <w:tcW w:w="2404" w:type="dxa"/>
            <w:tcBorders>
              <w:bottom w:val="nil"/>
            </w:tcBorders>
            <w:shd w:val="clear" w:color="auto" w:fill="auto"/>
          </w:tcPr>
          <w:p w14:paraId="0CE7D1F5" w14:textId="77777777" w:rsidR="00DE3D9F" w:rsidRPr="00146491" w:rsidRDefault="00DE3D9F" w:rsidP="00146491">
            <w:pPr>
              <w:spacing w:before="40" w:after="120" w:line="300" w:lineRule="exact"/>
              <w:ind w:left="80" w:right="294"/>
              <w:textDirection w:val="tbRlV"/>
              <w:rPr>
                <w:rFonts w:ascii="Simplified Arabic" w:hAnsi="Simplified Arabic"/>
                <w:szCs w:val="20"/>
                <w:lang w:val="ar-SA" w:eastAsia="zh-TW" w:bidi="en-GB"/>
              </w:rPr>
            </w:pPr>
            <w:r w:rsidRPr="00146491">
              <w:rPr>
                <w:rFonts w:ascii="Simplified Arabic" w:hAnsi="Simplified Arabic"/>
                <w:szCs w:val="20"/>
                <w:rtl/>
              </w:rPr>
              <w:t>‎‎</w:t>
            </w:r>
            <w:r w:rsidRPr="00146491">
              <w:rPr>
                <w:rFonts w:ascii="Simplified Arabic" w:hAnsi="Simplified Arabic"/>
                <w:spacing w:val="-6"/>
                <w:szCs w:val="20"/>
                <w:rtl/>
              </w:rPr>
              <w:t>العهد الدولي الخاص بالحقوق الاقتصادية والاجتماعية والثقافية‏‏</w:t>
            </w:r>
          </w:p>
        </w:tc>
        <w:tc>
          <w:tcPr>
            <w:tcW w:w="2990" w:type="dxa"/>
            <w:tcBorders>
              <w:bottom w:val="nil"/>
            </w:tcBorders>
            <w:shd w:val="clear" w:color="auto" w:fill="auto"/>
          </w:tcPr>
          <w:p w14:paraId="346E6531" w14:textId="77777777" w:rsidR="00DE3D9F" w:rsidRPr="00146491" w:rsidRDefault="00DE3D9F" w:rsidP="00146491">
            <w:pPr>
              <w:spacing w:before="40" w:after="120" w:line="300" w:lineRule="exact"/>
              <w:ind w:left="125" w:right="469"/>
              <w:textDirection w:val="tbRlV"/>
              <w:rPr>
                <w:rFonts w:ascii="Simplified Arabic" w:hAnsi="Simplified Arabic"/>
                <w:spacing w:val="-4"/>
                <w:szCs w:val="20"/>
                <w:lang w:val="ar-SA" w:eastAsia="zh-TW" w:bidi="en-GB"/>
              </w:rPr>
            </w:pPr>
            <w:r w:rsidRPr="00146491">
              <w:rPr>
                <w:rFonts w:ascii="Simplified Arabic" w:hAnsi="Simplified Arabic"/>
                <w:spacing w:val="-4"/>
                <w:szCs w:val="20"/>
                <w:rtl/>
              </w:rPr>
              <w:t>التقرير الجامع للتقريرين الأول والثاني</w:t>
            </w:r>
          </w:p>
        </w:tc>
        <w:tc>
          <w:tcPr>
            <w:tcW w:w="2259" w:type="dxa"/>
            <w:tcBorders>
              <w:bottom w:val="nil"/>
            </w:tcBorders>
            <w:shd w:val="clear" w:color="auto" w:fill="auto"/>
          </w:tcPr>
          <w:p w14:paraId="0A2CE3B1" w14:textId="77777777" w:rsidR="00DE3D9F" w:rsidRPr="00146491" w:rsidRDefault="00DE3D9F" w:rsidP="00146491">
            <w:pPr>
              <w:spacing w:before="40" w:after="120" w:line="300" w:lineRule="exact"/>
              <w:ind w:left="91"/>
              <w:textDirection w:val="tbRlV"/>
              <w:rPr>
                <w:rFonts w:ascii="Simplified Arabic" w:hAnsi="Simplified Arabic"/>
                <w:spacing w:val="-2"/>
                <w:szCs w:val="20"/>
                <w:lang w:val="ar-SA" w:eastAsia="zh-TW" w:bidi="en-GB"/>
              </w:rPr>
            </w:pPr>
            <w:r w:rsidRPr="00146491">
              <w:rPr>
                <w:rFonts w:ascii="Simplified Arabic" w:hAnsi="Simplified Arabic"/>
                <w:spacing w:val="-2"/>
                <w:szCs w:val="20"/>
                <w:rtl/>
              </w:rPr>
              <w:t>21 آب/أغسطس 2012</w:t>
            </w:r>
          </w:p>
        </w:tc>
      </w:tr>
      <w:tr w:rsidR="00DE3D9F" w:rsidRPr="00883EBA" w14:paraId="52B0496A" w14:textId="77777777" w:rsidTr="005F6F8E">
        <w:tc>
          <w:tcPr>
            <w:tcW w:w="2404" w:type="dxa"/>
            <w:tcBorders>
              <w:top w:val="nil"/>
              <w:bottom w:val="nil"/>
            </w:tcBorders>
            <w:shd w:val="clear" w:color="auto" w:fill="auto"/>
          </w:tcPr>
          <w:p w14:paraId="4A9B5E1C" w14:textId="77777777" w:rsidR="00DE3D9F" w:rsidRPr="00146491" w:rsidRDefault="00DE3D9F" w:rsidP="00146491">
            <w:pPr>
              <w:spacing w:before="40" w:after="120" w:line="300" w:lineRule="exact"/>
              <w:ind w:left="80" w:right="294"/>
              <w:textDirection w:val="tbRlV"/>
              <w:rPr>
                <w:rFonts w:ascii="Simplified Arabic" w:hAnsi="Simplified Arabic"/>
                <w:szCs w:val="20"/>
                <w:lang w:eastAsia="zh-TW" w:bidi="en-GB"/>
              </w:rPr>
            </w:pPr>
            <w:r w:rsidRPr="00146491">
              <w:rPr>
                <w:rFonts w:ascii="Simplified Arabic" w:hAnsi="Simplified Arabic"/>
                <w:szCs w:val="20"/>
                <w:rtl/>
              </w:rPr>
              <w:t>اتفاقية حقوق الطفل</w:t>
            </w:r>
          </w:p>
        </w:tc>
        <w:tc>
          <w:tcPr>
            <w:tcW w:w="2990" w:type="dxa"/>
            <w:tcBorders>
              <w:top w:val="nil"/>
              <w:bottom w:val="nil"/>
            </w:tcBorders>
            <w:shd w:val="clear" w:color="auto" w:fill="auto"/>
          </w:tcPr>
          <w:p w14:paraId="45762BB8" w14:textId="77777777" w:rsidR="00DE3D9F" w:rsidRPr="00146491" w:rsidRDefault="00DE3D9F" w:rsidP="00146491">
            <w:pPr>
              <w:spacing w:before="40" w:after="120" w:line="300" w:lineRule="exact"/>
              <w:ind w:left="125" w:right="469"/>
              <w:textDirection w:val="tbRlV"/>
              <w:rPr>
                <w:rFonts w:ascii="Simplified Arabic" w:hAnsi="Simplified Arabic"/>
                <w:szCs w:val="20"/>
                <w:lang w:val="ar-SA" w:eastAsia="zh-TW" w:bidi="en-GB"/>
              </w:rPr>
            </w:pPr>
            <w:r w:rsidRPr="00146491">
              <w:rPr>
                <w:rFonts w:ascii="Simplified Arabic" w:hAnsi="Simplified Arabic"/>
                <w:szCs w:val="20"/>
                <w:rtl/>
              </w:rPr>
              <w:t>التقرير الأول</w:t>
            </w:r>
          </w:p>
        </w:tc>
        <w:tc>
          <w:tcPr>
            <w:tcW w:w="2259" w:type="dxa"/>
            <w:tcBorders>
              <w:top w:val="nil"/>
              <w:bottom w:val="nil"/>
            </w:tcBorders>
            <w:shd w:val="clear" w:color="auto" w:fill="auto"/>
          </w:tcPr>
          <w:p w14:paraId="6177F9A0" w14:textId="77777777" w:rsidR="00DE3D9F" w:rsidRPr="00146491" w:rsidRDefault="00DE3D9F" w:rsidP="00146491">
            <w:pPr>
              <w:spacing w:before="40" w:after="120" w:line="300" w:lineRule="exact"/>
              <w:ind w:left="91"/>
              <w:textDirection w:val="tbRlV"/>
              <w:rPr>
                <w:rFonts w:ascii="Simplified Arabic" w:hAnsi="Simplified Arabic"/>
                <w:spacing w:val="-2"/>
                <w:szCs w:val="20"/>
                <w:lang w:val="ar-SA" w:eastAsia="zh-TW" w:bidi="en-GB"/>
              </w:rPr>
            </w:pPr>
            <w:r w:rsidRPr="00146491">
              <w:rPr>
                <w:rFonts w:ascii="Simplified Arabic" w:hAnsi="Simplified Arabic"/>
                <w:spacing w:val="-2"/>
                <w:szCs w:val="20"/>
                <w:rtl/>
              </w:rPr>
              <w:t>23 آب/أغسطس 1996</w:t>
            </w:r>
          </w:p>
        </w:tc>
      </w:tr>
      <w:tr w:rsidR="00DE3D9F" w:rsidRPr="00883EBA" w14:paraId="79C04D90" w14:textId="77777777" w:rsidTr="005F6F8E">
        <w:tc>
          <w:tcPr>
            <w:tcW w:w="2404" w:type="dxa"/>
            <w:tcBorders>
              <w:top w:val="nil"/>
            </w:tcBorders>
            <w:shd w:val="clear" w:color="auto" w:fill="auto"/>
          </w:tcPr>
          <w:p w14:paraId="4FFD3CA0" w14:textId="77777777" w:rsidR="00DE3D9F" w:rsidRPr="00146491" w:rsidRDefault="00DE3D9F" w:rsidP="00146491">
            <w:pPr>
              <w:spacing w:before="40" w:after="120" w:line="300" w:lineRule="exact"/>
              <w:ind w:left="80" w:right="294"/>
              <w:rPr>
                <w:rFonts w:ascii="Simplified Arabic" w:hAnsi="Simplified Arabic"/>
                <w:szCs w:val="20"/>
              </w:rPr>
            </w:pPr>
          </w:p>
        </w:tc>
        <w:tc>
          <w:tcPr>
            <w:tcW w:w="2990" w:type="dxa"/>
            <w:tcBorders>
              <w:top w:val="nil"/>
            </w:tcBorders>
            <w:shd w:val="clear" w:color="auto" w:fill="auto"/>
          </w:tcPr>
          <w:p w14:paraId="410BAD27" w14:textId="77777777" w:rsidR="00DE3D9F" w:rsidRPr="00146491" w:rsidRDefault="00DE3D9F" w:rsidP="00146491">
            <w:pPr>
              <w:spacing w:before="40" w:after="120" w:line="300" w:lineRule="exact"/>
              <w:ind w:left="125" w:right="469"/>
              <w:textDirection w:val="tbRlV"/>
              <w:rPr>
                <w:rFonts w:ascii="Simplified Arabic" w:hAnsi="Simplified Arabic"/>
                <w:szCs w:val="20"/>
                <w:lang w:val="ar-SA" w:eastAsia="zh-TW" w:bidi="en-GB"/>
              </w:rPr>
            </w:pPr>
            <w:r w:rsidRPr="00146491">
              <w:rPr>
                <w:rFonts w:ascii="Simplified Arabic" w:hAnsi="Simplified Arabic"/>
                <w:szCs w:val="20"/>
                <w:rtl/>
              </w:rPr>
              <w:t>التقرير الثاني</w:t>
            </w:r>
          </w:p>
        </w:tc>
        <w:tc>
          <w:tcPr>
            <w:tcW w:w="2259" w:type="dxa"/>
            <w:tcBorders>
              <w:top w:val="nil"/>
            </w:tcBorders>
            <w:shd w:val="clear" w:color="auto" w:fill="auto"/>
          </w:tcPr>
          <w:p w14:paraId="77FE81A3" w14:textId="77777777" w:rsidR="00DE3D9F" w:rsidRPr="00146491" w:rsidRDefault="00DE3D9F" w:rsidP="00146491">
            <w:pPr>
              <w:spacing w:before="40" w:after="120" w:line="300" w:lineRule="exact"/>
              <w:ind w:left="91"/>
              <w:textDirection w:val="tbRlV"/>
              <w:rPr>
                <w:rFonts w:ascii="Simplified Arabic" w:hAnsi="Simplified Arabic"/>
                <w:spacing w:val="-2"/>
                <w:szCs w:val="20"/>
                <w:lang w:val="ar-SA" w:eastAsia="zh-TW" w:bidi="en-GB"/>
              </w:rPr>
            </w:pPr>
            <w:r w:rsidRPr="00146491">
              <w:rPr>
                <w:rFonts w:ascii="Simplified Arabic" w:hAnsi="Simplified Arabic"/>
                <w:spacing w:val="-2"/>
                <w:szCs w:val="20"/>
                <w:rtl/>
              </w:rPr>
              <w:t>7 حزيران/يونيه 2004</w:t>
            </w:r>
          </w:p>
        </w:tc>
      </w:tr>
      <w:tr w:rsidR="00DE3D9F" w:rsidRPr="00883EBA" w14:paraId="77182CA4" w14:textId="77777777" w:rsidTr="005F6F8E">
        <w:tc>
          <w:tcPr>
            <w:tcW w:w="2404" w:type="dxa"/>
            <w:tcBorders>
              <w:bottom w:val="nil"/>
            </w:tcBorders>
            <w:shd w:val="clear" w:color="auto" w:fill="auto"/>
          </w:tcPr>
          <w:p w14:paraId="616C772F" w14:textId="77777777" w:rsidR="00DE3D9F" w:rsidRPr="00146491" w:rsidRDefault="00DE3D9F" w:rsidP="00146491">
            <w:pPr>
              <w:spacing w:before="40" w:after="120" w:line="300" w:lineRule="exact"/>
              <w:ind w:left="80" w:right="294"/>
              <w:rPr>
                <w:rFonts w:ascii="Simplified Arabic" w:hAnsi="Simplified Arabic"/>
                <w:szCs w:val="20"/>
              </w:rPr>
            </w:pPr>
          </w:p>
        </w:tc>
        <w:tc>
          <w:tcPr>
            <w:tcW w:w="2990" w:type="dxa"/>
            <w:tcBorders>
              <w:bottom w:val="nil"/>
            </w:tcBorders>
            <w:shd w:val="clear" w:color="auto" w:fill="auto"/>
          </w:tcPr>
          <w:p w14:paraId="1925393E" w14:textId="77777777" w:rsidR="00DE3D9F" w:rsidRPr="00146491" w:rsidRDefault="00DE3D9F" w:rsidP="00146491">
            <w:pPr>
              <w:spacing w:before="40" w:after="120" w:line="300" w:lineRule="exact"/>
              <w:ind w:left="125" w:right="469"/>
              <w:textDirection w:val="tbRlV"/>
              <w:rPr>
                <w:rFonts w:ascii="Simplified Arabic" w:hAnsi="Simplified Arabic"/>
                <w:spacing w:val="-4"/>
                <w:szCs w:val="20"/>
                <w:lang w:val="ar-SA" w:eastAsia="zh-TW" w:bidi="en-GB"/>
              </w:rPr>
            </w:pPr>
            <w:r w:rsidRPr="00146491">
              <w:rPr>
                <w:rFonts w:ascii="Simplified Arabic" w:hAnsi="Simplified Arabic"/>
                <w:spacing w:val="-4"/>
                <w:szCs w:val="20"/>
                <w:rtl/>
              </w:rPr>
              <w:t>التقرير الجامع للتقريرين الثالث والرابع</w:t>
            </w:r>
          </w:p>
        </w:tc>
        <w:tc>
          <w:tcPr>
            <w:tcW w:w="2259" w:type="dxa"/>
            <w:tcBorders>
              <w:bottom w:val="nil"/>
            </w:tcBorders>
            <w:shd w:val="clear" w:color="auto" w:fill="auto"/>
          </w:tcPr>
          <w:p w14:paraId="4411B9F8" w14:textId="77777777" w:rsidR="00DE3D9F" w:rsidRPr="00146491" w:rsidRDefault="00DE3D9F" w:rsidP="00146491">
            <w:pPr>
              <w:spacing w:before="40" w:after="120" w:line="300" w:lineRule="exact"/>
              <w:ind w:left="91"/>
              <w:textDirection w:val="tbRlV"/>
              <w:rPr>
                <w:rFonts w:ascii="Simplified Arabic" w:hAnsi="Simplified Arabic"/>
                <w:spacing w:val="-2"/>
                <w:szCs w:val="20"/>
                <w:lang w:val="ar-SA" w:eastAsia="zh-TW" w:bidi="en-GB"/>
              </w:rPr>
            </w:pPr>
            <w:r w:rsidRPr="00146491">
              <w:rPr>
                <w:rFonts w:ascii="Simplified Arabic" w:hAnsi="Simplified Arabic"/>
                <w:spacing w:val="-2"/>
                <w:szCs w:val="20"/>
                <w:rtl/>
              </w:rPr>
              <w:t>11 تموز/يوليه 2011</w:t>
            </w:r>
          </w:p>
        </w:tc>
      </w:tr>
      <w:tr w:rsidR="00DE3D9F" w:rsidRPr="00883EBA" w14:paraId="34E8ADF5" w14:textId="77777777" w:rsidTr="005F6F8E">
        <w:tc>
          <w:tcPr>
            <w:tcW w:w="2404" w:type="dxa"/>
            <w:tcBorders>
              <w:top w:val="nil"/>
              <w:bottom w:val="nil"/>
            </w:tcBorders>
            <w:shd w:val="clear" w:color="auto" w:fill="auto"/>
          </w:tcPr>
          <w:p w14:paraId="75758FB4" w14:textId="77777777" w:rsidR="00DE3D9F" w:rsidRPr="00146491" w:rsidRDefault="00DE3D9F" w:rsidP="00146491">
            <w:pPr>
              <w:spacing w:before="40" w:after="120" w:line="300" w:lineRule="exact"/>
              <w:ind w:left="80" w:right="294"/>
              <w:textDirection w:val="tbRlV"/>
              <w:rPr>
                <w:rFonts w:ascii="Simplified Arabic" w:hAnsi="Simplified Arabic"/>
                <w:spacing w:val="-4"/>
                <w:szCs w:val="20"/>
                <w:lang w:val="ar-SA" w:eastAsia="zh-TW" w:bidi="en-GB"/>
              </w:rPr>
            </w:pPr>
            <w:r w:rsidRPr="00146491">
              <w:rPr>
                <w:rFonts w:ascii="Simplified Arabic" w:hAnsi="Simplified Arabic"/>
                <w:spacing w:val="-4"/>
                <w:szCs w:val="20"/>
                <w:rtl/>
              </w:rPr>
              <w:t>البروتوكول الاختياري لاتفاقية حقوق الطفل بشأن اشتراك الأطفال في المنازعات المسلحة</w:t>
            </w:r>
          </w:p>
        </w:tc>
        <w:tc>
          <w:tcPr>
            <w:tcW w:w="2990" w:type="dxa"/>
            <w:tcBorders>
              <w:top w:val="nil"/>
              <w:bottom w:val="nil"/>
            </w:tcBorders>
            <w:shd w:val="clear" w:color="auto" w:fill="auto"/>
          </w:tcPr>
          <w:p w14:paraId="3A16DD9C" w14:textId="77777777" w:rsidR="00DE3D9F" w:rsidRPr="00146491" w:rsidRDefault="00DE3D9F" w:rsidP="00146491">
            <w:pPr>
              <w:spacing w:before="40" w:after="120" w:line="300" w:lineRule="exact"/>
              <w:ind w:left="125" w:right="469"/>
              <w:textDirection w:val="tbRlV"/>
              <w:rPr>
                <w:rFonts w:ascii="Simplified Arabic" w:hAnsi="Simplified Arabic"/>
                <w:szCs w:val="20"/>
                <w:lang w:eastAsia="zh-TW" w:bidi="en-GB"/>
              </w:rPr>
            </w:pPr>
            <w:r w:rsidRPr="00146491">
              <w:rPr>
                <w:rFonts w:ascii="Simplified Arabic" w:hAnsi="Simplified Arabic"/>
                <w:szCs w:val="20"/>
                <w:rtl/>
              </w:rPr>
              <w:t>التقرير الأول</w:t>
            </w:r>
          </w:p>
        </w:tc>
        <w:tc>
          <w:tcPr>
            <w:tcW w:w="2259" w:type="dxa"/>
            <w:tcBorders>
              <w:top w:val="nil"/>
              <w:bottom w:val="nil"/>
            </w:tcBorders>
            <w:shd w:val="clear" w:color="auto" w:fill="auto"/>
          </w:tcPr>
          <w:p w14:paraId="1A406ED5" w14:textId="77777777" w:rsidR="00DE3D9F" w:rsidRPr="00146491" w:rsidRDefault="00DE3D9F" w:rsidP="00146491">
            <w:pPr>
              <w:spacing w:before="40" w:after="120" w:line="300" w:lineRule="exact"/>
              <w:ind w:left="91"/>
              <w:textDirection w:val="tbRlV"/>
              <w:rPr>
                <w:rFonts w:ascii="Simplified Arabic" w:hAnsi="Simplified Arabic"/>
                <w:spacing w:val="-6"/>
                <w:szCs w:val="20"/>
                <w:lang w:val="ar-SA" w:eastAsia="zh-TW" w:bidi="en-GB"/>
              </w:rPr>
            </w:pPr>
            <w:r w:rsidRPr="00146491">
              <w:rPr>
                <w:rFonts w:ascii="Simplified Arabic" w:hAnsi="Simplified Arabic"/>
                <w:spacing w:val="-6"/>
                <w:szCs w:val="20"/>
                <w:rtl/>
              </w:rPr>
              <w:t>30 تشرين الأول/أكتوبر 2009</w:t>
            </w:r>
          </w:p>
        </w:tc>
      </w:tr>
      <w:tr w:rsidR="00DE3D9F" w:rsidRPr="00883EBA" w14:paraId="2373C71B" w14:textId="77777777" w:rsidTr="005F6F8E">
        <w:tc>
          <w:tcPr>
            <w:tcW w:w="2404" w:type="dxa"/>
            <w:tcBorders>
              <w:top w:val="nil"/>
            </w:tcBorders>
            <w:shd w:val="clear" w:color="auto" w:fill="auto"/>
          </w:tcPr>
          <w:p w14:paraId="5D665BE8" w14:textId="77777777" w:rsidR="00DE3D9F" w:rsidRPr="00146491" w:rsidRDefault="00DE3D9F" w:rsidP="00146491">
            <w:pPr>
              <w:keepNext/>
              <w:keepLines/>
              <w:spacing w:before="40" w:after="120" w:line="300" w:lineRule="exact"/>
              <w:ind w:left="80" w:right="294"/>
              <w:textDirection w:val="tbRlV"/>
              <w:rPr>
                <w:rFonts w:ascii="Simplified Arabic" w:hAnsi="Simplified Arabic"/>
                <w:szCs w:val="20"/>
                <w:lang w:val="ar-SA" w:eastAsia="zh-TW" w:bidi="en-GB"/>
              </w:rPr>
            </w:pPr>
            <w:r w:rsidRPr="00146491">
              <w:rPr>
                <w:rFonts w:ascii="Simplified Arabic" w:hAnsi="Simplified Arabic"/>
                <w:szCs w:val="20"/>
                <w:rtl/>
              </w:rPr>
              <w:t>البروتوكول الاختياري الملحق باتفاقية حقوق الطفل بشأن بيع الأطفال واستغلال الأطفال في البغاء وفي المواد الإباحية</w:t>
            </w:r>
          </w:p>
        </w:tc>
        <w:tc>
          <w:tcPr>
            <w:tcW w:w="2990" w:type="dxa"/>
            <w:tcBorders>
              <w:top w:val="nil"/>
            </w:tcBorders>
            <w:shd w:val="clear" w:color="auto" w:fill="auto"/>
          </w:tcPr>
          <w:p w14:paraId="3AE0AD32" w14:textId="77777777" w:rsidR="00DE3D9F" w:rsidRPr="00146491" w:rsidRDefault="00DE3D9F" w:rsidP="00146491">
            <w:pPr>
              <w:keepNext/>
              <w:keepLines/>
              <w:spacing w:before="40" w:after="120" w:line="300" w:lineRule="exact"/>
              <w:ind w:left="125" w:right="469"/>
              <w:textDirection w:val="tbRlV"/>
              <w:rPr>
                <w:rFonts w:ascii="Simplified Arabic" w:hAnsi="Simplified Arabic"/>
                <w:szCs w:val="20"/>
                <w:lang w:val="ar-SA" w:eastAsia="zh-TW" w:bidi="en-GB"/>
              </w:rPr>
            </w:pPr>
            <w:r w:rsidRPr="00146491">
              <w:rPr>
                <w:rFonts w:ascii="Simplified Arabic" w:hAnsi="Simplified Arabic"/>
                <w:szCs w:val="20"/>
                <w:rtl/>
              </w:rPr>
              <w:t>التقرير الأول</w:t>
            </w:r>
          </w:p>
        </w:tc>
        <w:tc>
          <w:tcPr>
            <w:tcW w:w="2259" w:type="dxa"/>
            <w:tcBorders>
              <w:top w:val="nil"/>
            </w:tcBorders>
            <w:shd w:val="clear" w:color="auto" w:fill="auto"/>
          </w:tcPr>
          <w:p w14:paraId="58612FCE" w14:textId="77777777" w:rsidR="00DE3D9F" w:rsidRPr="00146491" w:rsidRDefault="00DE3D9F" w:rsidP="00146491">
            <w:pPr>
              <w:keepNext/>
              <w:keepLines/>
              <w:spacing w:before="40" w:after="120" w:line="300" w:lineRule="exact"/>
              <w:ind w:left="91"/>
              <w:textDirection w:val="tbRlV"/>
              <w:rPr>
                <w:rFonts w:ascii="Simplified Arabic" w:hAnsi="Simplified Arabic"/>
                <w:spacing w:val="-2"/>
                <w:szCs w:val="20"/>
                <w:lang w:val="ar-SA" w:eastAsia="zh-TW" w:bidi="en-GB"/>
              </w:rPr>
            </w:pPr>
            <w:r w:rsidRPr="00146491">
              <w:rPr>
                <w:rFonts w:ascii="Simplified Arabic" w:hAnsi="Simplified Arabic"/>
                <w:spacing w:val="-2"/>
                <w:szCs w:val="20"/>
                <w:rtl/>
              </w:rPr>
              <w:t>30 تشرين الأول/أكتوبر 2009</w:t>
            </w:r>
          </w:p>
        </w:tc>
      </w:tr>
      <w:tr w:rsidR="00DE3D9F" w:rsidRPr="00883EBA" w14:paraId="189CE06E" w14:textId="77777777" w:rsidTr="005F6F8E">
        <w:tc>
          <w:tcPr>
            <w:tcW w:w="2404" w:type="dxa"/>
            <w:shd w:val="clear" w:color="auto" w:fill="auto"/>
          </w:tcPr>
          <w:p w14:paraId="2BAA2569" w14:textId="77777777" w:rsidR="00DE3D9F" w:rsidRPr="00146491" w:rsidRDefault="00DE3D9F" w:rsidP="00146491">
            <w:pPr>
              <w:keepNext/>
              <w:keepLines/>
              <w:spacing w:before="40" w:after="120" w:line="300" w:lineRule="exact"/>
              <w:ind w:left="80" w:right="294"/>
              <w:textDirection w:val="tbRlV"/>
              <w:rPr>
                <w:rFonts w:ascii="Simplified Arabic" w:hAnsi="Simplified Arabic"/>
                <w:szCs w:val="20"/>
                <w:lang w:eastAsia="zh-TW" w:bidi="en-GB"/>
              </w:rPr>
            </w:pPr>
            <w:r w:rsidRPr="00146491">
              <w:rPr>
                <w:rFonts w:ascii="Simplified Arabic" w:hAnsi="Simplified Arabic"/>
                <w:szCs w:val="20"/>
                <w:rtl/>
              </w:rPr>
              <w:t>اتفاقية حقوق الأشخاص ذوي الإعاقة</w:t>
            </w:r>
          </w:p>
        </w:tc>
        <w:tc>
          <w:tcPr>
            <w:tcW w:w="2990" w:type="dxa"/>
            <w:shd w:val="clear" w:color="auto" w:fill="auto"/>
          </w:tcPr>
          <w:p w14:paraId="3969F560" w14:textId="77777777" w:rsidR="00DE3D9F" w:rsidRPr="00146491" w:rsidRDefault="00DE3D9F" w:rsidP="00146491">
            <w:pPr>
              <w:keepNext/>
              <w:keepLines/>
              <w:spacing w:before="40" w:after="120" w:line="300" w:lineRule="exact"/>
              <w:ind w:left="125" w:right="469"/>
              <w:textDirection w:val="tbRlV"/>
              <w:rPr>
                <w:rFonts w:ascii="Simplified Arabic" w:hAnsi="Simplified Arabic"/>
                <w:szCs w:val="20"/>
                <w:lang w:val="ar-SA" w:eastAsia="zh-TW" w:bidi="en-GB"/>
              </w:rPr>
            </w:pPr>
            <w:r w:rsidRPr="00146491">
              <w:rPr>
                <w:rFonts w:ascii="Simplified Arabic" w:hAnsi="Simplified Arabic"/>
                <w:szCs w:val="20"/>
                <w:rtl/>
              </w:rPr>
              <w:t xml:space="preserve">التقرير الأول </w:t>
            </w:r>
          </w:p>
        </w:tc>
        <w:tc>
          <w:tcPr>
            <w:tcW w:w="2259" w:type="dxa"/>
            <w:shd w:val="clear" w:color="auto" w:fill="auto"/>
          </w:tcPr>
          <w:p w14:paraId="30F7419D" w14:textId="77777777" w:rsidR="00DE3D9F" w:rsidRPr="00146491" w:rsidRDefault="00DE3D9F" w:rsidP="00146491">
            <w:pPr>
              <w:keepNext/>
              <w:keepLines/>
              <w:spacing w:before="40" w:after="120" w:line="300" w:lineRule="exact"/>
              <w:ind w:left="91"/>
              <w:textDirection w:val="tbRlV"/>
              <w:rPr>
                <w:rFonts w:ascii="Simplified Arabic" w:hAnsi="Simplified Arabic"/>
                <w:spacing w:val="-2"/>
                <w:szCs w:val="20"/>
                <w:lang w:val="ar-SA" w:eastAsia="zh-TW" w:bidi="en-GB"/>
              </w:rPr>
            </w:pPr>
            <w:r w:rsidRPr="00146491">
              <w:rPr>
                <w:rFonts w:ascii="Simplified Arabic" w:hAnsi="Simplified Arabic"/>
                <w:spacing w:val="-2"/>
                <w:szCs w:val="20"/>
                <w:rtl/>
              </w:rPr>
              <w:t>3 كانون الأول/ديسمبر 2012</w:t>
            </w:r>
          </w:p>
        </w:tc>
      </w:tr>
    </w:tbl>
    <w:p w14:paraId="555A9EDF" w14:textId="16774EC4" w:rsidR="00DE3D9F" w:rsidRPr="001B6C67" w:rsidRDefault="00DE3D9F" w:rsidP="0093366D">
      <w:pPr>
        <w:pStyle w:val="HChGA"/>
        <w:rPr>
          <w:lang w:val="ar-SA" w:eastAsia="zh-TW" w:bidi="en-GB"/>
        </w:rPr>
      </w:pPr>
      <w:r>
        <w:rPr>
          <w:rtl/>
        </w:rPr>
        <w:tab/>
      </w:r>
      <w:bookmarkStart w:id="35" w:name="_Toc92899421"/>
      <w:r w:rsidRPr="001B6C67">
        <w:rPr>
          <w:rtl/>
        </w:rPr>
        <w:t>ثالثا</w:t>
      </w:r>
      <w:r w:rsidR="0093366D">
        <w:rPr>
          <w:rFonts w:hint="cs"/>
          <w:rtl/>
        </w:rPr>
        <w:t>ً</w:t>
      </w:r>
      <w:r w:rsidRPr="001B6C67">
        <w:rPr>
          <w:rtl/>
        </w:rPr>
        <w:t>-</w:t>
      </w:r>
      <w:r w:rsidRPr="001B6C67">
        <w:rPr>
          <w:rtl/>
        </w:rPr>
        <w:tab/>
        <w:t>تنفيذ أحكام حقوق الإنسان الموضوعية</w:t>
      </w:r>
      <w:bookmarkStart w:id="36" w:name="_Toc89701540"/>
      <w:bookmarkEnd w:id="36"/>
      <w:bookmarkEnd w:id="35"/>
    </w:p>
    <w:p w14:paraId="108DB2B9" w14:textId="77777777" w:rsidR="00DE3D9F" w:rsidRPr="001B6C67" w:rsidRDefault="00DE3D9F" w:rsidP="0093366D">
      <w:pPr>
        <w:pStyle w:val="H1GA"/>
        <w:rPr>
          <w:lang w:val="ar-SA" w:eastAsia="zh-TW" w:bidi="en-GB"/>
        </w:rPr>
      </w:pPr>
      <w:r>
        <w:rPr>
          <w:rtl/>
        </w:rPr>
        <w:tab/>
      </w:r>
      <w:bookmarkStart w:id="37" w:name="_Toc92899422"/>
      <w:r w:rsidRPr="001B6C67">
        <w:rPr>
          <w:rtl/>
        </w:rPr>
        <w:t>ألف-</w:t>
      </w:r>
      <w:r w:rsidRPr="001B6C67">
        <w:rPr>
          <w:rtl/>
        </w:rPr>
        <w:tab/>
        <w:t>عدم التمييز والمساواة</w:t>
      </w:r>
      <w:bookmarkStart w:id="38" w:name="_Toc89701541"/>
      <w:bookmarkEnd w:id="38"/>
      <w:bookmarkEnd w:id="37"/>
    </w:p>
    <w:p w14:paraId="270E114A" w14:textId="77777777" w:rsidR="00DE3D9F" w:rsidRPr="001B6C67" w:rsidRDefault="00DE3D9F" w:rsidP="00DE3D9F">
      <w:pPr>
        <w:pStyle w:val="SingleTxtGA"/>
        <w:rPr>
          <w:lang w:val="ar-SA" w:eastAsia="zh-TW" w:bidi="en-GB"/>
        </w:rPr>
      </w:pPr>
      <w:r w:rsidRPr="00AF3116">
        <w:rPr>
          <w:rtl/>
        </w:rPr>
        <w:t>178</w:t>
      </w:r>
      <w:r w:rsidRPr="001B6C67">
        <w:rPr>
          <w:rtl/>
        </w:rPr>
        <w:t>-</w:t>
      </w:r>
      <w:r w:rsidRPr="001B6C67">
        <w:rPr>
          <w:rtl/>
        </w:rPr>
        <w:tab/>
        <w:t xml:space="preserve">الدستور هو أهم وسيلة للحماية من التمييز وعدم المساواة، مهما كان الأساس الذي يقومان عليه. ومبدأ المساواة وعدم التمييز مكرس صراحة في دستور عام </w:t>
      </w:r>
      <w:r w:rsidRPr="00AF3116">
        <w:rPr>
          <w:rtl/>
        </w:rPr>
        <w:t>2017</w:t>
      </w:r>
      <w:r w:rsidRPr="001B6C67">
        <w:rPr>
          <w:rtl/>
        </w:rPr>
        <w:t xml:space="preserve"> في أربع مواد هي:</w:t>
      </w:r>
    </w:p>
    <w:p w14:paraId="61BA128E" w14:textId="6B14AF70" w:rsidR="00DE3D9F" w:rsidRPr="001B6C67" w:rsidRDefault="0093366D" w:rsidP="00DE3D9F">
      <w:pPr>
        <w:pStyle w:val="SingleTxtGA"/>
        <w:rPr>
          <w:lang w:val="ar-SA" w:eastAsia="zh-TW" w:bidi="en-GB"/>
        </w:rPr>
      </w:pPr>
      <w:r>
        <w:rPr>
          <w:rtl/>
        </w:rPr>
        <w:tab/>
      </w:r>
      <w:r w:rsidR="00DE3D9F" w:rsidRPr="001B6C67">
        <w:t>’</w:t>
      </w:r>
      <w:r w:rsidR="00DE3D9F" w:rsidRPr="00AF3116">
        <w:rPr>
          <w:rtl/>
        </w:rPr>
        <w:t>1</w:t>
      </w:r>
      <w:r w:rsidR="00DE3D9F" w:rsidRPr="001B6C67">
        <w:rPr>
          <w:rtl/>
        </w:rPr>
        <w:t>‘</w:t>
      </w:r>
      <w:r w:rsidR="00DE3D9F" w:rsidRPr="001B6C67">
        <w:rPr>
          <w:rtl/>
        </w:rPr>
        <w:tab/>
        <w:t xml:space="preserve">المادة </w:t>
      </w:r>
      <w:r w:rsidR="00DE3D9F" w:rsidRPr="00AF3116">
        <w:rPr>
          <w:rtl/>
        </w:rPr>
        <w:t>27</w:t>
      </w:r>
    </w:p>
    <w:p w14:paraId="3A66C726" w14:textId="77777777" w:rsidR="00DE3D9F" w:rsidRPr="001B6C67" w:rsidRDefault="00DE3D9F" w:rsidP="005F6F8E">
      <w:pPr>
        <w:pStyle w:val="SingleTxtGA"/>
        <w:ind w:left="1928"/>
        <w:rPr>
          <w:lang w:val="ar-SA" w:eastAsia="zh-TW" w:bidi="en-GB"/>
        </w:rPr>
      </w:pPr>
      <w:r w:rsidRPr="001B6C67">
        <w:rPr>
          <w:rtl/>
        </w:rPr>
        <w:lastRenderedPageBreak/>
        <w:tab/>
        <w:t xml:space="preserve">"جميع الأشخاص متساوون أمام القانون ويتمتعون بالحقوق والحريات، كما يتمتعون بالحماية على قدم المساواة بموجب القانون. </w:t>
      </w:r>
    </w:p>
    <w:p w14:paraId="13F2D66C" w14:textId="77777777" w:rsidR="00DE3D9F" w:rsidRPr="00D54D43" w:rsidRDefault="00DE3D9F" w:rsidP="005F6F8E">
      <w:pPr>
        <w:pStyle w:val="SingleTxtGA"/>
        <w:ind w:left="1928"/>
        <w:rPr>
          <w:lang w:val="en-US" w:eastAsia="zh-TW" w:bidi="en-GB"/>
        </w:rPr>
      </w:pPr>
      <w:r w:rsidRPr="001B6C67">
        <w:rPr>
          <w:rtl/>
        </w:rPr>
        <w:tab/>
        <w:t>"يتمتع الرجال والنساء بحقوق متساوية.</w:t>
      </w:r>
    </w:p>
    <w:p w14:paraId="6618AA00" w14:textId="77777777" w:rsidR="00DE3D9F" w:rsidRPr="001B6C67" w:rsidRDefault="00DE3D9F" w:rsidP="005F6F8E">
      <w:pPr>
        <w:pStyle w:val="SingleTxtGA"/>
        <w:ind w:left="1928"/>
        <w:rPr>
          <w:lang w:val="ar-SA" w:eastAsia="zh-TW" w:bidi="en-GB"/>
        </w:rPr>
      </w:pPr>
      <w:r w:rsidRPr="001B6C67">
        <w:rPr>
          <w:rtl/>
        </w:rPr>
        <w:tab/>
        <w:t>"لا يُسمَح بالتمييز الجائر ضد أي شخص على أساس الاختلافات في الأصل أو العرق أو اللغة أو الجنس أو السن أو الإعاقة أو الحالة البدنية أو الصحية أو الأحوال الشخصية أو المكانة الاقتصادية والاجتماعية أو المعتقد الديني أو التعليم أو الرأي السياسي الذي لا يتعارض مع أحكام الدستور أو على أي أساس آخر.</w:t>
      </w:r>
    </w:p>
    <w:p w14:paraId="5B3EA7C0" w14:textId="33B68E27" w:rsidR="00DE3D9F" w:rsidRPr="001B6C67" w:rsidRDefault="00DE3D9F" w:rsidP="005F6F8E">
      <w:pPr>
        <w:pStyle w:val="SingleTxtGA"/>
        <w:ind w:left="1928"/>
        <w:rPr>
          <w:lang w:val="ar-SA" w:eastAsia="zh-TW" w:bidi="en-GB"/>
        </w:rPr>
      </w:pPr>
      <w:r w:rsidRPr="001B6C67">
        <w:rPr>
          <w:rtl/>
        </w:rPr>
        <w:tab/>
        <w:t>"لا تُعتبَر تمييزاً جائراً بموجب الفقرة الثالثة التدابير التي تحددها الدولة لإزالة العقبات التي تحول دون ممارسة الأشخاص لحقوقهم أو حرياتهم وتعزيز قدرتهم على ممارستها مثل غيرهم أو لحماية الأطفال أو النساء أو كبار السن أو الأشخاص ذوي الإعاقة أو المحرومين أو تيسير ذلك.</w:t>
      </w:r>
    </w:p>
    <w:p w14:paraId="0DB66438" w14:textId="07C3252F" w:rsidR="00DE3D9F" w:rsidRPr="001B6C67" w:rsidRDefault="00DE3D9F" w:rsidP="005F6F8E">
      <w:pPr>
        <w:pStyle w:val="SingleTxtGA"/>
        <w:ind w:left="1928"/>
        <w:rPr>
          <w:lang w:val="ar-SA" w:eastAsia="zh-TW" w:bidi="en-GB"/>
        </w:rPr>
      </w:pPr>
      <w:r w:rsidRPr="001B6C67">
        <w:rPr>
          <w:rtl/>
        </w:rPr>
        <w:tab/>
        <w:t>"يتمتع أفراد القوات المسلحة أو قوات الشرطة أو المسؤولون الحكوميون أو غيرهم من موظفي الدولة أو موظفي منظمات الدولة أو مستخدميها بنفس الحقوق والحريات التي يتمتع بها الأشخاص الآخرون، باستثناء تلك التي يقيدها القانون، ولا سيما فيما يتعلق بالسياسة أو القدرات أو الضوابط أو</w:t>
      </w:r>
      <w:r w:rsidR="00D55C97">
        <w:rPr>
          <w:rFonts w:hint="cs"/>
          <w:rtl/>
        </w:rPr>
        <w:t> </w:t>
      </w:r>
      <w:r w:rsidRPr="001B6C67">
        <w:rPr>
          <w:rtl/>
        </w:rPr>
        <w:t>الأخلاقيات".</w:t>
      </w:r>
    </w:p>
    <w:p w14:paraId="292F684D" w14:textId="779185F1" w:rsidR="00DE3D9F" w:rsidRPr="001B6C67" w:rsidRDefault="0093366D" w:rsidP="0093366D">
      <w:pPr>
        <w:pStyle w:val="SingleTxtGA"/>
        <w:ind w:left="1701"/>
        <w:rPr>
          <w:lang w:val="ar-SA" w:eastAsia="zh-TW" w:bidi="en-GB"/>
        </w:rPr>
      </w:pPr>
      <w:r>
        <w:rPr>
          <w:rtl/>
        </w:rPr>
        <w:tab/>
      </w:r>
      <w:r>
        <w:rPr>
          <w:rFonts w:hint="cs"/>
          <w:rtl/>
        </w:rPr>
        <w:t>’2‘</w:t>
      </w:r>
      <w:r w:rsidR="00DE3D9F" w:rsidRPr="001B6C67">
        <w:rPr>
          <w:rtl/>
        </w:rPr>
        <w:tab/>
        <w:t xml:space="preserve">المادة </w:t>
      </w:r>
      <w:r w:rsidR="00DE3D9F" w:rsidRPr="00AF3116">
        <w:rPr>
          <w:rtl/>
        </w:rPr>
        <w:t>40</w:t>
      </w:r>
      <w:r w:rsidR="00DE3D9F" w:rsidRPr="001B6C67">
        <w:rPr>
          <w:rtl/>
        </w:rPr>
        <w:t xml:space="preserve">، الفقرة </w:t>
      </w:r>
      <w:r w:rsidR="00DE3D9F" w:rsidRPr="00AF3116">
        <w:rPr>
          <w:rtl/>
        </w:rPr>
        <w:t>3</w:t>
      </w:r>
    </w:p>
    <w:p w14:paraId="1AC10F0B" w14:textId="77777777" w:rsidR="00DE3D9F" w:rsidRPr="001B6C67" w:rsidRDefault="00DE3D9F" w:rsidP="005F6F8E">
      <w:pPr>
        <w:pStyle w:val="SingleTxtGA"/>
        <w:ind w:left="1928"/>
        <w:rPr>
          <w:lang w:val="ar-SA" w:eastAsia="zh-TW" w:bidi="en-GB"/>
        </w:rPr>
      </w:pPr>
      <w:r w:rsidRPr="001B6C67">
        <w:rPr>
          <w:rtl/>
        </w:rPr>
        <w:tab/>
        <w:t xml:space="preserve">"سن قانون </w:t>
      </w:r>
      <w:r>
        <w:rPr>
          <w:rtl/>
        </w:rPr>
        <w:t>ل</w:t>
      </w:r>
      <w:r w:rsidRPr="001B6C67">
        <w:rPr>
          <w:rtl/>
        </w:rPr>
        <w:t>تنظيم التوظيف ... يجب ألا يكون بطريقة تمييزية..."</w:t>
      </w:r>
    </w:p>
    <w:p w14:paraId="7B6ACDE4" w14:textId="250623A0" w:rsidR="00DE3D9F" w:rsidRPr="001B6C67" w:rsidRDefault="0093366D" w:rsidP="00DE3D9F">
      <w:pPr>
        <w:pStyle w:val="SingleTxtGA"/>
        <w:rPr>
          <w:lang w:val="ar-SA" w:eastAsia="zh-TW" w:bidi="en-GB"/>
        </w:rPr>
      </w:pPr>
      <w:r>
        <w:rPr>
          <w:rtl/>
        </w:rPr>
        <w:tab/>
      </w:r>
      <w:r>
        <w:rPr>
          <w:rFonts w:hint="cs"/>
          <w:rtl/>
        </w:rPr>
        <w:t>’3‘</w:t>
      </w:r>
      <w:r w:rsidR="00DE3D9F" w:rsidRPr="001B6C67">
        <w:rPr>
          <w:rtl/>
        </w:rPr>
        <w:tab/>
        <w:t xml:space="preserve">المادة </w:t>
      </w:r>
      <w:r w:rsidR="00DE3D9F" w:rsidRPr="00AF3116">
        <w:rPr>
          <w:rtl/>
        </w:rPr>
        <w:t>68</w:t>
      </w:r>
      <w:r w:rsidR="00DE3D9F" w:rsidRPr="001B6C67">
        <w:rPr>
          <w:rtl/>
        </w:rPr>
        <w:t xml:space="preserve">، الفقرة </w:t>
      </w:r>
      <w:r w:rsidR="00DE3D9F" w:rsidRPr="00AF3116">
        <w:rPr>
          <w:rtl/>
        </w:rPr>
        <w:t>1</w:t>
      </w:r>
    </w:p>
    <w:p w14:paraId="4B69AD2C" w14:textId="77777777" w:rsidR="00DE3D9F" w:rsidRPr="001B6C67" w:rsidRDefault="00DE3D9F" w:rsidP="005F6F8E">
      <w:pPr>
        <w:pStyle w:val="SingleTxtGA"/>
        <w:ind w:left="1928"/>
        <w:rPr>
          <w:lang w:val="ar-SA" w:eastAsia="zh-TW" w:bidi="en-GB"/>
        </w:rPr>
      </w:pPr>
      <w:r w:rsidRPr="001B6C67">
        <w:rPr>
          <w:rtl/>
        </w:rPr>
        <w:tab/>
        <w:t>"ينبغي للدولة أن تضع نظاماً إدارياً لعملية العدالة في كل جانب لضمان الكفاءة والإنصاف وعدم التمييز، و</w:t>
      </w:r>
      <w:r>
        <w:rPr>
          <w:rtl/>
        </w:rPr>
        <w:t xml:space="preserve">أن </w:t>
      </w:r>
      <w:r w:rsidRPr="001B6C67">
        <w:rPr>
          <w:rtl/>
        </w:rPr>
        <w:t xml:space="preserve">تكفل للشعب إمكانية الوصول إلى إجراءات العدالة بطريقة ملائمة وسريعة دون تأخير وألا </w:t>
      </w:r>
      <w:proofErr w:type="spellStart"/>
      <w:r w:rsidRPr="001B6C67">
        <w:rPr>
          <w:rtl/>
        </w:rPr>
        <w:t>ي</w:t>
      </w:r>
      <w:r>
        <w:rPr>
          <w:rtl/>
        </w:rPr>
        <w:t>يكون</w:t>
      </w:r>
      <w:proofErr w:type="spellEnd"/>
      <w:r>
        <w:rPr>
          <w:rtl/>
        </w:rPr>
        <w:t xml:space="preserve"> عليه </w:t>
      </w:r>
      <w:r w:rsidRPr="001B6C67">
        <w:rPr>
          <w:rtl/>
        </w:rPr>
        <w:t>تحمل نفقات مفرطة".</w:t>
      </w:r>
    </w:p>
    <w:p w14:paraId="302548E0" w14:textId="16D8DD83" w:rsidR="00DE3D9F" w:rsidRPr="001B6C67" w:rsidRDefault="0093366D" w:rsidP="00DE3D9F">
      <w:pPr>
        <w:pStyle w:val="SingleTxtGA"/>
        <w:rPr>
          <w:lang w:val="ar-SA" w:eastAsia="zh-TW" w:bidi="en-GB"/>
        </w:rPr>
      </w:pPr>
      <w:r>
        <w:rPr>
          <w:rtl/>
        </w:rPr>
        <w:tab/>
      </w:r>
      <w:r>
        <w:rPr>
          <w:rFonts w:hint="cs"/>
          <w:rtl/>
        </w:rPr>
        <w:t>’4‘</w:t>
      </w:r>
      <w:r w:rsidR="00DE3D9F" w:rsidRPr="001B6C67">
        <w:rPr>
          <w:rtl/>
        </w:rPr>
        <w:tab/>
        <w:t xml:space="preserve">المادة </w:t>
      </w:r>
      <w:r w:rsidR="00DE3D9F" w:rsidRPr="00AF3116">
        <w:rPr>
          <w:rtl/>
        </w:rPr>
        <w:t>76</w:t>
      </w:r>
    </w:p>
    <w:p w14:paraId="216995B0" w14:textId="77777777" w:rsidR="00DE3D9F" w:rsidRPr="001B6C67" w:rsidRDefault="00DE3D9F" w:rsidP="005F6F8E">
      <w:pPr>
        <w:pStyle w:val="SingleTxtGA"/>
        <w:ind w:left="1928"/>
        <w:rPr>
          <w:lang w:val="ar-SA" w:eastAsia="zh-TW" w:bidi="en-GB"/>
        </w:rPr>
      </w:pPr>
      <w:r w:rsidRPr="001B6C67">
        <w:rPr>
          <w:rtl/>
        </w:rPr>
        <w:tab/>
        <w:t>"ينبغي للدولة أن تضع نظاماً لإدارة شؤون الدولة للإدارات المركزية والإقليمية والمحلية، فضلاً عن شؤون الدولة الأخرى وفقاً لمبادئ الحكم العام الرشيد، شريطة أن تتعاون وكالات الدولة ويساعد بعضها البعض في أداء واجباتها، لكي تحقق، لفائدة الشعب، أقصى قدر من الكفاءة في إدارة شؤون الدولة، وتوفير الخدمات العامة، ونفقات الميزانية. وينبغي للدولة أيضاً أن تدرب موظفي الدولة لكي يتمتعوا بالنزاهة ولكي يتبنوا موقفاً هدفه خدمة الجمهور بطريقة مناسبة وسريعة وغير تمييزية، فضلاً عن أداء واجباتهم بكفاءة".</w:t>
      </w:r>
    </w:p>
    <w:p w14:paraId="6AA05262" w14:textId="34DFD58D" w:rsidR="00DE3D9F" w:rsidRPr="001B6C67" w:rsidRDefault="00DE3D9F" w:rsidP="00DE3D9F">
      <w:pPr>
        <w:pStyle w:val="SingleTxtGA"/>
        <w:rPr>
          <w:lang w:val="ar-SA" w:eastAsia="zh-TW" w:bidi="en-GB"/>
        </w:rPr>
      </w:pPr>
      <w:r w:rsidRPr="00AF3116">
        <w:rPr>
          <w:rtl/>
        </w:rPr>
        <w:t>179</w:t>
      </w:r>
      <w:r w:rsidRPr="001B6C67">
        <w:rPr>
          <w:rtl/>
        </w:rPr>
        <w:t>-</w:t>
      </w:r>
      <w:r w:rsidRPr="001B6C67">
        <w:rPr>
          <w:rtl/>
        </w:rPr>
        <w:tab/>
        <w:t>وقد بذلت تايلند جهوداً متواصلة لتمكين الجميع، بمن فيهم من هم في حالات ضعف، مثل الأطفال والنساء والأشخاص ذوي الإعاقة وكبار السن والأقليات العرقية، من الوصول إلى حقوقهم وممارستها على قدم المساواة مع غيرهم. فعلى سبيل المثال، يوفر قانون حماية الأشخاص الضعفاء لعام</w:t>
      </w:r>
      <w:r w:rsidR="0093366D">
        <w:rPr>
          <w:rFonts w:hint="cs"/>
          <w:rtl/>
        </w:rPr>
        <w:t> </w:t>
      </w:r>
      <w:r w:rsidRPr="00AF3116">
        <w:rPr>
          <w:rtl/>
        </w:rPr>
        <w:t>2014</w:t>
      </w:r>
      <w:r w:rsidRPr="001B6C67">
        <w:rPr>
          <w:rtl/>
        </w:rPr>
        <w:t xml:space="preserve"> حماية أفضل، بما في ذلك توفير الرعاية الاجتماعية، والمأوى، والرعاية الصحية، والتعليم وفرص العمل للأشخاص الذين لا مأوى لهم أو الذين يعيشون في فقر أو في ظروف صعبة. وبالإضافة إلى ذلك، اعتمدت الحكومة نظام بطاقات الرعاية الاجتماعية، الذي استفاد منه أكثر من </w:t>
      </w:r>
      <w:r w:rsidRPr="00AF3116">
        <w:rPr>
          <w:rtl/>
        </w:rPr>
        <w:t>11</w:t>
      </w:r>
      <w:r w:rsidRPr="001B6C67">
        <w:rPr>
          <w:rtl/>
        </w:rPr>
        <w:t xml:space="preserve"> مليون شخص مسجل من ذوي الدخل المنخفض. ويرد في الفقرات </w:t>
      </w:r>
      <w:r w:rsidRPr="00AF3116">
        <w:rPr>
          <w:rtl/>
        </w:rPr>
        <w:t>57</w:t>
      </w:r>
      <w:r w:rsidRPr="001B6C67">
        <w:rPr>
          <w:rtl/>
        </w:rPr>
        <w:t xml:space="preserve"> و</w:t>
      </w:r>
      <w:r w:rsidRPr="00AF3116">
        <w:rPr>
          <w:rtl/>
        </w:rPr>
        <w:t>62</w:t>
      </w:r>
      <w:r w:rsidRPr="001B6C67">
        <w:rPr>
          <w:rtl/>
        </w:rPr>
        <w:t>-</w:t>
      </w:r>
      <w:r w:rsidRPr="00AF3116">
        <w:rPr>
          <w:rtl/>
        </w:rPr>
        <w:t>74</w:t>
      </w:r>
      <w:r w:rsidRPr="001B6C67">
        <w:rPr>
          <w:rtl/>
        </w:rPr>
        <w:t xml:space="preserve"> و</w:t>
      </w:r>
      <w:r w:rsidRPr="00AF3116">
        <w:rPr>
          <w:rtl/>
        </w:rPr>
        <w:t>82</w:t>
      </w:r>
      <w:r w:rsidRPr="001B6C67">
        <w:rPr>
          <w:rtl/>
        </w:rPr>
        <w:t>-</w:t>
      </w:r>
      <w:r w:rsidRPr="00AF3116">
        <w:rPr>
          <w:rtl/>
        </w:rPr>
        <w:t>136</w:t>
      </w:r>
      <w:r w:rsidRPr="001B6C67">
        <w:rPr>
          <w:rtl/>
        </w:rPr>
        <w:t xml:space="preserve"> و</w:t>
      </w:r>
      <w:r w:rsidRPr="00AF3116">
        <w:rPr>
          <w:rtl/>
        </w:rPr>
        <w:t>141</w:t>
      </w:r>
      <w:r w:rsidRPr="001B6C67">
        <w:rPr>
          <w:rtl/>
        </w:rPr>
        <w:t>-</w:t>
      </w:r>
      <w:r w:rsidRPr="00AF3116">
        <w:rPr>
          <w:rtl/>
        </w:rPr>
        <w:t>165</w:t>
      </w:r>
      <w:r w:rsidRPr="001B6C67">
        <w:rPr>
          <w:rtl/>
        </w:rPr>
        <w:t xml:space="preserve"> </w:t>
      </w:r>
      <w:r w:rsidRPr="001B6C67">
        <w:rPr>
          <w:rtl/>
        </w:rPr>
        <w:lastRenderedPageBreak/>
        <w:t>وصف للقوانين والسياسات والبرامج الأخرى ذات الصلة التي تشير إلى جهود تايلاند للقضاء على التمييز وعدم المساواة.</w:t>
      </w:r>
    </w:p>
    <w:p w14:paraId="23856474" w14:textId="77777777" w:rsidR="00DE3D9F" w:rsidRPr="001B6C67" w:rsidRDefault="00DE3D9F" w:rsidP="0093366D">
      <w:pPr>
        <w:pStyle w:val="H1GA"/>
        <w:rPr>
          <w:lang w:val="ar-SA" w:eastAsia="zh-TW" w:bidi="en-GB"/>
        </w:rPr>
      </w:pPr>
      <w:r>
        <w:rPr>
          <w:rtl/>
        </w:rPr>
        <w:tab/>
      </w:r>
      <w:bookmarkStart w:id="39" w:name="_Toc92899423"/>
      <w:r w:rsidRPr="001B6C67">
        <w:rPr>
          <w:rtl/>
        </w:rPr>
        <w:t>باء-</w:t>
      </w:r>
      <w:r w:rsidRPr="001B6C67">
        <w:rPr>
          <w:rtl/>
        </w:rPr>
        <w:tab/>
        <w:t>سبل الانتصاف الفعالة</w:t>
      </w:r>
      <w:bookmarkStart w:id="40" w:name="_Toc89701542"/>
      <w:bookmarkEnd w:id="40"/>
      <w:bookmarkEnd w:id="39"/>
    </w:p>
    <w:p w14:paraId="4F6B6A5D" w14:textId="751E3645" w:rsidR="00DE3D9F" w:rsidRPr="001B6C67" w:rsidRDefault="00DE3D9F" w:rsidP="00DE3D9F">
      <w:pPr>
        <w:pStyle w:val="SingleTxtGA"/>
        <w:rPr>
          <w:lang w:val="ar-SA" w:eastAsia="zh-TW" w:bidi="en-GB"/>
        </w:rPr>
      </w:pPr>
      <w:r w:rsidRPr="00AF3116">
        <w:rPr>
          <w:rtl/>
        </w:rPr>
        <w:t>180</w:t>
      </w:r>
      <w:r w:rsidRPr="001B6C67">
        <w:rPr>
          <w:rtl/>
        </w:rPr>
        <w:t>-</w:t>
      </w:r>
      <w:r w:rsidRPr="001B6C67">
        <w:rPr>
          <w:rtl/>
        </w:rPr>
        <w:tab/>
        <w:t>يمكن الاطلاع على المعلومات المتعلقة بسبل الانتصاف الفعالة المتاحة في تايلند في الفقرات</w:t>
      </w:r>
      <w:r w:rsidR="0093366D">
        <w:rPr>
          <w:rFonts w:hint="cs"/>
          <w:rtl/>
        </w:rPr>
        <w:t> </w:t>
      </w:r>
      <w:r w:rsidRPr="00AF3116">
        <w:rPr>
          <w:rtl/>
        </w:rPr>
        <w:t>69</w:t>
      </w:r>
      <w:r w:rsidRPr="001B6C67">
        <w:rPr>
          <w:rtl/>
        </w:rPr>
        <w:t>-</w:t>
      </w:r>
      <w:r w:rsidRPr="00AF3116">
        <w:rPr>
          <w:rtl/>
        </w:rPr>
        <w:t>71</w:t>
      </w:r>
      <w:r w:rsidRPr="001B6C67">
        <w:rPr>
          <w:rtl/>
        </w:rPr>
        <w:t>.</w:t>
      </w:r>
    </w:p>
    <w:p w14:paraId="66DC62C6" w14:textId="77777777" w:rsidR="00DE3D9F" w:rsidRPr="001B6C67" w:rsidRDefault="00DE3D9F" w:rsidP="0093366D">
      <w:pPr>
        <w:pStyle w:val="H1GA"/>
        <w:rPr>
          <w:lang w:val="ar-SA" w:eastAsia="zh-TW" w:bidi="en-GB"/>
        </w:rPr>
      </w:pPr>
      <w:r>
        <w:rPr>
          <w:rtl/>
        </w:rPr>
        <w:tab/>
      </w:r>
      <w:bookmarkStart w:id="41" w:name="_Toc92899424"/>
      <w:r w:rsidRPr="001B6C67">
        <w:rPr>
          <w:rtl/>
        </w:rPr>
        <w:t>جيم-</w:t>
      </w:r>
      <w:r w:rsidRPr="001B6C67">
        <w:rPr>
          <w:rtl/>
        </w:rPr>
        <w:tab/>
        <w:t>الضمانات الإجرائية</w:t>
      </w:r>
      <w:bookmarkStart w:id="42" w:name="_Toc89701543"/>
      <w:bookmarkEnd w:id="42"/>
      <w:bookmarkEnd w:id="41"/>
    </w:p>
    <w:p w14:paraId="2FC642D6" w14:textId="77777777" w:rsidR="00DE3D9F" w:rsidRPr="001B6C67" w:rsidRDefault="00DE3D9F" w:rsidP="00DE3D9F">
      <w:pPr>
        <w:pStyle w:val="SingleTxtGA"/>
        <w:rPr>
          <w:lang w:val="ar-SA" w:eastAsia="zh-TW" w:bidi="en-GB"/>
        </w:rPr>
      </w:pPr>
      <w:r w:rsidRPr="00AF3116">
        <w:rPr>
          <w:rtl/>
        </w:rPr>
        <w:t>181</w:t>
      </w:r>
      <w:r w:rsidRPr="001B6C67">
        <w:rPr>
          <w:rtl/>
        </w:rPr>
        <w:t>-</w:t>
      </w:r>
      <w:r w:rsidRPr="001B6C67">
        <w:rPr>
          <w:rtl/>
        </w:rPr>
        <w:tab/>
        <w:t>بذلت تايلند جهوداً لضمان إتاحة فرص متساوية لوصول</w:t>
      </w:r>
      <w:r w:rsidRPr="00124EDF">
        <w:rPr>
          <w:rtl/>
        </w:rPr>
        <w:t xml:space="preserve"> </w:t>
      </w:r>
      <w:r>
        <w:rPr>
          <w:rtl/>
        </w:rPr>
        <w:t>ا</w:t>
      </w:r>
      <w:r w:rsidRPr="001B6C67">
        <w:rPr>
          <w:rtl/>
        </w:rPr>
        <w:t xml:space="preserve">لجميع إلى العدالة، ولا سيما من هم في حالات ضعف (انظر الفقرات </w:t>
      </w:r>
      <w:r w:rsidRPr="00AF3116">
        <w:rPr>
          <w:rtl/>
        </w:rPr>
        <w:t>62</w:t>
      </w:r>
      <w:r w:rsidRPr="001B6C67">
        <w:rPr>
          <w:rtl/>
        </w:rPr>
        <w:t>-</w:t>
      </w:r>
      <w:r w:rsidRPr="00AF3116">
        <w:rPr>
          <w:rtl/>
        </w:rPr>
        <w:t>68</w:t>
      </w:r>
      <w:r w:rsidRPr="001B6C67">
        <w:rPr>
          <w:rtl/>
        </w:rPr>
        <w:t xml:space="preserve">). وهي تضمن خدمات المحامين والاستشارات القانونية مجاناً لجميع الناس، بغض النظر عن وضعهم المالي أو جنسيتهم. وبالإضافة إلى ذلك، يهدف قانون صندوق العدالة لعام </w:t>
      </w:r>
      <w:r w:rsidRPr="00AF3116">
        <w:rPr>
          <w:rtl/>
        </w:rPr>
        <w:t>2015</w:t>
      </w:r>
      <w:r w:rsidRPr="001B6C67">
        <w:rPr>
          <w:rtl/>
        </w:rPr>
        <w:t xml:space="preserve"> الذي سُنّ مؤخراً إلى الحد من التفاوت الاجتماعي، على النحو المبين في الفقرة </w:t>
      </w:r>
      <w:r w:rsidRPr="00AF3116">
        <w:rPr>
          <w:rtl/>
        </w:rPr>
        <w:t>64</w:t>
      </w:r>
      <w:r w:rsidRPr="001B6C67">
        <w:rPr>
          <w:rtl/>
        </w:rPr>
        <w:t xml:space="preserve">. </w:t>
      </w:r>
    </w:p>
    <w:p w14:paraId="63FEDDB6" w14:textId="66EE7244" w:rsidR="00DE3D9F" w:rsidRPr="001B6C67" w:rsidRDefault="00DE3D9F" w:rsidP="00DE3D9F">
      <w:pPr>
        <w:pStyle w:val="SingleTxtGA"/>
        <w:rPr>
          <w:lang w:val="ar-SA" w:eastAsia="zh-TW" w:bidi="en-GB"/>
        </w:rPr>
      </w:pPr>
      <w:r w:rsidRPr="00AF3116">
        <w:rPr>
          <w:rtl/>
        </w:rPr>
        <w:t>182</w:t>
      </w:r>
      <w:r w:rsidRPr="001B6C67">
        <w:rPr>
          <w:rtl/>
        </w:rPr>
        <w:t>-</w:t>
      </w:r>
      <w:r w:rsidRPr="001B6C67">
        <w:rPr>
          <w:rtl/>
        </w:rPr>
        <w:tab/>
        <w:t xml:space="preserve">وفيما يتعلق بنظام العدالة الجنائية، إذا تم البت في قضية ما، ستستمع المحكمة إلى القضية بنزاهة ودون تمييز، بغض النظر عن وضع المدعى عليه والمدعي وما إذا كانا عديمي </w:t>
      </w:r>
      <w:r>
        <w:rPr>
          <w:rtl/>
        </w:rPr>
        <w:t>ال</w:t>
      </w:r>
      <w:r w:rsidRPr="001B6C67">
        <w:rPr>
          <w:rtl/>
        </w:rPr>
        <w:t>جنسية أو لديهما وضع قانوني غير واضح. وهناك عدد من المنظمات غير الحكومية التايلندية والمنظمات الدولية المستعدة لتقديم المساعدة أثناء المحاكمة من خلال العمل بشكل وثيق ومستقل مع الضحايا، دون أي تدخل أو</w:t>
      </w:r>
      <w:r w:rsidR="0093366D">
        <w:rPr>
          <w:rFonts w:hint="cs"/>
          <w:rtl/>
        </w:rPr>
        <w:t> </w:t>
      </w:r>
      <w:r w:rsidRPr="001B6C67">
        <w:rPr>
          <w:rtl/>
        </w:rPr>
        <w:t>عرقلة من جانب الدولة.</w:t>
      </w:r>
    </w:p>
    <w:p w14:paraId="438C8461" w14:textId="77777777" w:rsidR="00DE3D9F" w:rsidRPr="001B6C67" w:rsidRDefault="00DE3D9F" w:rsidP="0093366D">
      <w:pPr>
        <w:pStyle w:val="H1GA"/>
        <w:rPr>
          <w:lang w:val="ar-SA" w:eastAsia="zh-TW" w:bidi="en-GB"/>
        </w:rPr>
      </w:pPr>
      <w:r>
        <w:rPr>
          <w:rtl/>
        </w:rPr>
        <w:tab/>
      </w:r>
      <w:bookmarkStart w:id="43" w:name="_Toc92899425"/>
      <w:r w:rsidRPr="001B6C67">
        <w:rPr>
          <w:rtl/>
        </w:rPr>
        <w:t>دال-</w:t>
      </w:r>
      <w:r w:rsidRPr="001B6C67">
        <w:rPr>
          <w:rtl/>
        </w:rPr>
        <w:tab/>
        <w:t>المشاركة في الحياة العامة</w:t>
      </w:r>
      <w:bookmarkStart w:id="44" w:name="_Toc89701544"/>
      <w:bookmarkEnd w:id="44"/>
      <w:bookmarkEnd w:id="43"/>
    </w:p>
    <w:p w14:paraId="00BF6159" w14:textId="77777777" w:rsidR="00DE3D9F" w:rsidRPr="001B6C67" w:rsidRDefault="00DE3D9F" w:rsidP="00DE3D9F">
      <w:pPr>
        <w:pStyle w:val="SingleTxtGA"/>
        <w:rPr>
          <w:lang w:val="ar-SA" w:eastAsia="zh-TW" w:bidi="en-GB"/>
        </w:rPr>
      </w:pPr>
      <w:r w:rsidRPr="00AF3116">
        <w:rPr>
          <w:rtl/>
        </w:rPr>
        <w:t>183</w:t>
      </w:r>
      <w:r w:rsidRPr="001B6C67">
        <w:rPr>
          <w:rtl/>
        </w:rPr>
        <w:t>-</w:t>
      </w:r>
      <w:r w:rsidRPr="001B6C67">
        <w:rPr>
          <w:rtl/>
        </w:rPr>
        <w:tab/>
        <w:t xml:space="preserve">ترد في الفقرتين </w:t>
      </w:r>
      <w:r w:rsidRPr="00AF3116">
        <w:rPr>
          <w:rtl/>
        </w:rPr>
        <w:t>132</w:t>
      </w:r>
      <w:r w:rsidRPr="001B6C67">
        <w:rPr>
          <w:rtl/>
        </w:rPr>
        <w:t xml:space="preserve"> و</w:t>
      </w:r>
      <w:r w:rsidRPr="00AF3116">
        <w:rPr>
          <w:rtl/>
        </w:rPr>
        <w:t>133</w:t>
      </w:r>
      <w:r w:rsidRPr="001B6C67">
        <w:rPr>
          <w:rtl/>
        </w:rPr>
        <w:t xml:space="preserve"> معلومات عن قانون الجنسية، وكذلك الشروط المتصلة بتقديم طلب الحصول على الجنسية التايلندية.</w:t>
      </w:r>
    </w:p>
    <w:p w14:paraId="49063A38" w14:textId="77777777" w:rsidR="00DE3D9F" w:rsidRPr="001B6C67" w:rsidRDefault="00DE3D9F" w:rsidP="00DE3D9F">
      <w:pPr>
        <w:pStyle w:val="SingleTxtGA"/>
        <w:rPr>
          <w:lang w:val="ar-SA" w:eastAsia="zh-TW" w:bidi="en-GB"/>
        </w:rPr>
      </w:pPr>
      <w:r w:rsidRPr="00AF3116">
        <w:rPr>
          <w:rtl/>
        </w:rPr>
        <w:t>184</w:t>
      </w:r>
      <w:r w:rsidRPr="001B6C67">
        <w:rPr>
          <w:rtl/>
        </w:rPr>
        <w:t>-</w:t>
      </w:r>
      <w:r w:rsidRPr="001B6C67">
        <w:rPr>
          <w:rtl/>
        </w:rPr>
        <w:tab/>
        <w:t xml:space="preserve">وترد المعلومات المتعلقة بالنظام الانتخابي في تايلند في الفقرات </w:t>
      </w:r>
      <w:r w:rsidRPr="00AF3116">
        <w:rPr>
          <w:rtl/>
        </w:rPr>
        <w:t>57</w:t>
      </w:r>
      <w:r w:rsidRPr="001B6C67">
        <w:rPr>
          <w:rtl/>
        </w:rPr>
        <w:t>-</w:t>
      </w:r>
      <w:r w:rsidRPr="00AF3116">
        <w:rPr>
          <w:rtl/>
        </w:rPr>
        <w:t>59</w:t>
      </w:r>
      <w:r w:rsidRPr="001B6C67">
        <w:rPr>
          <w:rtl/>
        </w:rPr>
        <w:t>.</w:t>
      </w:r>
    </w:p>
    <w:p w14:paraId="0EF45A9A" w14:textId="0626424B" w:rsidR="00DE3D9F" w:rsidRDefault="00DE3D9F" w:rsidP="00DE3D9F">
      <w:pPr>
        <w:pStyle w:val="SingleTxtGA"/>
        <w:rPr>
          <w:cs/>
          <w:lang w:val="ar-SA" w:eastAsia="zh-TW" w:bidi="en-GB"/>
        </w:rPr>
      </w:pPr>
      <w:r w:rsidRPr="00AF3116">
        <w:rPr>
          <w:rtl/>
        </w:rPr>
        <w:t>185</w:t>
      </w:r>
      <w:r w:rsidRPr="001B6C67">
        <w:rPr>
          <w:rtl/>
        </w:rPr>
        <w:t>-</w:t>
      </w:r>
      <w:r w:rsidRPr="001B6C67">
        <w:rPr>
          <w:rtl/>
        </w:rPr>
        <w:tab/>
        <w:t xml:space="preserve">ولدى تايلند مجتمع مدني نشط جداً (انظر الفقرات </w:t>
      </w:r>
      <w:r w:rsidRPr="00AF3116">
        <w:rPr>
          <w:rtl/>
        </w:rPr>
        <w:t>160</w:t>
      </w:r>
      <w:r w:rsidRPr="001B6C67">
        <w:rPr>
          <w:rtl/>
        </w:rPr>
        <w:t>-</w:t>
      </w:r>
      <w:r w:rsidRPr="00AF3116">
        <w:rPr>
          <w:rtl/>
        </w:rPr>
        <w:t>164</w:t>
      </w:r>
      <w:r w:rsidRPr="001B6C67">
        <w:rPr>
          <w:rtl/>
        </w:rPr>
        <w:t xml:space="preserve">). </w:t>
      </w:r>
      <w:r>
        <w:rPr>
          <w:rtl/>
        </w:rPr>
        <w:t>و</w:t>
      </w:r>
      <w:r w:rsidRPr="001B6C67">
        <w:rPr>
          <w:rtl/>
        </w:rPr>
        <w:t>تعاونت الحكومة تعاوناً وثيقاً مع منظمات المجتمع المدني، بما في</w:t>
      </w:r>
      <w:r>
        <w:rPr>
          <w:rtl/>
        </w:rPr>
        <w:t xml:space="preserve"> ذلك</w:t>
      </w:r>
      <w:r w:rsidRPr="001B6C67">
        <w:rPr>
          <w:rtl/>
        </w:rPr>
        <w:t xml:space="preserve"> وسائط الإعلام، واعترفت بعملها كجزء من الحياة العامة و</w:t>
      </w:r>
      <w:r>
        <w:rPr>
          <w:rtl/>
        </w:rPr>
        <w:t xml:space="preserve">الحياة </w:t>
      </w:r>
      <w:r w:rsidRPr="001B6C67">
        <w:rPr>
          <w:rtl/>
        </w:rPr>
        <w:t>السياسية للبلد.</w:t>
      </w:r>
    </w:p>
    <w:p w14:paraId="47EAEBEE" w14:textId="1A69E567" w:rsidR="0093366D" w:rsidRPr="0093366D" w:rsidRDefault="0093366D" w:rsidP="0093366D">
      <w:pPr>
        <w:pStyle w:val="SingleTxtGA"/>
        <w:jc w:val="center"/>
        <w:rPr>
          <w:u w:val="single"/>
          <w:rtl/>
          <w:lang w:eastAsia="zh-TW"/>
        </w:rPr>
      </w:pPr>
      <w:r>
        <w:rPr>
          <w:u w:val="single"/>
          <w:rtl/>
          <w:lang w:eastAsia="zh-TW"/>
        </w:rPr>
        <w:tab/>
      </w:r>
      <w:r>
        <w:rPr>
          <w:u w:val="single"/>
          <w:rtl/>
          <w:lang w:eastAsia="zh-TW"/>
        </w:rPr>
        <w:tab/>
      </w:r>
      <w:r>
        <w:rPr>
          <w:u w:val="single"/>
          <w:rtl/>
          <w:lang w:eastAsia="zh-TW"/>
        </w:rPr>
        <w:tab/>
      </w:r>
    </w:p>
    <w:sectPr w:rsidR="0093366D" w:rsidRPr="0093366D" w:rsidSect="009D7EDF">
      <w:headerReference w:type="even" r:id="rId10"/>
      <w:headerReference w:type="default" r:id="rId11"/>
      <w:footerReference w:type="even" r:id="rId12"/>
      <w:footerReference w:type="default" r:id="rId13"/>
      <w:footerReference w:type="first" r:id="rId14"/>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F14D6" w14:textId="77777777" w:rsidR="003B756C" w:rsidRPr="002901D9" w:rsidRDefault="003B756C" w:rsidP="009815E4">
      <w:pPr>
        <w:spacing w:after="60" w:line="240" w:lineRule="auto"/>
        <w:ind w:left="57"/>
        <w:rPr>
          <w:i/>
          <w:iCs/>
        </w:rPr>
      </w:pPr>
      <w:r>
        <w:rPr>
          <w:rFonts w:hint="cs"/>
          <w:i/>
          <w:iCs/>
          <w:rtl/>
        </w:rPr>
        <w:t>الحواشي</w:t>
      </w:r>
    </w:p>
  </w:endnote>
  <w:endnote w:type="continuationSeparator" w:id="0">
    <w:p w14:paraId="569CB848" w14:textId="77777777" w:rsidR="003B756C" w:rsidRDefault="003B756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0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53412" w14:textId="5CAD62AE" w:rsidR="003B756C" w:rsidRPr="00A175F0" w:rsidRDefault="003B756C" w:rsidP="00A175F0">
    <w:pPr>
      <w:pStyle w:val="Footer"/>
      <w:tabs>
        <w:tab w:val="right" w:pos="9638"/>
      </w:tabs>
      <w:rPr>
        <w:b/>
        <w:sz w:val="18"/>
        <w:lang w:val="en-US"/>
      </w:rPr>
    </w:pPr>
    <w:r>
      <w:rPr>
        <w:lang w:val="en-US"/>
      </w:rPr>
      <w:t>GE.21-18208</w:t>
    </w:r>
    <w:r>
      <w:rPr>
        <w:lang w:val="en-US"/>
      </w:rPr>
      <w:tab/>
    </w:r>
    <w:r w:rsidRPr="00A175F0">
      <w:rPr>
        <w:b/>
        <w:sz w:val="18"/>
        <w:lang w:val="en-US"/>
      </w:rPr>
      <w:fldChar w:fldCharType="begin"/>
    </w:r>
    <w:r w:rsidRPr="00A175F0">
      <w:rPr>
        <w:b/>
        <w:sz w:val="18"/>
        <w:lang w:val="en-US"/>
      </w:rPr>
      <w:instrText xml:space="preserve"> PAGE  \* MERGEFORMAT </w:instrText>
    </w:r>
    <w:r w:rsidRPr="00A175F0">
      <w:rPr>
        <w:b/>
        <w:sz w:val="18"/>
        <w:lang w:val="en-US"/>
      </w:rPr>
      <w:fldChar w:fldCharType="separate"/>
    </w:r>
    <w:r w:rsidRPr="00A175F0">
      <w:rPr>
        <w:b/>
        <w:noProof/>
        <w:sz w:val="18"/>
        <w:lang w:val="en-US"/>
      </w:rPr>
      <w:t>2</w:t>
    </w:r>
    <w:r w:rsidRPr="00A175F0">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5D252" w14:textId="55E2D04D" w:rsidR="003B756C" w:rsidRPr="00A175F0" w:rsidRDefault="003B756C" w:rsidP="00A175F0">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GE.21-18208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B79A5" w14:textId="4B91F97B" w:rsidR="003B756C" w:rsidRPr="00A175F0" w:rsidRDefault="003B756C" w:rsidP="00A175F0">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69FA5086" wp14:editId="605AAEC2">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21-18208 (A)</w:t>
    </w:r>
    <w:r>
      <w:rPr>
        <w:noProof/>
        <w:sz w:val="20"/>
        <w:lang w:val="en-US"/>
      </w:rPr>
      <w:drawing>
        <wp:anchor distT="0" distB="0" distL="114300" distR="114300" simplePos="0" relativeHeight="251659264" behindDoc="0" locked="0" layoutInCell="1" allowOverlap="1" wp14:anchorId="1DB2CB8B" wp14:editId="488689FD">
          <wp:simplePos x="0" y="0"/>
          <wp:positionH relativeFrom="margin">
            <wp:posOffset>0</wp:posOffset>
          </wp:positionH>
          <wp:positionV relativeFrom="margin">
            <wp:posOffset>8891905</wp:posOffset>
          </wp:positionV>
          <wp:extent cx="561975" cy="561975"/>
          <wp:effectExtent l="0" t="0" r="9525" b="9525"/>
          <wp:wrapNone/>
          <wp:docPr id="1"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9B92B" w14:textId="77777777" w:rsidR="003B756C" w:rsidRPr="00CA22EA" w:rsidRDefault="003B756C" w:rsidP="00CA22EA">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3F71E7B5" w14:textId="77777777" w:rsidR="003B756C" w:rsidRDefault="003B756C" w:rsidP="00656392">
      <w:pPr>
        <w:spacing w:line="240" w:lineRule="auto"/>
      </w:pPr>
      <w:r>
        <w:continuationSeparator/>
      </w:r>
    </w:p>
  </w:footnote>
  <w:footnote w:id="1">
    <w:p w14:paraId="7F41F8DF" w14:textId="76918C7B" w:rsidR="003B756C" w:rsidRPr="00DE3D9F" w:rsidRDefault="003B756C" w:rsidP="00DE3D9F">
      <w:pPr>
        <w:pStyle w:val="FootnoteText1"/>
        <w:rPr>
          <w:rtl/>
        </w:rPr>
      </w:pPr>
      <w:r w:rsidRPr="001118BF">
        <w:rPr>
          <w:sz w:val="22"/>
          <w:szCs w:val="22"/>
          <w:rtl/>
        </w:rPr>
        <w:t>*</w:t>
      </w:r>
      <w:r>
        <w:rPr>
          <w:rtl/>
        </w:rPr>
        <w:tab/>
      </w:r>
      <w:r w:rsidRPr="001B6C67">
        <w:rPr>
          <w:rFonts w:ascii="Simplified Arabic" w:hAnsi="Simplified Arabic"/>
          <w:rtl/>
        </w:rPr>
        <w:t>تصدر هذه الوثيقة من دون تحرير رسمي.</w:t>
      </w:r>
    </w:p>
  </w:footnote>
  <w:footnote w:id="2">
    <w:p w14:paraId="5505C00B" w14:textId="67FCF1C3" w:rsidR="003B756C" w:rsidRPr="00C72472" w:rsidRDefault="003B756C" w:rsidP="00FC545D">
      <w:pPr>
        <w:pStyle w:val="FootnoteText1"/>
        <w:textDirection w:val="tbRlV"/>
        <w:rPr>
          <w:rFonts w:ascii="Simplified Arabic" w:hAnsi="Simplified Arabic"/>
          <w:lang w:val="ar-SA" w:eastAsia="zh-TW" w:bidi="en-GB"/>
        </w:rPr>
      </w:pPr>
      <w:r w:rsidRPr="00FC545D">
        <w:rPr>
          <w:rFonts w:hint="cs"/>
          <w:rtl/>
        </w:rPr>
        <w:t>(</w:t>
      </w:r>
      <w:r w:rsidRPr="00AF3116">
        <w:rPr>
          <w:rStyle w:val="FootnoteReference"/>
          <w:vertAlign w:val="baseline"/>
        </w:rPr>
        <w:footnoteRef/>
      </w:r>
      <w:r w:rsidRPr="00FC545D">
        <w:rPr>
          <w:rFonts w:hint="cs"/>
          <w:rtl/>
        </w:rPr>
        <w:t>)</w:t>
      </w:r>
      <w:r>
        <w:rPr>
          <w:rtl/>
        </w:rPr>
        <w:tab/>
      </w:r>
      <w:r w:rsidRPr="00C72472">
        <w:rPr>
          <w:rFonts w:ascii="Simplified Arabic" w:hAnsi="Simplified Arabic"/>
          <w:rtl/>
        </w:rPr>
        <w:t xml:space="preserve">المكتب الإحصائي الوطني، السكان المسجلون مصنفون بحسب الجنس العمري والمقاطعات، تم النفاذ إليه في </w:t>
      </w:r>
      <w:r w:rsidRPr="00AF3116">
        <w:rPr>
          <w:rFonts w:ascii="Simplified Arabic" w:hAnsi="Simplified Arabic"/>
          <w:rtl/>
        </w:rPr>
        <w:t>8</w:t>
      </w:r>
      <w:r w:rsidRPr="00C72472">
        <w:rPr>
          <w:rFonts w:ascii="Simplified Arabic" w:hAnsi="Simplified Arabic"/>
          <w:rtl/>
        </w:rPr>
        <w:t xml:space="preserve"> نيسان/أبريل </w:t>
      </w:r>
      <w:r w:rsidRPr="00AF3116">
        <w:rPr>
          <w:rFonts w:ascii="Simplified Arabic" w:hAnsi="Simplified Arabic"/>
          <w:rtl/>
        </w:rPr>
        <w:t>2019</w:t>
      </w:r>
      <w:r w:rsidRPr="00C72472">
        <w:rPr>
          <w:rFonts w:ascii="Simplified Arabic" w:hAnsi="Simplified Arabic"/>
          <w:rtl/>
        </w:rPr>
        <w:t xml:space="preserve"> (</w:t>
      </w:r>
      <w:r w:rsidRPr="00FC545D">
        <w:rPr>
          <w:rFonts w:cs="Times New Roman"/>
        </w:rPr>
        <w:t>http://statbbi.nso.go.th/staticreport/page/sector/th/</w:t>
      </w:r>
      <w:r w:rsidRPr="00AF3116">
        <w:rPr>
          <w:rFonts w:cs="Times New Roman"/>
        </w:rPr>
        <w:t>01</w:t>
      </w:r>
      <w:r w:rsidRPr="00FC545D">
        <w:rPr>
          <w:rFonts w:cs="Times New Roman"/>
        </w:rPr>
        <w:t>.aspx</w:t>
      </w:r>
      <w:r w:rsidRPr="00C72472">
        <w:rPr>
          <w:rFonts w:ascii="Simplified Arabic" w:hAnsi="Simplified Arabic"/>
          <w:rtl/>
        </w:rPr>
        <w:t>).</w:t>
      </w:r>
    </w:p>
  </w:footnote>
  <w:footnote w:id="3">
    <w:p w14:paraId="58A53EDC" w14:textId="52E36A03" w:rsidR="003B756C" w:rsidRPr="00FB14DF" w:rsidRDefault="003B756C" w:rsidP="007B06D9">
      <w:pPr>
        <w:pStyle w:val="FootnoteText1"/>
        <w:textDirection w:val="tbRlV"/>
        <w:rPr>
          <w:rFonts w:ascii="Simplified Arabic" w:hAnsi="Simplified Arabic"/>
          <w:lang w:val="ar-SA" w:eastAsia="zh-TW" w:bidi="en-GB"/>
        </w:rPr>
      </w:pPr>
      <w:r w:rsidRPr="007B06D9">
        <w:rPr>
          <w:rFonts w:ascii="Simplified Arabic" w:hAnsi="Simplified Arabic" w:hint="cs"/>
          <w:rtl/>
        </w:rPr>
        <w:t>(</w:t>
      </w:r>
      <w:r w:rsidRPr="00AF3116">
        <w:rPr>
          <w:rStyle w:val="FootnoteReference"/>
          <w:rFonts w:ascii="Simplified Arabic" w:hAnsi="Simplified Arabic"/>
          <w:vertAlign w:val="baseline"/>
        </w:rPr>
        <w:footnoteRef/>
      </w:r>
      <w:r w:rsidRPr="007B06D9">
        <w:rPr>
          <w:rFonts w:ascii="Simplified Arabic" w:hAnsi="Simplified Arabic" w:hint="cs"/>
          <w:rtl/>
        </w:rPr>
        <w:t>)</w:t>
      </w:r>
      <w:r w:rsidRPr="00FB14DF">
        <w:rPr>
          <w:rFonts w:ascii="Simplified Arabic" w:hAnsi="Simplified Arabic"/>
          <w:rtl/>
        </w:rPr>
        <w:tab/>
        <w:t xml:space="preserve">سعر الصرف من بنك تايلاند في </w:t>
      </w:r>
      <w:r w:rsidRPr="00AF3116">
        <w:rPr>
          <w:rFonts w:ascii="Simplified Arabic" w:hAnsi="Simplified Arabic"/>
          <w:rtl/>
        </w:rPr>
        <w:t>27</w:t>
      </w:r>
      <w:r w:rsidRPr="00FB14DF">
        <w:rPr>
          <w:rFonts w:ascii="Simplified Arabic" w:hAnsi="Simplified Arabic"/>
          <w:rtl/>
        </w:rPr>
        <w:t xml:space="preserve"> آذار/مارس </w:t>
      </w:r>
      <w:r w:rsidRPr="00AF3116">
        <w:rPr>
          <w:rFonts w:ascii="Simplified Arabic" w:hAnsi="Simplified Arabic"/>
          <w:rtl/>
        </w:rPr>
        <w:t>2019</w:t>
      </w:r>
      <w:r w:rsidRPr="00FB14DF">
        <w:rPr>
          <w:rFonts w:ascii="Simplified Arabic" w:hAnsi="Simplified Arabic"/>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89F71" w14:textId="33B41CD5" w:rsidR="003B756C" w:rsidRPr="00A175F0" w:rsidRDefault="003B756C" w:rsidP="00A175F0">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HRI/CORE/THA/2021</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37222" w14:textId="5E7CBACC" w:rsidR="003B756C" w:rsidRPr="00A175F0" w:rsidRDefault="003B756C" w:rsidP="00A175F0">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HRI/CORE/THA/2021</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E352D"/>
    <w:multiLevelType w:val="hybridMultilevel"/>
    <w:tmpl w:val="99ACEFB6"/>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4"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B1946"/>
    <w:multiLevelType w:val="hybridMultilevel"/>
    <w:tmpl w:val="AB7E7878"/>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6"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14262F"/>
    <w:multiLevelType w:val="hybridMultilevel"/>
    <w:tmpl w:val="0CE071F6"/>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4"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7"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9"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0"/>
  </w:num>
  <w:num w:numId="2">
    <w:abstractNumId w:val="17"/>
  </w:num>
  <w:num w:numId="3">
    <w:abstractNumId w:val="2"/>
  </w:num>
  <w:num w:numId="4">
    <w:abstractNumId w:val="16"/>
  </w:num>
  <w:num w:numId="5">
    <w:abstractNumId w:val="12"/>
  </w:num>
  <w:num w:numId="6">
    <w:abstractNumId w:val="8"/>
  </w:num>
  <w:num w:numId="7">
    <w:abstractNumId w:val="22"/>
  </w:num>
  <w:num w:numId="8">
    <w:abstractNumId w:val="2"/>
  </w:num>
  <w:num w:numId="9">
    <w:abstractNumId w:val="16"/>
  </w:num>
  <w:num w:numId="10">
    <w:abstractNumId w:val="8"/>
  </w:num>
  <w:num w:numId="11">
    <w:abstractNumId w:val="22"/>
  </w:num>
  <w:num w:numId="12">
    <w:abstractNumId w:val="6"/>
  </w:num>
  <w:num w:numId="13">
    <w:abstractNumId w:val="4"/>
  </w:num>
  <w:num w:numId="14">
    <w:abstractNumId w:val="21"/>
  </w:num>
  <w:num w:numId="15">
    <w:abstractNumId w:val="18"/>
  </w:num>
  <w:num w:numId="16">
    <w:abstractNumId w:val="1"/>
  </w:num>
  <w:num w:numId="17">
    <w:abstractNumId w:val="19"/>
  </w:num>
  <w:num w:numId="18">
    <w:abstractNumId w:val="0"/>
  </w:num>
  <w:num w:numId="19">
    <w:abstractNumId w:val="14"/>
  </w:num>
  <w:num w:numId="20">
    <w:abstractNumId w:val="19"/>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10"/>
  </w:num>
  <w:num w:numId="26">
    <w:abstractNumId w:val="9"/>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9"/>
  </w:num>
  <w:num w:numId="28">
    <w:abstractNumId w:val="11"/>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9">
    <w:abstractNumId w:val="7"/>
  </w:num>
  <w:num w:numId="30">
    <w:abstractNumId w:val="5"/>
  </w:num>
  <w:num w:numId="31">
    <w:abstractNumId w:val="3"/>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3DF"/>
    <w:rsid w:val="000076D5"/>
    <w:rsid w:val="00043663"/>
    <w:rsid w:val="000505CF"/>
    <w:rsid w:val="0006642E"/>
    <w:rsid w:val="0009460F"/>
    <w:rsid w:val="000B462C"/>
    <w:rsid w:val="000D701C"/>
    <w:rsid w:val="000E2A71"/>
    <w:rsid w:val="001118BF"/>
    <w:rsid w:val="00146491"/>
    <w:rsid w:val="00160263"/>
    <w:rsid w:val="00181F96"/>
    <w:rsid w:val="001A1371"/>
    <w:rsid w:val="001A356A"/>
    <w:rsid w:val="001B0794"/>
    <w:rsid w:val="001B2F42"/>
    <w:rsid w:val="001B346A"/>
    <w:rsid w:val="001C785F"/>
    <w:rsid w:val="001E1CAD"/>
    <w:rsid w:val="001E290D"/>
    <w:rsid w:val="00206BEB"/>
    <w:rsid w:val="002144FA"/>
    <w:rsid w:val="0023469A"/>
    <w:rsid w:val="0023489D"/>
    <w:rsid w:val="00243C8A"/>
    <w:rsid w:val="00245352"/>
    <w:rsid w:val="00267A0E"/>
    <w:rsid w:val="002705E5"/>
    <w:rsid w:val="002823DF"/>
    <w:rsid w:val="002901D9"/>
    <w:rsid w:val="002976C2"/>
    <w:rsid w:val="002A2227"/>
    <w:rsid w:val="002E196D"/>
    <w:rsid w:val="003260FF"/>
    <w:rsid w:val="00343D95"/>
    <w:rsid w:val="00354CC2"/>
    <w:rsid w:val="00367EE0"/>
    <w:rsid w:val="00374341"/>
    <w:rsid w:val="003957A0"/>
    <w:rsid w:val="003A4ADA"/>
    <w:rsid w:val="003B756C"/>
    <w:rsid w:val="003C7406"/>
    <w:rsid w:val="003D1062"/>
    <w:rsid w:val="00420D7B"/>
    <w:rsid w:val="00450B21"/>
    <w:rsid w:val="00453B63"/>
    <w:rsid w:val="00455780"/>
    <w:rsid w:val="00483D61"/>
    <w:rsid w:val="004A3298"/>
    <w:rsid w:val="004B0A1C"/>
    <w:rsid w:val="004D0C38"/>
    <w:rsid w:val="004D298E"/>
    <w:rsid w:val="004F6383"/>
    <w:rsid w:val="00535610"/>
    <w:rsid w:val="0053722C"/>
    <w:rsid w:val="0054472E"/>
    <w:rsid w:val="00556AB9"/>
    <w:rsid w:val="005662A9"/>
    <w:rsid w:val="005827D4"/>
    <w:rsid w:val="0059622A"/>
    <w:rsid w:val="005C5878"/>
    <w:rsid w:val="005C7CEA"/>
    <w:rsid w:val="005D3C0B"/>
    <w:rsid w:val="005E5217"/>
    <w:rsid w:val="005F0FA4"/>
    <w:rsid w:val="005F30EE"/>
    <w:rsid w:val="005F6F8E"/>
    <w:rsid w:val="0060473A"/>
    <w:rsid w:val="0060722E"/>
    <w:rsid w:val="00623495"/>
    <w:rsid w:val="00624B9B"/>
    <w:rsid w:val="006274B2"/>
    <w:rsid w:val="0063775D"/>
    <w:rsid w:val="00656392"/>
    <w:rsid w:val="00676B5E"/>
    <w:rsid w:val="0068781D"/>
    <w:rsid w:val="006959B0"/>
    <w:rsid w:val="006B3E27"/>
    <w:rsid w:val="006B6507"/>
    <w:rsid w:val="006C104C"/>
    <w:rsid w:val="006E68C4"/>
    <w:rsid w:val="00733704"/>
    <w:rsid w:val="0078071A"/>
    <w:rsid w:val="007A0525"/>
    <w:rsid w:val="007A3956"/>
    <w:rsid w:val="007A63CA"/>
    <w:rsid w:val="007B06D9"/>
    <w:rsid w:val="007C1295"/>
    <w:rsid w:val="007D3947"/>
    <w:rsid w:val="007E37A9"/>
    <w:rsid w:val="00800C01"/>
    <w:rsid w:val="00852A9A"/>
    <w:rsid w:val="00883EBA"/>
    <w:rsid w:val="008F49E1"/>
    <w:rsid w:val="0090370F"/>
    <w:rsid w:val="009110F6"/>
    <w:rsid w:val="009269D2"/>
    <w:rsid w:val="0093366D"/>
    <w:rsid w:val="00942135"/>
    <w:rsid w:val="009521B0"/>
    <w:rsid w:val="00957371"/>
    <w:rsid w:val="009815E4"/>
    <w:rsid w:val="00994130"/>
    <w:rsid w:val="009A7E9F"/>
    <w:rsid w:val="009D7EDF"/>
    <w:rsid w:val="009E5018"/>
    <w:rsid w:val="009F3BCF"/>
    <w:rsid w:val="00A12B37"/>
    <w:rsid w:val="00A130A4"/>
    <w:rsid w:val="00A1373C"/>
    <w:rsid w:val="00A175F0"/>
    <w:rsid w:val="00A40237"/>
    <w:rsid w:val="00A519EC"/>
    <w:rsid w:val="00A575B0"/>
    <w:rsid w:val="00A6363A"/>
    <w:rsid w:val="00AA29CE"/>
    <w:rsid w:val="00AB6758"/>
    <w:rsid w:val="00AD7242"/>
    <w:rsid w:val="00AF0202"/>
    <w:rsid w:val="00AF2F75"/>
    <w:rsid w:val="00AF3116"/>
    <w:rsid w:val="00AF6EC9"/>
    <w:rsid w:val="00B13763"/>
    <w:rsid w:val="00B452DB"/>
    <w:rsid w:val="00B477A4"/>
    <w:rsid w:val="00B54045"/>
    <w:rsid w:val="00B627BA"/>
    <w:rsid w:val="00B706DA"/>
    <w:rsid w:val="00C17F18"/>
    <w:rsid w:val="00C2304B"/>
    <w:rsid w:val="00C438D7"/>
    <w:rsid w:val="00C8001E"/>
    <w:rsid w:val="00C81B50"/>
    <w:rsid w:val="00CA22EA"/>
    <w:rsid w:val="00CB28F9"/>
    <w:rsid w:val="00CD1801"/>
    <w:rsid w:val="00D01CC9"/>
    <w:rsid w:val="00D10EF1"/>
    <w:rsid w:val="00D16080"/>
    <w:rsid w:val="00D24D73"/>
    <w:rsid w:val="00D42810"/>
    <w:rsid w:val="00D4748E"/>
    <w:rsid w:val="00D55BE1"/>
    <w:rsid w:val="00D55C97"/>
    <w:rsid w:val="00D72D17"/>
    <w:rsid w:val="00D82754"/>
    <w:rsid w:val="00D914A7"/>
    <w:rsid w:val="00DA075B"/>
    <w:rsid w:val="00DB1D2F"/>
    <w:rsid w:val="00DC4300"/>
    <w:rsid w:val="00DD13C3"/>
    <w:rsid w:val="00DD596E"/>
    <w:rsid w:val="00DD621E"/>
    <w:rsid w:val="00DE3D9F"/>
    <w:rsid w:val="00DF0575"/>
    <w:rsid w:val="00E20734"/>
    <w:rsid w:val="00E40CC2"/>
    <w:rsid w:val="00E61563"/>
    <w:rsid w:val="00E70E04"/>
    <w:rsid w:val="00E76499"/>
    <w:rsid w:val="00E777FD"/>
    <w:rsid w:val="00E85C72"/>
    <w:rsid w:val="00E9006F"/>
    <w:rsid w:val="00E90634"/>
    <w:rsid w:val="00EB1240"/>
    <w:rsid w:val="00EC05A7"/>
    <w:rsid w:val="00EC4B6B"/>
    <w:rsid w:val="00EC6FD0"/>
    <w:rsid w:val="00EF1EE5"/>
    <w:rsid w:val="00F50514"/>
    <w:rsid w:val="00F62C8F"/>
    <w:rsid w:val="00F763B4"/>
    <w:rsid w:val="00F900C3"/>
    <w:rsid w:val="00F9604D"/>
    <w:rsid w:val="00FB4E2D"/>
    <w:rsid w:val="00FC545D"/>
    <w:rsid w:val="00FE57EB"/>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D0784F"/>
  <w15:docId w15:val="{1F4421CB-462F-4342-9320-45430690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qFormat="1"/>
    <w:lsdException w:name="footnote reference" w:semiHidden="1" w:unhideWhenUsed="1" w:qFormat="1"/>
    <w:lsdException w:name="annotation reference" w:semiHidden="1" w:unhideWhenUsed="1" w:qFormat="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lsdException w:name="Emphasis" w:uiPriority="20"/>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56A"/>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1A356A"/>
    <w:pPr>
      <w:bidi w:val="0"/>
      <w:outlineLvl w:val="0"/>
    </w:pPr>
  </w:style>
  <w:style w:type="paragraph" w:styleId="Heading2">
    <w:name w:val="heading 2"/>
    <w:basedOn w:val="Normal"/>
    <w:next w:val="Normal"/>
    <w:link w:val="Heading2Char"/>
    <w:uiPriority w:val="9"/>
    <w:unhideWhenUsed/>
    <w:rsid w:val="001A356A"/>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1A356A"/>
    <w:pPr>
      <w:keepNext/>
      <w:keepLines/>
      <w:spacing w:before="200"/>
      <w:outlineLvl w:val="2"/>
    </w:pPr>
    <w:rPr>
      <w:b/>
      <w:bCs/>
      <w:color w:val="4F81BD"/>
    </w:rPr>
  </w:style>
  <w:style w:type="paragraph" w:styleId="Heading4">
    <w:name w:val="heading 4"/>
    <w:basedOn w:val="Normal"/>
    <w:next w:val="Normal"/>
    <w:link w:val="Heading4Char"/>
    <w:uiPriority w:val="9"/>
    <w:unhideWhenUsed/>
    <w:rsid w:val="001A356A"/>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1A356A"/>
    <w:pPr>
      <w:keepNext/>
      <w:keepLines/>
      <w:spacing w:before="200"/>
      <w:outlineLvl w:val="4"/>
    </w:pPr>
    <w:rPr>
      <w:color w:val="243F60"/>
    </w:rPr>
  </w:style>
  <w:style w:type="paragraph" w:styleId="Heading6">
    <w:name w:val="heading 6"/>
    <w:basedOn w:val="Normal"/>
    <w:next w:val="Normal"/>
    <w:link w:val="Heading6Char"/>
    <w:uiPriority w:val="9"/>
    <w:unhideWhenUsed/>
    <w:rsid w:val="001A356A"/>
    <w:pPr>
      <w:keepNext/>
      <w:keepLines/>
      <w:spacing w:before="200"/>
      <w:outlineLvl w:val="5"/>
    </w:pPr>
    <w:rPr>
      <w:i/>
      <w:iCs/>
      <w:color w:val="243F60"/>
    </w:rPr>
  </w:style>
  <w:style w:type="paragraph" w:styleId="Heading7">
    <w:name w:val="heading 7"/>
    <w:basedOn w:val="Normal"/>
    <w:next w:val="Normal"/>
    <w:link w:val="Heading7Char"/>
    <w:uiPriority w:val="9"/>
    <w:unhideWhenUsed/>
    <w:rsid w:val="001A356A"/>
    <w:pPr>
      <w:keepNext/>
      <w:keepLines/>
      <w:spacing w:before="200"/>
      <w:outlineLvl w:val="6"/>
    </w:pPr>
    <w:rPr>
      <w:i/>
      <w:iCs/>
      <w:color w:val="404040"/>
    </w:rPr>
  </w:style>
  <w:style w:type="paragraph" w:styleId="Heading8">
    <w:name w:val="heading 8"/>
    <w:basedOn w:val="Normal"/>
    <w:next w:val="Normal"/>
    <w:link w:val="Heading8Char"/>
    <w:uiPriority w:val="9"/>
    <w:unhideWhenUsed/>
    <w:rsid w:val="001A356A"/>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1A356A"/>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1A356A"/>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1A356A"/>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link w:val="Char2"/>
    <w:uiPriority w:val="99"/>
    <w:qFormat/>
    <w:rsid w:val="001A356A"/>
    <w:rPr>
      <w:szCs w:val="18"/>
      <w:vertAlign w:val="superscript"/>
    </w:rPr>
  </w:style>
  <w:style w:type="paragraph" w:customStyle="1" w:styleId="HMGA">
    <w:name w:val="_ H __M_GA"/>
    <w:basedOn w:val="Normal"/>
    <w:next w:val="SingleTxtGA"/>
    <w:qFormat/>
    <w:rsid w:val="001A356A"/>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1A356A"/>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1A356A"/>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1A356A"/>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1A356A"/>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1A356A"/>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1A356A"/>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1A356A"/>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1A356A"/>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1A356A"/>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1A356A"/>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1A356A"/>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1A356A"/>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1A356A"/>
    <w:pPr>
      <w:numPr>
        <w:numId w:val="5"/>
      </w:numPr>
      <w:bidi w:val="0"/>
    </w:pPr>
    <w:rPr>
      <w:lang w:val="en-US"/>
    </w:rPr>
  </w:style>
  <w:style w:type="paragraph" w:customStyle="1" w:styleId="Roman1GA">
    <w:name w:val="_Roman 1_GA"/>
    <w:basedOn w:val="Bullet1GA"/>
    <w:qFormat/>
    <w:rsid w:val="001A356A"/>
    <w:pPr>
      <w:numPr>
        <w:numId w:val="6"/>
      </w:numPr>
      <w:tabs>
        <w:tab w:val="clear" w:pos="2310"/>
        <w:tab w:val="left" w:pos="2486"/>
      </w:tabs>
      <w:ind w:left="2486" w:hanging="378"/>
    </w:pPr>
  </w:style>
  <w:style w:type="paragraph" w:customStyle="1" w:styleId="Roman2GA">
    <w:name w:val="_Roman 2_GA"/>
    <w:basedOn w:val="Bullet2GA"/>
    <w:qFormat/>
    <w:rsid w:val="001A356A"/>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1A356A"/>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1A356A"/>
    <w:rPr>
      <w:rFonts w:ascii="Times New Roman" w:eastAsia="PMingLiU" w:hAnsi="Times New Roman" w:cs="Simplified Arabic"/>
      <w:sz w:val="18"/>
      <w:szCs w:val="20"/>
      <w:lang w:val="en-GB"/>
    </w:rPr>
  </w:style>
  <w:style w:type="character" w:customStyle="1" w:styleId="EndtnoteReference">
    <w:name w:val="Endtnote Reference"/>
    <w:aliases w:val="1_GA"/>
    <w:qFormat/>
    <w:rsid w:val="001A356A"/>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1A356A"/>
    <w:pPr>
      <w:suppressAutoHyphens/>
      <w:bidi w:val="0"/>
      <w:spacing w:line="240" w:lineRule="auto"/>
    </w:pPr>
    <w:rPr>
      <w:sz w:val="16"/>
      <w:lang w:val="en-GB"/>
    </w:rPr>
  </w:style>
  <w:style w:type="character" w:customStyle="1" w:styleId="FooterChar">
    <w:name w:val="Footer Char"/>
    <w:aliases w:val="3_GA Char,3_G Char"/>
    <w:link w:val="Footer"/>
    <w:rsid w:val="001A356A"/>
    <w:rPr>
      <w:rFonts w:ascii="Times New Roman" w:eastAsia="PMingLiU" w:hAnsi="Times New Roman" w:cs="Simplified Arabic"/>
      <w:sz w:val="16"/>
      <w:lang w:val="en-GB"/>
    </w:rPr>
  </w:style>
  <w:style w:type="paragraph" w:customStyle="1" w:styleId="FootnoteText1">
    <w:name w:val="Footnote Text1"/>
    <w:aliases w:val="5_GA"/>
    <w:basedOn w:val="Normal"/>
    <w:qFormat/>
    <w:rsid w:val="001A356A"/>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1A356A"/>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1A356A"/>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1A356A"/>
    <w:rPr>
      <w:rFonts w:ascii="Times New Roman" w:eastAsia="PMingLiU" w:hAnsi="Times New Roman" w:cs="Simplified Arabic"/>
      <w:lang w:val="en-GB"/>
    </w:rPr>
  </w:style>
  <w:style w:type="character" w:styleId="PageNumber">
    <w:name w:val="page number"/>
    <w:aliases w:val="7_GA,7_G"/>
    <w:qFormat/>
    <w:rsid w:val="001A356A"/>
    <w:rPr>
      <w:rFonts w:ascii="Times New Roman Bold" w:hAnsi="Times New Roman Bold"/>
      <w:b/>
      <w:i w:val="0"/>
      <w:sz w:val="18"/>
      <w:szCs w:val="18"/>
    </w:rPr>
  </w:style>
  <w:style w:type="paragraph" w:customStyle="1" w:styleId="XXLargeGA">
    <w:name w:val="XXLarge_GA"/>
    <w:basedOn w:val="Normal"/>
    <w:next w:val="SingleTxtGA"/>
    <w:qFormat/>
    <w:rsid w:val="001A356A"/>
    <w:pPr>
      <w:suppressAutoHyphens/>
      <w:spacing w:line="820" w:lineRule="exact"/>
    </w:pPr>
    <w:rPr>
      <w:spacing w:val="-8"/>
      <w:w w:val="96"/>
      <w:sz w:val="57"/>
      <w:szCs w:val="86"/>
      <w:lang w:val="en-GB"/>
    </w:rPr>
  </w:style>
  <w:style w:type="character" w:customStyle="1" w:styleId="Heading2Char">
    <w:name w:val="Heading 2 Char"/>
    <w:link w:val="Heading2"/>
    <w:uiPriority w:val="9"/>
    <w:rsid w:val="001A356A"/>
    <w:rPr>
      <w:rFonts w:ascii="Times New Roman" w:eastAsia="PMingLiU" w:hAnsi="Times New Roman" w:cs="Simplified Arabic"/>
      <w:b/>
      <w:bCs/>
      <w:color w:val="4F81BD"/>
      <w:sz w:val="26"/>
      <w:szCs w:val="26"/>
    </w:rPr>
  </w:style>
  <w:style w:type="character" w:styleId="BookTitle">
    <w:name w:val="Book Title"/>
    <w:uiPriority w:val="33"/>
    <w:rsid w:val="001A356A"/>
    <w:rPr>
      <w:b/>
      <w:bCs/>
      <w:smallCaps/>
      <w:spacing w:val="5"/>
    </w:rPr>
  </w:style>
  <w:style w:type="character" w:customStyle="1" w:styleId="Heading3Char">
    <w:name w:val="Heading 3 Char"/>
    <w:link w:val="Heading3"/>
    <w:uiPriority w:val="9"/>
    <w:rsid w:val="001A356A"/>
    <w:rPr>
      <w:rFonts w:ascii="Times New Roman" w:eastAsia="PMingLiU" w:hAnsi="Times New Roman" w:cs="Simplified Arabic"/>
      <w:b/>
      <w:bCs/>
      <w:color w:val="4F81BD"/>
      <w:sz w:val="20"/>
    </w:rPr>
  </w:style>
  <w:style w:type="character" w:customStyle="1" w:styleId="Heading4Char">
    <w:name w:val="Heading 4 Char"/>
    <w:link w:val="Heading4"/>
    <w:uiPriority w:val="9"/>
    <w:rsid w:val="001A356A"/>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1A356A"/>
    <w:rPr>
      <w:rFonts w:ascii="Times New Roman" w:eastAsia="PMingLiU" w:hAnsi="Times New Roman" w:cs="Simplified Arabic"/>
      <w:color w:val="243F60"/>
      <w:sz w:val="20"/>
    </w:rPr>
  </w:style>
  <w:style w:type="character" w:customStyle="1" w:styleId="Heading6Char">
    <w:name w:val="Heading 6 Char"/>
    <w:link w:val="Heading6"/>
    <w:uiPriority w:val="9"/>
    <w:rsid w:val="001A356A"/>
    <w:rPr>
      <w:rFonts w:ascii="Times New Roman" w:eastAsia="PMingLiU" w:hAnsi="Times New Roman" w:cs="Simplified Arabic"/>
      <w:i/>
      <w:iCs/>
      <w:color w:val="243F60"/>
      <w:sz w:val="20"/>
    </w:rPr>
  </w:style>
  <w:style w:type="character" w:customStyle="1" w:styleId="Heading7Char">
    <w:name w:val="Heading 7 Char"/>
    <w:link w:val="Heading7"/>
    <w:uiPriority w:val="9"/>
    <w:rsid w:val="001A356A"/>
    <w:rPr>
      <w:rFonts w:ascii="Times New Roman" w:eastAsia="PMingLiU" w:hAnsi="Times New Roman" w:cs="Simplified Arabic"/>
      <w:i/>
      <w:iCs/>
      <w:color w:val="404040"/>
      <w:sz w:val="20"/>
    </w:rPr>
  </w:style>
  <w:style w:type="character" w:customStyle="1" w:styleId="Heading8Char">
    <w:name w:val="Heading 8 Char"/>
    <w:link w:val="Heading8"/>
    <w:uiPriority w:val="9"/>
    <w:rsid w:val="001A356A"/>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1A356A"/>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1A356A"/>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1A356A"/>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1A356A"/>
    <w:pPr>
      <w:numPr>
        <w:ilvl w:val="1"/>
      </w:numPr>
    </w:pPr>
    <w:rPr>
      <w:i/>
      <w:iCs/>
      <w:color w:val="4F81BD"/>
      <w:spacing w:val="15"/>
      <w:sz w:val="24"/>
      <w:szCs w:val="24"/>
    </w:rPr>
  </w:style>
  <w:style w:type="character" w:customStyle="1" w:styleId="SubtitleChar">
    <w:name w:val="Subtitle Char"/>
    <w:link w:val="Subtitle"/>
    <w:uiPriority w:val="11"/>
    <w:rsid w:val="001A356A"/>
    <w:rPr>
      <w:rFonts w:ascii="Times New Roman" w:eastAsia="PMingLiU" w:hAnsi="Times New Roman" w:cs="Simplified Arabic"/>
      <w:i/>
      <w:iCs/>
      <w:color w:val="4F81BD"/>
      <w:spacing w:val="15"/>
      <w:sz w:val="24"/>
      <w:szCs w:val="24"/>
    </w:rPr>
  </w:style>
  <w:style w:type="character" w:styleId="SubtleEmphasis">
    <w:name w:val="Subtle Emphasis"/>
    <w:uiPriority w:val="19"/>
    <w:rsid w:val="001A356A"/>
    <w:rPr>
      <w:i/>
      <w:iCs/>
      <w:color w:val="808080"/>
    </w:rPr>
  </w:style>
  <w:style w:type="table" w:styleId="ColorfulGrid-Accent6">
    <w:name w:val="Colorful Grid Accent 6"/>
    <w:basedOn w:val="TableNormal"/>
    <w:uiPriority w:val="73"/>
    <w:rsid w:val="001A356A"/>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1A356A"/>
    <w:rPr>
      <w:i/>
      <w:iCs/>
    </w:rPr>
  </w:style>
  <w:style w:type="character" w:styleId="IntenseEmphasis">
    <w:name w:val="Intense Emphasis"/>
    <w:uiPriority w:val="21"/>
    <w:rsid w:val="001A356A"/>
    <w:rPr>
      <w:b/>
      <w:bCs/>
      <w:i/>
      <w:iCs/>
      <w:color w:val="4F81BD"/>
    </w:rPr>
  </w:style>
  <w:style w:type="character" w:styleId="Strong">
    <w:name w:val="Strong"/>
    <w:uiPriority w:val="22"/>
    <w:rsid w:val="001A356A"/>
    <w:rPr>
      <w:b/>
      <w:bCs/>
    </w:rPr>
  </w:style>
  <w:style w:type="paragraph" w:styleId="Quote">
    <w:name w:val="Quote"/>
    <w:basedOn w:val="Normal"/>
    <w:next w:val="Normal"/>
    <w:link w:val="QuoteChar"/>
    <w:uiPriority w:val="29"/>
    <w:rsid w:val="001A356A"/>
    <w:rPr>
      <w:i/>
      <w:iCs/>
      <w:color w:val="000000"/>
    </w:rPr>
  </w:style>
  <w:style w:type="character" w:customStyle="1" w:styleId="QuoteChar">
    <w:name w:val="Quote Char"/>
    <w:link w:val="Quote"/>
    <w:uiPriority w:val="29"/>
    <w:rsid w:val="001A356A"/>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1A356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A356A"/>
    <w:rPr>
      <w:rFonts w:ascii="Times New Roman" w:eastAsia="PMingLiU" w:hAnsi="Times New Roman" w:cs="Simplified Arabic"/>
      <w:b/>
      <w:bCs/>
      <w:i/>
      <w:iCs/>
      <w:color w:val="4F81BD"/>
      <w:sz w:val="20"/>
    </w:rPr>
  </w:style>
  <w:style w:type="character" w:styleId="SubtleReference">
    <w:name w:val="Subtle Reference"/>
    <w:uiPriority w:val="31"/>
    <w:rsid w:val="001A356A"/>
    <w:rPr>
      <w:smallCaps/>
      <w:color w:val="C0504D"/>
      <w:u w:val="single"/>
    </w:rPr>
  </w:style>
  <w:style w:type="character" w:styleId="IntenseReference">
    <w:name w:val="Intense Reference"/>
    <w:uiPriority w:val="32"/>
    <w:rsid w:val="001A356A"/>
    <w:rPr>
      <w:b/>
      <w:bCs/>
      <w:smallCaps/>
      <w:color w:val="C0504D"/>
      <w:spacing w:val="5"/>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1A356A"/>
    <w:pPr>
      <w:ind w:left="720"/>
    </w:pPr>
  </w:style>
  <w:style w:type="table" w:styleId="MediumShading1-Accent4">
    <w:name w:val="Medium Shading 1 Accent 4"/>
    <w:basedOn w:val="TableNormal"/>
    <w:uiPriority w:val="63"/>
    <w:rsid w:val="001A356A"/>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1A356A"/>
    <w:rPr>
      <w:rFonts w:eastAsia="MS Mincho"/>
      <w:sz w:val="18"/>
      <w:vertAlign w:val="superscript"/>
    </w:rPr>
  </w:style>
  <w:style w:type="table" w:styleId="TableGrid">
    <w:name w:val="Table Grid"/>
    <w:basedOn w:val="TableNormal"/>
    <w:rsid w:val="001A356A"/>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356A"/>
    <w:pPr>
      <w:spacing w:line="240" w:lineRule="auto"/>
    </w:pPr>
    <w:rPr>
      <w:sz w:val="16"/>
      <w:szCs w:val="16"/>
    </w:rPr>
  </w:style>
  <w:style w:type="character" w:customStyle="1" w:styleId="BalloonTextChar">
    <w:name w:val="Balloon Text Char"/>
    <w:link w:val="BalloonText"/>
    <w:uiPriority w:val="99"/>
    <w:semiHidden/>
    <w:rsid w:val="001A356A"/>
    <w:rPr>
      <w:rFonts w:ascii="Times New Roman" w:eastAsia="PMingLiU" w:hAnsi="Times New Roman" w:cs="Simplified Arabic"/>
      <w:sz w:val="16"/>
      <w:szCs w:val="16"/>
    </w:rPr>
  </w:style>
  <w:style w:type="character" w:styleId="Hyperlink">
    <w:name w:val="Hyperlink"/>
    <w:uiPriority w:val="99"/>
    <w:unhideWhenUsed/>
    <w:rsid w:val="001A356A"/>
    <w:rPr>
      <w:color w:val="0000FF"/>
      <w:u w:val="none"/>
    </w:rPr>
  </w:style>
  <w:style w:type="paragraph" w:styleId="TOC1">
    <w:name w:val="toc 1"/>
    <w:basedOn w:val="Normal"/>
    <w:link w:val="TOC1Char"/>
    <w:autoRedefine/>
    <w:uiPriority w:val="39"/>
    <w:unhideWhenUsed/>
    <w:rsid w:val="001A356A"/>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1A356A"/>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1A356A"/>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1A356A"/>
    <w:rPr>
      <w:rFonts w:eastAsia="DengXian"/>
      <w:color w:val="auto"/>
      <w:sz w:val="20"/>
      <w:szCs w:val="20"/>
      <w:u w:val="none"/>
      <w:lang w:eastAsia="zh-CN" w:bidi="ar-EG"/>
    </w:rPr>
  </w:style>
  <w:style w:type="paragraph" w:styleId="TOC4">
    <w:name w:val="toc 4"/>
    <w:basedOn w:val="Normal"/>
    <w:link w:val="TOC4Char"/>
    <w:autoRedefine/>
    <w:uiPriority w:val="39"/>
    <w:unhideWhenUsed/>
    <w:rsid w:val="001A356A"/>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1A356A"/>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1A356A"/>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1A356A"/>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1A356A"/>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1A356A"/>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1A356A"/>
    <w:rPr>
      <w:color w:val="605E5C"/>
      <w:shd w:val="clear" w:color="auto" w:fill="E1DFDD"/>
    </w:rPr>
  </w:style>
  <w:style w:type="character" w:customStyle="1" w:styleId="TOC1Char">
    <w:name w:val="TOC 1 Char"/>
    <w:basedOn w:val="DefaultParagraphFont"/>
    <w:link w:val="TOC1"/>
    <w:uiPriority w:val="39"/>
    <w:rsid w:val="001A356A"/>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1A356A"/>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1A356A"/>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1A356A"/>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1A356A"/>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1A356A"/>
    <w:rPr>
      <w:rFonts w:ascii="Times New Roman" w:eastAsia="PMingLiU" w:hAnsi="Times New Roman" w:cs="Simplified Arabic"/>
      <w:sz w:val="20"/>
      <w:szCs w:val="20"/>
      <w:lang w:val="en-GB"/>
    </w:rPr>
  </w:style>
  <w:style w:type="paragraph" w:customStyle="1" w:styleId="SessionDate">
    <w:name w:val="Session_Date"/>
    <w:basedOn w:val="Normal"/>
    <w:qFormat/>
    <w:rsid w:val="001A356A"/>
    <w:pPr>
      <w:spacing w:before="240" w:after="240" w:line="460" w:lineRule="exact"/>
      <w:ind w:left="1247"/>
    </w:pPr>
    <w:rPr>
      <w:b/>
      <w:bCs/>
      <w:sz w:val="32"/>
      <w:szCs w:val="44"/>
    </w:rPr>
  </w:style>
  <w:style w:type="paragraph" w:customStyle="1" w:styleId="SessionNumber">
    <w:name w:val="Session_Number"/>
    <w:basedOn w:val="Normal"/>
    <w:qFormat/>
    <w:rsid w:val="001A356A"/>
    <w:pPr>
      <w:spacing w:line="480" w:lineRule="exact"/>
      <w:ind w:left="1247"/>
    </w:pPr>
    <w:rPr>
      <w:b/>
      <w:bCs/>
      <w:sz w:val="28"/>
      <w:szCs w:val="38"/>
    </w:rPr>
  </w:style>
  <w:style w:type="paragraph" w:customStyle="1" w:styleId="CityandYear">
    <w:name w:val="City and Year"/>
    <w:basedOn w:val="SingleTxtGA"/>
    <w:qFormat/>
    <w:rsid w:val="001A356A"/>
    <w:pPr>
      <w:spacing w:line="480" w:lineRule="exact"/>
    </w:pPr>
    <w:rPr>
      <w:b/>
      <w:bCs/>
      <w:sz w:val="30"/>
      <w:szCs w:val="38"/>
      <w:lang w:eastAsia="ar-SA"/>
    </w:rPr>
  </w:style>
  <w:style w:type="paragraph" w:customStyle="1" w:styleId="NormalA">
    <w:name w:val="Normal_A"/>
    <w:basedOn w:val="Normal"/>
    <w:qFormat/>
    <w:rsid w:val="001A356A"/>
  </w:style>
  <w:style w:type="paragraph" w:customStyle="1" w:styleId="SingleTxtG">
    <w:name w:val="_ Single Txt_G"/>
    <w:basedOn w:val="Normal"/>
    <w:link w:val="SingleTxtGChar"/>
    <w:qFormat/>
    <w:rsid w:val="001A356A"/>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1A356A"/>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qFormat/>
    <w:rsid w:val="001A356A"/>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1A356A"/>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1A356A"/>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1A356A"/>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1A356A"/>
    <w:rPr>
      <w:sz w:val="44"/>
      <w:szCs w:val="44"/>
      <w:lang w:val="en-US" w:bidi="ar-DZ"/>
    </w:rPr>
  </w:style>
  <w:style w:type="paragraph" w:customStyle="1" w:styleId="FootnoteGA0">
    <w:name w:val="Footnote_GA"/>
    <w:basedOn w:val="Normal"/>
    <w:qFormat/>
    <w:rsid w:val="001A356A"/>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1A356A"/>
    <w:pPr>
      <w:keepNext/>
      <w:keepLines/>
      <w:spacing w:after="120" w:line="400" w:lineRule="exact"/>
      <w:outlineLvl w:val="0"/>
    </w:pPr>
    <w:rPr>
      <w:b/>
      <w:bCs/>
      <w:kern w:val="14"/>
      <w:sz w:val="24"/>
      <w:szCs w:val="32"/>
    </w:rPr>
  </w:style>
  <w:style w:type="paragraph" w:customStyle="1" w:styleId="HCh">
    <w:name w:val="_ H _Ch"/>
    <w:basedOn w:val="H1"/>
    <w:next w:val="SingleTxt"/>
    <w:qFormat/>
    <w:rsid w:val="001A356A"/>
    <w:pPr>
      <w:spacing w:line="440" w:lineRule="exact"/>
    </w:pPr>
    <w:rPr>
      <w:spacing w:val="-2"/>
      <w:sz w:val="28"/>
      <w:szCs w:val="36"/>
    </w:rPr>
  </w:style>
  <w:style w:type="character" w:styleId="CommentReference">
    <w:name w:val="annotation reference"/>
    <w:uiPriority w:val="99"/>
    <w:semiHidden/>
    <w:rsid w:val="001A356A"/>
    <w:rPr>
      <w:sz w:val="6"/>
      <w:szCs w:val="9"/>
    </w:rPr>
  </w:style>
  <w:style w:type="paragraph" w:customStyle="1" w:styleId="HM">
    <w:name w:val="_ H __M"/>
    <w:basedOn w:val="HCh"/>
    <w:next w:val="Normal"/>
    <w:qFormat/>
    <w:rsid w:val="001A356A"/>
    <w:pPr>
      <w:suppressAutoHyphens/>
      <w:spacing w:line="520" w:lineRule="exact"/>
    </w:pPr>
    <w:rPr>
      <w:spacing w:val="-3"/>
      <w:sz w:val="34"/>
      <w:szCs w:val="48"/>
    </w:rPr>
  </w:style>
  <w:style w:type="paragraph" w:customStyle="1" w:styleId="SingleTxt">
    <w:name w:val="__Single Txt"/>
    <w:basedOn w:val="SingleTxtG"/>
    <w:qFormat/>
    <w:rsid w:val="001A356A"/>
  </w:style>
  <w:style w:type="paragraph" w:customStyle="1" w:styleId="H23">
    <w:name w:val="_ H_2/3"/>
    <w:basedOn w:val="H1"/>
    <w:next w:val="Normal"/>
    <w:qFormat/>
    <w:rsid w:val="001A356A"/>
    <w:pPr>
      <w:suppressAutoHyphens/>
      <w:spacing w:line="360" w:lineRule="exact"/>
      <w:outlineLvl w:val="1"/>
    </w:pPr>
    <w:rPr>
      <w:spacing w:val="2"/>
      <w:sz w:val="20"/>
      <w:szCs w:val="28"/>
    </w:rPr>
  </w:style>
  <w:style w:type="paragraph" w:customStyle="1" w:styleId="H4">
    <w:name w:val="_ H_4"/>
    <w:basedOn w:val="Normal"/>
    <w:next w:val="Normal"/>
    <w:qFormat/>
    <w:rsid w:val="001A356A"/>
    <w:pPr>
      <w:keepNext/>
      <w:keepLines/>
      <w:spacing w:after="120" w:line="360" w:lineRule="exact"/>
      <w:outlineLvl w:val="3"/>
    </w:pPr>
    <w:rPr>
      <w:i/>
      <w:iCs/>
      <w:kern w:val="14"/>
      <w:szCs w:val="28"/>
    </w:rPr>
  </w:style>
  <w:style w:type="paragraph" w:customStyle="1" w:styleId="H56">
    <w:name w:val="_ H_5/6"/>
    <w:basedOn w:val="Normal"/>
    <w:next w:val="Normal"/>
    <w:qFormat/>
    <w:rsid w:val="001A356A"/>
    <w:pPr>
      <w:keepNext/>
      <w:keepLines/>
      <w:spacing w:after="120" w:line="360" w:lineRule="exact"/>
      <w:outlineLvl w:val="4"/>
    </w:pPr>
    <w:rPr>
      <w:kern w:val="14"/>
      <w:szCs w:val="28"/>
    </w:rPr>
  </w:style>
  <w:style w:type="paragraph" w:customStyle="1" w:styleId="DualTxt">
    <w:name w:val="__Dual Txt"/>
    <w:basedOn w:val="Normal"/>
    <w:qFormat/>
    <w:rsid w:val="001A356A"/>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1A356A"/>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1A356A"/>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1A356A"/>
    <w:pPr>
      <w:spacing w:after="120" w:line="440" w:lineRule="exact"/>
      <w:jc w:val="center"/>
    </w:pPr>
    <w:rPr>
      <w:b/>
      <w:bCs/>
      <w:sz w:val="25"/>
      <w:szCs w:val="38"/>
    </w:rPr>
  </w:style>
  <w:style w:type="paragraph" w:customStyle="1" w:styleId="JH1">
    <w:name w:val="J_H_1"/>
    <w:basedOn w:val="JCH"/>
    <w:qFormat/>
    <w:rsid w:val="001A356A"/>
    <w:pPr>
      <w:spacing w:line="420" w:lineRule="exact"/>
    </w:pPr>
    <w:rPr>
      <w:sz w:val="23"/>
      <w:szCs w:val="34"/>
    </w:rPr>
  </w:style>
  <w:style w:type="paragraph" w:customStyle="1" w:styleId="JH2">
    <w:name w:val="J_H_2"/>
    <w:basedOn w:val="JH1"/>
    <w:qFormat/>
    <w:rsid w:val="001A356A"/>
    <w:pPr>
      <w:spacing w:line="400" w:lineRule="exact"/>
    </w:pPr>
    <w:rPr>
      <w:sz w:val="20"/>
      <w:szCs w:val="30"/>
    </w:rPr>
  </w:style>
  <w:style w:type="paragraph" w:customStyle="1" w:styleId="JSmall">
    <w:name w:val="J_Small"/>
    <w:basedOn w:val="JSingleTxt"/>
    <w:next w:val="JSingleTxt"/>
    <w:qFormat/>
    <w:rsid w:val="001A356A"/>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1A356A"/>
    <w:pPr>
      <w:tabs>
        <w:tab w:val="right" w:leader="dot" w:pos="360"/>
      </w:tabs>
      <w:spacing w:line="310" w:lineRule="exact"/>
      <w:jc w:val="right"/>
    </w:pPr>
    <w:rPr>
      <w:spacing w:val="5"/>
      <w:w w:val="104"/>
      <w:kern w:val="14"/>
      <w:sz w:val="17"/>
      <w:szCs w:val="25"/>
    </w:rPr>
  </w:style>
  <w:style w:type="character" w:styleId="LineNumber">
    <w:name w:val="line number"/>
    <w:qFormat/>
    <w:rsid w:val="001A356A"/>
    <w:rPr>
      <w:sz w:val="14"/>
      <w:szCs w:val="16"/>
    </w:rPr>
  </w:style>
  <w:style w:type="paragraph" w:customStyle="1" w:styleId="SmallX">
    <w:name w:val="SmallX"/>
    <w:basedOn w:val="Small"/>
    <w:next w:val="Normal"/>
    <w:qFormat/>
    <w:rsid w:val="001A356A"/>
    <w:pPr>
      <w:spacing w:line="240" w:lineRule="exact"/>
    </w:pPr>
    <w:rPr>
      <w:spacing w:val="6"/>
      <w:w w:val="106"/>
      <w:sz w:val="14"/>
      <w:szCs w:val="21"/>
    </w:rPr>
  </w:style>
  <w:style w:type="paragraph" w:customStyle="1" w:styleId="XLarge">
    <w:name w:val="XLarge"/>
    <w:basedOn w:val="HM"/>
    <w:qFormat/>
    <w:rsid w:val="001A356A"/>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1A356A"/>
    <w:pPr>
      <w:spacing w:line="820" w:lineRule="exact"/>
    </w:pPr>
    <w:rPr>
      <w:spacing w:val="-8"/>
      <w:w w:val="96"/>
      <w:sz w:val="57"/>
      <w:szCs w:val="86"/>
    </w:rPr>
  </w:style>
  <w:style w:type="paragraph" w:customStyle="1" w:styleId="Distribution">
    <w:name w:val="Distribution"/>
    <w:basedOn w:val="Normal"/>
    <w:next w:val="Normal"/>
    <w:qFormat/>
    <w:rsid w:val="001A356A"/>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1A356A"/>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1A356A"/>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1A356A"/>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1A356A"/>
    <w:pPr>
      <w:tabs>
        <w:tab w:val="left" w:pos="662"/>
        <w:tab w:val="left" w:pos="1267"/>
        <w:tab w:val="left" w:pos="1987"/>
        <w:tab w:val="left" w:pos="2650"/>
      </w:tabs>
      <w:spacing w:after="0"/>
      <w:ind w:left="662" w:hanging="662"/>
    </w:pPr>
  </w:style>
  <w:style w:type="paragraph" w:customStyle="1" w:styleId="Committee">
    <w:name w:val="Committee"/>
    <w:basedOn w:val="H1"/>
    <w:qFormat/>
    <w:rsid w:val="001A356A"/>
    <w:pPr>
      <w:tabs>
        <w:tab w:val="left" w:pos="662"/>
        <w:tab w:val="left" w:pos="1267"/>
        <w:tab w:val="left" w:pos="1987"/>
        <w:tab w:val="left" w:pos="2650"/>
      </w:tabs>
      <w:ind w:right="1264"/>
    </w:pPr>
  </w:style>
  <w:style w:type="paragraph" w:customStyle="1" w:styleId="AgendaItemNormal">
    <w:name w:val="Agenda_Item_Normal"/>
    <w:next w:val="Normal"/>
    <w:qFormat/>
    <w:rsid w:val="001A356A"/>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1A356A"/>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1A356A"/>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1A356A"/>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1A356A"/>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1A356A"/>
    <w:rPr>
      <w:i w:val="0"/>
      <w:color w:val="0000FF"/>
      <w:u w:val="none"/>
    </w:rPr>
  </w:style>
  <w:style w:type="paragraph" w:customStyle="1" w:styleId="Bullet1">
    <w:name w:val="Bullet 1"/>
    <w:basedOn w:val="Normal"/>
    <w:qFormat/>
    <w:rsid w:val="001A356A"/>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1A356A"/>
    <w:pPr>
      <w:numPr>
        <w:numId w:val="14"/>
      </w:numPr>
      <w:spacing w:after="120" w:line="360" w:lineRule="exact"/>
      <w:ind w:right="1264"/>
    </w:pPr>
    <w:rPr>
      <w:kern w:val="14"/>
      <w:szCs w:val="28"/>
    </w:rPr>
  </w:style>
  <w:style w:type="paragraph" w:customStyle="1" w:styleId="Bullet3">
    <w:name w:val="Bullet 3"/>
    <w:basedOn w:val="SingleTxt"/>
    <w:qFormat/>
    <w:rsid w:val="001A356A"/>
    <w:pPr>
      <w:numPr>
        <w:numId w:val="15"/>
      </w:numPr>
      <w:tabs>
        <w:tab w:val="num" w:pos="2495"/>
      </w:tabs>
      <w:ind w:left="2495" w:hanging="545"/>
    </w:pPr>
  </w:style>
  <w:style w:type="paragraph" w:customStyle="1" w:styleId="AgendaTitleH2">
    <w:name w:val="Agenda_Title_H2"/>
    <w:basedOn w:val="H1"/>
    <w:next w:val="Normal"/>
    <w:qFormat/>
    <w:rsid w:val="001A356A"/>
    <w:pPr>
      <w:ind w:right="5760"/>
      <w:outlineLvl w:val="1"/>
    </w:pPr>
    <w:rPr>
      <w:spacing w:val="2"/>
      <w:sz w:val="20"/>
      <w:szCs w:val="28"/>
    </w:rPr>
  </w:style>
  <w:style w:type="paragraph" w:customStyle="1" w:styleId="STitleM">
    <w:name w:val="S_Title_M"/>
    <w:basedOn w:val="Normal"/>
    <w:next w:val="Normal"/>
    <w:qFormat/>
    <w:rsid w:val="001A356A"/>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1A356A"/>
    <w:pPr>
      <w:spacing w:line="600" w:lineRule="exact"/>
      <w:ind w:left="1267" w:right="1267"/>
    </w:pPr>
    <w:rPr>
      <w:w w:val="103"/>
      <w:sz w:val="60"/>
      <w:szCs w:val="60"/>
    </w:rPr>
  </w:style>
  <w:style w:type="paragraph" w:customStyle="1" w:styleId="STitleL">
    <w:name w:val="S_Title_L"/>
    <w:basedOn w:val="XLarge"/>
    <w:next w:val="Normal"/>
    <w:qFormat/>
    <w:rsid w:val="001A356A"/>
    <w:rPr>
      <w:spacing w:val="-8"/>
      <w:w w:val="96"/>
      <w:sz w:val="57"/>
    </w:rPr>
  </w:style>
  <w:style w:type="paragraph" w:styleId="CommentText">
    <w:name w:val="annotation text"/>
    <w:basedOn w:val="Normal"/>
    <w:link w:val="CommentTextChar"/>
    <w:uiPriority w:val="99"/>
    <w:semiHidden/>
    <w:unhideWhenUsed/>
    <w:rsid w:val="001A356A"/>
    <w:pPr>
      <w:spacing w:line="240" w:lineRule="auto"/>
    </w:pPr>
    <w:rPr>
      <w:kern w:val="14"/>
    </w:rPr>
  </w:style>
  <w:style w:type="character" w:customStyle="1" w:styleId="CommentTextChar">
    <w:name w:val="Comment Text Char"/>
    <w:basedOn w:val="DefaultParagraphFont"/>
    <w:link w:val="CommentText"/>
    <w:uiPriority w:val="99"/>
    <w:semiHidden/>
    <w:rsid w:val="001A356A"/>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1A356A"/>
    <w:rPr>
      <w:b/>
      <w:bCs/>
    </w:rPr>
  </w:style>
  <w:style w:type="character" w:customStyle="1" w:styleId="CommentSubjectChar">
    <w:name w:val="Comment Subject Char"/>
    <w:basedOn w:val="CommentTextChar"/>
    <w:link w:val="CommentSubject"/>
    <w:uiPriority w:val="99"/>
    <w:semiHidden/>
    <w:rsid w:val="001A356A"/>
    <w:rPr>
      <w:rFonts w:ascii="Times New Roman" w:eastAsia="PMingLiU" w:hAnsi="Times New Roman" w:cs="Simplified Arabic"/>
      <w:b/>
      <w:bCs/>
      <w:kern w:val="14"/>
      <w:sz w:val="20"/>
    </w:rPr>
  </w:style>
  <w:style w:type="paragraph" w:customStyle="1" w:styleId="Bullet1G">
    <w:name w:val="_Bullet 1_G"/>
    <w:basedOn w:val="Normal"/>
    <w:qFormat/>
    <w:rsid w:val="001A356A"/>
    <w:pPr>
      <w:numPr>
        <w:numId w:val="16"/>
      </w:numPr>
      <w:bidi w:val="0"/>
      <w:spacing w:after="120"/>
      <w:ind w:right="1134"/>
      <w:jc w:val="both"/>
    </w:pPr>
    <w:rPr>
      <w:sz w:val="22"/>
    </w:rPr>
  </w:style>
  <w:style w:type="character" w:customStyle="1" w:styleId="SingleTxtGChar">
    <w:name w:val="_ Single Txt_G Char"/>
    <w:link w:val="SingleTxtG"/>
    <w:rsid w:val="001A356A"/>
    <w:rPr>
      <w:rFonts w:ascii="Times New Roman" w:eastAsia="PMingLiU" w:hAnsi="Times New Roman" w:cs="Simplified Arabic"/>
      <w:sz w:val="20"/>
      <w:szCs w:val="20"/>
      <w:lang w:val="en-GB"/>
    </w:rPr>
  </w:style>
  <w:style w:type="paragraph" w:customStyle="1" w:styleId="Preparedby">
    <w:name w:val="Prepared by:"/>
    <w:basedOn w:val="H23GA"/>
    <w:qFormat/>
    <w:rsid w:val="001A356A"/>
    <w:rPr>
      <w:sz w:val="32"/>
      <w:szCs w:val="32"/>
    </w:rPr>
  </w:style>
  <w:style w:type="paragraph" w:customStyle="1" w:styleId="ParaNoG">
    <w:name w:val="_ParaNo._G"/>
    <w:basedOn w:val="SingleTxtG"/>
    <w:rsid w:val="001A356A"/>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1A356A"/>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1A356A"/>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1A356A"/>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1A356A"/>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1A356A"/>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1A356A"/>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1A356A"/>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rsid w:val="001A356A"/>
    <w:pPr>
      <w:spacing w:after="0" w:line="240" w:lineRule="auto"/>
    </w:pPr>
    <w:rPr>
      <w:rFonts w:eastAsiaTheme="minorEastAsia"/>
      <w:sz w:val="24"/>
      <w:szCs w:val="24"/>
      <w:lang w:val="fr-FR" w:eastAsia="fr-FR"/>
    </w:rPr>
  </w:style>
  <w:style w:type="paragraph" w:customStyle="1" w:styleId="Default">
    <w:name w:val="Default"/>
    <w:semiHidden/>
    <w:rsid w:val="001A356A"/>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1A356A"/>
  </w:style>
  <w:style w:type="character" w:customStyle="1" w:styleId="preferred">
    <w:name w:val="preferred"/>
    <w:basedOn w:val="DefaultParagraphFont"/>
    <w:rsid w:val="001A356A"/>
  </w:style>
  <w:style w:type="character" w:customStyle="1" w:styleId="admitted">
    <w:name w:val="admitted"/>
    <w:basedOn w:val="DefaultParagraphFont"/>
    <w:rsid w:val="001A356A"/>
  </w:style>
  <w:style w:type="paragraph" w:styleId="TOC7">
    <w:name w:val="toc 7"/>
    <w:basedOn w:val="Normal"/>
    <w:next w:val="Normal"/>
    <w:autoRedefine/>
    <w:uiPriority w:val="39"/>
    <w:unhideWhenUsed/>
    <w:rsid w:val="003A4ADA"/>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3A4ADA"/>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3A4ADA"/>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uiPriority w:val="99"/>
    <w:rsid w:val="001A356A"/>
    <w:pPr>
      <w:bidi w:val="0"/>
      <w:spacing w:after="160" w:line="240" w:lineRule="exact"/>
      <w:jc w:val="both"/>
    </w:pPr>
    <w:rPr>
      <w:rFonts w:asciiTheme="minorHAnsi" w:eastAsia="Times New Roman" w:hAnsiTheme="minorHAnsi" w:cstheme="minorBidi"/>
      <w:sz w:val="22"/>
      <w:szCs w:val="18"/>
      <w:vertAlign w:val="superscript"/>
    </w:rPr>
  </w:style>
  <w:style w:type="paragraph" w:styleId="PlainText">
    <w:name w:val="Plain Text"/>
    <w:basedOn w:val="Normal"/>
    <w:link w:val="PlainTextChar"/>
    <w:semiHidden/>
    <w:qFormat/>
    <w:rsid w:val="00DE3D9F"/>
    <w:pPr>
      <w:suppressAutoHyphens/>
      <w:bidi w:val="0"/>
      <w:jc w:val="left"/>
    </w:pPr>
    <w:rPr>
      <w:rFonts w:eastAsia="Times New Roman" w:cs="Courier New" w:hint="cs"/>
      <w:szCs w:val="30"/>
      <w:lang w:val="en-GB" w:eastAsia="zh-CN"/>
    </w:rPr>
  </w:style>
  <w:style w:type="character" w:customStyle="1" w:styleId="PlainTextChar">
    <w:name w:val="Plain Text Char"/>
    <w:basedOn w:val="DefaultParagraphFont"/>
    <w:link w:val="PlainText"/>
    <w:semiHidden/>
    <w:rsid w:val="00DE3D9F"/>
    <w:rPr>
      <w:rFonts w:ascii="Times New Roman" w:hAnsi="Times New Roman" w:cs="Courier New"/>
      <w:sz w:val="20"/>
      <w:szCs w:val="30"/>
      <w:lang w:val="en-GB" w:eastAsia="zh-CN"/>
    </w:rPr>
  </w:style>
  <w:style w:type="paragraph" w:styleId="EnvelopeReturn">
    <w:name w:val="envelope return"/>
    <w:basedOn w:val="Normal"/>
    <w:semiHidden/>
    <w:qFormat/>
    <w:rsid w:val="00DE3D9F"/>
    <w:pPr>
      <w:suppressAutoHyphens/>
      <w:bidi w:val="0"/>
      <w:jc w:val="left"/>
    </w:pPr>
    <w:rPr>
      <w:rFonts w:ascii="Arial" w:eastAsia="Times New Roman" w:hAnsi="Arial" w:cs="Arial" w:hint="cs"/>
      <w:szCs w:val="30"/>
      <w:lang w:val="en-GB" w:eastAsia="zh-CN"/>
    </w:rPr>
  </w:style>
  <w:style w:type="paragraph" w:styleId="MessageHeader">
    <w:name w:val="Message Header"/>
    <w:basedOn w:val="Normal"/>
    <w:link w:val="MessageHeaderChar"/>
    <w:semiHidden/>
    <w:rsid w:val="00DE3D9F"/>
    <w:pPr>
      <w:pBdr>
        <w:top w:val="single" w:sz="6" w:space="1" w:color="auto"/>
        <w:left w:val="single" w:sz="6" w:space="1" w:color="auto"/>
        <w:bottom w:val="single" w:sz="6" w:space="1" w:color="auto"/>
        <w:right w:val="single" w:sz="6" w:space="1" w:color="auto"/>
      </w:pBdr>
      <w:shd w:val="pct20" w:color="auto" w:fill="auto"/>
      <w:suppressAutoHyphens/>
      <w:bidi w:val="0"/>
      <w:ind w:left="1134" w:hanging="1134"/>
      <w:jc w:val="left"/>
    </w:pPr>
    <w:rPr>
      <w:rFonts w:ascii="Arial" w:eastAsia="Times New Roman" w:hAnsi="Arial" w:cs="Arial" w:hint="cs"/>
      <w:sz w:val="24"/>
      <w:szCs w:val="24"/>
      <w:lang w:val="en-GB" w:eastAsia="zh-CN"/>
    </w:rPr>
  </w:style>
  <w:style w:type="character" w:customStyle="1" w:styleId="MessageHeaderChar">
    <w:name w:val="Message Header Char"/>
    <w:basedOn w:val="DefaultParagraphFont"/>
    <w:link w:val="MessageHeader"/>
    <w:semiHidden/>
    <w:rsid w:val="00DE3D9F"/>
    <w:rPr>
      <w:rFonts w:ascii="Arial" w:hAnsi="Arial" w:cs="Arial"/>
      <w:sz w:val="24"/>
      <w:szCs w:val="24"/>
      <w:shd w:val="pct20" w:color="auto" w:fill="auto"/>
      <w:lang w:val="en-GB" w:eastAsia="zh-CN"/>
    </w:rPr>
  </w:style>
  <w:style w:type="paragraph" w:styleId="EnvelopeAddress">
    <w:name w:val="envelope address"/>
    <w:basedOn w:val="Normal"/>
    <w:semiHidden/>
    <w:rsid w:val="00DE3D9F"/>
    <w:pPr>
      <w:framePr w:w="7920" w:h="1980" w:hRule="exact" w:hSpace="180" w:wrap="auto" w:hAnchor="page" w:xAlign="center" w:yAlign="bottom"/>
      <w:suppressAutoHyphens/>
      <w:bidi w:val="0"/>
      <w:ind w:left="2880"/>
      <w:jc w:val="left"/>
    </w:pPr>
    <w:rPr>
      <w:rFonts w:ascii="Arial" w:eastAsia="Times New Roman" w:hAnsi="Arial" w:cs="Arial" w:hint="cs"/>
      <w:sz w:val="24"/>
      <w:szCs w:val="24"/>
      <w:lang w:val="en-GB" w:eastAsia="zh-CN"/>
    </w:rPr>
  </w:style>
  <w:style w:type="character" w:customStyle="1" w:styleId="UnresolvedMention1">
    <w:name w:val="Unresolved Mention1"/>
    <w:basedOn w:val="DefaultParagraphFont"/>
    <w:uiPriority w:val="99"/>
    <w:semiHidden/>
    <w:unhideWhenUsed/>
    <w:rsid w:val="00DE3D9F"/>
    <w:rPr>
      <w:color w:val="605E5C"/>
      <w:shd w:val="clear" w:color="auto" w:fill="E1DFDD"/>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1A356A"/>
    <w:rPr>
      <w:rFonts w:ascii="Times New Roman" w:eastAsia="PMingLiU" w:hAnsi="Times New Roman" w:cs="Simplified Arab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Ronnakorn\Downloads\PyramidG12%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lang="en-US" sz="1800" b="1" i="0" u="none" strike="noStrike" kern="1200" cap="all" spc="50" baseline="0">
                <a:solidFill>
                  <a:srgbClr val="595959">
                    <a:lumMod val="65000"/>
                    <a:lumOff val="35000"/>
                  </a:srgbClr>
                </a:solidFill>
                <a:latin typeface="+mn-lt"/>
                <a:ea typeface="+mn-ea"/>
                <a:cs typeface="+mn-cs"/>
              </a:defRPr>
            </a:pPr>
            <a:r>
              <a:rPr lang="en-GB"/>
              <a:t>  </a:t>
            </a:r>
          </a:p>
        </c:rich>
      </c:tx>
      <c:overlay val="0"/>
      <c:spPr>
        <a:noFill/>
        <a:ln>
          <a:noFill/>
        </a:ln>
        <a:effectLst/>
      </c:spPr>
    </c:title>
    <c:autoTitleDeleted val="0"/>
    <c:plotArea>
      <c:layout>
        <c:manualLayout>
          <c:layoutTarget val="inner"/>
          <c:xMode val="edge"/>
          <c:yMode val="edge"/>
          <c:x val="0.12202690349980801"/>
          <c:y val="0.16101685143945799"/>
          <c:w val="0.77042399172699005"/>
          <c:h val="0.59830508474576205"/>
        </c:manualLayout>
      </c:layout>
      <c:barChart>
        <c:barDir val="bar"/>
        <c:grouping val="clustered"/>
        <c:varyColors val="0"/>
        <c:ser>
          <c:idx val="0"/>
          <c:order val="0"/>
          <c:tx>
            <c:strRef>
              <c:f>'ข้อมูล '!$F$4</c:f>
              <c:strCache>
                <c:ptCount val="1"/>
                <c:pt idx="0">
                  <c:v>% ชาย</c:v>
                </c:pt>
              </c:strCache>
            </c:strRef>
          </c:tx>
          <c:spPr>
            <a:gradFill flip="none" rotWithShape="1">
              <a:gsLst>
                <a:gs pos="0">
                  <a:srgbClr val="5F5F5F">
                    <a:tint val="88500"/>
                  </a:srgbClr>
                </a:gs>
                <a:gs pos="75000">
                  <a:srgbClr val="9F9F9F">
                    <a:tint val="88500"/>
                    <a:lumMod val="60000"/>
                    <a:lumOff val="40000"/>
                  </a:srgbClr>
                </a:gs>
                <a:gs pos="51000">
                  <a:srgbClr val="5F5F5F">
                    <a:tint val="88500"/>
                    <a:alpha val="75000"/>
                  </a:srgbClr>
                </a:gs>
                <a:gs pos="100000">
                  <a:srgbClr val="DFDFDF">
                    <a:tint val="88500"/>
                    <a:lumMod val="20000"/>
                    <a:lumOff val="80000"/>
                    <a:alpha val="15000"/>
                  </a:srgbClr>
                </a:gs>
              </a:gsLst>
              <a:lin ang="10800000" scaled="1"/>
              <a:tileRect/>
            </a:gradFill>
            <a:ln>
              <a:noFill/>
            </a:ln>
            <a:effectLst/>
          </c:spPr>
          <c:invertIfNegative val="0"/>
          <c:dLbls>
            <c:dLbl>
              <c:idx val="0"/>
              <c:tx>
                <c:rich>
                  <a:bodyPr/>
                  <a:lstStyle/>
                  <a:p>
                    <a:r>
                      <a:rPr lang="en-US"/>
                      <a:t>2,73</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1-E23D-45C0-9F6B-818C13DF52EE}"/>
                </c:ext>
              </c:extLst>
            </c:dLbl>
            <c:dLbl>
              <c:idx val="1"/>
              <c:tx>
                <c:rich>
                  <a:bodyPr/>
                  <a:lstStyle/>
                  <a:p>
                    <a:r>
                      <a:rPr lang="en-US"/>
                      <a:t>3,09</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0-E23D-45C0-9F6B-818C13DF52EE}"/>
                </c:ext>
              </c:extLst>
            </c:dLbl>
            <c:dLbl>
              <c:idx val="2"/>
              <c:tx>
                <c:rich>
                  <a:bodyPr/>
                  <a:lstStyle/>
                  <a:p>
                    <a:r>
                      <a:rPr lang="en-US"/>
                      <a:t>3,17</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F-E23D-45C0-9F6B-818C13DF52EE}"/>
                </c:ext>
              </c:extLst>
            </c:dLbl>
            <c:dLbl>
              <c:idx val="3"/>
              <c:tx>
                <c:rich>
                  <a:bodyPr/>
                  <a:lstStyle/>
                  <a:p>
                    <a:r>
                      <a:rPr lang="en-US"/>
                      <a:t>3,29</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E-E23D-45C0-9F6B-818C13DF52EE}"/>
                </c:ext>
              </c:extLst>
            </c:dLbl>
            <c:dLbl>
              <c:idx val="4"/>
              <c:tx>
                <c:rich>
                  <a:bodyPr/>
                  <a:lstStyle/>
                  <a:p>
                    <a:r>
                      <a:rPr lang="en-US"/>
                      <a:t>3,78</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D-E23D-45C0-9F6B-818C13DF52EE}"/>
                </c:ext>
              </c:extLst>
            </c:dLbl>
            <c:dLbl>
              <c:idx val="5"/>
              <c:tx>
                <c:rich>
                  <a:bodyPr/>
                  <a:lstStyle/>
                  <a:p>
                    <a:r>
                      <a:rPr lang="en-US"/>
                      <a:t>3,65</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C-E23D-45C0-9F6B-818C13DF52EE}"/>
                </c:ext>
              </c:extLst>
            </c:dLbl>
            <c:dLbl>
              <c:idx val="6"/>
              <c:tx>
                <c:rich>
                  <a:bodyPr/>
                  <a:lstStyle/>
                  <a:p>
                    <a:r>
                      <a:rPr lang="en-US"/>
                      <a:t>3,64</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B-E23D-45C0-9F6B-818C13DF52EE}"/>
                </c:ext>
              </c:extLst>
            </c:dLbl>
            <c:dLbl>
              <c:idx val="7"/>
              <c:tx>
                <c:rich>
                  <a:bodyPr/>
                  <a:lstStyle/>
                  <a:p>
                    <a:r>
                      <a:rPr lang="en-US"/>
                      <a:t>3,95</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A-E23D-45C0-9F6B-818C13DF52EE}"/>
                </c:ext>
              </c:extLst>
            </c:dLbl>
            <c:dLbl>
              <c:idx val="8"/>
              <c:tx>
                <c:rich>
                  <a:bodyPr/>
                  <a:lstStyle/>
                  <a:p>
                    <a:r>
                      <a:rPr lang="en-US"/>
                      <a:t>3,95</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9-E23D-45C0-9F6B-818C13DF52EE}"/>
                </c:ext>
              </c:extLst>
            </c:dLbl>
            <c:dLbl>
              <c:idx val="9"/>
              <c:tx>
                <c:rich>
                  <a:bodyPr/>
                  <a:lstStyle/>
                  <a:p>
                    <a:r>
                      <a:rPr lang="en-US"/>
                      <a:t>3,93</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8-E23D-45C0-9F6B-818C13DF52EE}"/>
                </c:ext>
              </c:extLst>
            </c:dLbl>
            <c:dLbl>
              <c:idx val="10"/>
              <c:tx>
                <c:rich>
                  <a:bodyPr/>
                  <a:lstStyle/>
                  <a:p>
                    <a:r>
                      <a:rPr lang="en-US"/>
                      <a:t>3,65</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7-E23D-45C0-9F6B-818C13DF52EE}"/>
                </c:ext>
              </c:extLst>
            </c:dLbl>
            <c:dLbl>
              <c:idx val="11"/>
              <c:tx>
                <c:rich>
                  <a:bodyPr/>
                  <a:lstStyle/>
                  <a:p>
                    <a:r>
                      <a:rPr lang="en-US"/>
                      <a:t>3,08</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E23D-45C0-9F6B-818C13DF52EE}"/>
                </c:ext>
              </c:extLst>
            </c:dLbl>
            <c:dLbl>
              <c:idx val="12"/>
              <c:tx>
                <c:rich>
                  <a:bodyPr/>
                  <a:lstStyle/>
                  <a:p>
                    <a:r>
                      <a:rPr lang="en-US"/>
                      <a:t>2,33</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E23D-45C0-9F6B-818C13DF52EE}"/>
                </c:ext>
              </c:extLst>
            </c:dLbl>
            <c:dLbl>
              <c:idx val="13"/>
              <c:tx>
                <c:rich>
                  <a:bodyPr/>
                  <a:lstStyle/>
                  <a:p>
                    <a:r>
                      <a:rPr lang="en-US"/>
                      <a:t>1,80</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E23D-45C0-9F6B-818C13DF52EE}"/>
                </c:ext>
              </c:extLst>
            </c:dLbl>
            <c:dLbl>
              <c:idx val="14"/>
              <c:layout>
                <c:manualLayout>
                  <c:x val="-4.854960995304821E-2"/>
                  <c:y val="0"/>
                </c:manualLayout>
              </c:layout>
              <c:tx>
                <c:rich>
                  <a:bodyPr/>
                  <a:lstStyle/>
                  <a:p>
                    <a:r>
                      <a:rPr lang="en-US"/>
                      <a:t>1,15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E23D-45C0-9F6B-818C13DF52EE}"/>
                </c:ext>
              </c:extLst>
            </c:dLbl>
            <c:dLbl>
              <c:idx val="15"/>
              <c:layout>
                <c:manualLayout>
                  <c:x val="-3.017300911631977E-2"/>
                  <c:y val="0"/>
                </c:manualLayout>
              </c:layout>
              <c:tx>
                <c:rich>
                  <a:bodyPr/>
                  <a:lstStyle/>
                  <a:p>
                    <a:r>
                      <a:rPr lang="en-US"/>
                      <a:t>0,81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E23D-45C0-9F6B-818C13DF52EE}"/>
                </c:ext>
              </c:extLst>
            </c:dLbl>
            <c:dLbl>
              <c:idx val="16"/>
              <c:layout>
                <c:manualLayout>
                  <c:x val="-3.9269050185432072E-2"/>
                  <c:y val="0"/>
                </c:manualLayout>
              </c:layout>
              <c:tx>
                <c:rich>
                  <a:bodyPr/>
                  <a:lstStyle/>
                  <a:p>
                    <a:r>
                      <a:rPr lang="en-US"/>
                      <a:t>0,90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E23D-45C0-9F6B-818C13DF52EE}"/>
                </c:ext>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rgbClr val="404040">
                        <a:lumMod val="75000"/>
                        <a:lumOff val="25000"/>
                      </a:srgbClr>
                    </a:solidFill>
                    <a:latin typeface="+mn-lt"/>
                    <a:ea typeface="+mn-ea"/>
                    <a:cs typeface="+mn-cs"/>
                  </a:defRPr>
                </a:pPr>
                <a:endParaRPr lang="ar-S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'ข้อมูล '!$B$5:$B$21</c:f>
              <c:strCache>
                <c:ptCount val="17"/>
                <c:pt idx="0">
                  <c:v>00-04</c:v>
                </c:pt>
                <c:pt idx="1">
                  <c:v>05-09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c:v>
                </c:pt>
              </c:strCache>
            </c:strRef>
          </c:cat>
          <c:val>
            <c:numRef>
              <c:f>'ข้อมูล '!$F$5:$F$21</c:f>
              <c:numCache>
                <c:formatCode>0;0.00</c:formatCode>
                <c:ptCount val="17"/>
                <c:pt idx="0">
                  <c:v>-2.7274549605187199</c:v>
                </c:pt>
                <c:pt idx="1">
                  <c:v>-3.0918464773452001</c:v>
                </c:pt>
                <c:pt idx="2">
                  <c:v>-3.17347895356873</c:v>
                </c:pt>
                <c:pt idx="3">
                  <c:v>-3.29492112989423</c:v>
                </c:pt>
                <c:pt idx="4">
                  <c:v>-3.7782527908219801</c:v>
                </c:pt>
                <c:pt idx="5">
                  <c:v>-3.6514862527874201</c:v>
                </c:pt>
                <c:pt idx="6">
                  <c:v>-3.6434741792827499</c:v>
                </c:pt>
                <c:pt idx="7">
                  <c:v>-3.9473589131184399</c:v>
                </c:pt>
                <c:pt idx="8">
                  <c:v>-3.9507800592209499</c:v>
                </c:pt>
                <c:pt idx="9">
                  <c:v>-3.93169993593281</c:v>
                </c:pt>
                <c:pt idx="10">
                  <c:v>-3.6464589783925399</c:v>
                </c:pt>
                <c:pt idx="11">
                  <c:v>-3.0842042156535201</c:v>
                </c:pt>
                <c:pt idx="12">
                  <c:v>-2.32985001036324</c:v>
                </c:pt>
                <c:pt idx="13">
                  <c:v>-1.8042360163747699</c:v>
                </c:pt>
                <c:pt idx="14">
                  <c:v>-1.1504922868319201</c:v>
                </c:pt>
                <c:pt idx="15">
                  <c:v>-0.813261049307752</c:v>
                </c:pt>
                <c:pt idx="16">
                  <c:v>-0.90231297173732505</c:v>
                </c:pt>
              </c:numCache>
            </c:numRef>
          </c:val>
          <c:extLst>
            <c:ext xmlns:c16="http://schemas.microsoft.com/office/drawing/2014/chart" uri="{C3380CC4-5D6E-409C-BE32-E72D297353CC}">
              <c16:uniqueId val="{00000000-1B5E-4188-80D0-189A40392AEE}"/>
            </c:ext>
          </c:extLst>
        </c:ser>
        <c:ser>
          <c:idx val="1"/>
          <c:order val="1"/>
          <c:tx>
            <c:strRef>
              <c:f>'ข้อมูล '!$G$4</c:f>
              <c:strCache>
                <c:ptCount val="1"/>
                <c:pt idx="0">
                  <c:v>% หญิง</c:v>
                </c:pt>
              </c:strCache>
            </c:strRef>
          </c:tx>
          <c:spPr>
            <a:gradFill flip="none" rotWithShape="1">
              <a:gsLst>
                <a:gs pos="0">
                  <a:srgbClr val="B3B3B3">
                    <a:tint val="55000"/>
                  </a:srgbClr>
                </a:gs>
                <a:gs pos="75000">
                  <a:srgbClr val="D1D1D1">
                    <a:tint val="55000"/>
                    <a:lumMod val="60000"/>
                    <a:lumOff val="40000"/>
                  </a:srgbClr>
                </a:gs>
                <a:gs pos="51000">
                  <a:srgbClr val="B3B3B3">
                    <a:tint val="55000"/>
                    <a:alpha val="75000"/>
                  </a:srgbClr>
                </a:gs>
                <a:gs pos="100000">
                  <a:srgbClr val="F0F0F0">
                    <a:tint val="55000"/>
                    <a:lumMod val="20000"/>
                    <a:lumOff val="80000"/>
                    <a:alpha val="15000"/>
                  </a:srgbClr>
                </a:gs>
              </a:gsLst>
              <a:lin ang="10800000" scaled="1"/>
              <a:tileRect/>
            </a:gradFill>
            <a:ln>
              <a:noFill/>
            </a:ln>
            <a:effectLst/>
          </c:spPr>
          <c:invertIfNegative val="1"/>
          <c:dLbls>
            <c:dLbl>
              <c:idx val="0"/>
              <c:tx>
                <c:rich>
                  <a:bodyPr/>
                  <a:lstStyle/>
                  <a:p>
                    <a:r>
                      <a:rPr lang="en-US"/>
                      <a:t>2,58</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E23D-45C0-9F6B-818C13DF52EE}"/>
                </c:ext>
              </c:extLst>
            </c:dLbl>
            <c:dLbl>
              <c:idx val="1"/>
              <c:tx>
                <c:rich>
                  <a:bodyPr/>
                  <a:lstStyle/>
                  <a:p>
                    <a:r>
                      <a:rPr lang="en-US"/>
                      <a:t>2,92</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E23D-45C0-9F6B-818C13DF52EE}"/>
                </c:ext>
              </c:extLst>
            </c:dLbl>
            <c:dLbl>
              <c:idx val="2"/>
              <c:tx>
                <c:rich>
                  <a:bodyPr/>
                  <a:lstStyle/>
                  <a:p>
                    <a:r>
                      <a:rPr lang="en-US"/>
                      <a:t>3,00</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E23D-45C0-9F6B-818C13DF52EE}"/>
                </c:ext>
              </c:extLst>
            </c:dLbl>
            <c:dLbl>
              <c:idx val="3"/>
              <c:tx>
                <c:rich>
                  <a:bodyPr/>
                  <a:lstStyle/>
                  <a:p>
                    <a:r>
                      <a:rPr lang="en-US"/>
                      <a:t>3,14</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E23D-45C0-9F6B-818C13DF52EE}"/>
                </c:ext>
              </c:extLst>
            </c:dLbl>
            <c:dLbl>
              <c:idx val="4"/>
              <c:tx>
                <c:rich>
                  <a:bodyPr/>
                  <a:lstStyle/>
                  <a:p>
                    <a:r>
                      <a:rPr lang="en-US"/>
                      <a:t>3,66</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E23D-45C0-9F6B-818C13DF52EE}"/>
                </c:ext>
              </c:extLst>
            </c:dLbl>
            <c:dLbl>
              <c:idx val="5"/>
              <c:tx>
                <c:rich>
                  <a:bodyPr/>
                  <a:lstStyle/>
                  <a:p>
                    <a:r>
                      <a:rPr lang="en-US"/>
                      <a:t>3,56</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E23D-45C0-9F6B-818C13DF52EE}"/>
                </c:ext>
              </c:extLst>
            </c:dLbl>
            <c:dLbl>
              <c:idx val="6"/>
              <c:tx>
                <c:rich>
                  <a:bodyPr/>
                  <a:lstStyle/>
                  <a:p>
                    <a:r>
                      <a:rPr lang="en-US"/>
                      <a:t>3,61</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E23D-45C0-9F6B-818C13DF52EE}"/>
                </c:ext>
              </c:extLst>
            </c:dLbl>
            <c:dLbl>
              <c:idx val="7"/>
              <c:tx>
                <c:rich>
                  <a:bodyPr/>
                  <a:lstStyle/>
                  <a:p>
                    <a:r>
                      <a:rPr lang="en-US"/>
                      <a:t>3,98</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E23D-45C0-9F6B-818C13DF52EE}"/>
                </c:ext>
              </c:extLst>
            </c:dLbl>
            <c:dLbl>
              <c:idx val="8"/>
              <c:tx>
                <c:rich>
                  <a:bodyPr/>
                  <a:lstStyle/>
                  <a:p>
                    <a:r>
                      <a:rPr lang="en-US"/>
                      <a:t>4,09</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E23D-45C0-9F6B-818C13DF52EE}"/>
                </c:ext>
              </c:extLst>
            </c:dLbl>
            <c:dLbl>
              <c:idx val="9"/>
              <c:tx>
                <c:rich>
                  <a:bodyPr/>
                  <a:lstStyle/>
                  <a:p>
                    <a:r>
                      <a:rPr lang="en-US"/>
                      <a:t>4,23</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E23D-45C0-9F6B-818C13DF52EE}"/>
                </c:ext>
              </c:extLst>
            </c:dLbl>
            <c:dLbl>
              <c:idx val="10"/>
              <c:tx>
                <c:rich>
                  <a:bodyPr/>
                  <a:lstStyle/>
                  <a:p>
                    <a:r>
                      <a:rPr lang="en-US"/>
                      <a:t>4,03</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E23D-45C0-9F6B-818C13DF52EE}"/>
                </c:ext>
              </c:extLst>
            </c:dLbl>
            <c:dLbl>
              <c:idx val="11"/>
              <c:tx>
                <c:rich>
                  <a:bodyPr/>
                  <a:lstStyle/>
                  <a:p>
                    <a:r>
                      <a:rPr lang="en-US"/>
                      <a:t>3,48</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E23D-45C0-9F6B-818C13DF52EE}"/>
                </c:ext>
              </c:extLst>
            </c:dLbl>
            <c:dLbl>
              <c:idx val="12"/>
              <c:tx>
                <c:rich>
                  <a:bodyPr/>
                  <a:lstStyle/>
                  <a:p>
                    <a:r>
                      <a:rPr lang="en-US"/>
                      <a:t>2,71</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E23D-45C0-9F6B-818C13DF52EE}"/>
                </c:ext>
              </c:extLst>
            </c:dLbl>
            <c:dLbl>
              <c:idx val="13"/>
              <c:tx>
                <c:rich>
                  <a:bodyPr/>
                  <a:lstStyle/>
                  <a:p>
                    <a:r>
                      <a:rPr lang="en-US"/>
                      <a:t>2,17</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E23D-45C0-9F6B-818C13DF52EE}"/>
                </c:ext>
              </c:extLst>
            </c:dLbl>
            <c:dLbl>
              <c:idx val="14"/>
              <c:tx>
                <c:rich>
                  <a:bodyPr/>
                  <a:lstStyle/>
                  <a:p>
                    <a:r>
                      <a:rPr lang="en-US"/>
                      <a:t>1,43</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E23D-45C0-9F6B-818C13DF52EE}"/>
                </c:ext>
              </c:extLst>
            </c:dLbl>
            <c:dLbl>
              <c:idx val="15"/>
              <c:tx>
                <c:rich>
                  <a:bodyPr/>
                  <a:lstStyle/>
                  <a:p>
                    <a:r>
                      <a:rPr lang="en-US"/>
                      <a:t>1,09</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23D-45C0-9F6B-818C13DF52EE}"/>
                </c:ext>
              </c:extLst>
            </c:dLbl>
            <c:dLbl>
              <c:idx val="16"/>
              <c:tx>
                <c:rich>
                  <a:bodyPr/>
                  <a:lstStyle/>
                  <a:p>
                    <a:r>
                      <a:rPr lang="en-US"/>
                      <a:t>1,41</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E23D-45C0-9F6B-818C13DF52EE}"/>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rgbClr val="404040">
                        <a:lumMod val="75000"/>
                        <a:lumOff val="25000"/>
                      </a:srgbClr>
                    </a:solidFill>
                    <a:latin typeface="+mn-lt"/>
                    <a:ea typeface="+mn-ea"/>
                    <a:cs typeface="+mn-cs"/>
                  </a:defRPr>
                </a:pPr>
                <a:endParaRPr lang="ar-S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'ข้อมูล '!$B$5:$B$21</c:f>
              <c:strCache>
                <c:ptCount val="17"/>
                <c:pt idx="0">
                  <c:v>00-04</c:v>
                </c:pt>
                <c:pt idx="1">
                  <c:v>05-09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c:v>
                </c:pt>
              </c:strCache>
            </c:strRef>
          </c:cat>
          <c:val>
            <c:numRef>
              <c:f>'ข้อมูล '!$G$5:$G$21</c:f>
              <c:numCache>
                <c:formatCode>0.00</c:formatCode>
                <c:ptCount val="17"/>
                <c:pt idx="0">
                  <c:v>2.5761384884893799</c:v>
                </c:pt>
                <c:pt idx="1">
                  <c:v>2.9207319210184099</c:v>
                </c:pt>
                <c:pt idx="2">
                  <c:v>3.00271254643827</c:v>
                </c:pt>
                <c:pt idx="3">
                  <c:v>3.1350231670080202</c:v>
                </c:pt>
                <c:pt idx="4">
                  <c:v>3.6558249654384598</c:v>
                </c:pt>
                <c:pt idx="5">
                  <c:v>3.55780471971166</c:v>
                </c:pt>
                <c:pt idx="6">
                  <c:v>3.6093168747992799</c:v>
                </c:pt>
                <c:pt idx="7">
                  <c:v>3.9707127612076398</c:v>
                </c:pt>
                <c:pt idx="8">
                  <c:v>4.0935955015410199</c:v>
                </c:pt>
                <c:pt idx="9">
                  <c:v>4.2298316977155102</c:v>
                </c:pt>
                <c:pt idx="10">
                  <c:v>4.0296196052251201</c:v>
                </c:pt>
                <c:pt idx="11">
                  <c:v>3.47532585410862</c:v>
                </c:pt>
                <c:pt idx="12">
                  <c:v>2.71406282143358</c:v>
                </c:pt>
                <c:pt idx="13">
                  <c:v>2.1737290794246702</c:v>
                </c:pt>
                <c:pt idx="14">
                  <c:v>1.4349054229498199</c:v>
                </c:pt>
                <c:pt idx="15">
                  <c:v>1.0919212133726699</c:v>
                </c:pt>
                <c:pt idx="16">
                  <c:v>1.4071741789655501</c:v>
                </c:pt>
              </c:numCache>
            </c:numRef>
          </c:val>
          <c:extLst>
            <c:ext xmlns:c16="http://schemas.microsoft.com/office/drawing/2014/chart" uri="{C3380CC4-5D6E-409C-BE32-E72D297353CC}">
              <c16:uniqueId val="{00000001-1B5E-4188-80D0-189A40392AEE}"/>
            </c:ext>
          </c:extLst>
        </c:ser>
        <c:dLbls>
          <c:showLegendKey val="0"/>
          <c:showVal val="1"/>
          <c:showCatName val="0"/>
          <c:showSerName val="0"/>
          <c:showPercent val="0"/>
          <c:showBubbleSize val="0"/>
        </c:dLbls>
        <c:gapWidth val="326"/>
        <c:overlap val="-58"/>
        <c:axId val="-260875728"/>
        <c:axId val="-260872464"/>
      </c:barChart>
      <c:catAx>
        <c:axId val="-260875728"/>
        <c:scaling>
          <c:orientation val="minMax"/>
        </c:scaling>
        <c:delete val="0"/>
        <c:axPos val="l"/>
        <c:numFmt formatCode="General" sourceLinked="1"/>
        <c:majorTickMark val="none"/>
        <c:minorTickMark val="none"/>
        <c:tickLblPos val="low"/>
        <c:spPr>
          <a:noFill/>
          <a:ln w="19050" cap="flat" cmpd="sng" algn="ctr">
            <a:solidFill>
              <a:srgbClr val="D9D9D9">
                <a:lumMod val="15000"/>
                <a:lumOff val="85000"/>
              </a:srgbClr>
            </a:solidFill>
            <a:prstDash val="solid"/>
            <a:round/>
            <a:headEnd type="none" w="sm" len="sm"/>
            <a:tailEnd type="none" w="sm" len="sm"/>
          </a:ln>
          <a:effectLst/>
        </c:spPr>
        <c:txPr>
          <a:bodyPr rot="0" spcFirstLastPara="1" vertOverflow="ellipsis" vert="horz" wrap="square" anchor="ctr" anchorCtr="1"/>
          <a:lstStyle/>
          <a:p>
            <a:pPr>
              <a:defRPr lang="en-US" sz="900" b="0" i="0" u="none" strike="noStrike" kern="1200" baseline="0">
                <a:solidFill>
                  <a:srgbClr val="595959">
                    <a:lumMod val="65000"/>
                    <a:lumOff val="35000"/>
                  </a:srgbClr>
                </a:solidFill>
                <a:latin typeface="+mn-lt"/>
                <a:ea typeface="+mn-ea"/>
                <a:cs typeface="+mn-cs"/>
              </a:defRPr>
            </a:pPr>
            <a:endParaRPr lang="ar-SA"/>
          </a:p>
        </c:txPr>
        <c:crossAx val="-260872464"/>
        <c:crosses val="autoZero"/>
        <c:auto val="1"/>
        <c:lblAlgn val="ctr"/>
        <c:lblOffset val="100"/>
        <c:tickLblSkip val="1"/>
        <c:noMultiLvlLbl val="0"/>
      </c:catAx>
      <c:valAx>
        <c:axId val="-260872464"/>
        <c:scaling>
          <c:orientation val="minMax"/>
        </c:scaling>
        <c:delete val="0"/>
        <c:axPos val="b"/>
        <c:majorGridlines>
          <c:spPr>
            <a:ln w="9525" cap="flat" cmpd="sng" algn="ctr">
              <a:gradFill>
                <a:gsLst>
                  <a:gs pos="99000">
                    <a:srgbClr val="BFBFBF">
                      <a:lumMod val="25000"/>
                      <a:lumOff val="75000"/>
                    </a:srgbClr>
                  </a:gs>
                  <a:gs pos="0">
                    <a:srgbClr val="D9D9D9">
                      <a:lumMod val="15000"/>
                      <a:lumOff val="85000"/>
                    </a:srgbClr>
                  </a:gs>
                </a:gsLst>
                <a:lin ang="5400000" scaled="0"/>
              </a:gradFill>
              <a:prstDash val="solid"/>
              <a:round/>
            </a:ln>
            <a:effectLst/>
          </c:spPr>
        </c:majorGridlines>
        <c:title>
          <c:tx>
            <c:rich>
              <a:bodyPr rot="0" spcFirstLastPara="1" vertOverflow="ellipsis" vert="horz" wrap="square" anchor="ctr" anchorCtr="1"/>
              <a:lstStyle/>
              <a:p>
                <a:pPr>
                  <a:defRPr lang="en-US" sz="900" b="0" i="0" u="none" strike="noStrike" kern="1200" cap="all" baseline="0">
                    <a:solidFill>
                      <a:srgbClr val="595959">
                        <a:lumMod val="65000"/>
                        <a:lumOff val="35000"/>
                      </a:srgbClr>
                    </a:solidFill>
                    <a:latin typeface="+mn-lt"/>
                    <a:ea typeface="+mn-ea"/>
                    <a:cs typeface="+mn-cs"/>
                  </a:defRPr>
                </a:pPr>
                <a:r>
                  <a:rPr lang="ar-SA"/>
                  <a:t>النسبة المئوية</a:t>
                </a:r>
                <a:endParaRPr lang="th-TH"/>
              </a:p>
            </c:rich>
          </c:tx>
          <c:layout>
            <c:manualLayout>
              <c:xMode val="edge"/>
              <c:yMode val="edge"/>
              <c:x val="0.42812822040745702"/>
              <c:y val="0.83220339406199595"/>
            </c:manualLayout>
          </c:layout>
          <c:overlay val="0"/>
          <c:spPr>
            <a:noFill/>
            <a:ln>
              <a:noFill/>
            </a:ln>
            <a:effectLst/>
          </c:spPr>
        </c:title>
        <c:numFmt formatCode="0;0" sourceLinked="0"/>
        <c:majorTickMark val="none"/>
        <c:minorTickMark val="none"/>
        <c:tickLblPos val="nextTo"/>
        <c:spPr>
          <a:noFill/>
          <a:ln w="9525" cap="flat" cmpd="sng" algn="ctr">
            <a:noFill/>
            <a:prstDash val="solid"/>
            <a:round/>
          </a:ln>
          <a:effectLst/>
        </c:spPr>
        <c:txPr>
          <a:bodyPr rot="0" spcFirstLastPara="1" vertOverflow="ellipsis" vert="horz" wrap="square" anchor="ctr" anchorCtr="1"/>
          <a:lstStyle/>
          <a:p>
            <a:pPr>
              <a:defRPr lang="en-US" sz="900" b="0" i="0" u="none" strike="noStrike" kern="1200" baseline="0">
                <a:solidFill>
                  <a:srgbClr val="595959">
                    <a:lumMod val="65000"/>
                    <a:lumOff val="35000"/>
                  </a:srgbClr>
                </a:solidFill>
                <a:latin typeface="+mn-lt"/>
                <a:ea typeface="+mn-ea"/>
                <a:cs typeface="+mn-cs"/>
              </a:defRPr>
            </a:pPr>
            <a:endParaRPr lang="ar-SA"/>
          </a:p>
        </c:txPr>
        <c:crossAx val="-260875728"/>
        <c:crosses val="autoZero"/>
        <c:crossBetween val="between"/>
      </c:valAx>
      <c:spPr>
        <a:noFill/>
        <a:ln>
          <a:noFill/>
        </a:ln>
        <a:effectLst/>
      </c:spPr>
    </c:plotArea>
    <c:plotVisOnly val="1"/>
    <c:dispBlanksAs val="gap"/>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th-TH"/>
      </a:pPr>
      <a:endParaRPr lang="ar-SA"/>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0.14675</cdr:x>
      <cdr:y>0.20688</cdr:y>
    </cdr:from>
    <cdr:to>
      <cdr:x>0.24</cdr:x>
      <cdr:y>0.28486</cdr:y>
    </cdr:to>
    <cdr:sp macro="" textlink="">
      <cdr:nvSpPr>
        <cdr:cNvPr id="2" name="Rectangle 1"/>
        <cdr:cNvSpPr/>
      </cdr:nvSpPr>
      <cdr:spPr>
        <a:xfrm xmlns:a="http://schemas.openxmlformats.org/drawingml/2006/main">
          <a:off x="803265" y="741709"/>
          <a:ext cx="510423" cy="279570"/>
        </a:xfrm>
        <a:prstGeom xmlns:a="http://schemas.openxmlformats.org/drawingml/2006/main" prst="rect">
          <a:avLst/>
        </a:prstGeom>
        <a:noFill xmlns:a="http://schemas.openxmlformats.org/drawingml/2006/main"/>
        <a:ln xmlns:a="http://schemas.openxmlformats.org/drawingml/2006/main" w="9525">
          <a:solidFill>
            <a:srgbClr val="000000"/>
          </a:solidFill>
          <a:miter lim="800000"/>
        </a:ln>
      </cdr:spPr>
      <cdr:txBody>
        <a:bodyPr xmlns:a="http://schemas.openxmlformats.org/drawingml/2006/main" vertOverflow="clip" vert="horz" wrap="square" lIns="36576" tIns="59436" rIns="36576" bIns="0" anchor="t" anchorCtr="0" upright="1">
          <a:normAutofit/>
        </a:bodyPr>
        <a:lstStyle xmlns:a="http://schemas.openxmlformats.org/drawingml/2006/main"/>
        <a:p xmlns:a="http://schemas.openxmlformats.org/drawingml/2006/main">
          <a:pPr algn="ctr" rtl="0">
            <a:defRPr sz="1000"/>
          </a:pPr>
          <a:r>
            <a:rPr lang="ar-SA" sz="900" b="1" i="0" u="none" strike="noStrike" baseline="0">
              <a:solidFill>
                <a:srgbClr val="000000"/>
              </a:solidFill>
              <a:latin typeface="Simplified Arabic" panose="02020603050405020304" pitchFamily="18" charset="-78"/>
              <a:cs typeface="Simplified Arabic" panose="02020603050405020304" pitchFamily="18" charset="-78"/>
            </a:rPr>
            <a:t>الذكور</a:t>
          </a:r>
          <a:endParaRPr lang="en-GB" sz="900" b="1" i="0" u="none" strike="noStrike" baseline="0">
            <a:solidFill>
              <a:srgbClr val="000000"/>
            </a:solidFill>
            <a:latin typeface="Simplified Arabic" panose="02020603050405020304" pitchFamily="18" charset="-78"/>
            <a:cs typeface="Simplified Arabic" panose="02020603050405020304" pitchFamily="18" charset="-78"/>
          </a:endParaRPr>
        </a:p>
      </cdr:txBody>
    </cdr:sp>
  </cdr:relSizeAnchor>
  <cdr:relSizeAnchor xmlns:cdr="http://schemas.openxmlformats.org/drawingml/2006/chartDrawing">
    <cdr:from>
      <cdr:x>0.73432</cdr:x>
      <cdr:y>0.19922</cdr:y>
    </cdr:from>
    <cdr:to>
      <cdr:x>0.84207</cdr:x>
      <cdr:y>0.27823</cdr:y>
    </cdr:to>
    <cdr:sp macro="" textlink="">
      <cdr:nvSpPr>
        <cdr:cNvPr id="3" name="Rectangle 2"/>
        <cdr:cNvSpPr/>
      </cdr:nvSpPr>
      <cdr:spPr>
        <a:xfrm xmlns:a="http://schemas.openxmlformats.org/drawingml/2006/main">
          <a:off x="4019447" y="714246"/>
          <a:ext cx="589792" cy="283281"/>
        </a:xfrm>
        <a:prstGeom xmlns:a="http://schemas.openxmlformats.org/drawingml/2006/main" prst="rect">
          <a:avLst/>
        </a:prstGeom>
        <a:noFill xmlns:a="http://schemas.openxmlformats.org/drawingml/2006/main"/>
        <a:ln xmlns:a="http://schemas.openxmlformats.org/drawingml/2006/main" w="9525">
          <a:solidFill>
            <a:srgbClr val="000000"/>
          </a:solidFill>
          <a:miter lim="800000"/>
        </a:ln>
      </cdr:spPr>
      <cdr:txBody>
        <a:bodyPr xmlns:a="http://schemas.openxmlformats.org/drawingml/2006/main" vertOverflow="clip" vert="horz" wrap="square" lIns="36576" tIns="59436" rIns="36576" bIns="0" anchor="t" anchorCtr="0" upright="1">
          <a:normAutofit/>
        </a:bodyPr>
        <a:lstStyle xmlns:a="http://schemas.openxmlformats.org/drawingml/2006/main"/>
        <a:p xmlns:a="http://schemas.openxmlformats.org/drawingml/2006/main">
          <a:pPr algn="ctr" rtl="1">
            <a:defRPr sz="1000"/>
          </a:pPr>
          <a:r>
            <a:rPr lang="ar-SA" sz="900" b="1" i="0" u="none" strike="noStrike" baseline="0">
              <a:solidFill>
                <a:srgbClr val="000000"/>
              </a:solidFill>
              <a:latin typeface="Simplified Arabic" panose="02020603050405020304" pitchFamily="18" charset="-78"/>
              <a:cs typeface="Simplified Arabic" panose="02020603050405020304" pitchFamily="18" charset="-78"/>
            </a:rPr>
            <a:t>الإناث</a:t>
          </a:r>
          <a:endParaRPr lang="en-GB" sz="900" b="1" i="0" u="none" strike="noStrike" baseline="0">
            <a:solidFill>
              <a:srgbClr val="000000"/>
            </a:solidFill>
            <a:latin typeface="Simplified Arabic" panose="02020603050405020304" pitchFamily="18" charset="-78"/>
            <a:cs typeface="Simplified Arabic" panose="02020603050405020304" pitchFamily="18" charset="-78"/>
          </a:endParaRPr>
        </a:p>
      </cdr:txBody>
    </cdr:sp>
  </cdr:relSizeAnchor>
  <cdr:relSizeAnchor xmlns:cdr="http://schemas.openxmlformats.org/drawingml/2006/chartDrawing">
    <cdr:from>
      <cdr:x>0.01089</cdr:x>
      <cdr:y>0.05313</cdr:y>
    </cdr:from>
    <cdr:to>
      <cdr:x>0.19297</cdr:x>
      <cdr:y>0.1465</cdr:y>
    </cdr:to>
    <cdr:sp macro="" textlink="">
      <cdr:nvSpPr>
        <cdr:cNvPr id="4" name="Rectangle 3"/>
        <cdr:cNvSpPr/>
      </cdr:nvSpPr>
      <cdr:spPr>
        <a:xfrm xmlns:a="http://schemas.openxmlformats.org/drawingml/2006/main">
          <a:off x="59609" y="190500"/>
          <a:ext cx="996651" cy="334733"/>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vert="horz" wrap="square" lIns="36576" tIns="59436" rIns="36576" bIns="0" anchor="t" anchorCtr="0" upright="1">
          <a:normAutofit/>
        </a:bodyPr>
        <a:lstStyle xmlns:a="http://schemas.openxmlformats.org/drawingml/2006/main"/>
        <a:p xmlns:a="http://schemas.openxmlformats.org/drawingml/2006/main">
          <a:pPr algn="ctr" rtl="0">
            <a:defRPr sz="1000"/>
          </a:pPr>
          <a:r>
            <a:rPr lang="ar-SA" sz="900" b="1" i="0" u="none" strike="noStrike" baseline="0">
              <a:solidFill>
                <a:srgbClr val="000000"/>
              </a:solidFill>
              <a:latin typeface="Simplified Arabic" panose="02020603050405020304" pitchFamily="18" charset="-78"/>
              <a:cs typeface="Simplified Arabic" panose="02020603050405020304" pitchFamily="18" charset="-78"/>
            </a:rPr>
            <a:t>الفئات العمرية</a:t>
          </a:r>
          <a:endParaRPr lang="en-GB" sz="900" b="1" i="0" u="none" strike="noStrike" baseline="0">
            <a:solidFill>
              <a:srgbClr val="000000"/>
            </a:solidFill>
            <a:latin typeface="Simplified Arabic" panose="02020603050405020304" pitchFamily="18" charset="-78"/>
            <a:cs typeface="Simplified Arabic" panose="02020603050405020304" pitchFamily="18" charset="-78"/>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3F436-ADC8-4BE5-A92D-6061E6E4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12783</Words>
  <Characters>72867</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HRI/CORE/THA/2021</vt:lpstr>
    </vt:vector>
  </TitlesOfParts>
  <Company>DCM</Company>
  <LinksUpToDate>false</LinksUpToDate>
  <CharactersWithSpaces>85480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HRI/CORE/THA/2021</dc:title>
  <dc:subject>GE.2118208(A)</dc:subject>
  <dc:creator>Muntaha BUHNAM - ASE</dc:creator>
  <cp:keywords>GE.2137208(A)</cp:keywords>
  <dc:description>Distr.: General
7 December 2021
Arabic
Original: English</dc:description>
  <cp:lastModifiedBy>Jamal Alkahlout</cp:lastModifiedBy>
  <cp:revision>2</cp:revision>
  <dcterms:created xsi:type="dcterms:W3CDTF">2022-01-17T14:36:00Z</dcterms:created>
  <dcterms:modified xsi:type="dcterms:W3CDTF">2022-01-17T14:36:00Z</dcterms:modified>
</cp:coreProperties>
</file>