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14:paraId="1B6EAFA8" w14:textId="77777777" w:rsidTr="00DC68EC">
        <w:trPr>
          <w:trHeight w:hRule="exact" w:val="851"/>
        </w:trPr>
        <w:tc>
          <w:tcPr>
            <w:tcW w:w="1280" w:type="dxa"/>
            <w:tcBorders>
              <w:bottom w:val="single" w:sz="4" w:space="0" w:color="auto"/>
            </w:tcBorders>
          </w:tcPr>
          <w:p w14:paraId="3A2251EA" w14:textId="77777777" w:rsidR="00164236" w:rsidRPr="00F124C6" w:rsidRDefault="00164236" w:rsidP="00DC68EC">
            <w:pPr>
              <w:pStyle w:val="H23GC"/>
            </w:pPr>
          </w:p>
        </w:tc>
        <w:tc>
          <w:tcPr>
            <w:tcW w:w="2273" w:type="dxa"/>
            <w:tcBorders>
              <w:bottom w:val="single" w:sz="4" w:space="0" w:color="auto"/>
            </w:tcBorders>
            <w:vAlign w:val="bottom"/>
          </w:tcPr>
          <w:p w14:paraId="51AD4C9B" w14:textId="77777777"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060C4E8" w14:textId="7B0F463E" w:rsidR="00164236" w:rsidRPr="00522F93" w:rsidRDefault="00522F93" w:rsidP="00DC68EC">
            <w:pPr>
              <w:spacing w:line="240" w:lineRule="atLeast"/>
              <w:jc w:val="right"/>
              <w:rPr>
                <w:sz w:val="20"/>
                <w:szCs w:val="21"/>
              </w:rPr>
            </w:pPr>
            <w:r>
              <w:rPr>
                <w:sz w:val="40"/>
                <w:szCs w:val="21"/>
              </w:rPr>
              <w:t>HRI</w:t>
            </w:r>
            <w:r>
              <w:rPr>
                <w:sz w:val="20"/>
                <w:szCs w:val="21"/>
              </w:rPr>
              <w:t>/CORE/THA/2021</w:t>
            </w:r>
          </w:p>
        </w:tc>
      </w:tr>
      <w:tr w:rsidR="00164236" w:rsidRPr="00F124C6" w14:paraId="7F12CB6B" w14:textId="77777777" w:rsidTr="00DC68EC">
        <w:trPr>
          <w:trHeight w:hRule="exact" w:val="2835"/>
        </w:trPr>
        <w:tc>
          <w:tcPr>
            <w:tcW w:w="1280" w:type="dxa"/>
            <w:tcBorders>
              <w:top w:val="single" w:sz="4" w:space="0" w:color="auto"/>
              <w:bottom w:val="single" w:sz="12" w:space="0" w:color="auto"/>
            </w:tcBorders>
          </w:tcPr>
          <w:p w14:paraId="00557C6E" w14:textId="77777777" w:rsidR="00164236" w:rsidRPr="00F124C6" w:rsidRDefault="00164236" w:rsidP="00DC68EC">
            <w:pPr>
              <w:spacing w:line="120" w:lineRule="atLeast"/>
              <w:rPr>
                <w:sz w:val="10"/>
                <w:szCs w:val="10"/>
              </w:rPr>
            </w:pPr>
          </w:p>
          <w:p w14:paraId="6A9332E5" w14:textId="77777777" w:rsidR="00164236" w:rsidRPr="00F124C6" w:rsidRDefault="00164236" w:rsidP="00DC68EC">
            <w:pPr>
              <w:spacing w:line="120" w:lineRule="atLeast"/>
              <w:rPr>
                <w:sz w:val="10"/>
                <w:szCs w:val="10"/>
              </w:rPr>
            </w:pPr>
            <w:r>
              <w:rPr>
                <w:rFonts w:hint="eastAsia"/>
                <w:noProof/>
                <w:snapToGrid/>
              </w:rPr>
              <w:drawing>
                <wp:inline distT="0" distB="0" distL="0" distR="0" wp14:anchorId="3E3AEB6F" wp14:editId="7566CCB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C14581B" w14:textId="77777777"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14:paraId="2384CEAA" w14:textId="5397AE10" w:rsidR="00164236" w:rsidRPr="0004600B" w:rsidRDefault="00522F93" w:rsidP="00DC68EC">
            <w:pPr>
              <w:spacing w:before="240" w:line="240" w:lineRule="atLeast"/>
              <w:rPr>
                <w:sz w:val="20"/>
              </w:rPr>
            </w:pPr>
            <w:r>
              <w:rPr>
                <w:sz w:val="20"/>
              </w:rPr>
              <w:t>Distr.: General</w:t>
            </w:r>
          </w:p>
          <w:p w14:paraId="38F914D8" w14:textId="2DBD0776" w:rsidR="00164236" w:rsidRPr="00F124C6" w:rsidRDefault="00B47672" w:rsidP="00DC68EC">
            <w:pPr>
              <w:spacing w:line="240" w:lineRule="atLeast"/>
              <w:rPr>
                <w:sz w:val="20"/>
              </w:rPr>
            </w:pPr>
            <w:r w:rsidRPr="00B47672">
              <w:rPr>
                <w:sz w:val="20"/>
              </w:rPr>
              <w:t>7 December 2021</w:t>
            </w:r>
          </w:p>
          <w:p w14:paraId="46A16814" w14:textId="797BC808" w:rsidR="00164236" w:rsidRPr="00F124C6" w:rsidRDefault="00522F93" w:rsidP="00DC68EC">
            <w:pPr>
              <w:spacing w:line="240" w:lineRule="atLeast"/>
              <w:rPr>
                <w:sz w:val="20"/>
              </w:rPr>
            </w:pPr>
            <w:r>
              <w:rPr>
                <w:sz w:val="20"/>
              </w:rPr>
              <w:t>Chinese</w:t>
            </w:r>
            <w:r w:rsidR="00164236" w:rsidRPr="00F124C6">
              <w:rPr>
                <w:sz w:val="20"/>
              </w:rPr>
              <w:t xml:space="preserve"> </w:t>
            </w:r>
          </w:p>
          <w:p w14:paraId="3922974A" w14:textId="0547EE15" w:rsidR="00164236" w:rsidRPr="00F124C6" w:rsidRDefault="00522F93" w:rsidP="00DC68EC">
            <w:pPr>
              <w:spacing w:line="240" w:lineRule="atLeast"/>
            </w:pPr>
            <w:r>
              <w:rPr>
                <w:sz w:val="20"/>
              </w:rPr>
              <w:t>Original: English</w:t>
            </w:r>
          </w:p>
        </w:tc>
      </w:tr>
    </w:tbl>
    <w:p w14:paraId="02C2BB9C" w14:textId="77777777" w:rsidR="00522F93" w:rsidRDefault="00522F93" w:rsidP="00B47672">
      <w:pPr>
        <w:pStyle w:val="HMGC"/>
      </w:pPr>
      <w:r>
        <w:rPr>
          <w:rFonts w:hint="eastAsia"/>
        </w:rPr>
        <w:tab/>
      </w:r>
      <w:r>
        <w:rPr>
          <w:rFonts w:hint="eastAsia"/>
        </w:rPr>
        <w:tab/>
      </w:r>
      <w:r>
        <w:rPr>
          <w:rFonts w:hint="eastAsia"/>
        </w:rPr>
        <w:t>作为缔约国报告组成部分的共同核心文件</w:t>
      </w:r>
    </w:p>
    <w:p w14:paraId="03A40B52" w14:textId="0506F060" w:rsidR="00522F93" w:rsidRDefault="00522F93" w:rsidP="00B47672">
      <w:pPr>
        <w:pStyle w:val="HMGC"/>
      </w:pPr>
      <w:r>
        <w:rPr>
          <w:rFonts w:hint="eastAsia"/>
        </w:rPr>
        <w:tab/>
      </w:r>
      <w:r>
        <w:rPr>
          <w:rFonts w:hint="eastAsia"/>
        </w:rPr>
        <w:tab/>
      </w:r>
      <w:r>
        <w:rPr>
          <w:rFonts w:hint="eastAsia"/>
        </w:rPr>
        <w:t>泰国</w:t>
      </w:r>
      <w:r w:rsidR="00B47672" w:rsidRPr="00B47672">
        <w:rPr>
          <w:rStyle w:val="a8"/>
          <w:rFonts w:eastAsia="黑体"/>
          <w:sz w:val="34"/>
          <w:vertAlign w:val="baseline"/>
        </w:rPr>
        <w:footnoteReference w:customMarkFollows="1" w:id="2"/>
        <w:t>*</w:t>
      </w:r>
    </w:p>
    <w:p w14:paraId="4752EC62" w14:textId="61BF5CF4" w:rsidR="00522F93" w:rsidRDefault="00522F93" w:rsidP="00B47672">
      <w:pPr>
        <w:pStyle w:val="SingleTxtGC"/>
        <w:jc w:val="right"/>
      </w:pPr>
      <w:r>
        <w:rPr>
          <w:rFonts w:hint="eastAsia"/>
        </w:rPr>
        <w:t>[</w:t>
      </w:r>
      <w:r>
        <w:rPr>
          <w:rFonts w:hint="eastAsia"/>
        </w:rPr>
        <w:t>收到日期：</w:t>
      </w:r>
      <w:r>
        <w:rPr>
          <w:rFonts w:hint="eastAsia"/>
        </w:rPr>
        <w:t>2021</w:t>
      </w:r>
      <w:r>
        <w:rPr>
          <w:rFonts w:hint="eastAsia"/>
        </w:rPr>
        <w:t>年</w:t>
      </w:r>
      <w:r>
        <w:rPr>
          <w:rFonts w:hint="eastAsia"/>
        </w:rPr>
        <w:t>11</w:t>
      </w:r>
      <w:r>
        <w:rPr>
          <w:rFonts w:hint="eastAsia"/>
        </w:rPr>
        <w:t>月</w:t>
      </w:r>
      <w:r>
        <w:rPr>
          <w:rFonts w:hint="eastAsia"/>
        </w:rPr>
        <w:t>15</w:t>
      </w:r>
      <w:r>
        <w:rPr>
          <w:rFonts w:hint="eastAsia"/>
        </w:rPr>
        <w:t>日</w:t>
      </w:r>
      <w:r>
        <w:rPr>
          <w:rFonts w:hint="eastAsia"/>
        </w:rPr>
        <w:t>]</w:t>
      </w:r>
    </w:p>
    <w:p w14:paraId="534340C9" w14:textId="1818675F" w:rsidR="00B47672" w:rsidRDefault="00B47672">
      <w:pPr>
        <w:tabs>
          <w:tab w:val="clear" w:pos="431"/>
        </w:tabs>
        <w:overflowPunct/>
        <w:adjustRightInd/>
        <w:snapToGrid/>
        <w:spacing w:line="240" w:lineRule="auto"/>
        <w:jc w:val="left"/>
      </w:pPr>
      <w:r>
        <w:br w:type="page"/>
      </w:r>
    </w:p>
    <w:p w14:paraId="3D5F7E81" w14:textId="77777777" w:rsidR="00B47672" w:rsidRDefault="00B47672" w:rsidP="006F49C1">
      <w:pPr>
        <w:spacing w:after="120"/>
        <w:rPr>
          <w:sz w:val="28"/>
          <w:szCs w:val="28"/>
        </w:rPr>
      </w:pPr>
      <w:r>
        <w:rPr>
          <w:rFonts w:hint="eastAsia"/>
          <w:sz w:val="28"/>
          <w:szCs w:val="28"/>
        </w:rPr>
        <w:lastRenderedPageBreak/>
        <w:t>目录</w:t>
      </w:r>
    </w:p>
    <w:p w14:paraId="1384E904" w14:textId="403884EE" w:rsidR="00B47672" w:rsidRPr="00115A19" w:rsidRDefault="00B47672" w:rsidP="006F49C1">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sz w:val="23"/>
          <w:szCs w:val="23"/>
        </w:rPr>
        <w:tab/>
      </w:r>
      <w:r w:rsidRPr="00115A19">
        <w:rPr>
          <w:rFonts w:eastAsia="楷体" w:hint="eastAsia"/>
          <w:sz w:val="18"/>
          <w:szCs w:val="18"/>
        </w:rPr>
        <w:t>页次</w:t>
      </w:r>
    </w:p>
    <w:p w14:paraId="46A18080" w14:textId="42E92002" w:rsidR="00522F93" w:rsidRDefault="00B47672" w:rsidP="00B47672">
      <w:pPr>
        <w:pStyle w:val="aa"/>
      </w:pPr>
      <w:r>
        <w:tab/>
      </w:r>
      <w:r w:rsidR="00522F93">
        <w:rPr>
          <w:rFonts w:hint="eastAsia"/>
        </w:rPr>
        <w:t>一</w:t>
      </w:r>
      <w:r w:rsidR="00522F93">
        <w:rPr>
          <w:rFonts w:hint="eastAsia"/>
        </w:rPr>
        <w:t>.</w:t>
      </w:r>
      <w:r w:rsidR="00522F93">
        <w:rPr>
          <w:rFonts w:hint="eastAsia"/>
        </w:rPr>
        <w:tab/>
      </w:r>
      <w:r w:rsidR="00522F93">
        <w:rPr>
          <w:rFonts w:hint="eastAsia"/>
        </w:rPr>
        <w:t>一般资料</w:t>
      </w:r>
      <w:r w:rsidR="00522F93">
        <w:rPr>
          <w:rFonts w:hint="eastAsia"/>
        </w:rPr>
        <w:tab/>
      </w:r>
      <w:r w:rsidR="00522F93">
        <w:rPr>
          <w:rFonts w:hint="eastAsia"/>
        </w:rPr>
        <w:tab/>
      </w:r>
      <w:r w:rsidR="00522F93">
        <w:rPr>
          <w:rFonts w:hint="eastAsia"/>
        </w:rPr>
        <w:tab/>
        <w:t>3</w:t>
      </w:r>
    </w:p>
    <w:p w14:paraId="3CCB9514" w14:textId="622EA4EB" w:rsidR="00522F93" w:rsidRDefault="00522F93" w:rsidP="00B47672">
      <w:pPr>
        <w:pStyle w:val="aa"/>
      </w:pPr>
      <w:r>
        <w:rPr>
          <w:rFonts w:hint="eastAsia"/>
        </w:rPr>
        <w:tab/>
      </w:r>
      <w:r w:rsidR="00FD5350">
        <w:tab/>
      </w:r>
      <w:r>
        <w:rPr>
          <w:rFonts w:hint="eastAsia"/>
        </w:rPr>
        <w:t>A.</w:t>
      </w:r>
      <w:r>
        <w:rPr>
          <w:rFonts w:hint="eastAsia"/>
        </w:rPr>
        <w:tab/>
      </w:r>
      <w:r>
        <w:rPr>
          <w:rFonts w:hint="eastAsia"/>
        </w:rPr>
        <w:t>人口、经济、社会、文化特征</w:t>
      </w:r>
      <w:r>
        <w:rPr>
          <w:rFonts w:hint="eastAsia"/>
        </w:rPr>
        <w:tab/>
      </w:r>
      <w:r>
        <w:rPr>
          <w:rFonts w:hint="eastAsia"/>
        </w:rPr>
        <w:tab/>
        <w:t>3</w:t>
      </w:r>
    </w:p>
    <w:p w14:paraId="6922ED4A" w14:textId="3279B446" w:rsidR="00522F93" w:rsidRDefault="00522F93" w:rsidP="00B47672">
      <w:pPr>
        <w:pStyle w:val="aa"/>
      </w:pPr>
      <w:r>
        <w:rPr>
          <w:rFonts w:hint="eastAsia"/>
        </w:rPr>
        <w:tab/>
      </w:r>
      <w:r w:rsidR="00FD5350">
        <w:tab/>
      </w:r>
      <w:r>
        <w:rPr>
          <w:rFonts w:hint="eastAsia"/>
        </w:rPr>
        <w:t>B.</w:t>
      </w:r>
      <w:r>
        <w:rPr>
          <w:rFonts w:hint="eastAsia"/>
        </w:rPr>
        <w:tab/>
      </w:r>
      <w:r>
        <w:rPr>
          <w:rFonts w:hint="eastAsia"/>
        </w:rPr>
        <w:t>宪法、政治和法律结构</w:t>
      </w:r>
      <w:r>
        <w:rPr>
          <w:rFonts w:hint="eastAsia"/>
        </w:rPr>
        <w:tab/>
      </w:r>
      <w:r>
        <w:rPr>
          <w:rFonts w:hint="eastAsia"/>
        </w:rPr>
        <w:tab/>
        <w:t>7</w:t>
      </w:r>
    </w:p>
    <w:p w14:paraId="7BF62598" w14:textId="4D055F87" w:rsidR="00522F93" w:rsidRDefault="00FD5350" w:rsidP="00B47672">
      <w:pPr>
        <w:pStyle w:val="aa"/>
      </w:pPr>
      <w:r>
        <w:tab/>
      </w:r>
      <w:r w:rsidR="00522F93">
        <w:rPr>
          <w:rFonts w:hint="eastAsia"/>
        </w:rPr>
        <w:t>二</w:t>
      </w:r>
      <w:r w:rsidR="00522F93">
        <w:rPr>
          <w:rFonts w:hint="eastAsia"/>
        </w:rPr>
        <w:t>.</w:t>
      </w:r>
      <w:r w:rsidR="00522F93">
        <w:rPr>
          <w:rFonts w:hint="eastAsia"/>
        </w:rPr>
        <w:tab/>
      </w:r>
      <w:r w:rsidR="00522F93">
        <w:rPr>
          <w:rFonts w:hint="eastAsia"/>
        </w:rPr>
        <w:t>保护和增进人权的一般框架</w:t>
      </w:r>
      <w:r w:rsidR="00522F93">
        <w:rPr>
          <w:rFonts w:hint="eastAsia"/>
        </w:rPr>
        <w:tab/>
      </w:r>
      <w:r w:rsidR="00522F93">
        <w:rPr>
          <w:rFonts w:hint="eastAsia"/>
        </w:rPr>
        <w:tab/>
        <w:t>13</w:t>
      </w:r>
    </w:p>
    <w:p w14:paraId="2D0D1FC5" w14:textId="0205A04C" w:rsidR="00522F93" w:rsidRDefault="00522F93" w:rsidP="00B47672">
      <w:pPr>
        <w:pStyle w:val="aa"/>
      </w:pPr>
      <w:r>
        <w:rPr>
          <w:rFonts w:hint="eastAsia"/>
        </w:rPr>
        <w:tab/>
      </w:r>
      <w:r w:rsidR="00FD5350">
        <w:tab/>
      </w:r>
      <w:r>
        <w:rPr>
          <w:rFonts w:hint="eastAsia"/>
        </w:rPr>
        <w:t>A.</w:t>
      </w:r>
      <w:r>
        <w:rPr>
          <w:rFonts w:hint="eastAsia"/>
        </w:rPr>
        <w:tab/>
      </w:r>
      <w:r>
        <w:rPr>
          <w:rFonts w:hint="eastAsia"/>
        </w:rPr>
        <w:t>接受国际人权标准的情况</w:t>
      </w:r>
      <w:r>
        <w:rPr>
          <w:rFonts w:hint="eastAsia"/>
        </w:rPr>
        <w:tab/>
      </w:r>
      <w:r>
        <w:rPr>
          <w:rFonts w:hint="eastAsia"/>
        </w:rPr>
        <w:tab/>
        <w:t>13</w:t>
      </w:r>
    </w:p>
    <w:p w14:paraId="6B88A39A" w14:textId="0DD31471" w:rsidR="00522F93" w:rsidRDefault="00522F93" w:rsidP="00B47672">
      <w:pPr>
        <w:pStyle w:val="aa"/>
      </w:pPr>
      <w:r>
        <w:rPr>
          <w:rFonts w:hint="eastAsia"/>
        </w:rPr>
        <w:tab/>
      </w:r>
      <w:r w:rsidR="00FD5350">
        <w:tab/>
      </w:r>
      <w:r>
        <w:rPr>
          <w:rFonts w:hint="eastAsia"/>
        </w:rPr>
        <w:t>B.</w:t>
      </w:r>
      <w:r>
        <w:rPr>
          <w:rFonts w:hint="eastAsia"/>
        </w:rPr>
        <w:tab/>
      </w:r>
      <w:r>
        <w:rPr>
          <w:rFonts w:hint="eastAsia"/>
        </w:rPr>
        <w:t>国家一级保护人权的法律框架</w:t>
      </w:r>
      <w:r>
        <w:rPr>
          <w:rFonts w:hint="eastAsia"/>
        </w:rPr>
        <w:tab/>
      </w:r>
      <w:r>
        <w:rPr>
          <w:rFonts w:hint="eastAsia"/>
        </w:rPr>
        <w:tab/>
        <w:t>1</w:t>
      </w:r>
      <w:r w:rsidR="001C71D8">
        <w:t>5</w:t>
      </w:r>
    </w:p>
    <w:p w14:paraId="73F93F62" w14:textId="77333D6D" w:rsidR="00522F93" w:rsidRDefault="00522F93" w:rsidP="00B47672">
      <w:pPr>
        <w:pStyle w:val="aa"/>
      </w:pPr>
      <w:r>
        <w:rPr>
          <w:rFonts w:hint="eastAsia"/>
        </w:rPr>
        <w:tab/>
      </w:r>
      <w:r w:rsidR="00FD5350">
        <w:tab/>
      </w:r>
      <w:r>
        <w:rPr>
          <w:rFonts w:hint="eastAsia"/>
        </w:rPr>
        <w:t>C.</w:t>
      </w:r>
      <w:r>
        <w:rPr>
          <w:rFonts w:hint="eastAsia"/>
        </w:rPr>
        <w:tab/>
      </w:r>
      <w:r>
        <w:rPr>
          <w:rFonts w:hint="eastAsia"/>
        </w:rPr>
        <w:t>国家一级促进人权的框架</w:t>
      </w:r>
      <w:r>
        <w:rPr>
          <w:rFonts w:hint="eastAsia"/>
        </w:rPr>
        <w:tab/>
      </w:r>
      <w:r>
        <w:rPr>
          <w:rFonts w:hint="eastAsia"/>
        </w:rPr>
        <w:tab/>
        <w:t>2</w:t>
      </w:r>
      <w:r w:rsidR="001C71D8">
        <w:t>3</w:t>
      </w:r>
    </w:p>
    <w:p w14:paraId="3C0176EE" w14:textId="3F1F7FED" w:rsidR="00522F93" w:rsidRDefault="00522F93" w:rsidP="00B47672">
      <w:pPr>
        <w:pStyle w:val="aa"/>
      </w:pPr>
      <w:r>
        <w:rPr>
          <w:rFonts w:hint="eastAsia"/>
        </w:rPr>
        <w:tab/>
      </w:r>
      <w:r w:rsidR="00FD5350">
        <w:tab/>
      </w:r>
      <w:r>
        <w:rPr>
          <w:rFonts w:hint="eastAsia"/>
        </w:rPr>
        <w:t>D.</w:t>
      </w:r>
      <w:r>
        <w:rPr>
          <w:rFonts w:hint="eastAsia"/>
        </w:rPr>
        <w:tab/>
      </w:r>
      <w:r>
        <w:rPr>
          <w:rFonts w:hint="eastAsia"/>
        </w:rPr>
        <w:t>国家一级向联合国提交报告的进程</w:t>
      </w:r>
      <w:r>
        <w:rPr>
          <w:rFonts w:hint="eastAsia"/>
        </w:rPr>
        <w:tab/>
      </w:r>
      <w:r>
        <w:rPr>
          <w:rFonts w:hint="eastAsia"/>
        </w:rPr>
        <w:tab/>
        <w:t>2</w:t>
      </w:r>
      <w:r w:rsidR="001C71D8">
        <w:t>7</w:t>
      </w:r>
    </w:p>
    <w:p w14:paraId="1F3C6AB2" w14:textId="2B2D512E" w:rsidR="00522F93" w:rsidRDefault="00FD5350" w:rsidP="00B47672">
      <w:pPr>
        <w:pStyle w:val="aa"/>
      </w:pPr>
      <w:r>
        <w:tab/>
      </w:r>
      <w:r w:rsidR="00522F93">
        <w:rPr>
          <w:rFonts w:hint="eastAsia"/>
        </w:rPr>
        <w:t>三</w:t>
      </w:r>
      <w:r w:rsidR="00522F93">
        <w:rPr>
          <w:rFonts w:hint="eastAsia"/>
        </w:rPr>
        <w:t>.</w:t>
      </w:r>
      <w:r>
        <w:tab/>
      </w:r>
      <w:r w:rsidR="00522F93">
        <w:rPr>
          <w:rFonts w:hint="eastAsia"/>
        </w:rPr>
        <w:t>执行实质性人权条款的情况</w:t>
      </w:r>
      <w:r w:rsidR="00522F93">
        <w:rPr>
          <w:rFonts w:hint="eastAsia"/>
        </w:rPr>
        <w:tab/>
      </w:r>
      <w:r w:rsidR="00522F93">
        <w:rPr>
          <w:rFonts w:hint="eastAsia"/>
        </w:rPr>
        <w:tab/>
      </w:r>
      <w:r w:rsidR="009E0063">
        <w:t>28</w:t>
      </w:r>
    </w:p>
    <w:p w14:paraId="6BD5E728" w14:textId="5057D71A" w:rsidR="00522F93" w:rsidRDefault="00522F93" w:rsidP="00B47672">
      <w:pPr>
        <w:pStyle w:val="aa"/>
      </w:pPr>
      <w:r>
        <w:rPr>
          <w:rFonts w:hint="eastAsia"/>
        </w:rPr>
        <w:tab/>
      </w:r>
      <w:r w:rsidR="00FD5350">
        <w:tab/>
      </w:r>
      <w:r>
        <w:rPr>
          <w:rFonts w:hint="eastAsia"/>
        </w:rPr>
        <w:t>A.</w:t>
      </w:r>
      <w:r>
        <w:rPr>
          <w:rFonts w:hint="eastAsia"/>
        </w:rPr>
        <w:tab/>
      </w:r>
      <w:r>
        <w:rPr>
          <w:rFonts w:hint="eastAsia"/>
        </w:rPr>
        <w:t>不歧视和平等</w:t>
      </w:r>
      <w:r>
        <w:rPr>
          <w:rFonts w:hint="eastAsia"/>
        </w:rPr>
        <w:tab/>
      </w:r>
      <w:r>
        <w:rPr>
          <w:rFonts w:hint="eastAsia"/>
        </w:rPr>
        <w:tab/>
      </w:r>
      <w:r w:rsidR="009E0063">
        <w:t>28</w:t>
      </w:r>
    </w:p>
    <w:p w14:paraId="0811E817" w14:textId="07AF0DCA" w:rsidR="00522F93" w:rsidRDefault="00522F93" w:rsidP="00B47672">
      <w:pPr>
        <w:pStyle w:val="aa"/>
      </w:pPr>
      <w:r>
        <w:rPr>
          <w:rFonts w:hint="eastAsia"/>
        </w:rPr>
        <w:tab/>
      </w:r>
      <w:r w:rsidR="00FD5350">
        <w:tab/>
      </w:r>
      <w:r>
        <w:rPr>
          <w:rFonts w:hint="eastAsia"/>
        </w:rPr>
        <w:t>B.</w:t>
      </w:r>
      <w:r>
        <w:rPr>
          <w:rFonts w:hint="eastAsia"/>
        </w:rPr>
        <w:tab/>
      </w:r>
      <w:r>
        <w:rPr>
          <w:rFonts w:hint="eastAsia"/>
        </w:rPr>
        <w:t>有效补救措施</w:t>
      </w:r>
      <w:r>
        <w:rPr>
          <w:rFonts w:hint="eastAsia"/>
        </w:rPr>
        <w:tab/>
      </w:r>
      <w:r>
        <w:rPr>
          <w:rFonts w:hint="eastAsia"/>
        </w:rPr>
        <w:tab/>
      </w:r>
      <w:r w:rsidR="009E0063">
        <w:t>29</w:t>
      </w:r>
    </w:p>
    <w:p w14:paraId="320165E4" w14:textId="2D6298CF" w:rsidR="00522F93" w:rsidRDefault="00522F93" w:rsidP="00B47672">
      <w:pPr>
        <w:pStyle w:val="aa"/>
      </w:pPr>
      <w:r>
        <w:rPr>
          <w:rFonts w:hint="eastAsia"/>
        </w:rPr>
        <w:tab/>
      </w:r>
      <w:r w:rsidR="00FD5350">
        <w:tab/>
      </w:r>
      <w:r>
        <w:rPr>
          <w:rFonts w:hint="eastAsia"/>
        </w:rPr>
        <w:t>C.</w:t>
      </w:r>
      <w:r>
        <w:rPr>
          <w:rFonts w:hint="eastAsia"/>
        </w:rPr>
        <w:tab/>
      </w:r>
      <w:r>
        <w:rPr>
          <w:rFonts w:hint="eastAsia"/>
        </w:rPr>
        <w:t>程序性保障</w:t>
      </w:r>
      <w:r>
        <w:rPr>
          <w:rFonts w:hint="eastAsia"/>
        </w:rPr>
        <w:tab/>
      </w:r>
      <w:r>
        <w:rPr>
          <w:rFonts w:hint="eastAsia"/>
        </w:rPr>
        <w:tab/>
      </w:r>
      <w:r w:rsidR="009E0063">
        <w:t>29</w:t>
      </w:r>
    </w:p>
    <w:p w14:paraId="7AAEA3C2" w14:textId="5185EEA2" w:rsidR="00522F93" w:rsidRDefault="00522F93" w:rsidP="00B47672">
      <w:pPr>
        <w:pStyle w:val="aa"/>
      </w:pPr>
      <w:r>
        <w:rPr>
          <w:rFonts w:hint="eastAsia"/>
        </w:rPr>
        <w:tab/>
      </w:r>
      <w:r w:rsidR="00FD5350">
        <w:tab/>
      </w:r>
      <w:r>
        <w:rPr>
          <w:rFonts w:hint="eastAsia"/>
        </w:rPr>
        <w:t>D.</w:t>
      </w:r>
      <w:r>
        <w:rPr>
          <w:rFonts w:hint="eastAsia"/>
        </w:rPr>
        <w:tab/>
      </w:r>
      <w:r>
        <w:rPr>
          <w:rFonts w:hint="eastAsia"/>
        </w:rPr>
        <w:t>参与公共生活</w:t>
      </w:r>
      <w:r>
        <w:rPr>
          <w:rFonts w:hint="eastAsia"/>
        </w:rPr>
        <w:tab/>
      </w:r>
      <w:r>
        <w:rPr>
          <w:rFonts w:hint="eastAsia"/>
        </w:rPr>
        <w:tab/>
        <w:t>3</w:t>
      </w:r>
      <w:r w:rsidR="009E0063">
        <w:t>0</w:t>
      </w:r>
    </w:p>
    <w:p w14:paraId="18CD31B4" w14:textId="5B8B7CE3" w:rsidR="00FD5350" w:rsidRDefault="00FD5350">
      <w:pPr>
        <w:tabs>
          <w:tab w:val="clear" w:pos="431"/>
        </w:tabs>
        <w:overflowPunct/>
        <w:adjustRightInd/>
        <w:snapToGrid/>
        <w:spacing w:line="240" w:lineRule="auto"/>
        <w:jc w:val="left"/>
      </w:pPr>
      <w:r>
        <w:br w:type="page"/>
      </w:r>
    </w:p>
    <w:p w14:paraId="12F89358" w14:textId="4162AA44" w:rsidR="00522F93" w:rsidRDefault="00FD5350" w:rsidP="00FD5350">
      <w:pPr>
        <w:pStyle w:val="HChGC"/>
      </w:pPr>
      <w:r>
        <w:rPr>
          <w:rFonts w:hint="eastAsia"/>
        </w:rPr>
        <w:lastRenderedPageBreak/>
        <w:tab/>
      </w:r>
      <w:r w:rsidR="00522F93">
        <w:rPr>
          <w:rFonts w:hint="eastAsia"/>
        </w:rPr>
        <w:t>一</w:t>
      </w:r>
      <w:r w:rsidR="00522F93">
        <w:rPr>
          <w:rFonts w:hint="eastAsia"/>
        </w:rPr>
        <w:t>.</w:t>
      </w:r>
      <w:r w:rsidR="00522F93">
        <w:rPr>
          <w:rFonts w:hint="eastAsia"/>
        </w:rPr>
        <w:tab/>
      </w:r>
      <w:r w:rsidR="00522F93">
        <w:rPr>
          <w:rFonts w:hint="eastAsia"/>
        </w:rPr>
        <w:t>一般资料</w:t>
      </w:r>
    </w:p>
    <w:p w14:paraId="65395F59" w14:textId="3916417A" w:rsidR="00522F93" w:rsidRDefault="00522F93" w:rsidP="00522F93">
      <w:pPr>
        <w:pStyle w:val="SingleTxtGC"/>
      </w:pPr>
      <w:r>
        <w:rPr>
          <w:rFonts w:hint="eastAsia"/>
        </w:rPr>
        <w:t>1.</w:t>
      </w:r>
      <w:r>
        <w:rPr>
          <w:rFonts w:hint="eastAsia"/>
        </w:rPr>
        <w:tab/>
      </w:r>
      <w:r>
        <w:rPr>
          <w:rFonts w:hint="eastAsia"/>
        </w:rPr>
        <w:t>本文件是对作为泰国报告一部分的前一份共同核心文件</w:t>
      </w:r>
      <w:r>
        <w:rPr>
          <w:rFonts w:hint="eastAsia"/>
        </w:rPr>
        <w:t>(HRI/CORE/THA/</w:t>
      </w:r>
      <w:r w:rsidR="00FD5350">
        <w:t xml:space="preserve"> </w:t>
      </w:r>
      <w:r>
        <w:rPr>
          <w:rFonts w:hint="eastAsia"/>
        </w:rPr>
        <w:t>2012)</w:t>
      </w:r>
      <w:r>
        <w:rPr>
          <w:rFonts w:hint="eastAsia"/>
        </w:rPr>
        <w:t>的更新。本文件是按照《包括共同核心文件和条约专要文件准则在内的根据国际人权条约提交报告的协调准则》</w:t>
      </w:r>
      <w:r>
        <w:rPr>
          <w:rFonts w:hint="eastAsia"/>
        </w:rPr>
        <w:t>(HRI/GEN/2/Rev.6)</w:t>
      </w:r>
      <w:r>
        <w:rPr>
          <w:rFonts w:hint="eastAsia"/>
        </w:rPr>
        <w:t>编写的。</w:t>
      </w:r>
    </w:p>
    <w:p w14:paraId="650BC501" w14:textId="1ED2BEAE" w:rsidR="00522F93" w:rsidRDefault="00522F93" w:rsidP="00522F93">
      <w:pPr>
        <w:pStyle w:val="SingleTxtGC"/>
      </w:pPr>
      <w:r>
        <w:rPr>
          <w:rFonts w:hint="eastAsia"/>
        </w:rPr>
        <w:t>2.</w:t>
      </w:r>
      <w:r>
        <w:rPr>
          <w:rFonts w:hint="eastAsia"/>
        </w:rPr>
        <w:tab/>
      </w:r>
      <w:r>
        <w:rPr>
          <w:rFonts w:hint="eastAsia"/>
        </w:rPr>
        <w:t>泰国共同核心文件工作组由司法部设立，由所有相关政府机构、泰国国家人权委员会和人权专家组成，自</w:t>
      </w:r>
      <w:r>
        <w:rPr>
          <w:rFonts w:hint="eastAsia"/>
        </w:rPr>
        <w:t>2019</w:t>
      </w:r>
      <w:r>
        <w:rPr>
          <w:rFonts w:hint="eastAsia"/>
        </w:rPr>
        <w:t>年</w:t>
      </w:r>
      <w:r>
        <w:rPr>
          <w:rFonts w:hint="eastAsia"/>
        </w:rPr>
        <w:t>3</w:t>
      </w:r>
      <w:r>
        <w:rPr>
          <w:rFonts w:hint="eastAsia"/>
        </w:rPr>
        <w:t>月以来举行了一系列会议。本文件于</w:t>
      </w:r>
      <w:r>
        <w:rPr>
          <w:rFonts w:hint="eastAsia"/>
        </w:rPr>
        <w:t>2020</w:t>
      </w:r>
      <w:r>
        <w:rPr>
          <w:rFonts w:hint="eastAsia"/>
        </w:rPr>
        <w:t>年</w:t>
      </w:r>
      <w:r>
        <w:rPr>
          <w:rFonts w:hint="eastAsia"/>
        </w:rPr>
        <w:t>7</w:t>
      </w:r>
      <w:r>
        <w:rPr>
          <w:rFonts w:hint="eastAsia"/>
        </w:rPr>
        <w:t>月定稿。</w:t>
      </w:r>
    </w:p>
    <w:p w14:paraId="0F9191E1" w14:textId="3D8D5332" w:rsidR="00522F93" w:rsidRDefault="00522F93" w:rsidP="00FD5350">
      <w:pPr>
        <w:pStyle w:val="H1GC"/>
      </w:pPr>
      <w:r>
        <w:rPr>
          <w:rFonts w:hint="eastAsia"/>
        </w:rPr>
        <w:tab/>
        <w:t>A.</w:t>
      </w:r>
      <w:r>
        <w:rPr>
          <w:rFonts w:hint="eastAsia"/>
        </w:rPr>
        <w:tab/>
      </w:r>
      <w:r>
        <w:rPr>
          <w:rFonts w:hint="eastAsia"/>
        </w:rPr>
        <w:t>人口、经济、社会和文化特征</w:t>
      </w:r>
    </w:p>
    <w:p w14:paraId="5E962866" w14:textId="77777777" w:rsidR="00522F93" w:rsidRDefault="00522F93" w:rsidP="00FD5350">
      <w:pPr>
        <w:pStyle w:val="H23GC"/>
      </w:pPr>
      <w:r>
        <w:rPr>
          <w:rFonts w:hint="eastAsia"/>
        </w:rPr>
        <w:tab/>
      </w:r>
      <w:r>
        <w:rPr>
          <w:rFonts w:hint="eastAsia"/>
        </w:rPr>
        <w:tab/>
      </w:r>
      <w:r>
        <w:rPr>
          <w:rFonts w:hint="eastAsia"/>
        </w:rPr>
        <w:t>地理</w:t>
      </w:r>
    </w:p>
    <w:p w14:paraId="4198ABB8" w14:textId="7E8DD676" w:rsidR="00522F93" w:rsidRDefault="00522F93" w:rsidP="00522F93">
      <w:pPr>
        <w:pStyle w:val="SingleTxtGC"/>
      </w:pPr>
      <w:r>
        <w:rPr>
          <w:rFonts w:hint="eastAsia"/>
        </w:rPr>
        <w:t>3.</w:t>
      </w:r>
      <w:r>
        <w:rPr>
          <w:rFonts w:hint="eastAsia"/>
        </w:rPr>
        <w:tab/>
      </w:r>
      <w:r>
        <w:rPr>
          <w:rFonts w:hint="eastAsia"/>
        </w:rPr>
        <w:t>泰国位于东南亚大陆，国土面积</w:t>
      </w:r>
      <w:r>
        <w:rPr>
          <w:rFonts w:hint="eastAsia"/>
        </w:rPr>
        <w:t>513</w:t>
      </w:r>
      <w:r w:rsidR="006D1156">
        <w:rPr>
          <w:rFonts w:hint="eastAsia"/>
        </w:rPr>
        <w:t>,</w:t>
      </w:r>
      <w:r>
        <w:rPr>
          <w:rFonts w:hint="eastAsia"/>
        </w:rPr>
        <w:t>120</w:t>
      </w:r>
      <w:r>
        <w:rPr>
          <w:rFonts w:hint="eastAsia"/>
        </w:rPr>
        <w:t>平方公里。它北面与老挝人民民主共和国和缅甸接壤；东邻老挝人民民主共和国、柬埔寨和泰国湾；西濒缅甸和印度洋；南接马来西亚。</w:t>
      </w:r>
    </w:p>
    <w:p w14:paraId="19008372" w14:textId="1E1B21B3" w:rsidR="00522F93" w:rsidRDefault="00522F93" w:rsidP="00522F93">
      <w:pPr>
        <w:pStyle w:val="SingleTxtGC"/>
      </w:pPr>
      <w:r>
        <w:rPr>
          <w:rFonts w:hint="eastAsia"/>
        </w:rPr>
        <w:t>4.</w:t>
      </w:r>
      <w:r>
        <w:rPr>
          <w:rFonts w:hint="eastAsia"/>
        </w:rPr>
        <w:tab/>
      </w:r>
      <w:r>
        <w:rPr>
          <w:rFonts w:hint="eastAsia"/>
        </w:rPr>
        <w:t>泰国分为四个主要地理区域。每个地区在一定程度上都具有特定的自然特征：北部为高山；东北部为高原；中部平原为低地地区，与南方相连，山脉绵长，平原狭窄，延伸至大海。曼谷为首都。</w:t>
      </w:r>
    </w:p>
    <w:p w14:paraId="43BF5879" w14:textId="77777777" w:rsidR="00522F93" w:rsidRDefault="00522F93" w:rsidP="00FD5350">
      <w:pPr>
        <w:pStyle w:val="H23GC"/>
      </w:pPr>
      <w:r>
        <w:rPr>
          <w:rFonts w:hint="eastAsia"/>
        </w:rPr>
        <w:tab/>
      </w:r>
      <w:r>
        <w:rPr>
          <w:rFonts w:hint="eastAsia"/>
        </w:rPr>
        <w:tab/>
      </w:r>
      <w:r>
        <w:rPr>
          <w:rFonts w:hint="eastAsia"/>
        </w:rPr>
        <w:t>人口</w:t>
      </w:r>
    </w:p>
    <w:p w14:paraId="1EB1EC4E" w14:textId="3EBB7D9E" w:rsidR="00522F93" w:rsidRDefault="00522F93" w:rsidP="00522F93">
      <w:pPr>
        <w:pStyle w:val="SingleTxtGC"/>
      </w:pPr>
      <w:r>
        <w:rPr>
          <w:rFonts w:hint="eastAsia"/>
        </w:rPr>
        <w:t>5.</w:t>
      </w:r>
      <w:r>
        <w:rPr>
          <w:rFonts w:hint="eastAsia"/>
        </w:rPr>
        <w:tab/>
      </w:r>
      <w:r>
        <w:rPr>
          <w:rFonts w:hint="eastAsia"/>
        </w:rPr>
        <w:t>截至</w:t>
      </w:r>
      <w:r>
        <w:rPr>
          <w:rFonts w:hint="eastAsia"/>
        </w:rPr>
        <w:t>2018</w:t>
      </w:r>
      <w:r>
        <w:rPr>
          <w:rFonts w:hint="eastAsia"/>
        </w:rPr>
        <w:t>年</w:t>
      </w:r>
      <w:r>
        <w:rPr>
          <w:rFonts w:hint="eastAsia"/>
        </w:rPr>
        <w:t>12</w:t>
      </w:r>
      <w:r>
        <w:rPr>
          <w:rFonts w:hint="eastAsia"/>
        </w:rPr>
        <w:t>月</w:t>
      </w:r>
      <w:r>
        <w:rPr>
          <w:rFonts w:hint="eastAsia"/>
        </w:rPr>
        <w:t>31</w:t>
      </w:r>
      <w:r>
        <w:rPr>
          <w:rFonts w:hint="eastAsia"/>
        </w:rPr>
        <w:t>日，泰国人口约为</w:t>
      </w:r>
      <w:r>
        <w:rPr>
          <w:rFonts w:hint="eastAsia"/>
        </w:rPr>
        <w:t>6</w:t>
      </w:r>
      <w:r w:rsidR="006D1156">
        <w:rPr>
          <w:rFonts w:hint="eastAsia"/>
        </w:rPr>
        <w:t>,</w:t>
      </w:r>
      <w:r>
        <w:rPr>
          <w:rFonts w:hint="eastAsia"/>
        </w:rPr>
        <w:t>641</w:t>
      </w:r>
      <w:r>
        <w:rPr>
          <w:rFonts w:hint="eastAsia"/>
        </w:rPr>
        <w:t>万，其中</w:t>
      </w:r>
      <w:r>
        <w:rPr>
          <w:rFonts w:hint="eastAsia"/>
        </w:rPr>
        <w:t>98.62%</w:t>
      </w:r>
      <w:r>
        <w:rPr>
          <w:rFonts w:hint="eastAsia"/>
        </w:rPr>
        <w:t>为泰国国民，其余为缅甸人、柬埔寨人和老挝人。</w:t>
      </w:r>
    </w:p>
    <w:p w14:paraId="2AC337B7" w14:textId="085689DB" w:rsidR="00522F93" w:rsidRDefault="00522F93" w:rsidP="00522F93">
      <w:pPr>
        <w:pStyle w:val="SingleTxtGC"/>
      </w:pPr>
      <w:r>
        <w:rPr>
          <w:rFonts w:hint="eastAsia"/>
        </w:rPr>
        <w:t>6.</w:t>
      </w:r>
      <w:r>
        <w:rPr>
          <w:rFonts w:hint="eastAsia"/>
        </w:rPr>
        <w:tab/>
      </w:r>
      <w:r>
        <w:rPr>
          <w:rFonts w:hint="eastAsia"/>
        </w:rPr>
        <w:t>佛教徒占总人口的</w:t>
      </w:r>
      <w:r>
        <w:rPr>
          <w:rFonts w:hint="eastAsia"/>
        </w:rPr>
        <w:t>93.6%</w:t>
      </w:r>
      <w:r>
        <w:rPr>
          <w:rFonts w:hint="eastAsia"/>
        </w:rPr>
        <w:t>，穆斯林占</w:t>
      </w:r>
      <w:r>
        <w:rPr>
          <w:rFonts w:hint="eastAsia"/>
        </w:rPr>
        <w:t>4.9%</w:t>
      </w:r>
      <w:r>
        <w:rPr>
          <w:rFonts w:hint="eastAsia"/>
        </w:rPr>
        <w:t>，其余</w:t>
      </w:r>
      <w:r>
        <w:rPr>
          <w:rFonts w:hint="eastAsia"/>
        </w:rPr>
        <w:t>1.5%</w:t>
      </w:r>
      <w:r>
        <w:rPr>
          <w:rFonts w:hint="eastAsia"/>
        </w:rPr>
        <w:t>信奉基督教和其他信仰。</w:t>
      </w:r>
    </w:p>
    <w:p w14:paraId="2D730A4F" w14:textId="7AF34E9A" w:rsidR="00522F93" w:rsidRDefault="00522F93" w:rsidP="00FD5350">
      <w:pPr>
        <w:pStyle w:val="SingleTxtGC"/>
      </w:pPr>
      <w:r>
        <w:rPr>
          <w:rFonts w:hint="eastAsia"/>
        </w:rPr>
        <w:t>7.</w:t>
      </w:r>
      <w:r>
        <w:rPr>
          <w:rFonts w:hint="eastAsia"/>
        </w:rPr>
        <w:tab/>
      </w:r>
      <w:r>
        <w:rPr>
          <w:rFonts w:hint="eastAsia"/>
        </w:rPr>
        <w:t>从年龄结构来看，</w:t>
      </w:r>
      <w:r>
        <w:rPr>
          <w:rFonts w:hint="eastAsia"/>
        </w:rPr>
        <w:t>17.48%</w:t>
      </w:r>
      <w:r>
        <w:rPr>
          <w:rFonts w:hint="eastAsia"/>
        </w:rPr>
        <w:t>的人口属于</w:t>
      </w:r>
      <w:r>
        <w:rPr>
          <w:rFonts w:hint="eastAsia"/>
        </w:rPr>
        <w:t>0-14</w:t>
      </w:r>
      <w:r>
        <w:rPr>
          <w:rFonts w:hint="eastAsia"/>
        </w:rPr>
        <w:t>岁年龄组，</w:t>
      </w:r>
      <w:r>
        <w:rPr>
          <w:rFonts w:hint="eastAsia"/>
        </w:rPr>
        <w:t>65.87%</w:t>
      </w:r>
      <w:r>
        <w:rPr>
          <w:rFonts w:hint="eastAsia"/>
        </w:rPr>
        <w:t>属于</w:t>
      </w:r>
      <w:r>
        <w:rPr>
          <w:rFonts w:hint="eastAsia"/>
        </w:rPr>
        <w:t>15-59</w:t>
      </w:r>
      <w:r>
        <w:rPr>
          <w:rFonts w:hint="eastAsia"/>
        </w:rPr>
        <w:t>岁年龄组，</w:t>
      </w:r>
      <w:r>
        <w:rPr>
          <w:rFonts w:hint="eastAsia"/>
        </w:rPr>
        <w:t>16.65%</w:t>
      </w:r>
      <w:r>
        <w:rPr>
          <w:rFonts w:hint="eastAsia"/>
        </w:rPr>
        <w:t>为</w:t>
      </w:r>
      <w:r>
        <w:rPr>
          <w:rFonts w:hint="eastAsia"/>
        </w:rPr>
        <w:t>60</w:t>
      </w:r>
      <w:r>
        <w:rPr>
          <w:rFonts w:hint="eastAsia"/>
        </w:rPr>
        <w:t>岁或以上。</w:t>
      </w:r>
      <w:r>
        <w:rPr>
          <w:rFonts w:hint="eastAsia"/>
        </w:rPr>
        <w:t>2017</w:t>
      </w:r>
      <w:r>
        <w:rPr>
          <w:rFonts w:hint="eastAsia"/>
        </w:rPr>
        <w:t>年人口自然增长率降至</w:t>
      </w:r>
      <w:r>
        <w:rPr>
          <w:rFonts w:hint="eastAsia"/>
        </w:rPr>
        <w:t>0.4%</w:t>
      </w:r>
      <w:r>
        <w:rPr>
          <w:rFonts w:hint="eastAsia"/>
        </w:rPr>
        <w:t>。预计女性的平均预期寿命将增至</w:t>
      </w:r>
      <w:r>
        <w:rPr>
          <w:rFonts w:hint="eastAsia"/>
        </w:rPr>
        <w:t>76.3</w:t>
      </w:r>
      <w:r>
        <w:rPr>
          <w:rFonts w:hint="eastAsia"/>
        </w:rPr>
        <w:t>岁，男性将增至</w:t>
      </w:r>
      <w:r>
        <w:rPr>
          <w:rFonts w:hint="eastAsia"/>
        </w:rPr>
        <w:t>69.5</w:t>
      </w:r>
      <w:r>
        <w:rPr>
          <w:rFonts w:hint="eastAsia"/>
        </w:rPr>
        <w:t>岁。</w:t>
      </w:r>
    </w:p>
    <w:p w14:paraId="3290862F" w14:textId="77777777" w:rsidR="005816B9" w:rsidRDefault="005816B9">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14:paraId="315F4B59" w14:textId="2ABCAFC6" w:rsidR="00522F93" w:rsidRPr="00FD5350" w:rsidRDefault="00522F93" w:rsidP="00522F93">
      <w:pPr>
        <w:pStyle w:val="SingleTxtGC"/>
        <w:rPr>
          <w:rFonts w:ascii="Time New Roman" w:eastAsia="黑体" w:hAnsi="Time New Roman" w:hint="eastAsia"/>
        </w:rPr>
      </w:pPr>
      <w:r w:rsidRPr="00FD5350">
        <w:rPr>
          <w:rFonts w:ascii="Time New Roman" w:eastAsia="黑体" w:hAnsi="Time New Roman" w:hint="eastAsia"/>
        </w:rPr>
        <w:lastRenderedPageBreak/>
        <w:t>2017</w:t>
      </w:r>
      <w:r w:rsidRPr="00FD5350">
        <w:rPr>
          <w:rFonts w:ascii="Time New Roman" w:eastAsia="黑体" w:hAnsi="Time New Roman" w:hint="eastAsia"/>
        </w:rPr>
        <w:t>年泰国人口金字塔</w:t>
      </w:r>
      <w:r w:rsidR="00141EAD">
        <w:rPr>
          <w:rStyle w:val="a8"/>
          <w:rFonts w:eastAsia="宋体"/>
        </w:rPr>
        <w:footnoteReference w:id="3"/>
      </w:r>
    </w:p>
    <w:p w14:paraId="40977FBA" w14:textId="3E626973" w:rsidR="00FD5350" w:rsidRDefault="00F97B13" w:rsidP="00F97B13">
      <w:pPr>
        <w:pStyle w:val="SingleTxtGC"/>
        <w:spacing w:line="240" w:lineRule="auto"/>
      </w:pPr>
      <w:r w:rsidRPr="004C184C">
        <w:rPr>
          <w:noProof/>
          <w:lang w:eastAsia="en-GB"/>
        </w:rPr>
        <w:drawing>
          <wp:inline distT="0" distB="0" distL="0" distR="0" wp14:anchorId="607439A4" wp14:editId="65D432C0">
            <wp:extent cx="5474037" cy="3585393"/>
            <wp:effectExtent l="0" t="0" r="12700" b="15240"/>
            <wp:docPr id="4"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4B73F0" w14:textId="551C0E2E" w:rsidR="00522F93" w:rsidRDefault="00522F93" w:rsidP="00522F93">
      <w:pPr>
        <w:pStyle w:val="SingleTxtGC"/>
      </w:pPr>
      <w:r>
        <w:rPr>
          <w:rFonts w:hint="eastAsia"/>
        </w:rPr>
        <w:t>8.</w:t>
      </w:r>
      <w:r>
        <w:rPr>
          <w:rFonts w:hint="eastAsia"/>
        </w:rPr>
        <w:tab/>
      </w:r>
      <w:r>
        <w:rPr>
          <w:rFonts w:hint="eastAsia"/>
        </w:rPr>
        <w:t>人口分散在各地区，曼谷及其附近、中部地区和东部地区的人口密度最高。东部地区、南部地区和曼谷及其附近地区的生育率最高，而死亡率最高的分别是中部、北部和西部地区，如下所示：</w:t>
      </w:r>
    </w:p>
    <w:tbl>
      <w:tblPr>
        <w:tblW w:w="737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0"/>
        <w:gridCol w:w="534"/>
        <w:gridCol w:w="659"/>
        <w:gridCol w:w="1142"/>
        <w:gridCol w:w="997"/>
        <w:gridCol w:w="1070"/>
        <w:gridCol w:w="1307"/>
        <w:gridCol w:w="1425"/>
      </w:tblGrid>
      <w:tr w:rsidR="005816B9" w:rsidRPr="005816B9" w14:paraId="13803E3F" w14:textId="77777777" w:rsidTr="0047546D">
        <w:trPr>
          <w:tblHeader/>
        </w:trPr>
        <w:tc>
          <w:tcPr>
            <w:tcW w:w="1433" w:type="dxa"/>
            <w:gridSpan w:val="3"/>
            <w:tcBorders>
              <w:top w:val="single" w:sz="4" w:space="0" w:color="auto"/>
              <w:bottom w:val="single" w:sz="12" w:space="0" w:color="auto"/>
            </w:tcBorders>
            <w:shd w:val="clear" w:color="auto" w:fill="auto"/>
            <w:vAlign w:val="bottom"/>
          </w:tcPr>
          <w:p w14:paraId="4E8AE517" w14:textId="77777777" w:rsidR="005816B9" w:rsidRPr="005816B9" w:rsidRDefault="005816B9" w:rsidP="00634E33">
            <w:pPr>
              <w:spacing w:before="80" w:after="80" w:line="200" w:lineRule="exact"/>
              <w:ind w:right="113"/>
              <w:rPr>
                <w:rFonts w:eastAsia="楷体"/>
                <w:sz w:val="18"/>
                <w:szCs w:val="18"/>
              </w:rPr>
            </w:pPr>
            <w:r w:rsidRPr="005816B9">
              <w:rPr>
                <w:rFonts w:eastAsia="楷体"/>
                <w:sz w:val="18"/>
                <w:szCs w:val="18"/>
                <w:lang w:val="zh-CN"/>
              </w:rPr>
              <w:t>地区</w:t>
            </w:r>
          </w:p>
        </w:tc>
        <w:tc>
          <w:tcPr>
            <w:tcW w:w="1142" w:type="dxa"/>
            <w:tcBorders>
              <w:top w:val="single" w:sz="4" w:space="0" w:color="auto"/>
              <w:bottom w:val="single" w:sz="12" w:space="0" w:color="auto"/>
            </w:tcBorders>
            <w:shd w:val="clear" w:color="auto" w:fill="auto"/>
            <w:vAlign w:val="bottom"/>
          </w:tcPr>
          <w:p w14:paraId="41837B8C" w14:textId="77777777" w:rsidR="005816B9" w:rsidRPr="005816B9" w:rsidRDefault="005816B9" w:rsidP="00F63695">
            <w:pPr>
              <w:spacing w:before="80" w:after="80" w:line="200" w:lineRule="exact"/>
              <w:jc w:val="right"/>
              <w:rPr>
                <w:rFonts w:eastAsia="楷体"/>
                <w:sz w:val="18"/>
                <w:szCs w:val="18"/>
              </w:rPr>
            </w:pPr>
            <w:r w:rsidRPr="005816B9">
              <w:rPr>
                <w:rFonts w:eastAsia="楷体"/>
                <w:sz w:val="18"/>
                <w:szCs w:val="18"/>
                <w:lang w:val="zh-CN"/>
              </w:rPr>
              <w:t>人口</w:t>
            </w:r>
          </w:p>
        </w:tc>
        <w:tc>
          <w:tcPr>
            <w:tcW w:w="997" w:type="dxa"/>
            <w:tcBorders>
              <w:top w:val="single" w:sz="4" w:space="0" w:color="auto"/>
              <w:bottom w:val="single" w:sz="12" w:space="0" w:color="auto"/>
            </w:tcBorders>
            <w:shd w:val="clear" w:color="auto" w:fill="auto"/>
            <w:vAlign w:val="bottom"/>
          </w:tcPr>
          <w:p w14:paraId="6C277BAE" w14:textId="78B6B4CA" w:rsidR="005816B9" w:rsidRPr="005816B9" w:rsidRDefault="005816B9" w:rsidP="00F63695">
            <w:pPr>
              <w:spacing w:before="80" w:after="80" w:line="200" w:lineRule="exact"/>
              <w:jc w:val="right"/>
              <w:rPr>
                <w:rFonts w:eastAsia="楷体"/>
                <w:sz w:val="18"/>
                <w:szCs w:val="18"/>
              </w:rPr>
            </w:pPr>
            <w:r w:rsidRPr="005816B9">
              <w:rPr>
                <w:rFonts w:eastAsia="楷体"/>
                <w:sz w:val="18"/>
                <w:szCs w:val="18"/>
                <w:lang w:val="zh-CN"/>
              </w:rPr>
              <w:t>密度</w:t>
            </w:r>
            <w:r w:rsidR="00C64D83">
              <w:rPr>
                <w:rFonts w:eastAsia="楷体" w:hint="eastAsia"/>
                <w:sz w:val="18"/>
                <w:szCs w:val="18"/>
                <w:lang w:val="zh-CN"/>
              </w:rPr>
              <w:t>(</w:t>
            </w:r>
            <w:r w:rsidRPr="005816B9">
              <w:rPr>
                <w:rFonts w:eastAsia="楷体"/>
                <w:sz w:val="18"/>
                <w:szCs w:val="18"/>
                <w:lang w:val="zh-CN"/>
              </w:rPr>
              <w:t>每平方公里</w:t>
            </w:r>
            <w:r w:rsidR="00C64D83">
              <w:rPr>
                <w:rFonts w:eastAsia="楷体" w:hint="eastAsia"/>
                <w:sz w:val="18"/>
                <w:szCs w:val="18"/>
                <w:lang w:val="zh-CN"/>
              </w:rPr>
              <w:t>)</w:t>
            </w:r>
          </w:p>
        </w:tc>
        <w:tc>
          <w:tcPr>
            <w:tcW w:w="1070" w:type="dxa"/>
            <w:tcBorders>
              <w:top w:val="single" w:sz="4" w:space="0" w:color="auto"/>
              <w:bottom w:val="single" w:sz="12" w:space="0" w:color="auto"/>
            </w:tcBorders>
            <w:shd w:val="clear" w:color="auto" w:fill="auto"/>
            <w:vAlign w:val="bottom"/>
          </w:tcPr>
          <w:p w14:paraId="41C0A98A" w14:textId="333E1856" w:rsidR="005816B9" w:rsidRPr="005816B9" w:rsidRDefault="005816B9" w:rsidP="00F63695">
            <w:pPr>
              <w:spacing w:before="80" w:after="80" w:line="200" w:lineRule="exact"/>
              <w:jc w:val="right"/>
              <w:rPr>
                <w:rFonts w:eastAsia="楷体"/>
                <w:sz w:val="18"/>
                <w:szCs w:val="18"/>
              </w:rPr>
            </w:pPr>
            <w:r w:rsidRPr="005816B9">
              <w:rPr>
                <w:rFonts w:eastAsia="楷体"/>
                <w:sz w:val="18"/>
                <w:szCs w:val="18"/>
                <w:lang w:val="zh-CN"/>
              </w:rPr>
              <w:t>生育率</w:t>
            </w:r>
            <w:r w:rsidR="00C64D83">
              <w:rPr>
                <w:rFonts w:eastAsia="楷体"/>
                <w:sz w:val="18"/>
                <w:szCs w:val="18"/>
                <w:lang w:val="zh-CN"/>
              </w:rPr>
              <w:br/>
            </w:r>
            <w:r w:rsidRPr="005816B9">
              <w:rPr>
                <w:rFonts w:eastAsia="楷体"/>
                <w:sz w:val="18"/>
                <w:szCs w:val="18"/>
                <w:lang w:val="zh-CN"/>
              </w:rPr>
              <w:t>(</w:t>
            </w:r>
            <w:r w:rsidRPr="005816B9">
              <w:rPr>
                <w:rFonts w:eastAsia="楷体"/>
                <w:sz w:val="18"/>
                <w:szCs w:val="18"/>
                <w:lang w:val="zh-CN"/>
              </w:rPr>
              <w:t>每千人</w:t>
            </w:r>
            <w:r w:rsidRPr="005816B9">
              <w:rPr>
                <w:rFonts w:eastAsia="楷体"/>
                <w:sz w:val="18"/>
                <w:szCs w:val="18"/>
                <w:lang w:val="zh-CN"/>
              </w:rPr>
              <w:t>)</w:t>
            </w:r>
          </w:p>
        </w:tc>
        <w:tc>
          <w:tcPr>
            <w:tcW w:w="1307" w:type="dxa"/>
            <w:tcBorders>
              <w:top w:val="single" w:sz="4" w:space="0" w:color="auto"/>
              <w:bottom w:val="single" w:sz="12" w:space="0" w:color="auto"/>
            </w:tcBorders>
            <w:shd w:val="clear" w:color="auto" w:fill="auto"/>
            <w:vAlign w:val="bottom"/>
          </w:tcPr>
          <w:p w14:paraId="1734D932" w14:textId="3EDCB03A" w:rsidR="005816B9" w:rsidRPr="005816B9" w:rsidRDefault="005816B9" w:rsidP="00F63695">
            <w:pPr>
              <w:spacing w:before="80" w:after="80" w:line="200" w:lineRule="exact"/>
              <w:jc w:val="right"/>
              <w:rPr>
                <w:rFonts w:eastAsia="楷体"/>
                <w:sz w:val="18"/>
                <w:szCs w:val="18"/>
              </w:rPr>
            </w:pPr>
            <w:r w:rsidRPr="005816B9">
              <w:rPr>
                <w:rFonts w:eastAsia="楷体"/>
                <w:sz w:val="18"/>
                <w:szCs w:val="18"/>
                <w:lang w:val="zh-CN"/>
              </w:rPr>
              <w:t>死亡率</w:t>
            </w:r>
            <w:r w:rsidR="00C64D83">
              <w:rPr>
                <w:rFonts w:eastAsia="楷体"/>
                <w:sz w:val="18"/>
                <w:szCs w:val="18"/>
                <w:lang w:val="zh-CN"/>
              </w:rPr>
              <w:br/>
            </w:r>
            <w:r w:rsidRPr="005816B9">
              <w:rPr>
                <w:rFonts w:eastAsia="楷体"/>
                <w:sz w:val="18"/>
                <w:szCs w:val="18"/>
                <w:lang w:val="zh-CN"/>
              </w:rPr>
              <w:t>(</w:t>
            </w:r>
            <w:r w:rsidRPr="005816B9">
              <w:rPr>
                <w:rFonts w:eastAsia="楷体"/>
                <w:sz w:val="18"/>
                <w:szCs w:val="18"/>
                <w:lang w:val="zh-CN"/>
              </w:rPr>
              <w:t>每千人</w:t>
            </w:r>
            <w:r w:rsidRPr="005816B9">
              <w:rPr>
                <w:rFonts w:eastAsia="楷体"/>
                <w:sz w:val="18"/>
                <w:szCs w:val="18"/>
                <w:lang w:val="zh-CN"/>
              </w:rPr>
              <w:t>)</w:t>
            </w:r>
          </w:p>
        </w:tc>
        <w:tc>
          <w:tcPr>
            <w:tcW w:w="1425" w:type="dxa"/>
            <w:tcBorders>
              <w:top w:val="single" w:sz="4" w:space="0" w:color="auto"/>
              <w:bottom w:val="single" w:sz="12" w:space="0" w:color="auto"/>
            </w:tcBorders>
            <w:shd w:val="clear" w:color="auto" w:fill="auto"/>
            <w:vAlign w:val="bottom"/>
          </w:tcPr>
          <w:p w14:paraId="617D0045" w14:textId="5247BBF5" w:rsidR="005816B9" w:rsidRPr="005816B9" w:rsidRDefault="005816B9" w:rsidP="00F63695">
            <w:pPr>
              <w:spacing w:before="80" w:after="80" w:line="200" w:lineRule="exact"/>
              <w:jc w:val="right"/>
              <w:rPr>
                <w:rFonts w:eastAsia="楷体"/>
                <w:sz w:val="18"/>
                <w:szCs w:val="18"/>
              </w:rPr>
            </w:pPr>
            <w:r w:rsidRPr="005816B9">
              <w:rPr>
                <w:rFonts w:eastAsia="楷体"/>
                <w:sz w:val="18"/>
                <w:szCs w:val="18"/>
                <w:lang w:val="zh-CN"/>
              </w:rPr>
              <w:t>婴儿死亡率</w:t>
            </w:r>
            <w:r w:rsidR="00C64D83">
              <w:rPr>
                <w:rFonts w:eastAsia="楷体"/>
                <w:sz w:val="18"/>
                <w:szCs w:val="18"/>
                <w:lang w:val="zh-CN"/>
              </w:rPr>
              <w:br/>
            </w:r>
            <w:r w:rsidRPr="005816B9">
              <w:rPr>
                <w:rFonts w:eastAsia="楷体"/>
                <w:sz w:val="18"/>
                <w:szCs w:val="18"/>
                <w:lang w:val="zh-CN"/>
              </w:rPr>
              <w:t>(</w:t>
            </w:r>
            <w:r w:rsidRPr="005816B9">
              <w:rPr>
                <w:rFonts w:eastAsia="楷体"/>
                <w:sz w:val="18"/>
                <w:szCs w:val="18"/>
                <w:lang w:val="zh-CN"/>
              </w:rPr>
              <w:t>每</w:t>
            </w:r>
            <w:r w:rsidRPr="005816B9">
              <w:rPr>
                <w:rFonts w:eastAsia="楷体"/>
                <w:sz w:val="18"/>
                <w:szCs w:val="18"/>
                <w:lang w:val="zh-CN"/>
              </w:rPr>
              <w:t>1</w:t>
            </w:r>
            <w:r w:rsidR="00C64D83">
              <w:rPr>
                <w:rFonts w:eastAsia="楷体"/>
                <w:sz w:val="18"/>
                <w:szCs w:val="18"/>
                <w:lang w:val="zh-CN"/>
              </w:rPr>
              <w:t>,</w:t>
            </w:r>
            <w:r w:rsidRPr="005816B9">
              <w:rPr>
                <w:rFonts w:eastAsia="楷体"/>
                <w:sz w:val="18"/>
                <w:szCs w:val="18"/>
                <w:lang w:val="zh-CN"/>
              </w:rPr>
              <w:t>000</w:t>
            </w:r>
            <w:r w:rsidRPr="005816B9">
              <w:rPr>
                <w:rFonts w:eastAsia="楷体"/>
                <w:sz w:val="18"/>
                <w:szCs w:val="18"/>
                <w:lang w:val="zh-CN"/>
              </w:rPr>
              <w:t>例活产</w:t>
            </w:r>
            <w:r w:rsidRPr="005816B9">
              <w:rPr>
                <w:rFonts w:eastAsia="楷体"/>
                <w:sz w:val="18"/>
                <w:szCs w:val="18"/>
                <w:lang w:val="zh-CN"/>
              </w:rPr>
              <w:t>)</w:t>
            </w:r>
          </w:p>
        </w:tc>
      </w:tr>
      <w:tr w:rsidR="005816B9" w:rsidRPr="00337391" w14:paraId="560AA527" w14:textId="77777777" w:rsidTr="0047546D">
        <w:tc>
          <w:tcPr>
            <w:tcW w:w="1433" w:type="dxa"/>
            <w:gridSpan w:val="3"/>
            <w:tcBorders>
              <w:top w:val="single" w:sz="12" w:space="0" w:color="auto"/>
            </w:tcBorders>
            <w:shd w:val="clear" w:color="auto" w:fill="auto"/>
          </w:tcPr>
          <w:p w14:paraId="39E0AEEF" w14:textId="77777777" w:rsidR="005816B9" w:rsidRPr="00337391" w:rsidRDefault="005816B9" w:rsidP="00634E33">
            <w:pPr>
              <w:spacing w:before="40" w:after="40" w:line="220" w:lineRule="exact"/>
              <w:ind w:right="113"/>
              <w:rPr>
                <w:sz w:val="18"/>
                <w:szCs w:val="18"/>
              </w:rPr>
            </w:pPr>
            <w:r w:rsidRPr="00337391">
              <w:rPr>
                <w:sz w:val="18"/>
                <w:szCs w:val="18"/>
                <w:lang w:val="zh-CN"/>
              </w:rPr>
              <w:t>全国</w:t>
            </w:r>
          </w:p>
        </w:tc>
        <w:tc>
          <w:tcPr>
            <w:tcW w:w="1142" w:type="dxa"/>
            <w:tcBorders>
              <w:top w:val="single" w:sz="12" w:space="0" w:color="auto"/>
            </w:tcBorders>
            <w:shd w:val="clear" w:color="auto" w:fill="auto"/>
            <w:vAlign w:val="bottom"/>
          </w:tcPr>
          <w:p w14:paraId="7BA3DB91" w14:textId="2C0EA76E" w:rsidR="005816B9" w:rsidRPr="00337391" w:rsidRDefault="005816B9" w:rsidP="00F63695">
            <w:pPr>
              <w:spacing w:before="40" w:after="40" w:line="220" w:lineRule="exact"/>
              <w:jc w:val="right"/>
              <w:rPr>
                <w:sz w:val="18"/>
                <w:szCs w:val="18"/>
              </w:rPr>
            </w:pPr>
            <w:r w:rsidRPr="00337391">
              <w:rPr>
                <w:sz w:val="18"/>
                <w:szCs w:val="18"/>
                <w:lang w:val="zh-CN"/>
              </w:rPr>
              <w:t>66</w:t>
            </w:r>
            <w:r w:rsidR="006D1156">
              <w:rPr>
                <w:sz w:val="18"/>
                <w:szCs w:val="18"/>
                <w:lang w:val="zh-CN"/>
              </w:rPr>
              <w:t>,</w:t>
            </w:r>
            <w:r w:rsidRPr="00337391">
              <w:rPr>
                <w:sz w:val="18"/>
                <w:szCs w:val="18"/>
                <w:lang w:val="zh-CN"/>
              </w:rPr>
              <w:t>413</w:t>
            </w:r>
            <w:r w:rsidR="006D1156">
              <w:rPr>
                <w:sz w:val="18"/>
                <w:szCs w:val="18"/>
                <w:lang w:val="zh-CN"/>
              </w:rPr>
              <w:t>,</w:t>
            </w:r>
            <w:r w:rsidRPr="00337391">
              <w:rPr>
                <w:sz w:val="18"/>
                <w:szCs w:val="18"/>
                <w:lang w:val="zh-CN"/>
              </w:rPr>
              <w:t>979</w:t>
            </w:r>
          </w:p>
        </w:tc>
        <w:tc>
          <w:tcPr>
            <w:tcW w:w="997" w:type="dxa"/>
            <w:tcBorders>
              <w:top w:val="single" w:sz="12" w:space="0" w:color="auto"/>
            </w:tcBorders>
            <w:shd w:val="clear" w:color="auto" w:fill="auto"/>
            <w:vAlign w:val="bottom"/>
          </w:tcPr>
          <w:p w14:paraId="582B3439" w14:textId="77777777" w:rsidR="005816B9" w:rsidRPr="00337391" w:rsidRDefault="005816B9" w:rsidP="00F63695">
            <w:pPr>
              <w:spacing w:before="40" w:after="40" w:line="220" w:lineRule="exact"/>
              <w:jc w:val="right"/>
              <w:rPr>
                <w:sz w:val="18"/>
                <w:szCs w:val="18"/>
              </w:rPr>
            </w:pPr>
            <w:r w:rsidRPr="00337391">
              <w:rPr>
                <w:sz w:val="18"/>
                <w:szCs w:val="18"/>
                <w:lang w:val="zh-CN"/>
              </w:rPr>
              <w:t>129.0</w:t>
            </w:r>
          </w:p>
        </w:tc>
        <w:tc>
          <w:tcPr>
            <w:tcW w:w="1070" w:type="dxa"/>
            <w:tcBorders>
              <w:top w:val="single" w:sz="12" w:space="0" w:color="auto"/>
            </w:tcBorders>
            <w:shd w:val="clear" w:color="auto" w:fill="auto"/>
            <w:vAlign w:val="bottom"/>
          </w:tcPr>
          <w:p w14:paraId="0C7F53F0" w14:textId="77777777" w:rsidR="005816B9" w:rsidRPr="00337391" w:rsidRDefault="005816B9" w:rsidP="00F63695">
            <w:pPr>
              <w:spacing w:before="40" w:after="40" w:line="220" w:lineRule="exact"/>
              <w:jc w:val="right"/>
              <w:rPr>
                <w:sz w:val="18"/>
                <w:szCs w:val="18"/>
              </w:rPr>
            </w:pPr>
            <w:r w:rsidRPr="00337391">
              <w:rPr>
                <w:sz w:val="18"/>
                <w:szCs w:val="18"/>
                <w:lang w:val="zh-CN"/>
              </w:rPr>
              <w:t>19.8</w:t>
            </w:r>
          </w:p>
        </w:tc>
        <w:tc>
          <w:tcPr>
            <w:tcW w:w="1307" w:type="dxa"/>
            <w:tcBorders>
              <w:top w:val="single" w:sz="12" w:space="0" w:color="auto"/>
            </w:tcBorders>
            <w:shd w:val="clear" w:color="auto" w:fill="auto"/>
            <w:vAlign w:val="bottom"/>
          </w:tcPr>
          <w:p w14:paraId="0BC3E0E1" w14:textId="77777777" w:rsidR="005816B9" w:rsidRPr="00337391" w:rsidRDefault="005816B9" w:rsidP="00F63695">
            <w:pPr>
              <w:spacing w:before="40" w:after="40" w:line="220" w:lineRule="exact"/>
              <w:jc w:val="right"/>
              <w:rPr>
                <w:sz w:val="18"/>
                <w:szCs w:val="18"/>
              </w:rPr>
            </w:pPr>
            <w:r w:rsidRPr="00337391">
              <w:rPr>
                <w:sz w:val="18"/>
                <w:szCs w:val="18"/>
                <w:lang w:val="zh-CN"/>
              </w:rPr>
              <w:t>7.0</w:t>
            </w:r>
          </w:p>
        </w:tc>
        <w:tc>
          <w:tcPr>
            <w:tcW w:w="1425" w:type="dxa"/>
            <w:tcBorders>
              <w:top w:val="single" w:sz="12" w:space="0" w:color="auto"/>
            </w:tcBorders>
            <w:shd w:val="clear" w:color="auto" w:fill="auto"/>
            <w:vAlign w:val="bottom"/>
          </w:tcPr>
          <w:p w14:paraId="7496BE2C" w14:textId="77777777" w:rsidR="005816B9" w:rsidRPr="00337391" w:rsidRDefault="005816B9" w:rsidP="00F63695">
            <w:pPr>
              <w:spacing w:before="40" w:after="40" w:line="220" w:lineRule="exact"/>
              <w:jc w:val="right"/>
              <w:rPr>
                <w:sz w:val="18"/>
                <w:szCs w:val="18"/>
              </w:rPr>
            </w:pPr>
            <w:r w:rsidRPr="00337391">
              <w:rPr>
                <w:sz w:val="18"/>
                <w:szCs w:val="18"/>
                <w:lang w:val="zh-CN"/>
              </w:rPr>
              <w:t>5.9</w:t>
            </w:r>
          </w:p>
        </w:tc>
      </w:tr>
      <w:tr w:rsidR="005816B9" w:rsidRPr="00337391" w14:paraId="27B32B84" w14:textId="77777777" w:rsidTr="0047546D">
        <w:tc>
          <w:tcPr>
            <w:tcW w:w="240" w:type="dxa"/>
            <w:shd w:val="clear" w:color="auto" w:fill="auto"/>
          </w:tcPr>
          <w:p w14:paraId="716EBD14" w14:textId="77777777" w:rsidR="005816B9" w:rsidRPr="00337391" w:rsidRDefault="005816B9" w:rsidP="00634E33">
            <w:pPr>
              <w:spacing w:before="40" w:after="40" w:line="220" w:lineRule="exact"/>
              <w:ind w:right="113"/>
              <w:rPr>
                <w:sz w:val="18"/>
                <w:szCs w:val="18"/>
              </w:rPr>
            </w:pPr>
          </w:p>
        </w:tc>
        <w:tc>
          <w:tcPr>
            <w:tcW w:w="1193" w:type="dxa"/>
            <w:gridSpan w:val="2"/>
            <w:shd w:val="clear" w:color="auto" w:fill="auto"/>
          </w:tcPr>
          <w:p w14:paraId="4058A865" w14:textId="77777777" w:rsidR="005816B9" w:rsidRPr="00337391" w:rsidRDefault="005816B9" w:rsidP="00634E33">
            <w:pPr>
              <w:spacing w:before="40" w:after="40" w:line="220" w:lineRule="exact"/>
              <w:ind w:right="113"/>
              <w:rPr>
                <w:sz w:val="18"/>
                <w:szCs w:val="18"/>
              </w:rPr>
            </w:pPr>
            <w:r w:rsidRPr="00337391">
              <w:rPr>
                <w:sz w:val="18"/>
                <w:szCs w:val="18"/>
                <w:lang w:val="zh-CN"/>
              </w:rPr>
              <w:t>女性</w:t>
            </w:r>
          </w:p>
        </w:tc>
        <w:tc>
          <w:tcPr>
            <w:tcW w:w="1142" w:type="dxa"/>
            <w:shd w:val="clear" w:color="auto" w:fill="auto"/>
            <w:vAlign w:val="bottom"/>
          </w:tcPr>
          <w:p w14:paraId="2440F58C" w14:textId="389EE34C" w:rsidR="005816B9" w:rsidRPr="00337391" w:rsidRDefault="005816B9" w:rsidP="00F63695">
            <w:pPr>
              <w:spacing w:before="40" w:after="40" w:line="220" w:lineRule="exact"/>
              <w:jc w:val="right"/>
              <w:rPr>
                <w:sz w:val="18"/>
                <w:szCs w:val="18"/>
              </w:rPr>
            </w:pPr>
            <w:r w:rsidRPr="00337391">
              <w:rPr>
                <w:sz w:val="18"/>
                <w:szCs w:val="18"/>
                <w:lang w:val="zh-CN"/>
              </w:rPr>
              <w:t>33</w:t>
            </w:r>
            <w:r w:rsidR="006D1156">
              <w:rPr>
                <w:sz w:val="18"/>
                <w:szCs w:val="18"/>
                <w:lang w:val="zh-CN"/>
              </w:rPr>
              <w:t>,</w:t>
            </w:r>
            <w:r w:rsidRPr="00337391">
              <w:rPr>
                <w:sz w:val="18"/>
                <w:szCs w:val="18"/>
                <w:lang w:val="zh-CN"/>
              </w:rPr>
              <w:t>857</w:t>
            </w:r>
            <w:r w:rsidR="006D1156">
              <w:rPr>
                <w:sz w:val="18"/>
                <w:szCs w:val="18"/>
                <w:lang w:val="zh-CN"/>
              </w:rPr>
              <w:t>,</w:t>
            </w:r>
            <w:r w:rsidRPr="00337391">
              <w:rPr>
                <w:sz w:val="18"/>
                <w:szCs w:val="18"/>
                <w:lang w:val="zh-CN"/>
              </w:rPr>
              <w:t>708</w:t>
            </w:r>
            <w:r w:rsidR="004D61A9">
              <w:rPr>
                <w:sz w:val="18"/>
                <w:szCs w:val="18"/>
              </w:rPr>
              <w:br/>
            </w:r>
            <w:r w:rsidRPr="00337391">
              <w:rPr>
                <w:sz w:val="18"/>
                <w:szCs w:val="18"/>
                <w:lang w:val="zh-CN"/>
              </w:rPr>
              <w:t>(50.98%)</w:t>
            </w:r>
          </w:p>
        </w:tc>
        <w:tc>
          <w:tcPr>
            <w:tcW w:w="997" w:type="dxa"/>
            <w:vMerge w:val="restart"/>
            <w:shd w:val="clear" w:color="auto" w:fill="auto"/>
            <w:vAlign w:val="bottom"/>
          </w:tcPr>
          <w:p w14:paraId="6B18C0F1" w14:textId="77777777" w:rsidR="005816B9" w:rsidRPr="00337391" w:rsidRDefault="005816B9" w:rsidP="00F63695">
            <w:pPr>
              <w:spacing w:before="40" w:after="40" w:line="220" w:lineRule="exact"/>
              <w:jc w:val="right"/>
              <w:rPr>
                <w:sz w:val="18"/>
                <w:szCs w:val="18"/>
              </w:rPr>
            </w:pPr>
          </w:p>
        </w:tc>
        <w:tc>
          <w:tcPr>
            <w:tcW w:w="1070" w:type="dxa"/>
            <w:vMerge w:val="restart"/>
            <w:shd w:val="clear" w:color="auto" w:fill="auto"/>
            <w:vAlign w:val="bottom"/>
          </w:tcPr>
          <w:p w14:paraId="2FAEC986" w14:textId="77777777" w:rsidR="005816B9" w:rsidRPr="00337391" w:rsidRDefault="005816B9" w:rsidP="00F63695">
            <w:pPr>
              <w:spacing w:before="40" w:after="40" w:line="220" w:lineRule="exact"/>
              <w:jc w:val="right"/>
              <w:rPr>
                <w:sz w:val="18"/>
                <w:szCs w:val="18"/>
              </w:rPr>
            </w:pPr>
          </w:p>
        </w:tc>
        <w:tc>
          <w:tcPr>
            <w:tcW w:w="1307" w:type="dxa"/>
            <w:vMerge w:val="restart"/>
            <w:shd w:val="clear" w:color="auto" w:fill="auto"/>
            <w:vAlign w:val="bottom"/>
          </w:tcPr>
          <w:p w14:paraId="5F75E9C7" w14:textId="77777777" w:rsidR="005816B9" w:rsidRPr="00337391" w:rsidRDefault="005816B9" w:rsidP="00F63695">
            <w:pPr>
              <w:spacing w:before="40" w:after="40" w:line="220" w:lineRule="exact"/>
              <w:jc w:val="right"/>
              <w:rPr>
                <w:sz w:val="18"/>
                <w:szCs w:val="18"/>
              </w:rPr>
            </w:pPr>
          </w:p>
        </w:tc>
        <w:tc>
          <w:tcPr>
            <w:tcW w:w="1425" w:type="dxa"/>
            <w:vMerge w:val="restart"/>
            <w:shd w:val="clear" w:color="auto" w:fill="auto"/>
            <w:vAlign w:val="bottom"/>
          </w:tcPr>
          <w:p w14:paraId="499657CD" w14:textId="77777777" w:rsidR="005816B9" w:rsidRPr="00337391" w:rsidRDefault="005816B9" w:rsidP="00F63695">
            <w:pPr>
              <w:spacing w:before="40" w:after="40" w:line="220" w:lineRule="exact"/>
              <w:jc w:val="right"/>
              <w:rPr>
                <w:sz w:val="18"/>
                <w:szCs w:val="18"/>
              </w:rPr>
            </w:pPr>
          </w:p>
        </w:tc>
      </w:tr>
      <w:tr w:rsidR="005816B9" w:rsidRPr="00337391" w14:paraId="3C103897" w14:textId="77777777" w:rsidTr="0047546D">
        <w:tc>
          <w:tcPr>
            <w:tcW w:w="240" w:type="dxa"/>
            <w:shd w:val="clear" w:color="auto" w:fill="auto"/>
          </w:tcPr>
          <w:p w14:paraId="1F992AD7" w14:textId="77777777" w:rsidR="005816B9" w:rsidRPr="00337391" w:rsidRDefault="005816B9" w:rsidP="00634E33">
            <w:pPr>
              <w:spacing w:before="40" w:after="40" w:line="220" w:lineRule="exact"/>
              <w:ind w:right="113"/>
              <w:rPr>
                <w:sz w:val="18"/>
                <w:szCs w:val="18"/>
              </w:rPr>
            </w:pPr>
          </w:p>
        </w:tc>
        <w:tc>
          <w:tcPr>
            <w:tcW w:w="1193" w:type="dxa"/>
            <w:gridSpan w:val="2"/>
            <w:shd w:val="clear" w:color="auto" w:fill="auto"/>
          </w:tcPr>
          <w:p w14:paraId="520D434F" w14:textId="77777777" w:rsidR="005816B9" w:rsidRPr="00337391" w:rsidRDefault="005816B9" w:rsidP="00634E33">
            <w:pPr>
              <w:spacing w:before="40" w:after="40" w:line="220" w:lineRule="exact"/>
              <w:ind w:right="113"/>
              <w:rPr>
                <w:sz w:val="18"/>
                <w:szCs w:val="18"/>
              </w:rPr>
            </w:pPr>
            <w:r w:rsidRPr="00337391">
              <w:rPr>
                <w:sz w:val="18"/>
                <w:szCs w:val="18"/>
                <w:lang w:val="zh-CN"/>
              </w:rPr>
              <w:t>男性</w:t>
            </w:r>
          </w:p>
        </w:tc>
        <w:tc>
          <w:tcPr>
            <w:tcW w:w="1142" w:type="dxa"/>
            <w:shd w:val="clear" w:color="auto" w:fill="auto"/>
            <w:vAlign w:val="bottom"/>
          </w:tcPr>
          <w:p w14:paraId="61DC194B" w14:textId="11490058" w:rsidR="005816B9" w:rsidRPr="00337391" w:rsidRDefault="005816B9" w:rsidP="00F63695">
            <w:pPr>
              <w:spacing w:before="40" w:after="40" w:line="220" w:lineRule="exact"/>
              <w:jc w:val="right"/>
              <w:rPr>
                <w:sz w:val="18"/>
                <w:szCs w:val="18"/>
              </w:rPr>
            </w:pPr>
            <w:r w:rsidRPr="00337391">
              <w:rPr>
                <w:sz w:val="18"/>
                <w:szCs w:val="18"/>
                <w:lang w:val="zh-CN"/>
              </w:rPr>
              <w:t>32</w:t>
            </w:r>
            <w:r w:rsidR="006D1156">
              <w:rPr>
                <w:sz w:val="18"/>
                <w:szCs w:val="18"/>
                <w:lang w:val="zh-CN"/>
              </w:rPr>
              <w:t>,</w:t>
            </w:r>
            <w:r w:rsidRPr="00337391">
              <w:rPr>
                <w:sz w:val="18"/>
                <w:szCs w:val="18"/>
                <w:lang w:val="zh-CN"/>
              </w:rPr>
              <w:t>556</w:t>
            </w:r>
            <w:r w:rsidR="006D1156">
              <w:rPr>
                <w:sz w:val="18"/>
                <w:szCs w:val="18"/>
                <w:lang w:val="zh-CN"/>
              </w:rPr>
              <w:t>,</w:t>
            </w:r>
            <w:r w:rsidRPr="00337391">
              <w:rPr>
                <w:sz w:val="18"/>
                <w:szCs w:val="18"/>
                <w:lang w:val="zh-CN"/>
              </w:rPr>
              <w:t>271</w:t>
            </w:r>
            <w:r w:rsidR="004D61A9">
              <w:rPr>
                <w:sz w:val="18"/>
                <w:szCs w:val="18"/>
              </w:rPr>
              <w:br/>
            </w:r>
            <w:r w:rsidRPr="00337391">
              <w:rPr>
                <w:sz w:val="18"/>
                <w:szCs w:val="18"/>
                <w:lang w:val="zh-CN"/>
              </w:rPr>
              <w:t>(49.02%)</w:t>
            </w:r>
          </w:p>
        </w:tc>
        <w:tc>
          <w:tcPr>
            <w:tcW w:w="997" w:type="dxa"/>
            <w:vMerge/>
            <w:shd w:val="clear" w:color="auto" w:fill="auto"/>
            <w:vAlign w:val="bottom"/>
          </w:tcPr>
          <w:p w14:paraId="53C34C27" w14:textId="77777777" w:rsidR="005816B9" w:rsidRPr="00337391" w:rsidRDefault="005816B9" w:rsidP="00F63695">
            <w:pPr>
              <w:spacing w:before="40" w:after="40" w:line="220" w:lineRule="exact"/>
              <w:jc w:val="right"/>
              <w:rPr>
                <w:sz w:val="18"/>
                <w:szCs w:val="18"/>
              </w:rPr>
            </w:pPr>
          </w:p>
        </w:tc>
        <w:tc>
          <w:tcPr>
            <w:tcW w:w="1070" w:type="dxa"/>
            <w:vMerge/>
            <w:shd w:val="clear" w:color="auto" w:fill="auto"/>
            <w:vAlign w:val="bottom"/>
          </w:tcPr>
          <w:p w14:paraId="064D6251" w14:textId="77777777" w:rsidR="005816B9" w:rsidRPr="00337391" w:rsidRDefault="005816B9" w:rsidP="00F63695">
            <w:pPr>
              <w:spacing w:before="40" w:after="40" w:line="220" w:lineRule="exact"/>
              <w:jc w:val="right"/>
              <w:rPr>
                <w:sz w:val="18"/>
                <w:szCs w:val="18"/>
              </w:rPr>
            </w:pPr>
          </w:p>
        </w:tc>
        <w:tc>
          <w:tcPr>
            <w:tcW w:w="1307" w:type="dxa"/>
            <w:vMerge/>
            <w:shd w:val="clear" w:color="auto" w:fill="auto"/>
            <w:vAlign w:val="bottom"/>
          </w:tcPr>
          <w:p w14:paraId="61C17159" w14:textId="77777777" w:rsidR="005816B9" w:rsidRPr="00337391" w:rsidRDefault="005816B9" w:rsidP="00F63695">
            <w:pPr>
              <w:spacing w:before="40" w:after="40" w:line="220" w:lineRule="exact"/>
              <w:jc w:val="right"/>
              <w:rPr>
                <w:sz w:val="18"/>
                <w:szCs w:val="18"/>
              </w:rPr>
            </w:pPr>
          </w:p>
        </w:tc>
        <w:tc>
          <w:tcPr>
            <w:tcW w:w="1425" w:type="dxa"/>
            <w:vMerge/>
            <w:shd w:val="clear" w:color="auto" w:fill="auto"/>
            <w:vAlign w:val="bottom"/>
          </w:tcPr>
          <w:p w14:paraId="55265ED0" w14:textId="77777777" w:rsidR="005816B9" w:rsidRPr="00337391" w:rsidRDefault="005816B9" w:rsidP="00F63695">
            <w:pPr>
              <w:spacing w:before="40" w:after="40" w:line="220" w:lineRule="exact"/>
              <w:jc w:val="right"/>
              <w:rPr>
                <w:sz w:val="18"/>
                <w:szCs w:val="18"/>
              </w:rPr>
            </w:pPr>
          </w:p>
        </w:tc>
      </w:tr>
      <w:tr w:rsidR="005816B9" w:rsidRPr="00337391" w14:paraId="1561B29D" w14:textId="77777777" w:rsidTr="0047546D">
        <w:tc>
          <w:tcPr>
            <w:tcW w:w="1433" w:type="dxa"/>
            <w:gridSpan w:val="3"/>
            <w:shd w:val="clear" w:color="auto" w:fill="auto"/>
          </w:tcPr>
          <w:p w14:paraId="5557C954" w14:textId="7047076B" w:rsidR="005816B9" w:rsidRPr="00337391" w:rsidRDefault="005816B9" w:rsidP="00634E33">
            <w:pPr>
              <w:spacing w:before="40" w:after="40" w:line="220" w:lineRule="exact"/>
              <w:ind w:right="113"/>
              <w:rPr>
                <w:sz w:val="18"/>
                <w:szCs w:val="18"/>
              </w:rPr>
            </w:pPr>
            <w:r w:rsidRPr="00337391">
              <w:rPr>
                <w:sz w:val="18"/>
                <w:szCs w:val="18"/>
                <w:lang w:val="zh-CN"/>
              </w:rPr>
              <w:t>曼谷及其</w:t>
            </w:r>
            <w:r w:rsidR="00C748E7">
              <w:rPr>
                <w:sz w:val="18"/>
                <w:szCs w:val="18"/>
                <w:lang w:val="zh-CN"/>
              </w:rPr>
              <w:br/>
            </w:r>
            <w:r w:rsidRPr="00337391">
              <w:rPr>
                <w:sz w:val="18"/>
                <w:szCs w:val="18"/>
                <w:lang w:val="zh-CN"/>
              </w:rPr>
              <w:t>附近地区</w:t>
            </w:r>
          </w:p>
        </w:tc>
        <w:tc>
          <w:tcPr>
            <w:tcW w:w="1142" w:type="dxa"/>
            <w:shd w:val="clear" w:color="auto" w:fill="auto"/>
            <w:vAlign w:val="bottom"/>
          </w:tcPr>
          <w:p w14:paraId="23D37881" w14:textId="787C1204" w:rsidR="005816B9" w:rsidRPr="00337391" w:rsidRDefault="005816B9" w:rsidP="00F63695">
            <w:pPr>
              <w:spacing w:before="40" w:after="40" w:line="220" w:lineRule="exact"/>
              <w:jc w:val="right"/>
              <w:rPr>
                <w:sz w:val="18"/>
                <w:szCs w:val="18"/>
              </w:rPr>
            </w:pPr>
            <w:r w:rsidRPr="00337391">
              <w:rPr>
                <w:sz w:val="18"/>
                <w:szCs w:val="18"/>
                <w:lang w:val="zh-CN"/>
              </w:rPr>
              <w:t>10</w:t>
            </w:r>
            <w:r w:rsidR="006D1156">
              <w:rPr>
                <w:sz w:val="18"/>
                <w:szCs w:val="18"/>
                <w:lang w:val="zh-CN"/>
              </w:rPr>
              <w:t>,</w:t>
            </w:r>
            <w:r w:rsidRPr="00337391">
              <w:rPr>
                <w:sz w:val="18"/>
                <w:szCs w:val="18"/>
                <w:lang w:val="zh-CN"/>
              </w:rPr>
              <w:t>831</w:t>
            </w:r>
            <w:r w:rsidR="006D1156">
              <w:rPr>
                <w:sz w:val="18"/>
                <w:szCs w:val="18"/>
                <w:lang w:val="zh-CN"/>
              </w:rPr>
              <w:t>,</w:t>
            </w:r>
            <w:r w:rsidRPr="00337391">
              <w:rPr>
                <w:sz w:val="18"/>
                <w:szCs w:val="18"/>
                <w:lang w:val="zh-CN"/>
              </w:rPr>
              <w:t>988</w:t>
            </w:r>
          </w:p>
        </w:tc>
        <w:tc>
          <w:tcPr>
            <w:tcW w:w="997" w:type="dxa"/>
            <w:vMerge w:val="restart"/>
            <w:shd w:val="clear" w:color="auto" w:fill="auto"/>
            <w:vAlign w:val="bottom"/>
          </w:tcPr>
          <w:p w14:paraId="02C2B04E" w14:textId="161043E1" w:rsidR="005816B9" w:rsidRPr="00337391" w:rsidRDefault="005816B9" w:rsidP="00F63695">
            <w:pPr>
              <w:spacing w:before="40" w:after="40" w:line="220" w:lineRule="exact"/>
              <w:jc w:val="right"/>
              <w:rPr>
                <w:sz w:val="18"/>
                <w:szCs w:val="18"/>
              </w:rPr>
            </w:pPr>
            <w:r w:rsidRPr="00337391">
              <w:rPr>
                <w:sz w:val="18"/>
                <w:szCs w:val="18"/>
                <w:lang w:val="zh-CN"/>
              </w:rPr>
              <w:t>1</w:t>
            </w:r>
            <w:r w:rsidR="006D1156">
              <w:rPr>
                <w:sz w:val="18"/>
                <w:szCs w:val="18"/>
                <w:lang w:val="zh-CN"/>
              </w:rPr>
              <w:t>,</w:t>
            </w:r>
            <w:r w:rsidRPr="00337391">
              <w:rPr>
                <w:sz w:val="18"/>
                <w:szCs w:val="18"/>
                <w:lang w:val="zh-CN"/>
              </w:rPr>
              <w:t>395.6</w:t>
            </w:r>
          </w:p>
        </w:tc>
        <w:tc>
          <w:tcPr>
            <w:tcW w:w="1070" w:type="dxa"/>
            <w:vMerge w:val="restart"/>
            <w:shd w:val="clear" w:color="auto" w:fill="auto"/>
            <w:vAlign w:val="bottom"/>
          </w:tcPr>
          <w:p w14:paraId="01F23FBC" w14:textId="77777777" w:rsidR="005816B9" w:rsidRPr="00337391" w:rsidRDefault="005816B9" w:rsidP="00F63695">
            <w:pPr>
              <w:spacing w:before="40" w:after="40" w:line="220" w:lineRule="exact"/>
              <w:jc w:val="right"/>
              <w:rPr>
                <w:sz w:val="18"/>
                <w:szCs w:val="18"/>
              </w:rPr>
            </w:pPr>
            <w:r w:rsidRPr="00337391">
              <w:rPr>
                <w:sz w:val="18"/>
                <w:szCs w:val="18"/>
                <w:lang w:val="zh-CN"/>
              </w:rPr>
              <w:t>12.6</w:t>
            </w:r>
          </w:p>
        </w:tc>
        <w:tc>
          <w:tcPr>
            <w:tcW w:w="1307" w:type="dxa"/>
            <w:vMerge w:val="restart"/>
            <w:shd w:val="clear" w:color="auto" w:fill="auto"/>
            <w:vAlign w:val="bottom"/>
          </w:tcPr>
          <w:p w14:paraId="4583C6E5" w14:textId="77777777" w:rsidR="005816B9" w:rsidRPr="00337391" w:rsidRDefault="005816B9" w:rsidP="00F63695">
            <w:pPr>
              <w:spacing w:before="40" w:after="40" w:line="220" w:lineRule="exact"/>
              <w:jc w:val="right"/>
              <w:rPr>
                <w:sz w:val="18"/>
                <w:szCs w:val="18"/>
              </w:rPr>
            </w:pPr>
            <w:r w:rsidRPr="00337391">
              <w:rPr>
                <w:sz w:val="18"/>
                <w:szCs w:val="18"/>
                <w:lang w:val="zh-CN"/>
              </w:rPr>
              <w:t>7.1</w:t>
            </w:r>
          </w:p>
        </w:tc>
        <w:tc>
          <w:tcPr>
            <w:tcW w:w="1425" w:type="dxa"/>
            <w:vMerge w:val="restart"/>
            <w:shd w:val="clear" w:color="auto" w:fill="auto"/>
            <w:vAlign w:val="bottom"/>
          </w:tcPr>
          <w:p w14:paraId="6B72277C" w14:textId="77130BB9" w:rsidR="005816B9" w:rsidRPr="00337391" w:rsidRDefault="005816B9" w:rsidP="00F63695">
            <w:pPr>
              <w:spacing w:before="40" w:after="40" w:line="220" w:lineRule="exact"/>
              <w:jc w:val="right"/>
              <w:rPr>
                <w:sz w:val="18"/>
                <w:szCs w:val="18"/>
              </w:rPr>
            </w:pPr>
          </w:p>
        </w:tc>
      </w:tr>
      <w:tr w:rsidR="005816B9" w:rsidRPr="00337391" w14:paraId="69FEFA64" w14:textId="77777777" w:rsidTr="0047546D">
        <w:tc>
          <w:tcPr>
            <w:tcW w:w="774" w:type="dxa"/>
            <w:gridSpan w:val="2"/>
            <w:shd w:val="clear" w:color="auto" w:fill="auto"/>
          </w:tcPr>
          <w:p w14:paraId="600E0088" w14:textId="77777777" w:rsidR="005816B9" w:rsidRPr="00337391" w:rsidRDefault="005816B9" w:rsidP="00634E33">
            <w:pPr>
              <w:spacing w:before="40" w:after="40" w:line="220" w:lineRule="exact"/>
              <w:ind w:right="113"/>
              <w:rPr>
                <w:sz w:val="18"/>
                <w:szCs w:val="18"/>
              </w:rPr>
            </w:pPr>
          </w:p>
        </w:tc>
        <w:tc>
          <w:tcPr>
            <w:tcW w:w="659" w:type="dxa"/>
            <w:shd w:val="clear" w:color="auto" w:fill="auto"/>
          </w:tcPr>
          <w:p w14:paraId="143756E6" w14:textId="77777777" w:rsidR="005816B9" w:rsidRPr="00337391" w:rsidRDefault="005816B9" w:rsidP="00634E33">
            <w:pPr>
              <w:spacing w:before="40" w:after="40" w:line="220" w:lineRule="exact"/>
              <w:ind w:right="113"/>
              <w:rPr>
                <w:sz w:val="18"/>
                <w:szCs w:val="18"/>
              </w:rPr>
            </w:pPr>
            <w:r w:rsidRPr="00337391">
              <w:rPr>
                <w:sz w:val="18"/>
                <w:szCs w:val="18"/>
                <w:lang w:val="zh-CN"/>
              </w:rPr>
              <w:t>女性</w:t>
            </w:r>
          </w:p>
        </w:tc>
        <w:tc>
          <w:tcPr>
            <w:tcW w:w="1142" w:type="dxa"/>
            <w:shd w:val="clear" w:color="auto" w:fill="auto"/>
            <w:vAlign w:val="bottom"/>
          </w:tcPr>
          <w:p w14:paraId="2A0D61D7" w14:textId="47805A45" w:rsidR="005816B9" w:rsidRPr="00337391" w:rsidRDefault="005816B9" w:rsidP="00F63695">
            <w:pPr>
              <w:spacing w:before="40" w:after="40" w:line="220" w:lineRule="exact"/>
              <w:jc w:val="right"/>
              <w:rPr>
                <w:sz w:val="18"/>
                <w:szCs w:val="18"/>
              </w:rPr>
            </w:pPr>
            <w:r w:rsidRPr="00337391">
              <w:rPr>
                <w:sz w:val="18"/>
                <w:szCs w:val="18"/>
                <w:lang w:val="zh-CN"/>
              </w:rPr>
              <w:t>56</w:t>
            </w:r>
            <w:r w:rsidR="006D1156">
              <w:rPr>
                <w:sz w:val="18"/>
                <w:szCs w:val="18"/>
                <w:lang w:val="zh-CN"/>
              </w:rPr>
              <w:t>,</w:t>
            </w:r>
            <w:r w:rsidRPr="00337391">
              <w:rPr>
                <w:sz w:val="18"/>
                <w:szCs w:val="18"/>
                <w:lang w:val="zh-CN"/>
              </w:rPr>
              <w:t>991</w:t>
            </w:r>
            <w:r w:rsidR="006D1156">
              <w:rPr>
                <w:sz w:val="18"/>
                <w:szCs w:val="18"/>
                <w:lang w:val="zh-CN"/>
              </w:rPr>
              <w:t>,</w:t>
            </w:r>
            <w:r w:rsidRPr="00337391">
              <w:rPr>
                <w:sz w:val="18"/>
                <w:szCs w:val="18"/>
                <w:lang w:val="zh-CN"/>
              </w:rPr>
              <w:t>255</w:t>
            </w:r>
          </w:p>
        </w:tc>
        <w:tc>
          <w:tcPr>
            <w:tcW w:w="997" w:type="dxa"/>
            <w:vMerge/>
            <w:shd w:val="clear" w:color="auto" w:fill="auto"/>
            <w:vAlign w:val="bottom"/>
          </w:tcPr>
          <w:p w14:paraId="5E6F35FE" w14:textId="77777777" w:rsidR="005816B9" w:rsidRPr="00337391" w:rsidRDefault="005816B9" w:rsidP="00F63695">
            <w:pPr>
              <w:spacing w:before="40" w:after="40" w:line="220" w:lineRule="exact"/>
              <w:jc w:val="right"/>
              <w:rPr>
                <w:sz w:val="18"/>
                <w:szCs w:val="18"/>
              </w:rPr>
            </w:pPr>
          </w:p>
        </w:tc>
        <w:tc>
          <w:tcPr>
            <w:tcW w:w="1070" w:type="dxa"/>
            <w:vMerge/>
            <w:shd w:val="clear" w:color="auto" w:fill="auto"/>
            <w:vAlign w:val="bottom"/>
          </w:tcPr>
          <w:p w14:paraId="6B7736A6" w14:textId="77777777" w:rsidR="005816B9" w:rsidRPr="00337391" w:rsidRDefault="005816B9" w:rsidP="00F63695">
            <w:pPr>
              <w:spacing w:before="40" w:after="40" w:line="220" w:lineRule="exact"/>
              <w:jc w:val="right"/>
              <w:rPr>
                <w:sz w:val="18"/>
                <w:szCs w:val="18"/>
              </w:rPr>
            </w:pPr>
          </w:p>
        </w:tc>
        <w:tc>
          <w:tcPr>
            <w:tcW w:w="1307" w:type="dxa"/>
            <w:vMerge/>
            <w:shd w:val="clear" w:color="auto" w:fill="auto"/>
            <w:vAlign w:val="bottom"/>
          </w:tcPr>
          <w:p w14:paraId="5778754A" w14:textId="77777777" w:rsidR="005816B9" w:rsidRPr="00337391" w:rsidRDefault="005816B9" w:rsidP="00F63695">
            <w:pPr>
              <w:spacing w:before="40" w:after="40" w:line="220" w:lineRule="exact"/>
              <w:jc w:val="right"/>
              <w:rPr>
                <w:sz w:val="18"/>
                <w:szCs w:val="18"/>
              </w:rPr>
            </w:pPr>
          </w:p>
        </w:tc>
        <w:tc>
          <w:tcPr>
            <w:tcW w:w="1425" w:type="dxa"/>
            <w:vMerge/>
            <w:shd w:val="clear" w:color="auto" w:fill="auto"/>
            <w:vAlign w:val="bottom"/>
          </w:tcPr>
          <w:p w14:paraId="433882CE" w14:textId="77777777" w:rsidR="005816B9" w:rsidRPr="00337391" w:rsidRDefault="005816B9" w:rsidP="00F63695">
            <w:pPr>
              <w:spacing w:before="40" w:after="40" w:line="220" w:lineRule="exact"/>
              <w:jc w:val="right"/>
              <w:rPr>
                <w:sz w:val="18"/>
              </w:rPr>
            </w:pPr>
          </w:p>
        </w:tc>
      </w:tr>
      <w:tr w:rsidR="005816B9" w:rsidRPr="00337391" w14:paraId="52A8D067" w14:textId="77777777" w:rsidTr="0047546D">
        <w:tc>
          <w:tcPr>
            <w:tcW w:w="774" w:type="dxa"/>
            <w:gridSpan w:val="2"/>
            <w:shd w:val="clear" w:color="auto" w:fill="auto"/>
          </w:tcPr>
          <w:p w14:paraId="75D8BB32" w14:textId="77777777" w:rsidR="005816B9" w:rsidRPr="00337391" w:rsidRDefault="005816B9" w:rsidP="00634E33">
            <w:pPr>
              <w:spacing w:before="40" w:after="40" w:line="220" w:lineRule="exact"/>
              <w:ind w:right="113"/>
              <w:rPr>
                <w:sz w:val="18"/>
                <w:szCs w:val="18"/>
              </w:rPr>
            </w:pPr>
          </w:p>
        </w:tc>
        <w:tc>
          <w:tcPr>
            <w:tcW w:w="659" w:type="dxa"/>
            <w:shd w:val="clear" w:color="auto" w:fill="auto"/>
          </w:tcPr>
          <w:p w14:paraId="16926A72" w14:textId="77777777" w:rsidR="005816B9" w:rsidRPr="00337391" w:rsidRDefault="005816B9" w:rsidP="00634E33">
            <w:pPr>
              <w:spacing w:before="40" w:after="40" w:line="220" w:lineRule="exact"/>
              <w:ind w:right="113"/>
              <w:rPr>
                <w:sz w:val="18"/>
                <w:szCs w:val="18"/>
              </w:rPr>
            </w:pPr>
            <w:r w:rsidRPr="00337391">
              <w:rPr>
                <w:sz w:val="18"/>
                <w:szCs w:val="18"/>
                <w:lang w:val="zh-CN"/>
              </w:rPr>
              <w:t>男性</w:t>
            </w:r>
          </w:p>
        </w:tc>
        <w:tc>
          <w:tcPr>
            <w:tcW w:w="1142" w:type="dxa"/>
            <w:shd w:val="clear" w:color="auto" w:fill="auto"/>
            <w:vAlign w:val="bottom"/>
          </w:tcPr>
          <w:p w14:paraId="0A0A65DE" w14:textId="438D9FAA" w:rsidR="005816B9" w:rsidRPr="00337391" w:rsidRDefault="005816B9" w:rsidP="00F63695">
            <w:pPr>
              <w:spacing w:before="40" w:after="40" w:line="220" w:lineRule="exact"/>
              <w:jc w:val="right"/>
              <w:rPr>
                <w:sz w:val="18"/>
                <w:szCs w:val="18"/>
              </w:rPr>
            </w:pPr>
            <w:r w:rsidRPr="00337391">
              <w:rPr>
                <w:sz w:val="18"/>
                <w:szCs w:val="18"/>
                <w:lang w:val="zh-CN"/>
              </w:rPr>
              <w:t>5</w:t>
            </w:r>
            <w:r w:rsidR="006D1156">
              <w:rPr>
                <w:sz w:val="18"/>
                <w:szCs w:val="18"/>
                <w:lang w:val="zh-CN"/>
              </w:rPr>
              <w:t>,</w:t>
            </w:r>
            <w:r w:rsidRPr="00337391">
              <w:rPr>
                <w:sz w:val="18"/>
                <w:szCs w:val="18"/>
                <w:lang w:val="zh-CN"/>
              </w:rPr>
              <w:t>132</w:t>
            </w:r>
            <w:r w:rsidR="006D1156">
              <w:rPr>
                <w:sz w:val="18"/>
                <w:szCs w:val="18"/>
                <w:lang w:val="zh-CN"/>
              </w:rPr>
              <w:t>,</w:t>
            </w:r>
            <w:r w:rsidRPr="00337391">
              <w:rPr>
                <w:sz w:val="18"/>
                <w:szCs w:val="18"/>
                <w:lang w:val="zh-CN"/>
              </w:rPr>
              <w:t>863</w:t>
            </w:r>
          </w:p>
        </w:tc>
        <w:tc>
          <w:tcPr>
            <w:tcW w:w="997" w:type="dxa"/>
            <w:vMerge/>
            <w:shd w:val="clear" w:color="auto" w:fill="auto"/>
            <w:vAlign w:val="bottom"/>
          </w:tcPr>
          <w:p w14:paraId="4BF2AFF1" w14:textId="77777777" w:rsidR="005816B9" w:rsidRPr="00337391" w:rsidRDefault="005816B9" w:rsidP="00F63695">
            <w:pPr>
              <w:spacing w:before="40" w:after="40" w:line="220" w:lineRule="exact"/>
              <w:jc w:val="right"/>
              <w:rPr>
                <w:sz w:val="18"/>
                <w:szCs w:val="18"/>
              </w:rPr>
            </w:pPr>
          </w:p>
        </w:tc>
        <w:tc>
          <w:tcPr>
            <w:tcW w:w="1070" w:type="dxa"/>
            <w:vMerge/>
            <w:shd w:val="clear" w:color="auto" w:fill="auto"/>
            <w:vAlign w:val="bottom"/>
          </w:tcPr>
          <w:p w14:paraId="38549687" w14:textId="77777777" w:rsidR="005816B9" w:rsidRPr="00337391" w:rsidRDefault="005816B9" w:rsidP="00F63695">
            <w:pPr>
              <w:spacing w:before="40" w:after="40" w:line="220" w:lineRule="exact"/>
              <w:jc w:val="right"/>
              <w:rPr>
                <w:sz w:val="18"/>
                <w:szCs w:val="18"/>
              </w:rPr>
            </w:pPr>
          </w:p>
        </w:tc>
        <w:tc>
          <w:tcPr>
            <w:tcW w:w="1307" w:type="dxa"/>
            <w:vMerge/>
            <w:shd w:val="clear" w:color="auto" w:fill="auto"/>
            <w:vAlign w:val="bottom"/>
          </w:tcPr>
          <w:p w14:paraId="201F9B0D" w14:textId="77777777" w:rsidR="005816B9" w:rsidRPr="00337391" w:rsidRDefault="005816B9" w:rsidP="00F63695">
            <w:pPr>
              <w:spacing w:before="40" w:after="40" w:line="220" w:lineRule="exact"/>
              <w:jc w:val="right"/>
              <w:rPr>
                <w:sz w:val="18"/>
                <w:szCs w:val="18"/>
              </w:rPr>
            </w:pPr>
          </w:p>
        </w:tc>
        <w:tc>
          <w:tcPr>
            <w:tcW w:w="1425" w:type="dxa"/>
            <w:vMerge/>
            <w:shd w:val="clear" w:color="auto" w:fill="auto"/>
            <w:vAlign w:val="bottom"/>
          </w:tcPr>
          <w:p w14:paraId="778C0BAC" w14:textId="77777777" w:rsidR="005816B9" w:rsidRPr="00337391" w:rsidRDefault="005816B9" w:rsidP="00F63695">
            <w:pPr>
              <w:spacing w:before="40" w:after="40" w:line="220" w:lineRule="exact"/>
              <w:jc w:val="right"/>
              <w:rPr>
                <w:sz w:val="18"/>
              </w:rPr>
            </w:pPr>
          </w:p>
        </w:tc>
      </w:tr>
      <w:tr w:rsidR="005816B9" w:rsidRPr="00337391" w14:paraId="22B4CD28" w14:textId="77777777" w:rsidTr="0047546D">
        <w:tc>
          <w:tcPr>
            <w:tcW w:w="1433" w:type="dxa"/>
            <w:gridSpan w:val="3"/>
            <w:shd w:val="clear" w:color="auto" w:fill="auto"/>
          </w:tcPr>
          <w:p w14:paraId="314FD044" w14:textId="77777777" w:rsidR="005816B9" w:rsidRPr="00337391" w:rsidRDefault="005816B9" w:rsidP="00634E33">
            <w:pPr>
              <w:spacing w:before="40" w:after="40" w:line="220" w:lineRule="exact"/>
              <w:ind w:right="113"/>
              <w:rPr>
                <w:sz w:val="18"/>
                <w:szCs w:val="18"/>
              </w:rPr>
            </w:pPr>
            <w:r w:rsidRPr="00337391">
              <w:rPr>
                <w:sz w:val="18"/>
                <w:szCs w:val="18"/>
                <w:lang w:val="zh-CN"/>
              </w:rPr>
              <w:t>中部地区</w:t>
            </w:r>
          </w:p>
        </w:tc>
        <w:tc>
          <w:tcPr>
            <w:tcW w:w="1142" w:type="dxa"/>
            <w:shd w:val="clear" w:color="auto" w:fill="auto"/>
            <w:vAlign w:val="bottom"/>
          </w:tcPr>
          <w:p w14:paraId="5DF59A2A" w14:textId="2C0919CE" w:rsidR="005816B9" w:rsidRPr="00337391" w:rsidRDefault="005816B9" w:rsidP="00F63695">
            <w:pPr>
              <w:spacing w:before="40" w:after="40" w:line="220" w:lineRule="exact"/>
              <w:jc w:val="right"/>
              <w:rPr>
                <w:sz w:val="18"/>
                <w:szCs w:val="18"/>
              </w:rPr>
            </w:pPr>
            <w:r w:rsidRPr="00337391">
              <w:rPr>
                <w:sz w:val="18"/>
                <w:szCs w:val="18"/>
                <w:lang w:val="zh-CN"/>
              </w:rPr>
              <w:t>3</w:t>
            </w:r>
            <w:r w:rsidR="006D1156">
              <w:rPr>
                <w:sz w:val="18"/>
                <w:szCs w:val="18"/>
                <w:lang w:val="zh-CN"/>
              </w:rPr>
              <w:t>,</w:t>
            </w:r>
            <w:r w:rsidRPr="00337391">
              <w:rPr>
                <w:sz w:val="18"/>
                <w:szCs w:val="18"/>
                <w:lang w:val="zh-CN"/>
              </w:rPr>
              <w:t>034</w:t>
            </w:r>
            <w:r w:rsidR="006D1156">
              <w:rPr>
                <w:sz w:val="18"/>
                <w:szCs w:val="18"/>
                <w:lang w:val="zh-CN"/>
              </w:rPr>
              <w:t>,</w:t>
            </w:r>
            <w:r w:rsidRPr="00337391">
              <w:rPr>
                <w:sz w:val="18"/>
                <w:szCs w:val="18"/>
                <w:lang w:val="zh-CN"/>
              </w:rPr>
              <w:t>162</w:t>
            </w:r>
          </w:p>
        </w:tc>
        <w:tc>
          <w:tcPr>
            <w:tcW w:w="997" w:type="dxa"/>
            <w:vMerge w:val="restart"/>
            <w:shd w:val="clear" w:color="auto" w:fill="auto"/>
            <w:vAlign w:val="bottom"/>
          </w:tcPr>
          <w:p w14:paraId="322838D1" w14:textId="77777777" w:rsidR="005816B9" w:rsidRPr="00337391" w:rsidRDefault="005816B9" w:rsidP="00F63695">
            <w:pPr>
              <w:spacing w:before="40" w:after="40" w:line="220" w:lineRule="exact"/>
              <w:jc w:val="right"/>
              <w:rPr>
                <w:sz w:val="18"/>
                <w:szCs w:val="18"/>
              </w:rPr>
            </w:pPr>
            <w:r w:rsidRPr="00337391">
              <w:rPr>
                <w:sz w:val="18"/>
                <w:szCs w:val="18"/>
                <w:lang w:val="zh-CN"/>
              </w:rPr>
              <w:t>182.9</w:t>
            </w:r>
          </w:p>
        </w:tc>
        <w:tc>
          <w:tcPr>
            <w:tcW w:w="1070" w:type="dxa"/>
            <w:vMerge w:val="restart"/>
            <w:shd w:val="clear" w:color="auto" w:fill="auto"/>
            <w:vAlign w:val="bottom"/>
          </w:tcPr>
          <w:p w14:paraId="4C18718F" w14:textId="77777777" w:rsidR="005816B9" w:rsidRPr="00337391" w:rsidRDefault="005816B9" w:rsidP="00F63695">
            <w:pPr>
              <w:spacing w:before="40" w:after="40" w:line="220" w:lineRule="exact"/>
              <w:jc w:val="right"/>
              <w:rPr>
                <w:sz w:val="18"/>
                <w:szCs w:val="18"/>
              </w:rPr>
            </w:pPr>
            <w:r w:rsidRPr="00337391">
              <w:rPr>
                <w:sz w:val="18"/>
                <w:szCs w:val="18"/>
                <w:lang w:val="zh-CN"/>
              </w:rPr>
              <w:t>9.1</w:t>
            </w:r>
          </w:p>
        </w:tc>
        <w:tc>
          <w:tcPr>
            <w:tcW w:w="1307" w:type="dxa"/>
            <w:vMerge w:val="restart"/>
            <w:shd w:val="clear" w:color="auto" w:fill="auto"/>
            <w:vAlign w:val="bottom"/>
          </w:tcPr>
          <w:p w14:paraId="60C9474D" w14:textId="77777777" w:rsidR="005816B9" w:rsidRPr="00337391" w:rsidRDefault="005816B9" w:rsidP="00F63695">
            <w:pPr>
              <w:spacing w:before="40" w:after="40" w:line="220" w:lineRule="exact"/>
              <w:jc w:val="right"/>
              <w:rPr>
                <w:sz w:val="18"/>
                <w:szCs w:val="18"/>
              </w:rPr>
            </w:pPr>
            <w:r w:rsidRPr="00337391">
              <w:rPr>
                <w:sz w:val="18"/>
                <w:szCs w:val="18"/>
                <w:lang w:val="zh-CN"/>
              </w:rPr>
              <w:t>8.7</w:t>
            </w:r>
          </w:p>
        </w:tc>
        <w:tc>
          <w:tcPr>
            <w:tcW w:w="1425" w:type="dxa"/>
            <w:vMerge/>
            <w:shd w:val="clear" w:color="auto" w:fill="auto"/>
            <w:vAlign w:val="bottom"/>
          </w:tcPr>
          <w:p w14:paraId="24C13256" w14:textId="77777777" w:rsidR="005816B9" w:rsidRPr="00337391" w:rsidRDefault="005816B9" w:rsidP="00F63695">
            <w:pPr>
              <w:spacing w:before="40" w:after="40" w:line="220" w:lineRule="exact"/>
              <w:jc w:val="right"/>
              <w:rPr>
                <w:sz w:val="18"/>
              </w:rPr>
            </w:pPr>
          </w:p>
        </w:tc>
      </w:tr>
      <w:tr w:rsidR="005816B9" w:rsidRPr="00337391" w14:paraId="65C9E952" w14:textId="77777777" w:rsidTr="0047546D">
        <w:tc>
          <w:tcPr>
            <w:tcW w:w="774" w:type="dxa"/>
            <w:gridSpan w:val="2"/>
            <w:shd w:val="clear" w:color="auto" w:fill="auto"/>
          </w:tcPr>
          <w:p w14:paraId="0D2F4F0D" w14:textId="77777777" w:rsidR="005816B9" w:rsidRPr="00337391" w:rsidRDefault="005816B9" w:rsidP="00634E33">
            <w:pPr>
              <w:spacing w:before="40" w:after="40" w:line="220" w:lineRule="exact"/>
              <w:ind w:right="113"/>
              <w:rPr>
                <w:sz w:val="18"/>
                <w:szCs w:val="18"/>
              </w:rPr>
            </w:pPr>
          </w:p>
        </w:tc>
        <w:tc>
          <w:tcPr>
            <w:tcW w:w="659" w:type="dxa"/>
            <w:shd w:val="clear" w:color="auto" w:fill="auto"/>
          </w:tcPr>
          <w:p w14:paraId="6AF85F31" w14:textId="77777777" w:rsidR="005816B9" w:rsidRPr="00337391" w:rsidRDefault="005816B9" w:rsidP="00634E33">
            <w:pPr>
              <w:spacing w:before="40" w:after="40" w:line="220" w:lineRule="exact"/>
              <w:ind w:right="113"/>
              <w:rPr>
                <w:sz w:val="18"/>
                <w:szCs w:val="18"/>
              </w:rPr>
            </w:pPr>
            <w:r w:rsidRPr="00337391">
              <w:rPr>
                <w:sz w:val="18"/>
                <w:szCs w:val="18"/>
                <w:lang w:val="zh-CN"/>
              </w:rPr>
              <w:t>女性</w:t>
            </w:r>
          </w:p>
        </w:tc>
        <w:tc>
          <w:tcPr>
            <w:tcW w:w="1142" w:type="dxa"/>
            <w:shd w:val="clear" w:color="auto" w:fill="auto"/>
            <w:vAlign w:val="bottom"/>
          </w:tcPr>
          <w:p w14:paraId="5568C0DA" w14:textId="1BFB0863" w:rsidR="005816B9" w:rsidRPr="00337391" w:rsidRDefault="005816B9" w:rsidP="00F63695">
            <w:pPr>
              <w:spacing w:before="40" w:after="40" w:line="220" w:lineRule="exact"/>
              <w:jc w:val="right"/>
              <w:rPr>
                <w:sz w:val="18"/>
                <w:szCs w:val="18"/>
              </w:rPr>
            </w:pPr>
            <w:r w:rsidRPr="00337391">
              <w:rPr>
                <w:sz w:val="18"/>
                <w:szCs w:val="18"/>
                <w:lang w:val="zh-CN"/>
              </w:rPr>
              <w:t>1</w:t>
            </w:r>
            <w:r w:rsidR="006D1156">
              <w:rPr>
                <w:sz w:val="18"/>
                <w:szCs w:val="18"/>
                <w:lang w:val="zh-CN"/>
              </w:rPr>
              <w:t>,</w:t>
            </w:r>
            <w:r w:rsidRPr="00337391">
              <w:rPr>
                <w:sz w:val="18"/>
                <w:szCs w:val="18"/>
                <w:lang w:val="zh-CN"/>
              </w:rPr>
              <w:t>552</w:t>
            </w:r>
            <w:r w:rsidR="006D1156">
              <w:rPr>
                <w:sz w:val="18"/>
                <w:szCs w:val="18"/>
                <w:lang w:val="zh-CN"/>
              </w:rPr>
              <w:t>,</w:t>
            </w:r>
            <w:r w:rsidRPr="00337391">
              <w:rPr>
                <w:sz w:val="18"/>
                <w:szCs w:val="18"/>
                <w:lang w:val="zh-CN"/>
              </w:rPr>
              <w:t>237</w:t>
            </w:r>
          </w:p>
        </w:tc>
        <w:tc>
          <w:tcPr>
            <w:tcW w:w="997" w:type="dxa"/>
            <w:vMerge/>
            <w:shd w:val="clear" w:color="auto" w:fill="auto"/>
            <w:vAlign w:val="bottom"/>
          </w:tcPr>
          <w:p w14:paraId="2EBB5452" w14:textId="77777777" w:rsidR="005816B9" w:rsidRPr="00337391" w:rsidRDefault="005816B9" w:rsidP="00F63695">
            <w:pPr>
              <w:spacing w:before="40" w:after="40" w:line="220" w:lineRule="exact"/>
              <w:jc w:val="right"/>
              <w:rPr>
                <w:sz w:val="18"/>
                <w:szCs w:val="18"/>
              </w:rPr>
            </w:pPr>
          </w:p>
        </w:tc>
        <w:tc>
          <w:tcPr>
            <w:tcW w:w="1070" w:type="dxa"/>
            <w:vMerge/>
            <w:shd w:val="clear" w:color="auto" w:fill="auto"/>
            <w:vAlign w:val="bottom"/>
          </w:tcPr>
          <w:p w14:paraId="639EA18F" w14:textId="77777777" w:rsidR="005816B9" w:rsidRPr="00337391" w:rsidRDefault="005816B9" w:rsidP="00F63695">
            <w:pPr>
              <w:spacing w:before="40" w:after="40" w:line="220" w:lineRule="exact"/>
              <w:jc w:val="right"/>
              <w:rPr>
                <w:sz w:val="18"/>
                <w:szCs w:val="18"/>
              </w:rPr>
            </w:pPr>
          </w:p>
        </w:tc>
        <w:tc>
          <w:tcPr>
            <w:tcW w:w="1307" w:type="dxa"/>
            <w:vMerge/>
            <w:shd w:val="clear" w:color="auto" w:fill="auto"/>
            <w:vAlign w:val="bottom"/>
          </w:tcPr>
          <w:p w14:paraId="57A8C7A2" w14:textId="77777777" w:rsidR="005816B9" w:rsidRPr="00337391" w:rsidRDefault="005816B9" w:rsidP="00F63695">
            <w:pPr>
              <w:spacing w:before="40" w:after="40" w:line="220" w:lineRule="exact"/>
              <w:jc w:val="right"/>
              <w:rPr>
                <w:sz w:val="18"/>
                <w:szCs w:val="18"/>
              </w:rPr>
            </w:pPr>
          </w:p>
        </w:tc>
        <w:tc>
          <w:tcPr>
            <w:tcW w:w="1425" w:type="dxa"/>
            <w:vMerge/>
            <w:shd w:val="clear" w:color="auto" w:fill="auto"/>
            <w:vAlign w:val="bottom"/>
          </w:tcPr>
          <w:p w14:paraId="00FF8625" w14:textId="77777777" w:rsidR="005816B9" w:rsidRPr="00337391" w:rsidRDefault="005816B9" w:rsidP="00F63695">
            <w:pPr>
              <w:spacing w:before="40" w:after="40" w:line="220" w:lineRule="exact"/>
              <w:jc w:val="right"/>
              <w:rPr>
                <w:sz w:val="18"/>
              </w:rPr>
            </w:pPr>
          </w:p>
        </w:tc>
      </w:tr>
      <w:tr w:rsidR="005816B9" w:rsidRPr="00337391" w14:paraId="1724DBC0" w14:textId="77777777" w:rsidTr="0047546D">
        <w:tc>
          <w:tcPr>
            <w:tcW w:w="774" w:type="dxa"/>
            <w:gridSpan w:val="2"/>
            <w:shd w:val="clear" w:color="auto" w:fill="auto"/>
          </w:tcPr>
          <w:p w14:paraId="0E08CB41" w14:textId="77777777" w:rsidR="005816B9" w:rsidRPr="00337391" w:rsidRDefault="005816B9" w:rsidP="00634E33">
            <w:pPr>
              <w:spacing w:before="40" w:after="40" w:line="220" w:lineRule="exact"/>
              <w:ind w:right="113"/>
              <w:rPr>
                <w:sz w:val="18"/>
                <w:szCs w:val="18"/>
              </w:rPr>
            </w:pPr>
          </w:p>
        </w:tc>
        <w:tc>
          <w:tcPr>
            <w:tcW w:w="659" w:type="dxa"/>
            <w:shd w:val="clear" w:color="auto" w:fill="auto"/>
          </w:tcPr>
          <w:p w14:paraId="026A411A" w14:textId="77777777" w:rsidR="005816B9" w:rsidRPr="00337391" w:rsidRDefault="005816B9" w:rsidP="00634E33">
            <w:pPr>
              <w:spacing w:before="40" w:after="40" w:line="220" w:lineRule="exact"/>
              <w:ind w:right="113"/>
              <w:rPr>
                <w:sz w:val="18"/>
                <w:szCs w:val="18"/>
              </w:rPr>
            </w:pPr>
            <w:r w:rsidRPr="00337391">
              <w:rPr>
                <w:sz w:val="18"/>
                <w:szCs w:val="18"/>
                <w:lang w:val="zh-CN"/>
              </w:rPr>
              <w:t>男性</w:t>
            </w:r>
          </w:p>
        </w:tc>
        <w:tc>
          <w:tcPr>
            <w:tcW w:w="1142" w:type="dxa"/>
            <w:shd w:val="clear" w:color="auto" w:fill="auto"/>
            <w:vAlign w:val="bottom"/>
          </w:tcPr>
          <w:p w14:paraId="415036AC" w14:textId="43F3C972" w:rsidR="005816B9" w:rsidRPr="00337391" w:rsidRDefault="005816B9" w:rsidP="00F63695">
            <w:pPr>
              <w:spacing w:before="40" w:after="40" w:line="220" w:lineRule="exact"/>
              <w:jc w:val="right"/>
              <w:rPr>
                <w:sz w:val="18"/>
                <w:szCs w:val="18"/>
              </w:rPr>
            </w:pPr>
            <w:r w:rsidRPr="00337391">
              <w:rPr>
                <w:sz w:val="18"/>
                <w:szCs w:val="18"/>
                <w:lang w:val="zh-CN"/>
              </w:rPr>
              <w:t>1</w:t>
            </w:r>
            <w:r w:rsidR="006D1156">
              <w:rPr>
                <w:sz w:val="18"/>
                <w:szCs w:val="18"/>
                <w:lang w:val="zh-CN"/>
              </w:rPr>
              <w:t>,</w:t>
            </w:r>
            <w:r w:rsidRPr="00337391">
              <w:rPr>
                <w:sz w:val="18"/>
                <w:szCs w:val="18"/>
                <w:lang w:val="zh-CN"/>
              </w:rPr>
              <w:t>481</w:t>
            </w:r>
            <w:r w:rsidR="006D1156">
              <w:rPr>
                <w:sz w:val="18"/>
                <w:szCs w:val="18"/>
                <w:lang w:val="zh-CN"/>
              </w:rPr>
              <w:t>,</w:t>
            </w:r>
            <w:r w:rsidRPr="00337391">
              <w:rPr>
                <w:sz w:val="18"/>
                <w:szCs w:val="18"/>
                <w:lang w:val="zh-CN"/>
              </w:rPr>
              <w:t>925</w:t>
            </w:r>
          </w:p>
        </w:tc>
        <w:tc>
          <w:tcPr>
            <w:tcW w:w="997" w:type="dxa"/>
            <w:vMerge/>
            <w:shd w:val="clear" w:color="auto" w:fill="auto"/>
            <w:vAlign w:val="bottom"/>
          </w:tcPr>
          <w:p w14:paraId="3D4E2F1E" w14:textId="77777777" w:rsidR="005816B9" w:rsidRPr="00337391" w:rsidRDefault="005816B9" w:rsidP="00F63695">
            <w:pPr>
              <w:spacing w:before="40" w:after="40" w:line="220" w:lineRule="exact"/>
              <w:jc w:val="right"/>
              <w:rPr>
                <w:sz w:val="18"/>
                <w:szCs w:val="18"/>
              </w:rPr>
            </w:pPr>
          </w:p>
        </w:tc>
        <w:tc>
          <w:tcPr>
            <w:tcW w:w="1070" w:type="dxa"/>
            <w:vMerge/>
            <w:shd w:val="clear" w:color="auto" w:fill="auto"/>
            <w:vAlign w:val="bottom"/>
          </w:tcPr>
          <w:p w14:paraId="7B725914" w14:textId="77777777" w:rsidR="005816B9" w:rsidRPr="00337391" w:rsidRDefault="005816B9" w:rsidP="00F63695">
            <w:pPr>
              <w:spacing w:before="40" w:after="40" w:line="220" w:lineRule="exact"/>
              <w:jc w:val="right"/>
              <w:rPr>
                <w:sz w:val="18"/>
                <w:szCs w:val="18"/>
              </w:rPr>
            </w:pPr>
          </w:p>
        </w:tc>
        <w:tc>
          <w:tcPr>
            <w:tcW w:w="1307" w:type="dxa"/>
            <w:vMerge/>
            <w:shd w:val="clear" w:color="auto" w:fill="auto"/>
            <w:vAlign w:val="bottom"/>
          </w:tcPr>
          <w:p w14:paraId="6CD04388" w14:textId="77777777" w:rsidR="005816B9" w:rsidRPr="00337391" w:rsidRDefault="005816B9" w:rsidP="00F63695">
            <w:pPr>
              <w:spacing w:before="40" w:after="40" w:line="220" w:lineRule="exact"/>
              <w:jc w:val="right"/>
              <w:rPr>
                <w:sz w:val="18"/>
                <w:szCs w:val="18"/>
              </w:rPr>
            </w:pPr>
          </w:p>
        </w:tc>
        <w:tc>
          <w:tcPr>
            <w:tcW w:w="1425" w:type="dxa"/>
            <w:vMerge/>
            <w:shd w:val="clear" w:color="auto" w:fill="auto"/>
            <w:vAlign w:val="bottom"/>
          </w:tcPr>
          <w:p w14:paraId="0CBBAE92" w14:textId="77777777" w:rsidR="005816B9" w:rsidRPr="00337391" w:rsidRDefault="005816B9" w:rsidP="00F63695">
            <w:pPr>
              <w:spacing w:before="40" w:after="40" w:line="220" w:lineRule="exact"/>
              <w:jc w:val="right"/>
              <w:rPr>
                <w:sz w:val="18"/>
              </w:rPr>
            </w:pPr>
          </w:p>
        </w:tc>
      </w:tr>
      <w:tr w:rsidR="005816B9" w:rsidRPr="00337391" w14:paraId="7A760A31" w14:textId="77777777" w:rsidTr="0047546D">
        <w:tc>
          <w:tcPr>
            <w:tcW w:w="1433" w:type="dxa"/>
            <w:gridSpan w:val="3"/>
            <w:shd w:val="clear" w:color="auto" w:fill="auto"/>
          </w:tcPr>
          <w:p w14:paraId="7C0F1DE0" w14:textId="77777777" w:rsidR="005816B9" w:rsidRPr="00337391" w:rsidRDefault="005816B9" w:rsidP="00CE7B56">
            <w:pPr>
              <w:spacing w:before="40" w:after="40" w:line="220" w:lineRule="exact"/>
              <w:ind w:right="113"/>
              <w:rPr>
                <w:sz w:val="18"/>
                <w:szCs w:val="18"/>
              </w:rPr>
            </w:pPr>
            <w:r w:rsidRPr="00337391">
              <w:rPr>
                <w:sz w:val="18"/>
                <w:szCs w:val="18"/>
                <w:lang w:val="zh-CN"/>
              </w:rPr>
              <w:t>东部地区</w:t>
            </w:r>
          </w:p>
        </w:tc>
        <w:tc>
          <w:tcPr>
            <w:tcW w:w="1142" w:type="dxa"/>
            <w:shd w:val="clear" w:color="auto" w:fill="auto"/>
            <w:vAlign w:val="bottom"/>
          </w:tcPr>
          <w:p w14:paraId="6AFA255D" w14:textId="03D1B6FE" w:rsidR="005816B9" w:rsidRPr="00337391" w:rsidRDefault="005816B9" w:rsidP="00F63695">
            <w:pPr>
              <w:spacing w:before="40" w:after="40" w:line="220" w:lineRule="exact"/>
              <w:jc w:val="right"/>
              <w:rPr>
                <w:sz w:val="18"/>
                <w:szCs w:val="18"/>
              </w:rPr>
            </w:pPr>
            <w:r w:rsidRPr="00337391">
              <w:rPr>
                <w:sz w:val="18"/>
                <w:szCs w:val="18"/>
                <w:lang w:val="zh-CN"/>
              </w:rPr>
              <w:t>5</w:t>
            </w:r>
            <w:r w:rsidR="006D1156">
              <w:rPr>
                <w:sz w:val="18"/>
                <w:szCs w:val="18"/>
                <w:lang w:val="zh-CN"/>
              </w:rPr>
              <w:t>,</w:t>
            </w:r>
            <w:r w:rsidRPr="00337391">
              <w:rPr>
                <w:sz w:val="18"/>
                <w:szCs w:val="18"/>
                <w:lang w:val="zh-CN"/>
              </w:rPr>
              <w:t>003</w:t>
            </w:r>
            <w:r w:rsidR="006D1156">
              <w:rPr>
                <w:sz w:val="18"/>
                <w:szCs w:val="18"/>
                <w:lang w:val="zh-CN"/>
              </w:rPr>
              <w:t>,</w:t>
            </w:r>
            <w:r w:rsidRPr="00337391">
              <w:rPr>
                <w:sz w:val="18"/>
                <w:szCs w:val="18"/>
                <w:lang w:val="zh-CN"/>
              </w:rPr>
              <w:t>182</w:t>
            </w:r>
          </w:p>
        </w:tc>
        <w:tc>
          <w:tcPr>
            <w:tcW w:w="997" w:type="dxa"/>
            <w:vMerge w:val="restart"/>
            <w:shd w:val="clear" w:color="auto" w:fill="auto"/>
            <w:vAlign w:val="bottom"/>
          </w:tcPr>
          <w:p w14:paraId="19785EE4" w14:textId="77777777" w:rsidR="005816B9" w:rsidRPr="00337391" w:rsidRDefault="005816B9" w:rsidP="00F63695">
            <w:pPr>
              <w:spacing w:before="40" w:after="40" w:line="220" w:lineRule="exact"/>
              <w:jc w:val="right"/>
              <w:rPr>
                <w:sz w:val="18"/>
                <w:szCs w:val="18"/>
              </w:rPr>
            </w:pPr>
            <w:r w:rsidRPr="00337391">
              <w:rPr>
                <w:sz w:val="18"/>
                <w:szCs w:val="18"/>
                <w:lang w:val="zh-CN"/>
              </w:rPr>
              <w:t>137.1</w:t>
            </w:r>
          </w:p>
        </w:tc>
        <w:tc>
          <w:tcPr>
            <w:tcW w:w="1070" w:type="dxa"/>
            <w:vMerge w:val="restart"/>
            <w:shd w:val="clear" w:color="auto" w:fill="auto"/>
            <w:vAlign w:val="bottom"/>
          </w:tcPr>
          <w:p w14:paraId="39DD1F47" w14:textId="77777777" w:rsidR="005816B9" w:rsidRPr="00337391" w:rsidRDefault="005816B9" w:rsidP="00F63695">
            <w:pPr>
              <w:spacing w:before="40" w:after="40" w:line="220" w:lineRule="exact"/>
              <w:jc w:val="right"/>
              <w:rPr>
                <w:sz w:val="18"/>
                <w:szCs w:val="18"/>
              </w:rPr>
            </w:pPr>
            <w:r w:rsidRPr="00337391">
              <w:rPr>
                <w:sz w:val="18"/>
                <w:szCs w:val="18"/>
                <w:lang w:val="zh-CN"/>
              </w:rPr>
              <w:t>13.6</w:t>
            </w:r>
          </w:p>
        </w:tc>
        <w:tc>
          <w:tcPr>
            <w:tcW w:w="1307" w:type="dxa"/>
            <w:vMerge w:val="restart"/>
            <w:shd w:val="clear" w:color="auto" w:fill="auto"/>
            <w:vAlign w:val="bottom"/>
          </w:tcPr>
          <w:p w14:paraId="7305C773" w14:textId="77777777" w:rsidR="005816B9" w:rsidRPr="00337391" w:rsidRDefault="005816B9" w:rsidP="00F63695">
            <w:pPr>
              <w:spacing w:before="40" w:after="40" w:line="220" w:lineRule="exact"/>
              <w:jc w:val="right"/>
              <w:rPr>
                <w:sz w:val="18"/>
                <w:szCs w:val="18"/>
              </w:rPr>
            </w:pPr>
            <w:r w:rsidRPr="00337391">
              <w:rPr>
                <w:sz w:val="18"/>
                <w:szCs w:val="18"/>
                <w:lang w:val="zh-CN"/>
              </w:rPr>
              <w:t>7.4</w:t>
            </w:r>
          </w:p>
        </w:tc>
        <w:tc>
          <w:tcPr>
            <w:tcW w:w="1425" w:type="dxa"/>
            <w:vMerge/>
            <w:shd w:val="clear" w:color="auto" w:fill="auto"/>
            <w:vAlign w:val="bottom"/>
          </w:tcPr>
          <w:p w14:paraId="3FC16CC1" w14:textId="77777777" w:rsidR="005816B9" w:rsidRPr="00337391" w:rsidRDefault="005816B9" w:rsidP="00F63695">
            <w:pPr>
              <w:spacing w:before="40" w:after="40" w:line="220" w:lineRule="exact"/>
              <w:jc w:val="right"/>
              <w:rPr>
                <w:sz w:val="18"/>
              </w:rPr>
            </w:pPr>
          </w:p>
        </w:tc>
      </w:tr>
      <w:tr w:rsidR="005816B9" w:rsidRPr="00337391" w14:paraId="35A69CA4" w14:textId="77777777" w:rsidTr="0047546D">
        <w:tc>
          <w:tcPr>
            <w:tcW w:w="774" w:type="dxa"/>
            <w:gridSpan w:val="2"/>
            <w:shd w:val="clear" w:color="auto" w:fill="auto"/>
          </w:tcPr>
          <w:p w14:paraId="1D71F117" w14:textId="77777777" w:rsidR="005816B9" w:rsidRPr="00337391" w:rsidRDefault="005816B9" w:rsidP="00634E33">
            <w:pPr>
              <w:spacing w:before="40" w:after="40" w:line="220" w:lineRule="exact"/>
              <w:ind w:right="113"/>
              <w:rPr>
                <w:sz w:val="18"/>
                <w:szCs w:val="18"/>
              </w:rPr>
            </w:pPr>
          </w:p>
        </w:tc>
        <w:tc>
          <w:tcPr>
            <w:tcW w:w="659" w:type="dxa"/>
            <w:shd w:val="clear" w:color="auto" w:fill="auto"/>
          </w:tcPr>
          <w:p w14:paraId="373AB96D" w14:textId="77777777" w:rsidR="005816B9" w:rsidRPr="00337391" w:rsidRDefault="005816B9" w:rsidP="00634E33">
            <w:pPr>
              <w:spacing w:before="40" w:after="40" w:line="220" w:lineRule="exact"/>
              <w:ind w:right="113"/>
              <w:rPr>
                <w:sz w:val="18"/>
                <w:szCs w:val="18"/>
              </w:rPr>
            </w:pPr>
            <w:r w:rsidRPr="00337391">
              <w:rPr>
                <w:sz w:val="18"/>
                <w:szCs w:val="18"/>
                <w:lang w:val="zh-CN"/>
              </w:rPr>
              <w:t>女性</w:t>
            </w:r>
          </w:p>
        </w:tc>
        <w:tc>
          <w:tcPr>
            <w:tcW w:w="1142" w:type="dxa"/>
            <w:shd w:val="clear" w:color="auto" w:fill="auto"/>
            <w:vAlign w:val="bottom"/>
          </w:tcPr>
          <w:p w14:paraId="62E85BAB" w14:textId="0E2BBB10" w:rsidR="005816B9" w:rsidRPr="00337391" w:rsidRDefault="005816B9" w:rsidP="00F63695">
            <w:pPr>
              <w:spacing w:before="40" w:after="40" w:line="220" w:lineRule="exact"/>
              <w:jc w:val="right"/>
              <w:rPr>
                <w:sz w:val="18"/>
                <w:szCs w:val="18"/>
              </w:rPr>
            </w:pPr>
            <w:r w:rsidRPr="00337391">
              <w:rPr>
                <w:sz w:val="18"/>
                <w:szCs w:val="18"/>
                <w:lang w:val="zh-CN"/>
              </w:rPr>
              <w:t>2</w:t>
            </w:r>
            <w:r w:rsidR="006D1156">
              <w:rPr>
                <w:sz w:val="18"/>
                <w:szCs w:val="18"/>
                <w:lang w:val="zh-CN"/>
              </w:rPr>
              <w:t>,</w:t>
            </w:r>
            <w:r w:rsidRPr="00337391">
              <w:rPr>
                <w:sz w:val="18"/>
                <w:szCs w:val="18"/>
                <w:lang w:val="zh-CN"/>
              </w:rPr>
              <w:t>539</w:t>
            </w:r>
            <w:r w:rsidR="006D1156">
              <w:rPr>
                <w:sz w:val="18"/>
                <w:szCs w:val="18"/>
                <w:lang w:val="zh-CN"/>
              </w:rPr>
              <w:t>,</w:t>
            </w:r>
            <w:r w:rsidRPr="00337391">
              <w:rPr>
                <w:sz w:val="18"/>
                <w:szCs w:val="18"/>
                <w:lang w:val="zh-CN"/>
              </w:rPr>
              <w:t>439</w:t>
            </w:r>
          </w:p>
        </w:tc>
        <w:tc>
          <w:tcPr>
            <w:tcW w:w="997" w:type="dxa"/>
            <w:vMerge/>
            <w:shd w:val="clear" w:color="auto" w:fill="auto"/>
            <w:vAlign w:val="bottom"/>
          </w:tcPr>
          <w:p w14:paraId="07119D7F" w14:textId="77777777" w:rsidR="005816B9" w:rsidRPr="00337391" w:rsidRDefault="005816B9" w:rsidP="00F63695">
            <w:pPr>
              <w:spacing w:before="40" w:after="40" w:line="220" w:lineRule="exact"/>
              <w:jc w:val="right"/>
              <w:rPr>
                <w:sz w:val="18"/>
              </w:rPr>
            </w:pPr>
          </w:p>
        </w:tc>
        <w:tc>
          <w:tcPr>
            <w:tcW w:w="1070" w:type="dxa"/>
            <w:vMerge/>
            <w:shd w:val="clear" w:color="auto" w:fill="auto"/>
            <w:vAlign w:val="bottom"/>
          </w:tcPr>
          <w:p w14:paraId="49D3B39A" w14:textId="77777777" w:rsidR="005816B9" w:rsidRPr="00337391" w:rsidRDefault="005816B9" w:rsidP="00F63695">
            <w:pPr>
              <w:spacing w:before="40" w:after="40" w:line="220" w:lineRule="exact"/>
              <w:jc w:val="right"/>
              <w:rPr>
                <w:sz w:val="18"/>
              </w:rPr>
            </w:pPr>
          </w:p>
        </w:tc>
        <w:tc>
          <w:tcPr>
            <w:tcW w:w="1307" w:type="dxa"/>
            <w:vMerge/>
            <w:shd w:val="clear" w:color="auto" w:fill="auto"/>
            <w:vAlign w:val="bottom"/>
          </w:tcPr>
          <w:p w14:paraId="599E0A10" w14:textId="77777777" w:rsidR="005816B9" w:rsidRPr="00337391" w:rsidRDefault="005816B9" w:rsidP="00F63695">
            <w:pPr>
              <w:spacing w:before="40" w:after="40" w:line="220" w:lineRule="exact"/>
              <w:jc w:val="right"/>
              <w:rPr>
                <w:sz w:val="18"/>
              </w:rPr>
            </w:pPr>
          </w:p>
        </w:tc>
        <w:tc>
          <w:tcPr>
            <w:tcW w:w="1425" w:type="dxa"/>
            <w:vMerge/>
            <w:shd w:val="clear" w:color="auto" w:fill="auto"/>
            <w:vAlign w:val="bottom"/>
          </w:tcPr>
          <w:p w14:paraId="1EF4EFF7" w14:textId="77777777" w:rsidR="005816B9" w:rsidRPr="00337391" w:rsidRDefault="005816B9" w:rsidP="00F63695">
            <w:pPr>
              <w:spacing w:before="40" w:after="40" w:line="220" w:lineRule="exact"/>
              <w:jc w:val="right"/>
              <w:rPr>
                <w:sz w:val="18"/>
              </w:rPr>
            </w:pPr>
          </w:p>
        </w:tc>
      </w:tr>
      <w:tr w:rsidR="005816B9" w:rsidRPr="00337391" w14:paraId="11163A06" w14:textId="77777777" w:rsidTr="0047546D">
        <w:tc>
          <w:tcPr>
            <w:tcW w:w="774" w:type="dxa"/>
            <w:gridSpan w:val="2"/>
            <w:shd w:val="clear" w:color="auto" w:fill="auto"/>
          </w:tcPr>
          <w:p w14:paraId="53D4051C" w14:textId="77777777" w:rsidR="005816B9" w:rsidRPr="00337391" w:rsidRDefault="005816B9" w:rsidP="00634E33">
            <w:pPr>
              <w:spacing w:before="40" w:after="40" w:line="220" w:lineRule="exact"/>
              <w:ind w:right="113"/>
              <w:rPr>
                <w:sz w:val="18"/>
                <w:szCs w:val="18"/>
              </w:rPr>
            </w:pPr>
          </w:p>
        </w:tc>
        <w:tc>
          <w:tcPr>
            <w:tcW w:w="659" w:type="dxa"/>
            <w:shd w:val="clear" w:color="auto" w:fill="auto"/>
          </w:tcPr>
          <w:p w14:paraId="07D4F298" w14:textId="77777777" w:rsidR="005816B9" w:rsidRPr="00337391" w:rsidRDefault="005816B9" w:rsidP="00634E33">
            <w:pPr>
              <w:spacing w:before="40" w:after="40" w:line="220" w:lineRule="exact"/>
              <w:ind w:right="113"/>
              <w:rPr>
                <w:sz w:val="18"/>
                <w:szCs w:val="18"/>
              </w:rPr>
            </w:pPr>
            <w:r w:rsidRPr="00337391">
              <w:rPr>
                <w:sz w:val="18"/>
                <w:szCs w:val="18"/>
                <w:lang w:val="zh-CN"/>
              </w:rPr>
              <w:t>男性</w:t>
            </w:r>
          </w:p>
        </w:tc>
        <w:tc>
          <w:tcPr>
            <w:tcW w:w="1142" w:type="dxa"/>
            <w:shd w:val="clear" w:color="auto" w:fill="auto"/>
            <w:vAlign w:val="bottom"/>
          </w:tcPr>
          <w:p w14:paraId="0F6B6885" w14:textId="54D1998B" w:rsidR="005816B9" w:rsidRPr="00337391" w:rsidRDefault="005816B9" w:rsidP="00F63695">
            <w:pPr>
              <w:spacing w:before="40" w:after="40" w:line="220" w:lineRule="exact"/>
              <w:jc w:val="right"/>
              <w:rPr>
                <w:sz w:val="18"/>
                <w:szCs w:val="18"/>
              </w:rPr>
            </w:pPr>
            <w:r w:rsidRPr="00337391">
              <w:rPr>
                <w:sz w:val="18"/>
                <w:szCs w:val="18"/>
                <w:lang w:val="zh-CN"/>
              </w:rPr>
              <w:t>2</w:t>
            </w:r>
            <w:r w:rsidR="006D1156">
              <w:rPr>
                <w:sz w:val="18"/>
                <w:szCs w:val="18"/>
                <w:lang w:val="zh-CN"/>
              </w:rPr>
              <w:t>,</w:t>
            </w:r>
            <w:r w:rsidRPr="00337391">
              <w:rPr>
                <w:sz w:val="18"/>
                <w:szCs w:val="18"/>
                <w:lang w:val="zh-CN"/>
              </w:rPr>
              <w:t>463</w:t>
            </w:r>
            <w:r w:rsidR="006D1156">
              <w:rPr>
                <w:sz w:val="18"/>
                <w:szCs w:val="18"/>
                <w:lang w:val="zh-CN"/>
              </w:rPr>
              <w:t>,</w:t>
            </w:r>
            <w:r w:rsidRPr="00337391">
              <w:rPr>
                <w:sz w:val="18"/>
                <w:szCs w:val="18"/>
                <w:lang w:val="zh-CN"/>
              </w:rPr>
              <w:t>743</w:t>
            </w:r>
          </w:p>
        </w:tc>
        <w:tc>
          <w:tcPr>
            <w:tcW w:w="997" w:type="dxa"/>
            <w:vMerge/>
            <w:shd w:val="clear" w:color="auto" w:fill="auto"/>
            <w:vAlign w:val="bottom"/>
          </w:tcPr>
          <w:p w14:paraId="26956BBE" w14:textId="77777777" w:rsidR="005816B9" w:rsidRPr="00337391" w:rsidRDefault="005816B9" w:rsidP="00F63695">
            <w:pPr>
              <w:spacing w:before="40" w:after="40" w:line="220" w:lineRule="exact"/>
              <w:jc w:val="right"/>
              <w:rPr>
                <w:sz w:val="18"/>
                <w:szCs w:val="18"/>
              </w:rPr>
            </w:pPr>
          </w:p>
        </w:tc>
        <w:tc>
          <w:tcPr>
            <w:tcW w:w="1070" w:type="dxa"/>
            <w:vMerge/>
            <w:shd w:val="clear" w:color="auto" w:fill="auto"/>
            <w:vAlign w:val="bottom"/>
          </w:tcPr>
          <w:p w14:paraId="4D531F0E" w14:textId="77777777" w:rsidR="005816B9" w:rsidRPr="00337391" w:rsidRDefault="005816B9" w:rsidP="00F63695">
            <w:pPr>
              <w:spacing w:before="40" w:after="40" w:line="220" w:lineRule="exact"/>
              <w:jc w:val="right"/>
              <w:rPr>
                <w:sz w:val="18"/>
                <w:szCs w:val="18"/>
              </w:rPr>
            </w:pPr>
          </w:p>
        </w:tc>
        <w:tc>
          <w:tcPr>
            <w:tcW w:w="1307" w:type="dxa"/>
            <w:vMerge/>
            <w:shd w:val="clear" w:color="auto" w:fill="auto"/>
            <w:vAlign w:val="bottom"/>
          </w:tcPr>
          <w:p w14:paraId="08DB3D6C" w14:textId="77777777" w:rsidR="005816B9" w:rsidRPr="00337391" w:rsidRDefault="005816B9" w:rsidP="00F63695">
            <w:pPr>
              <w:spacing w:before="40" w:after="40" w:line="220" w:lineRule="exact"/>
              <w:jc w:val="right"/>
              <w:rPr>
                <w:sz w:val="18"/>
                <w:szCs w:val="18"/>
              </w:rPr>
            </w:pPr>
          </w:p>
        </w:tc>
        <w:tc>
          <w:tcPr>
            <w:tcW w:w="1425" w:type="dxa"/>
            <w:vMerge/>
            <w:shd w:val="clear" w:color="auto" w:fill="auto"/>
            <w:vAlign w:val="bottom"/>
          </w:tcPr>
          <w:p w14:paraId="5DD009D6" w14:textId="77777777" w:rsidR="005816B9" w:rsidRPr="00337391" w:rsidRDefault="005816B9" w:rsidP="00F63695">
            <w:pPr>
              <w:spacing w:before="40" w:after="40" w:line="220" w:lineRule="exact"/>
              <w:jc w:val="right"/>
              <w:rPr>
                <w:sz w:val="18"/>
                <w:szCs w:val="18"/>
              </w:rPr>
            </w:pPr>
          </w:p>
        </w:tc>
      </w:tr>
      <w:tr w:rsidR="005816B9" w:rsidRPr="00337391" w14:paraId="32F74104" w14:textId="77777777" w:rsidTr="0047546D">
        <w:tc>
          <w:tcPr>
            <w:tcW w:w="1433" w:type="dxa"/>
            <w:gridSpan w:val="3"/>
            <w:shd w:val="clear" w:color="auto" w:fill="auto"/>
          </w:tcPr>
          <w:p w14:paraId="1CBCC582" w14:textId="77777777" w:rsidR="005816B9" w:rsidRPr="00337391" w:rsidRDefault="005816B9" w:rsidP="00634E33">
            <w:pPr>
              <w:spacing w:before="40" w:after="40" w:line="220" w:lineRule="exact"/>
              <w:ind w:right="113"/>
              <w:rPr>
                <w:sz w:val="18"/>
                <w:szCs w:val="18"/>
              </w:rPr>
            </w:pPr>
            <w:r w:rsidRPr="00337391">
              <w:rPr>
                <w:sz w:val="18"/>
                <w:szCs w:val="18"/>
                <w:lang w:val="zh-CN"/>
              </w:rPr>
              <w:t>西部地区</w:t>
            </w:r>
          </w:p>
        </w:tc>
        <w:tc>
          <w:tcPr>
            <w:tcW w:w="1142" w:type="dxa"/>
            <w:shd w:val="clear" w:color="auto" w:fill="auto"/>
            <w:vAlign w:val="bottom"/>
          </w:tcPr>
          <w:p w14:paraId="10F1D117" w14:textId="534947B5" w:rsidR="005816B9" w:rsidRPr="00337391" w:rsidRDefault="005816B9" w:rsidP="00F63695">
            <w:pPr>
              <w:spacing w:before="40" w:after="40" w:line="220" w:lineRule="exact"/>
              <w:jc w:val="right"/>
              <w:rPr>
                <w:sz w:val="18"/>
                <w:szCs w:val="18"/>
              </w:rPr>
            </w:pPr>
            <w:r w:rsidRPr="00337391">
              <w:rPr>
                <w:sz w:val="18"/>
                <w:szCs w:val="18"/>
                <w:lang w:val="zh-CN"/>
              </w:rPr>
              <w:t>3</w:t>
            </w:r>
            <w:r w:rsidR="006D1156">
              <w:rPr>
                <w:sz w:val="18"/>
                <w:szCs w:val="18"/>
                <w:lang w:val="zh-CN"/>
              </w:rPr>
              <w:t>,</w:t>
            </w:r>
            <w:r w:rsidRPr="00337391">
              <w:rPr>
                <w:sz w:val="18"/>
                <w:szCs w:val="18"/>
                <w:lang w:val="zh-CN"/>
              </w:rPr>
              <w:t>831</w:t>
            </w:r>
            <w:r w:rsidR="006D1156">
              <w:rPr>
                <w:sz w:val="18"/>
                <w:szCs w:val="18"/>
                <w:lang w:val="zh-CN"/>
              </w:rPr>
              <w:t>,</w:t>
            </w:r>
            <w:r w:rsidRPr="00337391">
              <w:rPr>
                <w:sz w:val="18"/>
                <w:szCs w:val="18"/>
                <w:lang w:val="zh-CN"/>
              </w:rPr>
              <w:t>952</w:t>
            </w:r>
          </w:p>
        </w:tc>
        <w:tc>
          <w:tcPr>
            <w:tcW w:w="997" w:type="dxa"/>
            <w:shd w:val="clear" w:color="auto" w:fill="auto"/>
            <w:vAlign w:val="bottom"/>
          </w:tcPr>
          <w:p w14:paraId="27EF1010" w14:textId="77777777" w:rsidR="005816B9" w:rsidRPr="00337391" w:rsidRDefault="005816B9" w:rsidP="00F63695">
            <w:pPr>
              <w:spacing w:before="40" w:after="40" w:line="220" w:lineRule="exact"/>
              <w:jc w:val="right"/>
              <w:rPr>
                <w:sz w:val="18"/>
                <w:szCs w:val="18"/>
              </w:rPr>
            </w:pPr>
          </w:p>
        </w:tc>
        <w:tc>
          <w:tcPr>
            <w:tcW w:w="1070" w:type="dxa"/>
            <w:shd w:val="clear" w:color="auto" w:fill="auto"/>
            <w:vAlign w:val="bottom"/>
          </w:tcPr>
          <w:p w14:paraId="1947EBD7" w14:textId="77777777" w:rsidR="005816B9" w:rsidRPr="00337391" w:rsidRDefault="005816B9" w:rsidP="00F63695">
            <w:pPr>
              <w:spacing w:before="40" w:after="40" w:line="220" w:lineRule="exact"/>
              <w:jc w:val="right"/>
              <w:rPr>
                <w:sz w:val="18"/>
                <w:szCs w:val="18"/>
              </w:rPr>
            </w:pPr>
          </w:p>
        </w:tc>
        <w:tc>
          <w:tcPr>
            <w:tcW w:w="1307" w:type="dxa"/>
            <w:shd w:val="clear" w:color="auto" w:fill="auto"/>
            <w:vAlign w:val="bottom"/>
          </w:tcPr>
          <w:p w14:paraId="772F4928" w14:textId="77777777" w:rsidR="005816B9" w:rsidRPr="00337391" w:rsidRDefault="005816B9" w:rsidP="00F63695">
            <w:pPr>
              <w:spacing w:before="40" w:after="40" w:line="220" w:lineRule="exact"/>
              <w:jc w:val="right"/>
              <w:rPr>
                <w:sz w:val="18"/>
                <w:szCs w:val="18"/>
              </w:rPr>
            </w:pPr>
          </w:p>
        </w:tc>
        <w:tc>
          <w:tcPr>
            <w:tcW w:w="1425" w:type="dxa"/>
            <w:vMerge/>
            <w:shd w:val="clear" w:color="auto" w:fill="auto"/>
            <w:vAlign w:val="bottom"/>
          </w:tcPr>
          <w:p w14:paraId="6C166A41" w14:textId="77777777" w:rsidR="005816B9" w:rsidRPr="00337391" w:rsidRDefault="005816B9" w:rsidP="00F63695">
            <w:pPr>
              <w:spacing w:before="40" w:after="40" w:line="220" w:lineRule="exact"/>
              <w:jc w:val="right"/>
              <w:rPr>
                <w:sz w:val="18"/>
                <w:szCs w:val="18"/>
              </w:rPr>
            </w:pPr>
          </w:p>
        </w:tc>
      </w:tr>
      <w:tr w:rsidR="0047546D" w:rsidRPr="00337391" w14:paraId="595B484F" w14:textId="77777777" w:rsidTr="00CE7B56">
        <w:tc>
          <w:tcPr>
            <w:tcW w:w="774" w:type="dxa"/>
            <w:gridSpan w:val="2"/>
            <w:tcBorders>
              <w:top w:val="nil"/>
              <w:bottom w:val="nil"/>
            </w:tcBorders>
            <w:shd w:val="clear" w:color="auto" w:fill="auto"/>
          </w:tcPr>
          <w:p w14:paraId="6F8A1FEC" w14:textId="77777777" w:rsidR="0047546D" w:rsidRPr="00337391" w:rsidRDefault="0047546D" w:rsidP="0047546D">
            <w:pPr>
              <w:spacing w:before="40" w:after="40" w:line="220" w:lineRule="exact"/>
              <w:ind w:right="113"/>
              <w:rPr>
                <w:sz w:val="18"/>
                <w:szCs w:val="18"/>
              </w:rPr>
            </w:pPr>
          </w:p>
        </w:tc>
        <w:tc>
          <w:tcPr>
            <w:tcW w:w="659" w:type="dxa"/>
            <w:tcBorders>
              <w:top w:val="nil"/>
              <w:bottom w:val="nil"/>
            </w:tcBorders>
            <w:shd w:val="clear" w:color="auto" w:fill="auto"/>
          </w:tcPr>
          <w:p w14:paraId="20F7860A" w14:textId="5922A621" w:rsidR="0047546D" w:rsidRPr="00337391" w:rsidRDefault="0047546D" w:rsidP="0047546D">
            <w:pPr>
              <w:spacing w:before="40" w:after="40" w:line="220" w:lineRule="exact"/>
              <w:ind w:right="113"/>
              <w:rPr>
                <w:sz w:val="18"/>
                <w:szCs w:val="18"/>
              </w:rPr>
            </w:pPr>
            <w:r w:rsidRPr="00337391">
              <w:rPr>
                <w:sz w:val="18"/>
                <w:szCs w:val="18"/>
                <w:lang w:val="zh-CN"/>
              </w:rPr>
              <w:t>女性</w:t>
            </w:r>
          </w:p>
        </w:tc>
        <w:tc>
          <w:tcPr>
            <w:tcW w:w="1142" w:type="dxa"/>
            <w:tcBorders>
              <w:bottom w:val="nil"/>
            </w:tcBorders>
            <w:shd w:val="clear" w:color="auto" w:fill="auto"/>
            <w:vAlign w:val="bottom"/>
          </w:tcPr>
          <w:p w14:paraId="52DDF749" w14:textId="66C2CE12" w:rsidR="0047546D" w:rsidRPr="00337391" w:rsidRDefault="00CE7B56" w:rsidP="0047546D">
            <w:pPr>
              <w:spacing w:before="40" w:after="40" w:line="220" w:lineRule="exact"/>
              <w:jc w:val="right"/>
              <w:rPr>
                <w:rFonts w:hint="eastAsia"/>
                <w:sz w:val="18"/>
                <w:szCs w:val="18"/>
              </w:rPr>
            </w:pPr>
            <w:r>
              <w:rPr>
                <w:rFonts w:hint="eastAsia"/>
                <w:sz w:val="18"/>
                <w:szCs w:val="18"/>
              </w:rPr>
              <w:t>1</w:t>
            </w:r>
            <w:r>
              <w:rPr>
                <w:sz w:val="18"/>
                <w:szCs w:val="18"/>
              </w:rPr>
              <w:t>,952,591</w:t>
            </w:r>
          </w:p>
        </w:tc>
        <w:tc>
          <w:tcPr>
            <w:tcW w:w="997" w:type="dxa"/>
            <w:tcBorders>
              <w:top w:val="nil"/>
              <w:bottom w:val="nil"/>
            </w:tcBorders>
            <w:shd w:val="clear" w:color="auto" w:fill="auto"/>
            <w:vAlign w:val="bottom"/>
          </w:tcPr>
          <w:p w14:paraId="28649A91" w14:textId="77777777" w:rsidR="0047546D" w:rsidRPr="00337391" w:rsidRDefault="0047546D" w:rsidP="0047546D">
            <w:pPr>
              <w:spacing w:before="40" w:after="40" w:line="220" w:lineRule="exact"/>
              <w:jc w:val="right"/>
              <w:rPr>
                <w:sz w:val="18"/>
                <w:szCs w:val="18"/>
              </w:rPr>
            </w:pPr>
          </w:p>
        </w:tc>
        <w:tc>
          <w:tcPr>
            <w:tcW w:w="1070" w:type="dxa"/>
            <w:tcBorders>
              <w:top w:val="nil"/>
              <w:bottom w:val="nil"/>
            </w:tcBorders>
            <w:shd w:val="clear" w:color="auto" w:fill="auto"/>
            <w:vAlign w:val="bottom"/>
          </w:tcPr>
          <w:p w14:paraId="368A677F" w14:textId="77777777" w:rsidR="0047546D" w:rsidRPr="00337391" w:rsidRDefault="0047546D" w:rsidP="0047546D">
            <w:pPr>
              <w:spacing w:before="40" w:after="40" w:line="220" w:lineRule="exact"/>
              <w:jc w:val="right"/>
              <w:rPr>
                <w:sz w:val="18"/>
                <w:szCs w:val="18"/>
              </w:rPr>
            </w:pPr>
          </w:p>
        </w:tc>
        <w:tc>
          <w:tcPr>
            <w:tcW w:w="1307" w:type="dxa"/>
            <w:tcBorders>
              <w:top w:val="nil"/>
              <w:bottom w:val="nil"/>
            </w:tcBorders>
            <w:shd w:val="clear" w:color="auto" w:fill="auto"/>
            <w:vAlign w:val="bottom"/>
          </w:tcPr>
          <w:p w14:paraId="76B13D2A" w14:textId="77777777" w:rsidR="0047546D" w:rsidRPr="00337391" w:rsidRDefault="0047546D" w:rsidP="0047546D">
            <w:pPr>
              <w:spacing w:before="40" w:after="40" w:line="220" w:lineRule="exact"/>
              <w:jc w:val="right"/>
              <w:rPr>
                <w:sz w:val="18"/>
                <w:szCs w:val="18"/>
              </w:rPr>
            </w:pPr>
          </w:p>
        </w:tc>
        <w:tc>
          <w:tcPr>
            <w:tcW w:w="1425" w:type="dxa"/>
            <w:vMerge w:val="restart"/>
            <w:tcBorders>
              <w:top w:val="nil"/>
              <w:bottom w:val="nil"/>
            </w:tcBorders>
            <w:shd w:val="clear" w:color="auto" w:fill="auto"/>
            <w:vAlign w:val="bottom"/>
          </w:tcPr>
          <w:p w14:paraId="08845FC9" w14:textId="30B5A946" w:rsidR="0047546D" w:rsidRPr="00337391" w:rsidRDefault="002875C9" w:rsidP="0047546D">
            <w:pPr>
              <w:spacing w:before="40" w:after="40" w:line="220" w:lineRule="exact"/>
              <w:jc w:val="right"/>
              <w:rPr>
                <w:sz w:val="18"/>
                <w:szCs w:val="18"/>
              </w:rPr>
            </w:pPr>
            <w:r w:rsidRPr="00337391">
              <w:rPr>
                <w:sz w:val="18"/>
                <w:szCs w:val="18"/>
                <w:lang w:val="zh-CN"/>
              </w:rPr>
              <w:t>不详</w:t>
            </w:r>
          </w:p>
        </w:tc>
      </w:tr>
      <w:tr w:rsidR="0047546D" w:rsidRPr="00337391" w14:paraId="4215F0FB" w14:textId="77777777" w:rsidTr="00CE7B56">
        <w:tc>
          <w:tcPr>
            <w:tcW w:w="774" w:type="dxa"/>
            <w:gridSpan w:val="2"/>
            <w:tcBorders>
              <w:top w:val="nil"/>
              <w:bottom w:val="nil"/>
            </w:tcBorders>
            <w:shd w:val="clear" w:color="auto" w:fill="auto"/>
          </w:tcPr>
          <w:p w14:paraId="20332E8D" w14:textId="77777777" w:rsidR="0047546D" w:rsidRPr="00337391" w:rsidRDefault="0047546D" w:rsidP="0047546D">
            <w:pPr>
              <w:spacing w:before="40" w:after="40" w:line="220" w:lineRule="exact"/>
              <w:ind w:right="113"/>
              <w:rPr>
                <w:sz w:val="18"/>
                <w:szCs w:val="18"/>
              </w:rPr>
            </w:pPr>
          </w:p>
        </w:tc>
        <w:tc>
          <w:tcPr>
            <w:tcW w:w="659" w:type="dxa"/>
            <w:tcBorders>
              <w:top w:val="nil"/>
              <w:bottom w:val="nil"/>
            </w:tcBorders>
            <w:shd w:val="clear" w:color="auto" w:fill="auto"/>
          </w:tcPr>
          <w:p w14:paraId="668DA0A6" w14:textId="5B561C6B" w:rsidR="0047546D" w:rsidRPr="00337391" w:rsidRDefault="0047546D" w:rsidP="0047546D">
            <w:pPr>
              <w:spacing w:before="40" w:after="40" w:line="220" w:lineRule="exact"/>
              <w:ind w:right="113"/>
              <w:rPr>
                <w:sz w:val="18"/>
                <w:szCs w:val="18"/>
                <w:lang w:val="zh-CN"/>
              </w:rPr>
            </w:pPr>
            <w:r w:rsidRPr="00337391">
              <w:rPr>
                <w:sz w:val="18"/>
                <w:szCs w:val="18"/>
                <w:lang w:val="zh-CN"/>
              </w:rPr>
              <w:t>男性</w:t>
            </w:r>
          </w:p>
        </w:tc>
        <w:tc>
          <w:tcPr>
            <w:tcW w:w="1142" w:type="dxa"/>
            <w:tcBorders>
              <w:top w:val="nil"/>
              <w:bottom w:val="nil"/>
            </w:tcBorders>
            <w:shd w:val="clear" w:color="auto" w:fill="auto"/>
            <w:vAlign w:val="bottom"/>
          </w:tcPr>
          <w:p w14:paraId="625900CE" w14:textId="3A1EAFB1" w:rsidR="0047546D" w:rsidRPr="00337391" w:rsidRDefault="0047546D" w:rsidP="0047546D">
            <w:pPr>
              <w:spacing w:before="40" w:after="40" w:line="220" w:lineRule="exact"/>
              <w:jc w:val="right"/>
              <w:rPr>
                <w:sz w:val="18"/>
                <w:szCs w:val="18"/>
                <w:lang w:val="zh-CN"/>
              </w:rPr>
            </w:pPr>
            <w:r w:rsidRPr="00337391">
              <w:rPr>
                <w:sz w:val="18"/>
                <w:szCs w:val="18"/>
                <w:lang w:val="zh-CN"/>
              </w:rPr>
              <w:t>1</w:t>
            </w:r>
            <w:r>
              <w:rPr>
                <w:sz w:val="18"/>
                <w:szCs w:val="18"/>
                <w:lang w:val="zh-CN"/>
              </w:rPr>
              <w:t>,</w:t>
            </w:r>
            <w:r w:rsidRPr="00337391">
              <w:rPr>
                <w:sz w:val="18"/>
                <w:szCs w:val="18"/>
                <w:lang w:val="zh-CN"/>
              </w:rPr>
              <w:t>879</w:t>
            </w:r>
            <w:r>
              <w:rPr>
                <w:sz w:val="18"/>
                <w:szCs w:val="18"/>
                <w:lang w:val="zh-CN"/>
              </w:rPr>
              <w:t>,</w:t>
            </w:r>
            <w:r w:rsidRPr="00337391">
              <w:rPr>
                <w:sz w:val="18"/>
                <w:szCs w:val="18"/>
                <w:lang w:val="zh-CN"/>
              </w:rPr>
              <w:t>361</w:t>
            </w:r>
          </w:p>
        </w:tc>
        <w:tc>
          <w:tcPr>
            <w:tcW w:w="997" w:type="dxa"/>
            <w:tcBorders>
              <w:top w:val="nil"/>
              <w:bottom w:val="nil"/>
            </w:tcBorders>
            <w:shd w:val="clear" w:color="auto" w:fill="auto"/>
            <w:vAlign w:val="bottom"/>
          </w:tcPr>
          <w:p w14:paraId="0B80CC62" w14:textId="7A181DD0" w:rsidR="0047546D" w:rsidRPr="00337391" w:rsidRDefault="0047546D" w:rsidP="0047546D">
            <w:pPr>
              <w:spacing w:before="40" w:after="40" w:line="220" w:lineRule="exact"/>
              <w:jc w:val="right"/>
              <w:rPr>
                <w:sz w:val="18"/>
                <w:szCs w:val="18"/>
              </w:rPr>
            </w:pPr>
            <w:r w:rsidRPr="00337391">
              <w:rPr>
                <w:sz w:val="18"/>
                <w:szCs w:val="18"/>
                <w:lang w:val="zh-CN"/>
              </w:rPr>
              <w:t>89.0</w:t>
            </w:r>
          </w:p>
        </w:tc>
        <w:tc>
          <w:tcPr>
            <w:tcW w:w="1070" w:type="dxa"/>
            <w:tcBorders>
              <w:top w:val="nil"/>
              <w:bottom w:val="nil"/>
            </w:tcBorders>
            <w:shd w:val="clear" w:color="auto" w:fill="auto"/>
            <w:vAlign w:val="bottom"/>
          </w:tcPr>
          <w:p w14:paraId="672D9481" w14:textId="3FAA92C6" w:rsidR="0047546D" w:rsidRPr="00337391" w:rsidRDefault="0047546D" w:rsidP="0047546D">
            <w:pPr>
              <w:spacing w:before="40" w:after="40" w:line="220" w:lineRule="exact"/>
              <w:jc w:val="right"/>
              <w:rPr>
                <w:sz w:val="18"/>
                <w:szCs w:val="18"/>
              </w:rPr>
            </w:pPr>
            <w:r w:rsidRPr="00337391">
              <w:rPr>
                <w:sz w:val="18"/>
                <w:szCs w:val="18"/>
                <w:lang w:val="zh-CN"/>
              </w:rPr>
              <w:t>9.4</w:t>
            </w:r>
          </w:p>
        </w:tc>
        <w:tc>
          <w:tcPr>
            <w:tcW w:w="1307" w:type="dxa"/>
            <w:tcBorders>
              <w:top w:val="nil"/>
              <w:bottom w:val="nil"/>
            </w:tcBorders>
            <w:shd w:val="clear" w:color="auto" w:fill="auto"/>
            <w:vAlign w:val="bottom"/>
          </w:tcPr>
          <w:p w14:paraId="5AA70EF3" w14:textId="660A9BD8" w:rsidR="0047546D" w:rsidRPr="00337391" w:rsidRDefault="0047546D" w:rsidP="0047546D">
            <w:pPr>
              <w:spacing w:before="40" w:after="40" w:line="220" w:lineRule="exact"/>
              <w:jc w:val="right"/>
              <w:rPr>
                <w:sz w:val="18"/>
                <w:szCs w:val="18"/>
              </w:rPr>
            </w:pPr>
            <w:r w:rsidRPr="00337391">
              <w:rPr>
                <w:sz w:val="18"/>
                <w:szCs w:val="18"/>
                <w:lang w:val="zh-CN"/>
              </w:rPr>
              <w:t>7.5</w:t>
            </w:r>
          </w:p>
        </w:tc>
        <w:tc>
          <w:tcPr>
            <w:tcW w:w="1425" w:type="dxa"/>
            <w:vMerge/>
            <w:tcBorders>
              <w:top w:val="nil"/>
              <w:bottom w:val="nil"/>
            </w:tcBorders>
            <w:shd w:val="clear" w:color="auto" w:fill="auto"/>
            <w:vAlign w:val="bottom"/>
          </w:tcPr>
          <w:p w14:paraId="55F5644E" w14:textId="77777777" w:rsidR="0047546D" w:rsidRPr="00337391" w:rsidRDefault="0047546D" w:rsidP="0047546D">
            <w:pPr>
              <w:spacing w:before="40" w:after="40" w:line="220" w:lineRule="exact"/>
              <w:jc w:val="right"/>
              <w:rPr>
                <w:sz w:val="18"/>
                <w:szCs w:val="18"/>
              </w:rPr>
            </w:pPr>
          </w:p>
        </w:tc>
      </w:tr>
      <w:tr w:rsidR="0047546D" w:rsidRPr="00337391" w14:paraId="59897F5B" w14:textId="77777777" w:rsidTr="00CE7B56">
        <w:tc>
          <w:tcPr>
            <w:tcW w:w="1433" w:type="dxa"/>
            <w:gridSpan w:val="3"/>
            <w:tcBorders>
              <w:top w:val="nil"/>
            </w:tcBorders>
            <w:shd w:val="clear" w:color="auto" w:fill="auto"/>
          </w:tcPr>
          <w:p w14:paraId="1DF1D193" w14:textId="77777777" w:rsidR="0047546D" w:rsidRPr="00337391" w:rsidRDefault="0047546D" w:rsidP="0047546D">
            <w:pPr>
              <w:spacing w:before="40" w:after="40" w:line="220" w:lineRule="exact"/>
              <w:ind w:right="113"/>
              <w:rPr>
                <w:sz w:val="18"/>
                <w:szCs w:val="18"/>
              </w:rPr>
            </w:pPr>
            <w:r w:rsidRPr="00337391">
              <w:rPr>
                <w:sz w:val="18"/>
                <w:szCs w:val="18"/>
                <w:lang w:val="zh-CN"/>
              </w:rPr>
              <w:lastRenderedPageBreak/>
              <w:t>北部地区</w:t>
            </w:r>
          </w:p>
        </w:tc>
        <w:tc>
          <w:tcPr>
            <w:tcW w:w="1142" w:type="dxa"/>
            <w:tcBorders>
              <w:top w:val="nil"/>
            </w:tcBorders>
            <w:shd w:val="clear" w:color="auto" w:fill="auto"/>
            <w:vAlign w:val="bottom"/>
          </w:tcPr>
          <w:p w14:paraId="6101A3D5" w14:textId="36BDDBC7" w:rsidR="0047546D" w:rsidRPr="00337391" w:rsidRDefault="0047546D" w:rsidP="0047546D">
            <w:pPr>
              <w:spacing w:before="40" w:after="40" w:line="220" w:lineRule="exact"/>
              <w:jc w:val="right"/>
              <w:rPr>
                <w:sz w:val="18"/>
                <w:szCs w:val="18"/>
              </w:rPr>
            </w:pPr>
            <w:r w:rsidRPr="00337391">
              <w:rPr>
                <w:sz w:val="18"/>
                <w:szCs w:val="18"/>
                <w:lang w:val="zh-CN"/>
              </w:rPr>
              <w:t>12</w:t>
            </w:r>
            <w:r>
              <w:rPr>
                <w:sz w:val="18"/>
                <w:szCs w:val="18"/>
                <w:lang w:val="zh-CN"/>
              </w:rPr>
              <w:t>,</w:t>
            </w:r>
            <w:r w:rsidRPr="00337391">
              <w:rPr>
                <w:sz w:val="18"/>
                <w:szCs w:val="18"/>
                <w:lang w:val="zh-CN"/>
              </w:rPr>
              <w:t>098</w:t>
            </w:r>
            <w:r>
              <w:rPr>
                <w:sz w:val="18"/>
                <w:szCs w:val="18"/>
                <w:lang w:val="zh-CN"/>
              </w:rPr>
              <w:t>,</w:t>
            </w:r>
            <w:r w:rsidRPr="00337391">
              <w:rPr>
                <w:sz w:val="18"/>
                <w:szCs w:val="18"/>
                <w:lang w:val="zh-CN"/>
              </w:rPr>
              <w:t>164</w:t>
            </w:r>
          </w:p>
        </w:tc>
        <w:tc>
          <w:tcPr>
            <w:tcW w:w="997" w:type="dxa"/>
            <w:vMerge w:val="restart"/>
            <w:tcBorders>
              <w:top w:val="nil"/>
            </w:tcBorders>
            <w:shd w:val="clear" w:color="auto" w:fill="auto"/>
            <w:vAlign w:val="bottom"/>
          </w:tcPr>
          <w:p w14:paraId="16F6FB66" w14:textId="77777777" w:rsidR="0047546D" w:rsidRPr="00337391" w:rsidRDefault="0047546D" w:rsidP="0047546D">
            <w:pPr>
              <w:spacing w:before="40" w:after="40" w:line="220" w:lineRule="exact"/>
              <w:jc w:val="right"/>
              <w:rPr>
                <w:sz w:val="18"/>
                <w:szCs w:val="18"/>
              </w:rPr>
            </w:pPr>
            <w:r w:rsidRPr="00337391">
              <w:rPr>
                <w:sz w:val="18"/>
                <w:szCs w:val="18"/>
                <w:lang w:val="zh-CN"/>
              </w:rPr>
              <w:t>71.3</w:t>
            </w:r>
          </w:p>
        </w:tc>
        <w:tc>
          <w:tcPr>
            <w:tcW w:w="1070" w:type="dxa"/>
            <w:vMerge w:val="restart"/>
            <w:tcBorders>
              <w:top w:val="nil"/>
            </w:tcBorders>
            <w:shd w:val="clear" w:color="auto" w:fill="auto"/>
            <w:vAlign w:val="bottom"/>
          </w:tcPr>
          <w:p w14:paraId="1C172371" w14:textId="77777777" w:rsidR="0047546D" w:rsidRPr="00337391" w:rsidRDefault="0047546D" w:rsidP="0047546D">
            <w:pPr>
              <w:spacing w:before="40" w:after="40" w:line="220" w:lineRule="exact"/>
              <w:jc w:val="right"/>
              <w:rPr>
                <w:sz w:val="18"/>
                <w:szCs w:val="18"/>
              </w:rPr>
            </w:pPr>
            <w:r w:rsidRPr="00337391">
              <w:rPr>
                <w:sz w:val="18"/>
                <w:szCs w:val="18"/>
                <w:lang w:val="zh-CN"/>
              </w:rPr>
              <w:t>8.3</w:t>
            </w:r>
          </w:p>
        </w:tc>
        <w:tc>
          <w:tcPr>
            <w:tcW w:w="1307" w:type="dxa"/>
            <w:vMerge w:val="restart"/>
            <w:tcBorders>
              <w:top w:val="nil"/>
            </w:tcBorders>
            <w:shd w:val="clear" w:color="auto" w:fill="auto"/>
            <w:vAlign w:val="bottom"/>
          </w:tcPr>
          <w:p w14:paraId="3EB7600C" w14:textId="77777777" w:rsidR="0047546D" w:rsidRPr="00337391" w:rsidRDefault="0047546D" w:rsidP="0047546D">
            <w:pPr>
              <w:spacing w:before="40" w:after="40" w:line="220" w:lineRule="exact"/>
              <w:jc w:val="right"/>
              <w:rPr>
                <w:sz w:val="18"/>
                <w:szCs w:val="18"/>
              </w:rPr>
            </w:pPr>
            <w:r w:rsidRPr="00337391">
              <w:rPr>
                <w:sz w:val="18"/>
                <w:szCs w:val="18"/>
                <w:lang w:val="zh-CN"/>
              </w:rPr>
              <w:t>8.3</w:t>
            </w:r>
          </w:p>
        </w:tc>
        <w:tc>
          <w:tcPr>
            <w:tcW w:w="1425" w:type="dxa"/>
            <w:vMerge/>
            <w:tcBorders>
              <w:top w:val="nil"/>
            </w:tcBorders>
            <w:shd w:val="clear" w:color="auto" w:fill="auto"/>
            <w:vAlign w:val="bottom"/>
          </w:tcPr>
          <w:p w14:paraId="1BEC7677" w14:textId="77777777" w:rsidR="0047546D" w:rsidRPr="00337391" w:rsidRDefault="0047546D" w:rsidP="0047546D">
            <w:pPr>
              <w:spacing w:before="40" w:after="40" w:line="220" w:lineRule="exact"/>
              <w:jc w:val="right"/>
              <w:rPr>
                <w:sz w:val="18"/>
                <w:szCs w:val="18"/>
              </w:rPr>
            </w:pPr>
          </w:p>
        </w:tc>
      </w:tr>
      <w:tr w:rsidR="0047546D" w:rsidRPr="00337391" w14:paraId="22111EFC" w14:textId="77777777" w:rsidTr="0047546D">
        <w:tc>
          <w:tcPr>
            <w:tcW w:w="774" w:type="dxa"/>
            <w:gridSpan w:val="2"/>
            <w:shd w:val="clear" w:color="auto" w:fill="auto"/>
          </w:tcPr>
          <w:p w14:paraId="0AE7B4E2" w14:textId="77777777" w:rsidR="0047546D" w:rsidRPr="00337391" w:rsidRDefault="0047546D" w:rsidP="0047546D">
            <w:pPr>
              <w:spacing w:before="40" w:after="40" w:line="220" w:lineRule="exact"/>
              <w:ind w:right="113"/>
              <w:rPr>
                <w:sz w:val="18"/>
                <w:szCs w:val="18"/>
              </w:rPr>
            </w:pPr>
          </w:p>
        </w:tc>
        <w:tc>
          <w:tcPr>
            <w:tcW w:w="659" w:type="dxa"/>
            <w:shd w:val="clear" w:color="auto" w:fill="auto"/>
          </w:tcPr>
          <w:p w14:paraId="7612E803" w14:textId="77777777" w:rsidR="0047546D" w:rsidRPr="00337391" w:rsidRDefault="0047546D" w:rsidP="0047546D">
            <w:pPr>
              <w:spacing w:before="40" w:after="40" w:line="220" w:lineRule="exact"/>
              <w:ind w:right="113"/>
              <w:rPr>
                <w:sz w:val="18"/>
                <w:szCs w:val="18"/>
              </w:rPr>
            </w:pPr>
            <w:r w:rsidRPr="00337391">
              <w:rPr>
                <w:sz w:val="18"/>
                <w:szCs w:val="18"/>
                <w:lang w:val="zh-CN"/>
              </w:rPr>
              <w:t>女性</w:t>
            </w:r>
          </w:p>
        </w:tc>
        <w:tc>
          <w:tcPr>
            <w:tcW w:w="1142" w:type="dxa"/>
            <w:shd w:val="clear" w:color="auto" w:fill="auto"/>
            <w:vAlign w:val="bottom"/>
          </w:tcPr>
          <w:p w14:paraId="4E5BB7D8" w14:textId="12CE7A8C" w:rsidR="0047546D" w:rsidRPr="00337391" w:rsidRDefault="0047546D" w:rsidP="0047546D">
            <w:pPr>
              <w:spacing w:before="40" w:after="40" w:line="220" w:lineRule="exact"/>
              <w:jc w:val="right"/>
              <w:rPr>
                <w:sz w:val="18"/>
                <w:szCs w:val="18"/>
              </w:rPr>
            </w:pPr>
            <w:r w:rsidRPr="00337391">
              <w:rPr>
                <w:sz w:val="18"/>
                <w:szCs w:val="18"/>
                <w:lang w:val="zh-CN"/>
              </w:rPr>
              <w:t>6</w:t>
            </w:r>
            <w:r>
              <w:rPr>
                <w:sz w:val="18"/>
                <w:szCs w:val="18"/>
                <w:lang w:val="zh-CN"/>
              </w:rPr>
              <w:t>,</w:t>
            </w:r>
            <w:r w:rsidRPr="00337391">
              <w:rPr>
                <w:sz w:val="18"/>
                <w:szCs w:val="18"/>
                <w:lang w:val="zh-CN"/>
              </w:rPr>
              <w:t>159</w:t>
            </w:r>
            <w:r>
              <w:rPr>
                <w:sz w:val="18"/>
                <w:szCs w:val="18"/>
                <w:lang w:val="zh-CN"/>
              </w:rPr>
              <w:t>,</w:t>
            </w:r>
            <w:r w:rsidRPr="00337391">
              <w:rPr>
                <w:sz w:val="18"/>
                <w:szCs w:val="18"/>
                <w:lang w:val="zh-CN"/>
              </w:rPr>
              <w:t>265</w:t>
            </w:r>
          </w:p>
        </w:tc>
        <w:tc>
          <w:tcPr>
            <w:tcW w:w="997" w:type="dxa"/>
            <w:vMerge/>
            <w:shd w:val="clear" w:color="auto" w:fill="auto"/>
            <w:vAlign w:val="bottom"/>
          </w:tcPr>
          <w:p w14:paraId="2FA8C3F1" w14:textId="77777777" w:rsidR="0047546D" w:rsidRPr="00337391" w:rsidRDefault="0047546D" w:rsidP="0047546D">
            <w:pPr>
              <w:spacing w:before="40" w:after="40" w:line="220" w:lineRule="exact"/>
              <w:jc w:val="right"/>
              <w:rPr>
                <w:sz w:val="18"/>
                <w:szCs w:val="18"/>
              </w:rPr>
            </w:pPr>
          </w:p>
        </w:tc>
        <w:tc>
          <w:tcPr>
            <w:tcW w:w="1070" w:type="dxa"/>
            <w:vMerge/>
            <w:shd w:val="clear" w:color="auto" w:fill="auto"/>
            <w:vAlign w:val="bottom"/>
          </w:tcPr>
          <w:p w14:paraId="7871D2A8" w14:textId="77777777" w:rsidR="0047546D" w:rsidRPr="00337391" w:rsidRDefault="0047546D" w:rsidP="0047546D">
            <w:pPr>
              <w:spacing w:before="40" w:after="40" w:line="220" w:lineRule="exact"/>
              <w:jc w:val="right"/>
              <w:rPr>
                <w:sz w:val="18"/>
                <w:szCs w:val="18"/>
              </w:rPr>
            </w:pPr>
          </w:p>
        </w:tc>
        <w:tc>
          <w:tcPr>
            <w:tcW w:w="1307" w:type="dxa"/>
            <w:vMerge/>
            <w:shd w:val="clear" w:color="auto" w:fill="auto"/>
            <w:vAlign w:val="bottom"/>
          </w:tcPr>
          <w:p w14:paraId="41AB7CA1" w14:textId="77777777" w:rsidR="0047546D" w:rsidRPr="00337391" w:rsidRDefault="0047546D" w:rsidP="0047546D">
            <w:pPr>
              <w:spacing w:before="40" w:after="40" w:line="220" w:lineRule="exact"/>
              <w:jc w:val="right"/>
              <w:rPr>
                <w:sz w:val="18"/>
                <w:szCs w:val="18"/>
              </w:rPr>
            </w:pPr>
          </w:p>
        </w:tc>
        <w:tc>
          <w:tcPr>
            <w:tcW w:w="1425" w:type="dxa"/>
            <w:vMerge/>
            <w:shd w:val="clear" w:color="auto" w:fill="auto"/>
            <w:vAlign w:val="bottom"/>
          </w:tcPr>
          <w:p w14:paraId="6AD9013B" w14:textId="77777777" w:rsidR="0047546D" w:rsidRPr="00337391" w:rsidRDefault="0047546D" w:rsidP="0047546D">
            <w:pPr>
              <w:spacing w:before="40" w:after="40" w:line="220" w:lineRule="exact"/>
              <w:jc w:val="right"/>
              <w:rPr>
                <w:sz w:val="18"/>
                <w:szCs w:val="18"/>
              </w:rPr>
            </w:pPr>
          </w:p>
        </w:tc>
      </w:tr>
      <w:tr w:rsidR="0047546D" w:rsidRPr="00337391" w14:paraId="7E315535" w14:textId="77777777" w:rsidTr="0047546D">
        <w:tc>
          <w:tcPr>
            <w:tcW w:w="774" w:type="dxa"/>
            <w:gridSpan w:val="2"/>
            <w:shd w:val="clear" w:color="auto" w:fill="auto"/>
          </w:tcPr>
          <w:p w14:paraId="05DE686A" w14:textId="77777777" w:rsidR="0047546D" w:rsidRPr="00337391" w:rsidRDefault="0047546D" w:rsidP="0047546D">
            <w:pPr>
              <w:spacing w:before="40" w:after="40" w:line="220" w:lineRule="exact"/>
              <w:ind w:right="113"/>
              <w:rPr>
                <w:sz w:val="18"/>
                <w:szCs w:val="18"/>
              </w:rPr>
            </w:pPr>
          </w:p>
        </w:tc>
        <w:tc>
          <w:tcPr>
            <w:tcW w:w="659" w:type="dxa"/>
            <w:shd w:val="clear" w:color="auto" w:fill="auto"/>
          </w:tcPr>
          <w:p w14:paraId="40586D32" w14:textId="77777777" w:rsidR="0047546D" w:rsidRPr="00337391" w:rsidRDefault="0047546D" w:rsidP="0047546D">
            <w:pPr>
              <w:spacing w:before="40" w:after="40" w:line="220" w:lineRule="exact"/>
              <w:ind w:right="113"/>
              <w:rPr>
                <w:sz w:val="18"/>
                <w:szCs w:val="18"/>
              </w:rPr>
            </w:pPr>
            <w:r w:rsidRPr="00337391">
              <w:rPr>
                <w:sz w:val="18"/>
                <w:szCs w:val="18"/>
                <w:lang w:val="zh-CN"/>
              </w:rPr>
              <w:t>男性</w:t>
            </w:r>
          </w:p>
        </w:tc>
        <w:tc>
          <w:tcPr>
            <w:tcW w:w="1142" w:type="dxa"/>
            <w:shd w:val="clear" w:color="auto" w:fill="auto"/>
            <w:vAlign w:val="bottom"/>
          </w:tcPr>
          <w:p w14:paraId="1B61E3F8" w14:textId="681B7980" w:rsidR="0047546D" w:rsidRPr="00337391" w:rsidRDefault="0047546D" w:rsidP="0047546D">
            <w:pPr>
              <w:spacing w:before="40" w:after="40" w:line="220" w:lineRule="exact"/>
              <w:jc w:val="right"/>
              <w:rPr>
                <w:sz w:val="18"/>
                <w:szCs w:val="18"/>
              </w:rPr>
            </w:pPr>
            <w:r w:rsidRPr="00337391">
              <w:rPr>
                <w:sz w:val="18"/>
                <w:szCs w:val="18"/>
                <w:lang w:val="zh-CN"/>
              </w:rPr>
              <w:t>5</w:t>
            </w:r>
            <w:r>
              <w:rPr>
                <w:sz w:val="18"/>
                <w:szCs w:val="18"/>
                <w:lang w:val="zh-CN"/>
              </w:rPr>
              <w:t>,</w:t>
            </w:r>
            <w:r w:rsidRPr="00337391">
              <w:rPr>
                <w:sz w:val="18"/>
                <w:szCs w:val="18"/>
                <w:lang w:val="zh-CN"/>
              </w:rPr>
              <w:t>938</w:t>
            </w:r>
            <w:r>
              <w:rPr>
                <w:sz w:val="18"/>
                <w:szCs w:val="18"/>
                <w:lang w:val="zh-CN"/>
              </w:rPr>
              <w:t>,</w:t>
            </w:r>
            <w:r w:rsidRPr="00337391">
              <w:rPr>
                <w:sz w:val="18"/>
                <w:szCs w:val="18"/>
                <w:lang w:val="zh-CN"/>
              </w:rPr>
              <w:t>899</w:t>
            </w:r>
          </w:p>
        </w:tc>
        <w:tc>
          <w:tcPr>
            <w:tcW w:w="997" w:type="dxa"/>
            <w:vMerge/>
            <w:shd w:val="clear" w:color="auto" w:fill="auto"/>
            <w:vAlign w:val="bottom"/>
          </w:tcPr>
          <w:p w14:paraId="15735B8A" w14:textId="77777777" w:rsidR="0047546D" w:rsidRPr="00337391" w:rsidRDefault="0047546D" w:rsidP="0047546D">
            <w:pPr>
              <w:spacing w:before="40" w:after="40" w:line="220" w:lineRule="exact"/>
              <w:jc w:val="right"/>
              <w:rPr>
                <w:sz w:val="18"/>
                <w:szCs w:val="18"/>
              </w:rPr>
            </w:pPr>
          </w:p>
        </w:tc>
        <w:tc>
          <w:tcPr>
            <w:tcW w:w="1070" w:type="dxa"/>
            <w:vMerge/>
            <w:shd w:val="clear" w:color="auto" w:fill="auto"/>
            <w:vAlign w:val="bottom"/>
          </w:tcPr>
          <w:p w14:paraId="058B8AB0" w14:textId="77777777" w:rsidR="0047546D" w:rsidRPr="00337391" w:rsidRDefault="0047546D" w:rsidP="0047546D">
            <w:pPr>
              <w:spacing w:before="40" w:after="40" w:line="220" w:lineRule="exact"/>
              <w:jc w:val="right"/>
              <w:rPr>
                <w:sz w:val="18"/>
                <w:szCs w:val="18"/>
              </w:rPr>
            </w:pPr>
          </w:p>
        </w:tc>
        <w:tc>
          <w:tcPr>
            <w:tcW w:w="1307" w:type="dxa"/>
            <w:vMerge/>
            <w:shd w:val="clear" w:color="auto" w:fill="auto"/>
            <w:vAlign w:val="bottom"/>
          </w:tcPr>
          <w:p w14:paraId="55543556" w14:textId="77777777" w:rsidR="0047546D" w:rsidRPr="00337391" w:rsidRDefault="0047546D" w:rsidP="0047546D">
            <w:pPr>
              <w:spacing w:before="40" w:after="40" w:line="220" w:lineRule="exact"/>
              <w:jc w:val="right"/>
              <w:rPr>
                <w:sz w:val="18"/>
                <w:szCs w:val="18"/>
              </w:rPr>
            </w:pPr>
          </w:p>
        </w:tc>
        <w:tc>
          <w:tcPr>
            <w:tcW w:w="1425" w:type="dxa"/>
            <w:vMerge/>
            <w:shd w:val="clear" w:color="auto" w:fill="auto"/>
            <w:vAlign w:val="bottom"/>
          </w:tcPr>
          <w:p w14:paraId="1A8F1550" w14:textId="77777777" w:rsidR="0047546D" w:rsidRPr="00337391" w:rsidRDefault="0047546D" w:rsidP="0047546D">
            <w:pPr>
              <w:spacing w:before="40" w:after="40" w:line="220" w:lineRule="exact"/>
              <w:jc w:val="right"/>
              <w:rPr>
                <w:sz w:val="18"/>
                <w:szCs w:val="18"/>
              </w:rPr>
            </w:pPr>
          </w:p>
        </w:tc>
      </w:tr>
      <w:tr w:rsidR="0047546D" w:rsidRPr="00337391" w14:paraId="78247044" w14:textId="77777777" w:rsidTr="0047546D">
        <w:tc>
          <w:tcPr>
            <w:tcW w:w="1433" w:type="dxa"/>
            <w:gridSpan w:val="3"/>
            <w:shd w:val="clear" w:color="auto" w:fill="auto"/>
          </w:tcPr>
          <w:p w14:paraId="459EC678" w14:textId="77777777" w:rsidR="0047546D" w:rsidRPr="00337391" w:rsidRDefault="0047546D" w:rsidP="0047546D">
            <w:pPr>
              <w:spacing w:before="40" w:after="40" w:line="220" w:lineRule="exact"/>
              <w:ind w:right="113"/>
              <w:rPr>
                <w:sz w:val="18"/>
                <w:szCs w:val="18"/>
              </w:rPr>
            </w:pPr>
            <w:r w:rsidRPr="00337391">
              <w:rPr>
                <w:sz w:val="18"/>
                <w:szCs w:val="18"/>
                <w:lang w:val="zh-CN"/>
              </w:rPr>
              <w:t>东北部地区</w:t>
            </w:r>
          </w:p>
        </w:tc>
        <w:tc>
          <w:tcPr>
            <w:tcW w:w="1142" w:type="dxa"/>
            <w:shd w:val="clear" w:color="auto" w:fill="auto"/>
            <w:vAlign w:val="bottom"/>
          </w:tcPr>
          <w:p w14:paraId="7730B8F1" w14:textId="76C6B852" w:rsidR="0047546D" w:rsidRPr="00337391" w:rsidRDefault="0047546D" w:rsidP="0047546D">
            <w:pPr>
              <w:spacing w:before="40" w:after="40" w:line="220" w:lineRule="exact"/>
              <w:jc w:val="right"/>
              <w:rPr>
                <w:sz w:val="18"/>
                <w:szCs w:val="18"/>
              </w:rPr>
            </w:pPr>
            <w:r w:rsidRPr="00337391">
              <w:rPr>
                <w:sz w:val="18"/>
                <w:szCs w:val="18"/>
                <w:lang w:val="zh-CN"/>
              </w:rPr>
              <w:t>21</w:t>
            </w:r>
            <w:r>
              <w:rPr>
                <w:sz w:val="18"/>
                <w:szCs w:val="18"/>
                <w:lang w:val="zh-CN"/>
              </w:rPr>
              <w:t>,</w:t>
            </w:r>
            <w:r w:rsidRPr="00337391">
              <w:rPr>
                <w:sz w:val="18"/>
                <w:szCs w:val="18"/>
                <w:lang w:val="zh-CN"/>
              </w:rPr>
              <w:t>989</w:t>
            </w:r>
            <w:r>
              <w:rPr>
                <w:sz w:val="18"/>
                <w:szCs w:val="18"/>
                <w:lang w:val="zh-CN"/>
              </w:rPr>
              <w:t>,</w:t>
            </w:r>
            <w:r w:rsidRPr="00337391">
              <w:rPr>
                <w:sz w:val="18"/>
                <w:szCs w:val="18"/>
                <w:lang w:val="zh-CN"/>
              </w:rPr>
              <w:t>477</w:t>
            </w:r>
          </w:p>
        </w:tc>
        <w:tc>
          <w:tcPr>
            <w:tcW w:w="997" w:type="dxa"/>
            <w:vMerge w:val="restart"/>
            <w:shd w:val="clear" w:color="auto" w:fill="auto"/>
            <w:vAlign w:val="bottom"/>
          </w:tcPr>
          <w:p w14:paraId="2333DD1B" w14:textId="77777777" w:rsidR="0047546D" w:rsidRPr="00337391" w:rsidRDefault="0047546D" w:rsidP="0047546D">
            <w:pPr>
              <w:spacing w:before="40" w:after="40" w:line="220" w:lineRule="exact"/>
              <w:jc w:val="right"/>
              <w:rPr>
                <w:sz w:val="18"/>
                <w:szCs w:val="18"/>
              </w:rPr>
            </w:pPr>
            <w:r w:rsidRPr="00337391">
              <w:rPr>
                <w:sz w:val="18"/>
                <w:szCs w:val="18"/>
                <w:lang w:val="zh-CN"/>
              </w:rPr>
              <w:t>130.2</w:t>
            </w:r>
          </w:p>
        </w:tc>
        <w:tc>
          <w:tcPr>
            <w:tcW w:w="1070" w:type="dxa"/>
            <w:vMerge w:val="restart"/>
            <w:shd w:val="clear" w:color="auto" w:fill="auto"/>
            <w:vAlign w:val="bottom"/>
          </w:tcPr>
          <w:p w14:paraId="17B6097C" w14:textId="77777777" w:rsidR="0047546D" w:rsidRPr="00337391" w:rsidRDefault="0047546D" w:rsidP="0047546D">
            <w:pPr>
              <w:spacing w:before="40" w:after="40" w:line="220" w:lineRule="exact"/>
              <w:jc w:val="right"/>
              <w:rPr>
                <w:sz w:val="18"/>
                <w:szCs w:val="18"/>
              </w:rPr>
            </w:pPr>
            <w:r w:rsidRPr="00337391">
              <w:rPr>
                <w:sz w:val="18"/>
                <w:szCs w:val="18"/>
                <w:lang w:val="zh-CN"/>
              </w:rPr>
              <w:t>8.6</w:t>
            </w:r>
          </w:p>
        </w:tc>
        <w:tc>
          <w:tcPr>
            <w:tcW w:w="1307" w:type="dxa"/>
            <w:vMerge w:val="restart"/>
            <w:shd w:val="clear" w:color="auto" w:fill="auto"/>
            <w:vAlign w:val="bottom"/>
          </w:tcPr>
          <w:p w14:paraId="3D96A81F" w14:textId="77777777" w:rsidR="0047546D" w:rsidRPr="00337391" w:rsidRDefault="0047546D" w:rsidP="0047546D">
            <w:pPr>
              <w:spacing w:before="40" w:after="40" w:line="220" w:lineRule="exact"/>
              <w:jc w:val="right"/>
              <w:rPr>
                <w:sz w:val="18"/>
                <w:szCs w:val="18"/>
              </w:rPr>
            </w:pPr>
            <w:r w:rsidRPr="00337391">
              <w:rPr>
                <w:sz w:val="18"/>
                <w:szCs w:val="18"/>
                <w:lang w:val="zh-CN"/>
              </w:rPr>
              <w:t>6.8</w:t>
            </w:r>
          </w:p>
        </w:tc>
        <w:tc>
          <w:tcPr>
            <w:tcW w:w="1425" w:type="dxa"/>
            <w:vMerge/>
            <w:shd w:val="clear" w:color="auto" w:fill="auto"/>
            <w:vAlign w:val="bottom"/>
          </w:tcPr>
          <w:p w14:paraId="57BC9171" w14:textId="77777777" w:rsidR="0047546D" w:rsidRPr="00337391" w:rsidRDefault="0047546D" w:rsidP="0047546D">
            <w:pPr>
              <w:spacing w:before="40" w:after="40" w:line="220" w:lineRule="exact"/>
              <w:jc w:val="right"/>
              <w:rPr>
                <w:sz w:val="18"/>
                <w:szCs w:val="18"/>
              </w:rPr>
            </w:pPr>
          </w:p>
        </w:tc>
      </w:tr>
      <w:tr w:rsidR="0047546D" w:rsidRPr="00337391" w14:paraId="3092B649" w14:textId="77777777" w:rsidTr="0047546D">
        <w:tc>
          <w:tcPr>
            <w:tcW w:w="774" w:type="dxa"/>
            <w:gridSpan w:val="2"/>
            <w:shd w:val="clear" w:color="auto" w:fill="auto"/>
          </w:tcPr>
          <w:p w14:paraId="28F3E733" w14:textId="77777777" w:rsidR="0047546D" w:rsidRPr="00337391" w:rsidRDefault="0047546D" w:rsidP="0047546D">
            <w:pPr>
              <w:spacing w:before="40" w:after="40" w:line="220" w:lineRule="exact"/>
              <w:ind w:right="113"/>
              <w:rPr>
                <w:sz w:val="18"/>
                <w:szCs w:val="18"/>
              </w:rPr>
            </w:pPr>
          </w:p>
        </w:tc>
        <w:tc>
          <w:tcPr>
            <w:tcW w:w="659" w:type="dxa"/>
            <w:shd w:val="clear" w:color="auto" w:fill="auto"/>
          </w:tcPr>
          <w:p w14:paraId="2FF96B2A" w14:textId="77777777" w:rsidR="0047546D" w:rsidRPr="00337391" w:rsidRDefault="0047546D" w:rsidP="0047546D">
            <w:pPr>
              <w:spacing w:before="40" w:after="40" w:line="220" w:lineRule="exact"/>
              <w:ind w:right="113"/>
              <w:rPr>
                <w:sz w:val="18"/>
                <w:szCs w:val="18"/>
              </w:rPr>
            </w:pPr>
            <w:r w:rsidRPr="00337391">
              <w:rPr>
                <w:sz w:val="18"/>
                <w:szCs w:val="18"/>
                <w:lang w:val="zh-CN"/>
              </w:rPr>
              <w:t>女性</w:t>
            </w:r>
          </w:p>
        </w:tc>
        <w:tc>
          <w:tcPr>
            <w:tcW w:w="1142" w:type="dxa"/>
            <w:shd w:val="clear" w:color="auto" w:fill="auto"/>
            <w:vAlign w:val="bottom"/>
          </w:tcPr>
          <w:p w14:paraId="0E9109B8" w14:textId="3EFA7EB7" w:rsidR="0047546D" w:rsidRPr="00337391" w:rsidRDefault="0047546D" w:rsidP="0047546D">
            <w:pPr>
              <w:spacing w:before="40" w:after="40" w:line="220" w:lineRule="exact"/>
              <w:jc w:val="right"/>
              <w:rPr>
                <w:sz w:val="18"/>
                <w:szCs w:val="18"/>
              </w:rPr>
            </w:pPr>
            <w:r w:rsidRPr="00337391">
              <w:rPr>
                <w:sz w:val="18"/>
                <w:szCs w:val="18"/>
                <w:lang w:val="zh-CN"/>
              </w:rPr>
              <w:t>11</w:t>
            </w:r>
            <w:r>
              <w:rPr>
                <w:sz w:val="18"/>
                <w:szCs w:val="18"/>
                <w:lang w:val="zh-CN"/>
              </w:rPr>
              <w:t>,</w:t>
            </w:r>
            <w:r w:rsidRPr="00337391">
              <w:rPr>
                <w:sz w:val="18"/>
                <w:szCs w:val="18"/>
                <w:lang w:val="zh-CN"/>
              </w:rPr>
              <w:t>051</w:t>
            </w:r>
            <w:r>
              <w:rPr>
                <w:sz w:val="18"/>
                <w:szCs w:val="18"/>
                <w:lang w:val="zh-CN"/>
              </w:rPr>
              <w:t>,</w:t>
            </w:r>
            <w:r w:rsidRPr="00337391">
              <w:rPr>
                <w:sz w:val="18"/>
                <w:szCs w:val="18"/>
                <w:lang w:val="zh-CN"/>
              </w:rPr>
              <w:t>715</w:t>
            </w:r>
          </w:p>
        </w:tc>
        <w:tc>
          <w:tcPr>
            <w:tcW w:w="997" w:type="dxa"/>
            <w:vMerge/>
            <w:shd w:val="clear" w:color="auto" w:fill="auto"/>
            <w:vAlign w:val="bottom"/>
          </w:tcPr>
          <w:p w14:paraId="6D2E9B0D" w14:textId="77777777" w:rsidR="0047546D" w:rsidRPr="00337391" w:rsidRDefault="0047546D" w:rsidP="0047546D">
            <w:pPr>
              <w:spacing w:before="40" w:after="40" w:line="220" w:lineRule="exact"/>
              <w:jc w:val="right"/>
              <w:rPr>
                <w:sz w:val="18"/>
                <w:szCs w:val="18"/>
              </w:rPr>
            </w:pPr>
          </w:p>
        </w:tc>
        <w:tc>
          <w:tcPr>
            <w:tcW w:w="1070" w:type="dxa"/>
            <w:vMerge/>
            <w:shd w:val="clear" w:color="auto" w:fill="auto"/>
            <w:vAlign w:val="bottom"/>
          </w:tcPr>
          <w:p w14:paraId="2FFF3F4E" w14:textId="77777777" w:rsidR="0047546D" w:rsidRPr="00337391" w:rsidRDefault="0047546D" w:rsidP="0047546D">
            <w:pPr>
              <w:spacing w:before="40" w:after="40" w:line="220" w:lineRule="exact"/>
              <w:jc w:val="right"/>
              <w:rPr>
                <w:sz w:val="18"/>
                <w:szCs w:val="18"/>
              </w:rPr>
            </w:pPr>
          </w:p>
        </w:tc>
        <w:tc>
          <w:tcPr>
            <w:tcW w:w="1307" w:type="dxa"/>
            <w:vMerge/>
            <w:shd w:val="clear" w:color="auto" w:fill="auto"/>
            <w:vAlign w:val="bottom"/>
          </w:tcPr>
          <w:p w14:paraId="6E2C574B" w14:textId="77777777" w:rsidR="0047546D" w:rsidRPr="00337391" w:rsidRDefault="0047546D" w:rsidP="0047546D">
            <w:pPr>
              <w:spacing w:before="40" w:after="40" w:line="220" w:lineRule="exact"/>
              <w:jc w:val="right"/>
              <w:rPr>
                <w:sz w:val="18"/>
                <w:szCs w:val="18"/>
              </w:rPr>
            </w:pPr>
          </w:p>
        </w:tc>
        <w:tc>
          <w:tcPr>
            <w:tcW w:w="1425" w:type="dxa"/>
            <w:vMerge/>
            <w:shd w:val="clear" w:color="auto" w:fill="auto"/>
            <w:vAlign w:val="bottom"/>
          </w:tcPr>
          <w:p w14:paraId="361DCEC9" w14:textId="77777777" w:rsidR="0047546D" w:rsidRPr="00337391" w:rsidRDefault="0047546D" w:rsidP="0047546D">
            <w:pPr>
              <w:spacing w:before="40" w:after="40" w:line="220" w:lineRule="exact"/>
              <w:jc w:val="right"/>
              <w:rPr>
                <w:sz w:val="18"/>
                <w:szCs w:val="18"/>
              </w:rPr>
            </w:pPr>
          </w:p>
        </w:tc>
      </w:tr>
      <w:tr w:rsidR="0047546D" w:rsidRPr="00337391" w14:paraId="305E0F19" w14:textId="77777777" w:rsidTr="0047546D">
        <w:tc>
          <w:tcPr>
            <w:tcW w:w="774" w:type="dxa"/>
            <w:gridSpan w:val="2"/>
            <w:shd w:val="clear" w:color="auto" w:fill="auto"/>
          </w:tcPr>
          <w:p w14:paraId="0767CA04" w14:textId="77777777" w:rsidR="0047546D" w:rsidRPr="00337391" w:rsidRDefault="0047546D" w:rsidP="0047546D">
            <w:pPr>
              <w:spacing w:before="40" w:after="40" w:line="220" w:lineRule="exact"/>
              <w:ind w:right="113"/>
              <w:rPr>
                <w:sz w:val="18"/>
                <w:szCs w:val="18"/>
              </w:rPr>
            </w:pPr>
          </w:p>
        </w:tc>
        <w:tc>
          <w:tcPr>
            <w:tcW w:w="659" w:type="dxa"/>
            <w:shd w:val="clear" w:color="auto" w:fill="auto"/>
          </w:tcPr>
          <w:p w14:paraId="33BDB779" w14:textId="77777777" w:rsidR="0047546D" w:rsidRPr="00337391" w:rsidRDefault="0047546D" w:rsidP="0047546D">
            <w:pPr>
              <w:spacing w:before="40" w:after="40" w:line="220" w:lineRule="exact"/>
              <w:ind w:right="113"/>
              <w:rPr>
                <w:sz w:val="18"/>
                <w:szCs w:val="18"/>
              </w:rPr>
            </w:pPr>
            <w:r w:rsidRPr="00337391">
              <w:rPr>
                <w:sz w:val="18"/>
                <w:szCs w:val="18"/>
                <w:lang w:val="zh-CN"/>
              </w:rPr>
              <w:t>男性</w:t>
            </w:r>
          </w:p>
        </w:tc>
        <w:tc>
          <w:tcPr>
            <w:tcW w:w="1142" w:type="dxa"/>
            <w:shd w:val="clear" w:color="auto" w:fill="auto"/>
            <w:vAlign w:val="bottom"/>
          </w:tcPr>
          <w:p w14:paraId="10346365" w14:textId="18D0A0BE" w:rsidR="0047546D" w:rsidRPr="00337391" w:rsidRDefault="0047546D" w:rsidP="0047546D">
            <w:pPr>
              <w:spacing w:before="40" w:after="40" w:line="220" w:lineRule="exact"/>
              <w:jc w:val="right"/>
              <w:rPr>
                <w:sz w:val="18"/>
                <w:szCs w:val="18"/>
              </w:rPr>
            </w:pPr>
            <w:r w:rsidRPr="00337391">
              <w:rPr>
                <w:sz w:val="18"/>
                <w:szCs w:val="18"/>
                <w:lang w:val="zh-CN"/>
              </w:rPr>
              <w:t>10</w:t>
            </w:r>
            <w:r>
              <w:rPr>
                <w:sz w:val="18"/>
                <w:szCs w:val="18"/>
                <w:lang w:val="zh-CN"/>
              </w:rPr>
              <w:t>,</w:t>
            </w:r>
            <w:r w:rsidRPr="00337391">
              <w:rPr>
                <w:sz w:val="18"/>
                <w:szCs w:val="18"/>
                <w:lang w:val="zh-CN"/>
              </w:rPr>
              <w:t>937</w:t>
            </w:r>
            <w:r>
              <w:rPr>
                <w:sz w:val="18"/>
                <w:szCs w:val="18"/>
                <w:lang w:val="zh-CN"/>
              </w:rPr>
              <w:t>,</w:t>
            </w:r>
            <w:r w:rsidRPr="00337391">
              <w:rPr>
                <w:sz w:val="18"/>
                <w:szCs w:val="18"/>
                <w:lang w:val="zh-CN"/>
              </w:rPr>
              <w:t>762</w:t>
            </w:r>
          </w:p>
        </w:tc>
        <w:tc>
          <w:tcPr>
            <w:tcW w:w="997" w:type="dxa"/>
            <w:vMerge/>
            <w:shd w:val="clear" w:color="auto" w:fill="auto"/>
            <w:vAlign w:val="bottom"/>
          </w:tcPr>
          <w:p w14:paraId="44D5C347" w14:textId="77777777" w:rsidR="0047546D" w:rsidRPr="00337391" w:rsidRDefault="0047546D" w:rsidP="0047546D">
            <w:pPr>
              <w:spacing w:before="40" w:after="40" w:line="220" w:lineRule="exact"/>
              <w:jc w:val="right"/>
              <w:rPr>
                <w:sz w:val="18"/>
                <w:szCs w:val="18"/>
              </w:rPr>
            </w:pPr>
          </w:p>
        </w:tc>
        <w:tc>
          <w:tcPr>
            <w:tcW w:w="1070" w:type="dxa"/>
            <w:vMerge/>
            <w:shd w:val="clear" w:color="auto" w:fill="auto"/>
            <w:vAlign w:val="bottom"/>
          </w:tcPr>
          <w:p w14:paraId="57B14D5D" w14:textId="77777777" w:rsidR="0047546D" w:rsidRPr="00337391" w:rsidRDefault="0047546D" w:rsidP="0047546D">
            <w:pPr>
              <w:spacing w:before="40" w:after="40" w:line="220" w:lineRule="exact"/>
              <w:jc w:val="right"/>
              <w:rPr>
                <w:sz w:val="18"/>
                <w:szCs w:val="18"/>
              </w:rPr>
            </w:pPr>
          </w:p>
        </w:tc>
        <w:tc>
          <w:tcPr>
            <w:tcW w:w="1307" w:type="dxa"/>
            <w:vMerge/>
            <w:shd w:val="clear" w:color="auto" w:fill="auto"/>
            <w:vAlign w:val="bottom"/>
          </w:tcPr>
          <w:p w14:paraId="47F1C911" w14:textId="77777777" w:rsidR="0047546D" w:rsidRPr="00337391" w:rsidRDefault="0047546D" w:rsidP="0047546D">
            <w:pPr>
              <w:spacing w:before="40" w:after="40" w:line="220" w:lineRule="exact"/>
              <w:jc w:val="right"/>
              <w:rPr>
                <w:sz w:val="18"/>
                <w:szCs w:val="18"/>
              </w:rPr>
            </w:pPr>
          </w:p>
        </w:tc>
        <w:tc>
          <w:tcPr>
            <w:tcW w:w="1425" w:type="dxa"/>
            <w:vMerge/>
            <w:shd w:val="clear" w:color="auto" w:fill="auto"/>
            <w:vAlign w:val="bottom"/>
          </w:tcPr>
          <w:p w14:paraId="21BB7AAD" w14:textId="77777777" w:rsidR="0047546D" w:rsidRPr="00337391" w:rsidRDefault="0047546D" w:rsidP="0047546D">
            <w:pPr>
              <w:spacing w:before="40" w:after="40" w:line="220" w:lineRule="exact"/>
              <w:jc w:val="right"/>
              <w:rPr>
                <w:sz w:val="18"/>
                <w:szCs w:val="18"/>
              </w:rPr>
            </w:pPr>
          </w:p>
        </w:tc>
      </w:tr>
      <w:tr w:rsidR="0047546D" w:rsidRPr="00337391" w14:paraId="417F55CA" w14:textId="77777777" w:rsidTr="0047546D">
        <w:tc>
          <w:tcPr>
            <w:tcW w:w="1433" w:type="dxa"/>
            <w:gridSpan w:val="3"/>
            <w:shd w:val="clear" w:color="auto" w:fill="auto"/>
          </w:tcPr>
          <w:p w14:paraId="2375FA2A" w14:textId="77777777" w:rsidR="0047546D" w:rsidRPr="00337391" w:rsidRDefault="0047546D" w:rsidP="0047546D">
            <w:pPr>
              <w:spacing w:before="40" w:after="40" w:line="220" w:lineRule="exact"/>
              <w:ind w:right="113"/>
              <w:rPr>
                <w:sz w:val="18"/>
                <w:szCs w:val="18"/>
              </w:rPr>
            </w:pPr>
            <w:r w:rsidRPr="00337391">
              <w:rPr>
                <w:sz w:val="18"/>
                <w:szCs w:val="18"/>
                <w:lang w:val="zh-CN"/>
              </w:rPr>
              <w:t>南部地区</w:t>
            </w:r>
          </w:p>
        </w:tc>
        <w:tc>
          <w:tcPr>
            <w:tcW w:w="1142" w:type="dxa"/>
            <w:shd w:val="clear" w:color="auto" w:fill="auto"/>
            <w:vAlign w:val="bottom"/>
          </w:tcPr>
          <w:p w14:paraId="000AED10" w14:textId="3DBB3623" w:rsidR="0047546D" w:rsidRPr="00337391" w:rsidRDefault="0047546D" w:rsidP="0047546D">
            <w:pPr>
              <w:spacing w:before="40" w:after="40" w:line="220" w:lineRule="exact"/>
              <w:jc w:val="right"/>
              <w:rPr>
                <w:sz w:val="18"/>
                <w:szCs w:val="18"/>
              </w:rPr>
            </w:pPr>
            <w:r w:rsidRPr="00337391">
              <w:rPr>
                <w:sz w:val="18"/>
                <w:szCs w:val="18"/>
                <w:lang w:val="zh-CN"/>
              </w:rPr>
              <w:t>9</w:t>
            </w:r>
            <w:r>
              <w:rPr>
                <w:sz w:val="18"/>
                <w:szCs w:val="18"/>
                <w:lang w:val="zh-CN"/>
              </w:rPr>
              <w:t>,</w:t>
            </w:r>
            <w:r w:rsidRPr="00337391">
              <w:rPr>
                <w:sz w:val="18"/>
                <w:szCs w:val="18"/>
                <w:lang w:val="zh-CN"/>
              </w:rPr>
              <w:t>399</w:t>
            </w:r>
            <w:r>
              <w:rPr>
                <w:sz w:val="18"/>
                <w:szCs w:val="18"/>
                <w:lang w:val="zh-CN"/>
              </w:rPr>
              <w:t>,</w:t>
            </w:r>
            <w:r w:rsidRPr="00337391">
              <w:rPr>
                <w:sz w:val="18"/>
                <w:szCs w:val="18"/>
                <w:lang w:val="zh-CN"/>
              </w:rPr>
              <w:t>578</w:t>
            </w:r>
          </w:p>
        </w:tc>
        <w:tc>
          <w:tcPr>
            <w:tcW w:w="997" w:type="dxa"/>
            <w:vMerge w:val="restart"/>
            <w:shd w:val="clear" w:color="auto" w:fill="auto"/>
            <w:vAlign w:val="bottom"/>
          </w:tcPr>
          <w:p w14:paraId="3E351D15" w14:textId="77777777" w:rsidR="0047546D" w:rsidRPr="00337391" w:rsidRDefault="0047546D" w:rsidP="0047546D">
            <w:pPr>
              <w:spacing w:before="40" w:after="40" w:line="220" w:lineRule="exact"/>
              <w:jc w:val="right"/>
              <w:rPr>
                <w:sz w:val="18"/>
                <w:szCs w:val="18"/>
              </w:rPr>
            </w:pPr>
            <w:r w:rsidRPr="00337391">
              <w:rPr>
                <w:sz w:val="18"/>
                <w:szCs w:val="18"/>
                <w:lang w:val="zh-CN"/>
              </w:rPr>
              <w:t>132.9</w:t>
            </w:r>
          </w:p>
        </w:tc>
        <w:tc>
          <w:tcPr>
            <w:tcW w:w="1070" w:type="dxa"/>
            <w:vMerge w:val="restart"/>
            <w:shd w:val="clear" w:color="auto" w:fill="auto"/>
            <w:vAlign w:val="bottom"/>
          </w:tcPr>
          <w:p w14:paraId="16A99728" w14:textId="77777777" w:rsidR="0047546D" w:rsidRPr="00337391" w:rsidRDefault="0047546D" w:rsidP="0047546D">
            <w:pPr>
              <w:spacing w:before="40" w:after="40" w:line="220" w:lineRule="exact"/>
              <w:jc w:val="right"/>
              <w:rPr>
                <w:sz w:val="18"/>
                <w:szCs w:val="18"/>
              </w:rPr>
            </w:pPr>
            <w:r w:rsidRPr="00337391">
              <w:rPr>
                <w:sz w:val="18"/>
                <w:szCs w:val="18"/>
                <w:lang w:val="zh-CN"/>
              </w:rPr>
              <w:t>13.0</w:t>
            </w:r>
          </w:p>
        </w:tc>
        <w:tc>
          <w:tcPr>
            <w:tcW w:w="1307" w:type="dxa"/>
            <w:vMerge w:val="restart"/>
            <w:shd w:val="clear" w:color="auto" w:fill="auto"/>
            <w:vAlign w:val="bottom"/>
          </w:tcPr>
          <w:p w14:paraId="0318A98F" w14:textId="77777777" w:rsidR="0047546D" w:rsidRPr="00337391" w:rsidRDefault="0047546D" w:rsidP="0047546D">
            <w:pPr>
              <w:spacing w:before="40" w:after="40" w:line="220" w:lineRule="exact"/>
              <w:jc w:val="right"/>
              <w:rPr>
                <w:sz w:val="18"/>
                <w:szCs w:val="18"/>
              </w:rPr>
            </w:pPr>
            <w:r w:rsidRPr="00337391">
              <w:rPr>
                <w:sz w:val="18"/>
                <w:szCs w:val="18"/>
                <w:lang w:val="zh-CN"/>
              </w:rPr>
              <w:t>6.1</w:t>
            </w:r>
          </w:p>
        </w:tc>
        <w:tc>
          <w:tcPr>
            <w:tcW w:w="1425" w:type="dxa"/>
            <w:vMerge/>
            <w:shd w:val="clear" w:color="auto" w:fill="auto"/>
            <w:vAlign w:val="bottom"/>
          </w:tcPr>
          <w:p w14:paraId="642D8620" w14:textId="77777777" w:rsidR="0047546D" w:rsidRPr="00337391" w:rsidRDefault="0047546D" w:rsidP="0047546D">
            <w:pPr>
              <w:spacing w:before="40" w:after="40" w:line="220" w:lineRule="exact"/>
              <w:jc w:val="right"/>
              <w:rPr>
                <w:sz w:val="18"/>
                <w:szCs w:val="18"/>
              </w:rPr>
            </w:pPr>
          </w:p>
        </w:tc>
      </w:tr>
      <w:tr w:rsidR="0047546D" w:rsidRPr="00337391" w14:paraId="71F5DD89" w14:textId="77777777" w:rsidTr="0047546D">
        <w:tc>
          <w:tcPr>
            <w:tcW w:w="774" w:type="dxa"/>
            <w:gridSpan w:val="2"/>
            <w:shd w:val="clear" w:color="auto" w:fill="auto"/>
          </w:tcPr>
          <w:p w14:paraId="4D0B00E5" w14:textId="77777777" w:rsidR="0047546D" w:rsidRPr="00337391" w:rsidRDefault="0047546D" w:rsidP="0047546D">
            <w:pPr>
              <w:spacing w:before="40" w:after="40" w:line="220" w:lineRule="exact"/>
              <w:ind w:right="113"/>
              <w:rPr>
                <w:sz w:val="18"/>
                <w:szCs w:val="18"/>
              </w:rPr>
            </w:pPr>
          </w:p>
        </w:tc>
        <w:tc>
          <w:tcPr>
            <w:tcW w:w="659" w:type="dxa"/>
            <w:shd w:val="clear" w:color="auto" w:fill="auto"/>
          </w:tcPr>
          <w:p w14:paraId="3A2E3B37" w14:textId="77777777" w:rsidR="0047546D" w:rsidRPr="00337391" w:rsidRDefault="0047546D" w:rsidP="0047546D">
            <w:pPr>
              <w:spacing w:before="40" w:after="40" w:line="220" w:lineRule="exact"/>
              <w:ind w:right="113"/>
              <w:rPr>
                <w:sz w:val="18"/>
                <w:szCs w:val="18"/>
              </w:rPr>
            </w:pPr>
            <w:r w:rsidRPr="00337391">
              <w:rPr>
                <w:sz w:val="18"/>
                <w:szCs w:val="18"/>
                <w:lang w:val="zh-CN"/>
              </w:rPr>
              <w:t>女性</w:t>
            </w:r>
          </w:p>
        </w:tc>
        <w:tc>
          <w:tcPr>
            <w:tcW w:w="1142" w:type="dxa"/>
            <w:shd w:val="clear" w:color="auto" w:fill="auto"/>
            <w:vAlign w:val="bottom"/>
          </w:tcPr>
          <w:p w14:paraId="1AA287A5" w14:textId="3F374212" w:rsidR="0047546D" w:rsidRPr="00337391" w:rsidRDefault="0047546D" w:rsidP="0047546D">
            <w:pPr>
              <w:spacing w:before="40" w:after="40" w:line="220" w:lineRule="exact"/>
              <w:jc w:val="right"/>
              <w:rPr>
                <w:sz w:val="18"/>
                <w:szCs w:val="18"/>
              </w:rPr>
            </w:pPr>
            <w:r w:rsidRPr="00337391">
              <w:rPr>
                <w:sz w:val="18"/>
                <w:szCs w:val="18"/>
                <w:lang w:val="zh-CN"/>
              </w:rPr>
              <w:t>4</w:t>
            </w:r>
            <w:r>
              <w:rPr>
                <w:sz w:val="18"/>
                <w:szCs w:val="18"/>
                <w:lang w:val="zh-CN"/>
              </w:rPr>
              <w:t>,</w:t>
            </w:r>
            <w:r w:rsidRPr="00337391">
              <w:rPr>
                <w:sz w:val="18"/>
                <w:szCs w:val="18"/>
                <w:lang w:val="zh-CN"/>
              </w:rPr>
              <w:t>769</w:t>
            </w:r>
            <w:r>
              <w:rPr>
                <w:sz w:val="18"/>
                <w:szCs w:val="18"/>
                <w:lang w:val="zh-CN"/>
              </w:rPr>
              <w:t>,</w:t>
            </w:r>
            <w:r w:rsidRPr="00337391">
              <w:rPr>
                <w:sz w:val="18"/>
                <w:szCs w:val="18"/>
                <w:lang w:val="zh-CN"/>
              </w:rPr>
              <w:t>225</w:t>
            </w:r>
          </w:p>
        </w:tc>
        <w:tc>
          <w:tcPr>
            <w:tcW w:w="997" w:type="dxa"/>
            <w:vMerge/>
            <w:shd w:val="clear" w:color="auto" w:fill="auto"/>
            <w:vAlign w:val="bottom"/>
          </w:tcPr>
          <w:p w14:paraId="683A9689" w14:textId="77777777" w:rsidR="0047546D" w:rsidRPr="00337391" w:rsidRDefault="0047546D" w:rsidP="0047546D">
            <w:pPr>
              <w:spacing w:before="40" w:after="40" w:line="220" w:lineRule="exact"/>
              <w:jc w:val="right"/>
              <w:rPr>
                <w:sz w:val="18"/>
                <w:szCs w:val="18"/>
              </w:rPr>
            </w:pPr>
          </w:p>
        </w:tc>
        <w:tc>
          <w:tcPr>
            <w:tcW w:w="1070" w:type="dxa"/>
            <w:vMerge/>
            <w:shd w:val="clear" w:color="auto" w:fill="auto"/>
            <w:vAlign w:val="bottom"/>
          </w:tcPr>
          <w:p w14:paraId="2AADFE8E" w14:textId="77777777" w:rsidR="0047546D" w:rsidRPr="00337391" w:rsidRDefault="0047546D" w:rsidP="0047546D">
            <w:pPr>
              <w:spacing w:before="40" w:after="40" w:line="220" w:lineRule="exact"/>
              <w:jc w:val="right"/>
              <w:rPr>
                <w:sz w:val="18"/>
                <w:szCs w:val="18"/>
              </w:rPr>
            </w:pPr>
          </w:p>
        </w:tc>
        <w:tc>
          <w:tcPr>
            <w:tcW w:w="1307" w:type="dxa"/>
            <w:vMerge/>
            <w:shd w:val="clear" w:color="auto" w:fill="auto"/>
            <w:vAlign w:val="bottom"/>
          </w:tcPr>
          <w:p w14:paraId="700B5FEE" w14:textId="77777777" w:rsidR="0047546D" w:rsidRPr="00337391" w:rsidRDefault="0047546D" w:rsidP="0047546D">
            <w:pPr>
              <w:spacing w:before="40" w:after="40" w:line="220" w:lineRule="exact"/>
              <w:jc w:val="right"/>
              <w:rPr>
                <w:sz w:val="18"/>
                <w:szCs w:val="18"/>
              </w:rPr>
            </w:pPr>
          </w:p>
        </w:tc>
        <w:tc>
          <w:tcPr>
            <w:tcW w:w="1425" w:type="dxa"/>
            <w:vMerge/>
            <w:shd w:val="clear" w:color="auto" w:fill="auto"/>
            <w:vAlign w:val="bottom"/>
          </w:tcPr>
          <w:p w14:paraId="7F6C1F33" w14:textId="77777777" w:rsidR="0047546D" w:rsidRPr="00337391" w:rsidRDefault="0047546D" w:rsidP="0047546D">
            <w:pPr>
              <w:spacing w:before="40" w:after="40" w:line="220" w:lineRule="exact"/>
              <w:jc w:val="right"/>
              <w:rPr>
                <w:sz w:val="18"/>
                <w:szCs w:val="18"/>
              </w:rPr>
            </w:pPr>
          </w:p>
        </w:tc>
      </w:tr>
      <w:tr w:rsidR="0047546D" w:rsidRPr="00337391" w14:paraId="17A62874" w14:textId="77777777" w:rsidTr="0047546D">
        <w:tc>
          <w:tcPr>
            <w:tcW w:w="774" w:type="dxa"/>
            <w:gridSpan w:val="2"/>
            <w:shd w:val="clear" w:color="auto" w:fill="auto"/>
          </w:tcPr>
          <w:p w14:paraId="0040D446" w14:textId="77777777" w:rsidR="0047546D" w:rsidRPr="00337391" w:rsidRDefault="0047546D" w:rsidP="0047546D">
            <w:pPr>
              <w:spacing w:before="40" w:after="40" w:line="220" w:lineRule="exact"/>
              <w:ind w:right="113"/>
              <w:rPr>
                <w:sz w:val="18"/>
                <w:szCs w:val="18"/>
              </w:rPr>
            </w:pPr>
          </w:p>
        </w:tc>
        <w:tc>
          <w:tcPr>
            <w:tcW w:w="659" w:type="dxa"/>
            <w:shd w:val="clear" w:color="auto" w:fill="auto"/>
          </w:tcPr>
          <w:p w14:paraId="521C2C83" w14:textId="77777777" w:rsidR="0047546D" w:rsidRPr="00337391" w:rsidRDefault="0047546D" w:rsidP="0047546D">
            <w:pPr>
              <w:spacing w:before="40" w:after="40" w:line="220" w:lineRule="exact"/>
              <w:ind w:right="113"/>
              <w:rPr>
                <w:sz w:val="18"/>
                <w:szCs w:val="18"/>
              </w:rPr>
            </w:pPr>
            <w:r w:rsidRPr="00337391">
              <w:rPr>
                <w:sz w:val="18"/>
                <w:szCs w:val="18"/>
                <w:lang w:val="zh-CN"/>
              </w:rPr>
              <w:t>男性</w:t>
            </w:r>
          </w:p>
        </w:tc>
        <w:tc>
          <w:tcPr>
            <w:tcW w:w="1142" w:type="dxa"/>
            <w:shd w:val="clear" w:color="auto" w:fill="auto"/>
            <w:vAlign w:val="bottom"/>
          </w:tcPr>
          <w:p w14:paraId="1DE48871" w14:textId="1ADA3FD4" w:rsidR="0047546D" w:rsidRPr="00337391" w:rsidRDefault="0047546D" w:rsidP="0047546D">
            <w:pPr>
              <w:spacing w:before="40" w:after="40" w:line="220" w:lineRule="exact"/>
              <w:jc w:val="right"/>
              <w:rPr>
                <w:sz w:val="18"/>
                <w:szCs w:val="18"/>
              </w:rPr>
            </w:pPr>
            <w:r w:rsidRPr="00337391">
              <w:rPr>
                <w:sz w:val="18"/>
                <w:szCs w:val="18"/>
                <w:lang w:val="zh-CN"/>
              </w:rPr>
              <w:t>4</w:t>
            </w:r>
            <w:r>
              <w:rPr>
                <w:sz w:val="18"/>
                <w:szCs w:val="18"/>
                <w:lang w:val="zh-CN"/>
              </w:rPr>
              <w:t>,</w:t>
            </w:r>
            <w:r w:rsidRPr="00337391">
              <w:rPr>
                <w:sz w:val="18"/>
                <w:szCs w:val="18"/>
                <w:lang w:val="zh-CN"/>
              </w:rPr>
              <w:t>630</w:t>
            </w:r>
            <w:r>
              <w:rPr>
                <w:sz w:val="18"/>
                <w:szCs w:val="18"/>
                <w:lang w:val="zh-CN"/>
              </w:rPr>
              <w:t>,</w:t>
            </w:r>
            <w:r w:rsidRPr="00337391">
              <w:rPr>
                <w:sz w:val="18"/>
                <w:szCs w:val="18"/>
                <w:lang w:val="zh-CN"/>
              </w:rPr>
              <w:t>353</w:t>
            </w:r>
          </w:p>
        </w:tc>
        <w:tc>
          <w:tcPr>
            <w:tcW w:w="997" w:type="dxa"/>
            <w:vMerge/>
            <w:shd w:val="clear" w:color="auto" w:fill="auto"/>
            <w:vAlign w:val="bottom"/>
          </w:tcPr>
          <w:p w14:paraId="635319A9" w14:textId="77777777" w:rsidR="0047546D" w:rsidRPr="00337391" w:rsidRDefault="0047546D" w:rsidP="0047546D">
            <w:pPr>
              <w:spacing w:before="40" w:after="40" w:line="220" w:lineRule="exact"/>
              <w:jc w:val="right"/>
              <w:rPr>
                <w:sz w:val="18"/>
                <w:szCs w:val="18"/>
              </w:rPr>
            </w:pPr>
          </w:p>
        </w:tc>
        <w:tc>
          <w:tcPr>
            <w:tcW w:w="1070" w:type="dxa"/>
            <w:vMerge/>
            <w:shd w:val="clear" w:color="auto" w:fill="auto"/>
            <w:vAlign w:val="bottom"/>
          </w:tcPr>
          <w:p w14:paraId="060C5498" w14:textId="77777777" w:rsidR="0047546D" w:rsidRPr="00337391" w:rsidRDefault="0047546D" w:rsidP="0047546D">
            <w:pPr>
              <w:spacing w:before="40" w:after="40" w:line="220" w:lineRule="exact"/>
              <w:jc w:val="right"/>
              <w:rPr>
                <w:sz w:val="18"/>
                <w:szCs w:val="18"/>
              </w:rPr>
            </w:pPr>
          </w:p>
        </w:tc>
        <w:tc>
          <w:tcPr>
            <w:tcW w:w="1307" w:type="dxa"/>
            <w:vMerge/>
            <w:shd w:val="clear" w:color="auto" w:fill="auto"/>
            <w:vAlign w:val="bottom"/>
          </w:tcPr>
          <w:p w14:paraId="221609C9" w14:textId="77777777" w:rsidR="0047546D" w:rsidRPr="00337391" w:rsidRDefault="0047546D" w:rsidP="0047546D">
            <w:pPr>
              <w:spacing w:before="40" w:after="40" w:line="220" w:lineRule="exact"/>
              <w:jc w:val="right"/>
              <w:rPr>
                <w:sz w:val="18"/>
                <w:szCs w:val="18"/>
              </w:rPr>
            </w:pPr>
          </w:p>
        </w:tc>
        <w:tc>
          <w:tcPr>
            <w:tcW w:w="1425" w:type="dxa"/>
            <w:vMerge/>
            <w:shd w:val="clear" w:color="auto" w:fill="auto"/>
            <w:vAlign w:val="bottom"/>
          </w:tcPr>
          <w:p w14:paraId="42823132" w14:textId="77777777" w:rsidR="0047546D" w:rsidRPr="00337391" w:rsidRDefault="0047546D" w:rsidP="0047546D">
            <w:pPr>
              <w:spacing w:before="40" w:after="40" w:line="220" w:lineRule="exact"/>
              <w:jc w:val="right"/>
              <w:rPr>
                <w:sz w:val="18"/>
                <w:szCs w:val="18"/>
              </w:rPr>
            </w:pPr>
          </w:p>
        </w:tc>
      </w:tr>
    </w:tbl>
    <w:p w14:paraId="7580DC55" w14:textId="77777777" w:rsidR="00F97B13" w:rsidRDefault="00F97B13" w:rsidP="00522F93">
      <w:pPr>
        <w:pStyle w:val="SingleTxtGC"/>
      </w:pPr>
    </w:p>
    <w:p w14:paraId="61DB74F5" w14:textId="00BF71A3" w:rsidR="00522F93" w:rsidRDefault="00522F93" w:rsidP="00522F93">
      <w:pPr>
        <w:pStyle w:val="SingleTxtGC"/>
      </w:pPr>
      <w:r>
        <w:rPr>
          <w:rFonts w:hint="eastAsia"/>
        </w:rPr>
        <w:t>9.</w:t>
      </w:r>
      <w:r>
        <w:rPr>
          <w:rFonts w:hint="eastAsia"/>
        </w:rPr>
        <w:tab/>
      </w:r>
      <w:r>
        <w:rPr>
          <w:rFonts w:hint="eastAsia"/>
        </w:rPr>
        <w:t>截至</w:t>
      </w:r>
      <w:r>
        <w:rPr>
          <w:rFonts w:hint="eastAsia"/>
        </w:rPr>
        <w:t>2019</w:t>
      </w:r>
      <w:r>
        <w:rPr>
          <w:rFonts w:hint="eastAsia"/>
        </w:rPr>
        <w:t>年</w:t>
      </w:r>
      <w:r>
        <w:rPr>
          <w:rFonts w:hint="eastAsia"/>
        </w:rPr>
        <w:t>12</w:t>
      </w:r>
      <w:r>
        <w:rPr>
          <w:rFonts w:hint="eastAsia"/>
        </w:rPr>
        <w:t>月，泰国共有</w:t>
      </w:r>
      <w:r>
        <w:rPr>
          <w:rFonts w:hint="eastAsia"/>
        </w:rPr>
        <w:t>2</w:t>
      </w:r>
      <w:r w:rsidR="006D1156">
        <w:rPr>
          <w:rFonts w:hint="eastAsia"/>
        </w:rPr>
        <w:t>,</w:t>
      </w:r>
      <w:r>
        <w:rPr>
          <w:rFonts w:hint="eastAsia"/>
        </w:rPr>
        <w:t>015</w:t>
      </w:r>
      <w:r w:rsidR="006D1156">
        <w:rPr>
          <w:rFonts w:hint="eastAsia"/>
        </w:rPr>
        <w:t>,</w:t>
      </w:r>
      <w:r>
        <w:rPr>
          <w:rFonts w:hint="eastAsia"/>
        </w:rPr>
        <w:t>385</w:t>
      </w:r>
      <w:r>
        <w:rPr>
          <w:rFonts w:hint="eastAsia"/>
        </w:rPr>
        <w:t>名注册残疾人，其中</w:t>
      </w:r>
      <w:r>
        <w:rPr>
          <w:rFonts w:hint="eastAsia"/>
        </w:rPr>
        <w:t>963</w:t>
      </w:r>
      <w:r w:rsidR="006D1156">
        <w:rPr>
          <w:rFonts w:hint="eastAsia"/>
        </w:rPr>
        <w:t>,</w:t>
      </w:r>
      <w:r>
        <w:rPr>
          <w:rFonts w:hint="eastAsia"/>
        </w:rPr>
        <w:t>507</w:t>
      </w:r>
      <w:r>
        <w:rPr>
          <w:rFonts w:hint="eastAsia"/>
        </w:rPr>
        <w:t>人为女性，</w:t>
      </w:r>
      <w:r>
        <w:rPr>
          <w:rFonts w:hint="eastAsia"/>
        </w:rPr>
        <w:t>1</w:t>
      </w:r>
      <w:r w:rsidR="006D1156">
        <w:rPr>
          <w:rFonts w:hint="eastAsia"/>
        </w:rPr>
        <w:t>,</w:t>
      </w:r>
      <w:r>
        <w:rPr>
          <w:rFonts w:hint="eastAsia"/>
        </w:rPr>
        <w:t>051</w:t>
      </w:r>
      <w:r w:rsidR="006D1156">
        <w:rPr>
          <w:rFonts w:hint="eastAsia"/>
        </w:rPr>
        <w:t>,</w:t>
      </w:r>
      <w:r>
        <w:rPr>
          <w:rFonts w:hint="eastAsia"/>
        </w:rPr>
        <w:t>878</w:t>
      </w:r>
      <w:r>
        <w:rPr>
          <w:rFonts w:hint="eastAsia"/>
        </w:rPr>
        <w:t>人为男性。</w:t>
      </w:r>
      <w:r>
        <w:rPr>
          <w:rFonts w:hint="eastAsia"/>
        </w:rPr>
        <w:t>83</w:t>
      </w:r>
      <w:r w:rsidR="006D1156">
        <w:rPr>
          <w:rFonts w:hint="eastAsia"/>
        </w:rPr>
        <w:t>,</w:t>
      </w:r>
      <w:r>
        <w:rPr>
          <w:rFonts w:hint="eastAsia"/>
        </w:rPr>
        <w:t>543</w:t>
      </w:r>
      <w:r>
        <w:rPr>
          <w:rFonts w:hint="eastAsia"/>
        </w:rPr>
        <w:t>人</w:t>
      </w:r>
      <w:r>
        <w:rPr>
          <w:rFonts w:hint="eastAsia"/>
        </w:rPr>
        <w:t>(4.14%)</w:t>
      </w:r>
      <w:r>
        <w:rPr>
          <w:rFonts w:hint="eastAsia"/>
        </w:rPr>
        <w:t>年龄在</w:t>
      </w:r>
      <w:r>
        <w:rPr>
          <w:rFonts w:hint="eastAsia"/>
        </w:rPr>
        <w:t>14</w:t>
      </w:r>
      <w:r>
        <w:rPr>
          <w:rFonts w:hint="eastAsia"/>
        </w:rPr>
        <w:t>岁以下，</w:t>
      </w:r>
      <w:r>
        <w:rPr>
          <w:rFonts w:hint="eastAsia"/>
        </w:rPr>
        <w:t>850</w:t>
      </w:r>
      <w:r w:rsidR="006D1156">
        <w:rPr>
          <w:rFonts w:hint="eastAsia"/>
        </w:rPr>
        <w:t>,</w:t>
      </w:r>
      <w:r>
        <w:rPr>
          <w:rFonts w:hint="eastAsia"/>
        </w:rPr>
        <w:t>270</w:t>
      </w:r>
      <w:r>
        <w:rPr>
          <w:rFonts w:hint="eastAsia"/>
        </w:rPr>
        <w:t>人</w:t>
      </w:r>
      <w:r>
        <w:rPr>
          <w:rFonts w:hint="eastAsia"/>
        </w:rPr>
        <w:t>(42.19%)</w:t>
      </w:r>
      <w:r>
        <w:rPr>
          <w:rFonts w:hint="eastAsia"/>
        </w:rPr>
        <w:t>年龄在</w:t>
      </w:r>
      <w:r>
        <w:rPr>
          <w:rFonts w:hint="eastAsia"/>
        </w:rPr>
        <w:t>15</w:t>
      </w:r>
      <w:r>
        <w:rPr>
          <w:rFonts w:hint="eastAsia"/>
        </w:rPr>
        <w:t>至</w:t>
      </w:r>
      <w:r>
        <w:rPr>
          <w:rFonts w:hint="eastAsia"/>
        </w:rPr>
        <w:t>59</w:t>
      </w:r>
      <w:r>
        <w:rPr>
          <w:rFonts w:hint="eastAsia"/>
        </w:rPr>
        <w:t>岁之间，</w:t>
      </w:r>
      <w:r>
        <w:rPr>
          <w:rFonts w:hint="eastAsia"/>
        </w:rPr>
        <w:t>1</w:t>
      </w:r>
      <w:r w:rsidR="006D1156">
        <w:rPr>
          <w:rFonts w:hint="eastAsia"/>
        </w:rPr>
        <w:t>,</w:t>
      </w:r>
      <w:r>
        <w:rPr>
          <w:rFonts w:hint="eastAsia"/>
        </w:rPr>
        <w:t>081</w:t>
      </w:r>
      <w:r w:rsidR="006D1156">
        <w:rPr>
          <w:rFonts w:hint="eastAsia"/>
        </w:rPr>
        <w:t>,</w:t>
      </w:r>
      <w:r>
        <w:rPr>
          <w:rFonts w:hint="eastAsia"/>
        </w:rPr>
        <w:t>572</w:t>
      </w:r>
      <w:r>
        <w:rPr>
          <w:rFonts w:hint="eastAsia"/>
        </w:rPr>
        <w:t>人</w:t>
      </w:r>
      <w:r>
        <w:rPr>
          <w:rFonts w:hint="eastAsia"/>
        </w:rPr>
        <w:t>(53.67%)</w:t>
      </w:r>
      <w:r>
        <w:rPr>
          <w:rFonts w:hint="eastAsia"/>
        </w:rPr>
        <w:t>年龄在</w:t>
      </w:r>
      <w:r>
        <w:rPr>
          <w:rFonts w:hint="eastAsia"/>
        </w:rPr>
        <w:t>60</w:t>
      </w:r>
      <w:r>
        <w:rPr>
          <w:rFonts w:hint="eastAsia"/>
        </w:rPr>
        <w:t>岁以上。</w:t>
      </w:r>
    </w:p>
    <w:p w14:paraId="3B22B8E4" w14:textId="77777777" w:rsidR="00522F93" w:rsidRDefault="00522F93" w:rsidP="00C64D83">
      <w:pPr>
        <w:pStyle w:val="H23GC"/>
      </w:pPr>
      <w:r>
        <w:rPr>
          <w:rFonts w:hint="eastAsia"/>
        </w:rPr>
        <w:tab/>
      </w:r>
      <w:r>
        <w:rPr>
          <w:rFonts w:hint="eastAsia"/>
        </w:rPr>
        <w:tab/>
      </w:r>
      <w:r>
        <w:rPr>
          <w:rFonts w:hint="eastAsia"/>
        </w:rPr>
        <w:t>语文</w:t>
      </w:r>
    </w:p>
    <w:p w14:paraId="3E1BCD28" w14:textId="353C8F14" w:rsidR="00522F93" w:rsidRDefault="00522F93" w:rsidP="00522F93">
      <w:pPr>
        <w:pStyle w:val="SingleTxtGC"/>
      </w:pPr>
      <w:r>
        <w:rPr>
          <w:rFonts w:hint="eastAsia"/>
        </w:rPr>
        <w:t>10.</w:t>
      </w:r>
      <w:r>
        <w:rPr>
          <w:rFonts w:hint="eastAsia"/>
        </w:rPr>
        <w:tab/>
      </w:r>
      <w:r>
        <w:rPr>
          <w:rFonts w:hint="eastAsia"/>
        </w:rPr>
        <w:t>泰语是泰国的官方语言。虽然中央方言是标准的方言，但在不同的地区有几种地方方言。除了泰语之外，一些民族还说自己的语言。例如，北大年、亚拉和那拉提瓦的马来族穆斯林讲当地的马来语，而克伦族则讲自己部落的语言，苗族则讲苗族语言。</w:t>
      </w:r>
    </w:p>
    <w:p w14:paraId="4B9A5890" w14:textId="77777777" w:rsidR="00522F93" w:rsidRDefault="00522F93" w:rsidP="00C64D83">
      <w:pPr>
        <w:pStyle w:val="H23GC"/>
      </w:pPr>
      <w:r>
        <w:rPr>
          <w:rFonts w:hint="eastAsia"/>
        </w:rPr>
        <w:tab/>
      </w:r>
      <w:r>
        <w:rPr>
          <w:rFonts w:hint="eastAsia"/>
        </w:rPr>
        <w:tab/>
      </w:r>
      <w:r>
        <w:rPr>
          <w:rFonts w:hint="eastAsia"/>
        </w:rPr>
        <w:t>经济</w:t>
      </w:r>
    </w:p>
    <w:p w14:paraId="7B446EC4" w14:textId="54C7C449" w:rsidR="00522F93" w:rsidRDefault="00522F93" w:rsidP="00522F93">
      <w:pPr>
        <w:pStyle w:val="SingleTxtGC"/>
      </w:pPr>
      <w:r>
        <w:rPr>
          <w:rFonts w:hint="eastAsia"/>
        </w:rPr>
        <w:t>11.</w:t>
      </w:r>
      <w:r>
        <w:rPr>
          <w:rFonts w:hint="eastAsia"/>
        </w:rPr>
        <w:tab/>
      </w:r>
      <w:r>
        <w:rPr>
          <w:rFonts w:hint="eastAsia"/>
        </w:rPr>
        <w:t>泰国自</w:t>
      </w:r>
      <w:r>
        <w:rPr>
          <w:rFonts w:hint="eastAsia"/>
        </w:rPr>
        <w:t>2011</w:t>
      </w:r>
      <w:r>
        <w:rPr>
          <w:rFonts w:hint="eastAsia"/>
        </w:rPr>
        <w:t>年起成为中等偏上收入国家。</w:t>
      </w:r>
      <w:r>
        <w:rPr>
          <w:rFonts w:hint="eastAsia"/>
        </w:rPr>
        <w:t>2019</w:t>
      </w:r>
      <w:r>
        <w:rPr>
          <w:rFonts w:hint="eastAsia"/>
        </w:rPr>
        <w:t>年，按现价计算的国内生产总值为</w:t>
      </w:r>
      <w:r>
        <w:rPr>
          <w:rFonts w:hint="eastAsia"/>
        </w:rPr>
        <w:t>168</w:t>
      </w:r>
      <w:r w:rsidR="006D1156">
        <w:rPr>
          <w:rFonts w:hint="eastAsia"/>
        </w:rPr>
        <w:t>,</w:t>
      </w:r>
      <w:r>
        <w:rPr>
          <w:rFonts w:hint="eastAsia"/>
        </w:rPr>
        <w:t>790.0</w:t>
      </w:r>
      <w:r>
        <w:rPr>
          <w:rFonts w:hint="eastAsia"/>
        </w:rPr>
        <w:t>亿泰铢</w:t>
      </w:r>
      <w:r>
        <w:rPr>
          <w:rFonts w:hint="eastAsia"/>
        </w:rPr>
        <w:t>(5</w:t>
      </w:r>
      <w:r w:rsidR="006D1156">
        <w:rPr>
          <w:rFonts w:hint="eastAsia"/>
        </w:rPr>
        <w:t>,</w:t>
      </w:r>
      <w:r>
        <w:rPr>
          <w:rFonts w:hint="eastAsia"/>
        </w:rPr>
        <w:t>437</w:t>
      </w:r>
      <w:r>
        <w:rPr>
          <w:rFonts w:hint="eastAsia"/>
        </w:rPr>
        <w:t>亿美元</w:t>
      </w:r>
      <w:r>
        <w:rPr>
          <w:rFonts w:hint="eastAsia"/>
        </w:rPr>
        <w:t>)</w:t>
      </w:r>
      <w:r>
        <w:rPr>
          <w:rFonts w:hint="eastAsia"/>
        </w:rPr>
        <w:t>。人均国内生产总值为每人每年</w:t>
      </w:r>
      <w:r>
        <w:rPr>
          <w:rFonts w:hint="eastAsia"/>
        </w:rPr>
        <w:t>248</w:t>
      </w:r>
      <w:r w:rsidR="006D1156">
        <w:rPr>
          <w:rFonts w:hint="eastAsia"/>
        </w:rPr>
        <w:t>,</w:t>
      </w:r>
      <w:r>
        <w:rPr>
          <w:rFonts w:hint="eastAsia"/>
        </w:rPr>
        <w:t>257.4</w:t>
      </w:r>
      <w:r>
        <w:rPr>
          <w:rFonts w:hint="eastAsia"/>
        </w:rPr>
        <w:t>泰铢</w:t>
      </w:r>
      <w:r>
        <w:rPr>
          <w:rFonts w:hint="eastAsia"/>
        </w:rPr>
        <w:t>(</w:t>
      </w:r>
      <w:r>
        <w:rPr>
          <w:rFonts w:hint="eastAsia"/>
        </w:rPr>
        <w:t>每人每年</w:t>
      </w:r>
      <w:r>
        <w:rPr>
          <w:rFonts w:hint="eastAsia"/>
        </w:rPr>
        <w:t>7</w:t>
      </w:r>
      <w:r w:rsidR="006D1156">
        <w:rPr>
          <w:rFonts w:hint="eastAsia"/>
        </w:rPr>
        <w:t>,</w:t>
      </w:r>
      <w:r>
        <w:rPr>
          <w:rFonts w:hint="eastAsia"/>
        </w:rPr>
        <w:t>996.2</w:t>
      </w:r>
      <w:r>
        <w:rPr>
          <w:rFonts w:hint="eastAsia"/>
        </w:rPr>
        <w:t>美元</w:t>
      </w:r>
      <w:r>
        <w:rPr>
          <w:rFonts w:hint="eastAsia"/>
        </w:rPr>
        <w:t>)</w:t>
      </w:r>
      <w:r>
        <w:rPr>
          <w:rFonts w:hint="eastAsia"/>
        </w:rPr>
        <w:t>，高于上一年的每人每年</w:t>
      </w:r>
      <w:r>
        <w:rPr>
          <w:rFonts w:hint="eastAsia"/>
        </w:rPr>
        <w:t>241</w:t>
      </w:r>
      <w:r w:rsidR="006D1156">
        <w:rPr>
          <w:rFonts w:hint="eastAsia"/>
        </w:rPr>
        <w:t>,</w:t>
      </w:r>
      <w:r>
        <w:rPr>
          <w:rFonts w:hint="eastAsia"/>
        </w:rPr>
        <w:t>269.6</w:t>
      </w:r>
      <w:r>
        <w:rPr>
          <w:rFonts w:hint="eastAsia"/>
        </w:rPr>
        <w:t>泰铢</w:t>
      </w:r>
      <w:r>
        <w:rPr>
          <w:rFonts w:hint="eastAsia"/>
        </w:rPr>
        <w:t>(</w:t>
      </w:r>
      <w:r>
        <w:rPr>
          <w:rFonts w:hint="eastAsia"/>
        </w:rPr>
        <w:t>每人每年</w:t>
      </w:r>
      <w:r>
        <w:rPr>
          <w:rFonts w:hint="eastAsia"/>
        </w:rPr>
        <w:t>7</w:t>
      </w:r>
      <w:r w:rsidR="006D1156">
        <w:rPr>
          <w:rFonts w:hint="eastAsia"/>
        </w:rPr>
        <w:t>,</w:t>
      </w:r>
      <w:r>
        <w:rPr>
          <w:rFonts w:hint="eastAsia"/>
        </w:rPr>
        <w:t>467.1</w:t>
      </w:r>
      <w:r>
        <w:rPr>
          <w:rFonts w:hint="eastAsia"/>
        </w:rPr>
        <w:t>美元</w:t>
      </w:r>
      <w:r>
        <w:rPr>
          <w:rFonts w:hint="eastAsia"/>
        </w:rPr>
        <w:t>)</w:t>
      </w:r>
      <w:r>
        <w:rPr>
          <w:rFonts w:hint="eastAsia"/>
        </w:rPr>
        <w:t>。国家贫困线以下人口比例</w:t>
      </w:r>
      <w:r>
        <w:rPr>
          <w:rFonts w:hint="eastAsia"/>
        </w:rPr>
        <w:t>2018</w:t>
      </w:r>
      <w:r>
        <w:rPr>
          <w:rFonts w:hint="eastAsia"/>
        </w:rPr>
        <w:t>年为</w:t>
      </w:r>
      <w:r>
        <w:rPr>
          <w:rFonts w:hint="eastAsia"/>
        </w:rPr>
        <w:t>9.85%</w:t>
      </w:r>
      <w:r>
        <w:rPr>
          <w:rFonts w:hint="eastAsia"/>
        </w:rPr>
        <w:t>，</w:t>
      </w:r>
      <w:r>
        <w:rPr>
          <w:rFonts w:hint="eastAsia"/>
        </w:rPr>
        <w:t>2019</w:t>
      </w:r>
      <w:r>
        <w:rPr>
          <w:rFonts w:hint="eastAsia"/>
        </w:rPr>
        <w:t>年为</w:t>
      </w:r>
      <w:r>
        <w:rPr>
          <w:rFonts w:hint="eastAsia"/>
        </w:rPr>
        <w:t>8.61%</w:t>
      </w:r>
      <w:r>
        <w:rPr>
          <w:rFonts w:hint="eastAsia"/>
        </w:rPr>
        <w:t>，下降了</w:t>
      </w:r>
      <w:r>
        <w:rPr>
          <w:rFonts w:hint="eastAsia"/>
        </w:rPr>
        <w:t>12.59%</w:t>
      </w:r>
      <w:r>
        <w:rPr>
          <w:rFonts w:hint="eastAsia"/>
        </w:rPr>
        <w:t>。</w:t>
      </w:r>
    </w:p>
    <w:p w14:paraId="0B5A48F9" w14:textId="6D7D5922" w:rsidR="00522F93" w:rsidRDefault="00522F93" w:rsidP="00522F93">
      <w:pPr>
        <w:pStyle w:val="SingleTxtGC"/>
      </w:pPr>
      <w:r>
        <w:rPr>
          <w:rFonts w:hint="eastAsia"/>
        </w:rPr>
        <w:t>12.</w:t>
      </w:r>
      <w:r>
        <w:rPr>
          <w:rFonts w:hint="eastAsia"/>
        </w:rPr>
        <w:tab/>
        <w:t>2019</w:t>
      </w:r>
      <w:r>
        <w:rPr>
          <w:rFonts w:hint="eastAsia"/>
        </w:rPr>
        <w:t>年，泰国经济增长了</w:t>
      </w:r>
      <w:r>
        <w:rPr>
          <w:rFonts w:hint="eastAsia"/>
        </w:rPr>
        <w:t>2.4%</w:t>
      </w:r>
      <w:r>
        <w:rPr>
          <w:rFonts w:hint="eastAsia"/>
        </w:rPr>
        <w:t>，而</w:t>
      </w:r>
      <w:r>
        <w:rPr>
          <w:rFonts w:hint="eastAsia"/>
        </w:rPr>
        <w:t>2018</w:t>
      </w:r>
      <w:r>
        <w:rPr>
          <w:rFonts w:hint="eastAsia"/>
        </w:rPr>
        <w:t>年增长了</w:t>
      </w:r>
      <w:r>
        <w:rPr>
          <w:rFonts w:hint="eastAsia"/>
        </w:rPr>
        <w:t>4.2%</w:t>
      </w:r>
      <w:r>
        <w:rPr>
          <w:rFonts w:hint="eastAsia"/>
        </w:rPr>
        <w:t>。在支出方面，私人消费和投资分别增长</w:t>
      </w:r>
      <w:r>
        <w:rPr>
          <w:rFonts w:hint="eastAsia"/>
        </w:rPr>
        <w:t>4.5%</w:t>
      </w:r>
      <w:r>
        <w:rPr>
          <w:rFonts w:hint="eastAsia"/>
        </w:rPr>
        <w:t>和</w:t>
      </w:r>
      <w:r>
        <w:rPr>
          <w:rFonts w:hint="eastAsia"/>
        </w:rPr>
        <w:t>2.8%</w:t>
      </w:r>
      <w:r>
        <w:rPr>
          <w:rFonts w:hint="eastAsia"/>
        </w:rPr>
        <w:t>，并在上一年增长</w:t>
      </w:r>
      <w:r>
        <w:rPr>
          <w:rFonts w:hint="eastAsia"/>
        </w:rPr>
        <w:t>4.6%</w:t>
      </w:r>
      <w:r>
        <w:rPr>
          <w:rFonts w:hint="eastAsia"/>
        </w:rPr>
        <w:t>和</w:t>
      </w:r>
      <w:r>
        <w:rPr>
          <w:rFonts w:hint="eastAsia"/>
        </w:rPr>
        <w:t>4.1%</w:t>
      </w:r>
      <w:r>
        <w:rPr>
          <w:rFonts w:hint="eastAsia"/>
        </w:rPr>
        <w:t>的基础上继续增长。此外，政府消费和投资分别增长</w:t>
      </w:r>
      <w:r>
        <w:rPr>
          <w:rFonts w:hint="eastAsia"/>
        </w:rPr>
        <w:t>1.4%</w:t>
      </w:r>
      <w:r>
        <w:rPr>
          <w:rFonts w:hint="eastAsia"/>
        </w:rPr>
        <w:t>和</w:t>
      </w:r>
      <w:r>
        <w:rPr>
          <w:rFonts w:hint="eastAsia"/>
        </w:rPr>
        <w:t>0.2%</w:t>
      </w:r>
      <w:r>
        <w:rPr>
          <w:rFonts w:hint="eastAsia"/>
        </w:rPr>
        <w:t>，而上一年分别为</w:t>
      </w:r>
      <w:r>
        <w:rPr>
          <w:rFonts w:hint="eastAsia"/>
        </w:rPr>
        <w:t>2.6%</w:t>
      </w:r>
      <w:r>
        <w:rPr>
          <w:rFonts w:hint="eastAsia"/>
        </w:rPr>
        <w:t>和</w:t>
      </w:r>
      <w:r>
        <w:rPr>
          <w:rFonts w:hint="eastAsia"/>
        </w:rPr>
        <w:t>2.9%</w:t>
      </w:r>
      <w:r>
        <w:rPr>
          <w:rFonts w:hint="eastAsia"/>
        </w:rPr>
        <w:t>。然而，出口额下降了</w:t>
      </w:r>
      <w:r>
        <w:rPr>
          <w:rFonts w:hint="eastAsia"/>
        </w:rPr>
        <w:t>3.2%</w:t>
      </w:r>
      <w:r>
        <w:rPr>
          <w:rFonts w:hint="eastAsia"/>
        </w:rPr>
        <w:t>，而上一年的增长为</w:t>
      </w:r>
      <w:r>
        <w:rPr>
          <w:rFonts w:hint="eastAsia"/>
        </w:rPr>
        <w:t>7.5%</w:t>
      </w:r>
      <w:r>
        <w:rPr>
          <w:rFonts w:hint="eastAsia"/>
        </w:rPr>
        <w:t>。</w:t>
      </w:r>
    </w:p>
    <w:p w14:paraId="21AE1E00" w14:textId="41C4EEB0" w:rsidR="00522F93" w:rsidRDefault="00522F93" w:rsidP="00522F93">
      <w:pPr>
        <w:pStyle w:val="SingleTxtGC"/>
      </w:pPr>
      <w:r>
        <w:rPr>
          <w:rFonts w:hint="eastAsia"/>
        </w:rPr>
        <w:t>13.</w:t>
      </w:r>
      <w:r>
        <w:rPr>
          <w:rFonts w:hint="eastAsia"/>
        </w:rPr>
        <w:tab/>
      </w:r>
      <w:r>
        <w:rPr>
          <w:rFonts w:hint="eastAsia"/>
        </w:rPr>
        <w:t>在生产方面，农业和非农部门分别占国内生产总值的</w:t>
      </w:r>
      <w:r>
        <w:rPr>
          <w:rFonts w:hint="eastAsia"/>
        </w:rPr>
        <w:t>6.16%</w:t>
      </w:r>
      <w:r>
        <w:rPr>
          <w:rFonts w:hint="eastAsia"/>
        </w:rPr>
        <w:t>和</w:t>
      </w:r>
      <w:r>
        <w:rPr>
          <w:rFonts w:hint="eastAsia"/>
        </w:rPr>
        <w:t>93.84%</w:t>
      </w:r>
      <w:r>
        <w:rPr>
          <w:rFonts w:hint="eastAsia"/>
        </w:rPr>
        <w:t>。农业生产、林业生产和渔业部门、住宿和食品服务活动部门、批发和零售贸易；汽车和摩托车修理行业以及运输和仓储行业分别增长</w:t>
      </w:r>
      <w:r>
        <w:rPr>
          <w:rFonts w:hint="eastAsia"/>
        </w:rPr>
        <w:t>0.1%</w:t>
      </w:r>
      <w:r>
        <w:rPr>
          <w:rFonts w:hint="eastAsia"/>
        </w:rPr>
        <w:t>、</w:t>
      </w:r>
      <w:r>
        <w:rPr>
          <w:rFonts w:hint="eastAsia"/>
        </w:rPr>
        <w:t>5.5%</w:t>
      </w:r>
      <w:r>
        <w:rPr>
          <w:rFonts w:hint="eastAsia"/>
        </w:rPr>
        <w:t>、</w:t>
      </w:r>
      <w:r>
        <w:rPr>
          <w:rFonts w:hint="eastAsia"/>
        </w:rPr>
        <w:t>5.7%</w:t>
      </w:r>
      <w:r>
        <w:rPr>
          <w:rFonts w:hint="eastAsia"/>
        </w:rPr>
        <w:t>、</w:t>
      </w:r>
      <w:r>
        <w:rPr>
          <w:rFonts w:hint="eastAsia"/>
        </w:rPr>
        <w:t>3.4%</w:t>
      </w:r>
      <w:r>
        <w:rPr>
          <w:rFonts w:hint="eastAsia"/>
        </w:rPr>
        <w:t>，较上一年</w:t>
      </w:r>
      <w:r>
        <w:rPr>
          <w:rFonts w:hint="eastAsia"/>
        </w:rPr>
        <w:t>5.5%</w:t>
      </w:r>
      <w:r>
        <w:rPr>
          <w:rFonts w:hint="eastAsia"/>
        </w:rPr>
        <w:t>、</w:t>
      </w:r>
      <w:r>
        <w:rPr>
          <w:rFonts w:hint="eastAsia"/>
        </w:rPr>
        <w:t>7.6%</w:t>
      </w:r>
      <w:r>
        <w:rPr>
          <w:rFonts w:hint="eastAsia"/>
        </w:rPr>
        <w:t>、</w:t>
      </w:r>
      <w:r>
        <w:rPr>
          <w:rFonts w:hint="eastAsia"/>
        </w:rPr>
        <w:t>6.6%</w:t>
      </w:r>
      <w:r>
        <w:rPr>
          <w:rFonts w:hint="eastAsia"/>
        </w:rPr>
        <w:t>和</w:t>
      </w:r>
      <w:r>
        <w:rPr>
          <w:rFonts w:hint="eastAsia"/>
        </w:rPr>
        <w:t>4.4%</w:t>
      </w:r>
      <w:r>
        <w:rPr>
          <w:rFonts w:hint="eastAsia"/>
        </w:rPr>
        <w:t>的增幅有所放缓。制造业下滑</w:t>
      </w:r>
      <w:r>
        <w:rPr>
          <w:rFonts w:hint="eastAsia"/>
        </w:rPr>
        <w:t>0.7%</w:t>
      </w:r>
      <w:r>
        <w:rPr>
          <w:rFonts w:hint="eastAsia"/>
        </w:rPr>
        <w:t>，而</w:t>
      </w:r>
      <w:r>
        <w:rPr>
          <w:rFonts w:hint="eastAsia"/>
        </w:rPr>
        <w:t>2018</w:t>
      </w:r>
      <w:r>
        <w:rPr>
          <w:rFonts w:hint="eastAsia"/>
        </w:rPr>
        <w:t>年为增长</w:t>
      </w:r>
      <w:r>
        <w:rPr>
          <w:rFonts w:hint="eastAsia"/>
        </w:rPr>
        <w:t>3.2%</w:t>
      </w:r>
      <w:r>
        <w:rPr>
          <w:rFonts w:hint="eastAsia"/>
        </w:rPr>
        <w:t>。</w:t>
      </w:r>
    </w:p>
    <w:p w14:paraId="2FC1998D" w14:textId="3B05B9AB" w:rsidR="00522F93" w:rsidRDefault="00522F93" w:rsidP="00522F93">
      <w:pPr>
        <w:pStyle w:val="SingleTxtGC"/>
      </w:pPr>
      <w:r>
        <w:rPr>
          <w:rFonts w:hint="eastAsia"/>
        </w:rPr>
        <w:t>14.</w:t>
      </w:r>
      <w:r>
        <w:rPr>
          <w:rFonts w:hint="eastAsia"/>
        </w:rPr>
        <w:tab/>
        <w:t>2019</w:t>
      </w:r>
      <w:r>
        <w:rPr>
          <w:rFonts w:hint="eastAsia"/>
        </w:rPr>
        <w:t>年国家预算总额定为</w:t>
      </w:r>
      <w:r>
        <w:rPr>
          <w:rFonts w:hint="eastAsia"/>
        </w:rPr>
        <w:t>3.0</w:t>
      </w:r>
      <w:r>
        <w:rPr>
          <w:rFonts w:hint="eastAsia"/>
        </w:rPr>
        <w:t>万亿泰铢，比</w:t>
      </w:r>
      <w:r>
        <w:rPr>
          <w:rFonts w:hint="eastAsia"/>
        </w:rPr>
        <w:t>2018</w:t>
      </w:r>
      <w:r>
        <w:rPr>
          <w:rFonts w:hint="eastAsia"/>
        </w:rPr>
        <w:t>年预算增加了</w:t>
      </w:r>
      <w:r>
        <w:rPr>
          <w:rFonts w:hint="eastAsia"/>
        </w:rPr>
        <w:t>1%</w:t>
      </w:r>
      <w:r>
        <w:rPr>
          <w:rFonts w:hint="eastAsia"/>
        </w:rPr>
        <w:t>。</w:t>
      </w:r>
    </w:p>
    <w:p w14:paraId="312C8EDD" w14:textId="65B0A5E4" w:rsidR="00522F93" w:rsidRDefault="00522F93" w:rsidP="00522F93">
      <w:pPr>
        <w:pStyle w:val="SingleTxtGC"/>
      </w:pPr>
      <w:r>
        <w:rPr>
          <w:rFonts w:hint="eastAsia"/>
        </w:rPr>
        <w:t>15.</w:t>
      </w:r>
      <w:r>
        <w:rPr>
          <w:rFonts w:hint="eastAsia"/>
        </w:rPr>
        <w:tab/>
      </w:r>
      <w:r>
        <w:rPr>
          <w:rFonts w:hint="eastAsia"/>
        </w:rPr>
        <w:t>总体来看，经济稳中向好。总体通货膨胀为</w:t>
      </w:r>
      <w:r>
        <w:rPr>
          <w:rFonts w:hint="eastAsia"/>
        </w:rPr>
        <w:t>0.7%</w:t>
      </w:r>
      <w:r>
        <w:rPr>
          <w:rFonts w:hint="eastAsia"/>
        </w:rPr>
        <w:t>，经常账户盈余占国内生产总值的</w:t>
      </w:r>
      <w:r>
        <w:rPr>
          <w:rFonts w:hint="eastAsia"/>
        </w:rPr>
        <w:t>6.8%</w:t>
      </w:r>
      <w:r>
        <w:rPr>
          <w:rFonts w:hint="eastAsia"/>
        </w:rPr>
        <w:t>。</w:t>
      </w:r>
    </w:p>
    <w:p w14:paraId="40CDE07A" w14:textId="3529835C" w:rsidR="00956513" w:rsidRPr="00956513" w:rsidRDefault="00956513" w:rsidP="00956513">
      <w:pPr>
        <w:tabs>
          <w:tab w:val="clear" w:pos="431"/>
        </w:tabs>
        <w:overflowPunct/>
        <w:adjustRightInd/>
        <w:snapToGrid/>
        <w:spacing w:line="240" w:lineRule="auto"/>
        <w:jc w:val="left"/>
      </w:pPr>
      <w:r>
        <w:br w:type="page"/>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1701"/>
        <w:gridCol w:w="949"/>
        <w:gridCol w:w="108"/>
        <w:gridCol w:w="518"/>
        <w:gridCol w:w="865"/>
        <w:gridCol w:w="677"/>
      </w:tblGrid>
      <w:tr w:rsidR="00956513" w:rsidRPr="00956513" w14:paraId="287EE2F5" w14:textId="77777777" w:rsidTr="00956513">
        <w:trPr>
          <w:tblHeader/>
        </w:trPr>
        <w:tc>
          <w:tcPr>
            <w:tcW w:w="2552" w:type="dxa"/>
            <w:tcBorders>
              <w:top w:val="single" w:sz="4" w:space="0" w:color="auto"/>
              <w:bottom w:val="single" w:sz="12" w:space="0" w:color="auto"/>
            </w:tcBorders>
            <w:shd w:val="clear" w:color="auto" w:fill="auto"/>
            <w:vAlign w:val="bottom"/>
          </w:tcPr>
          <w:p w14:paraId="68B8A5B9" w14:textId="77777777" w:rsidR="00956513" w:rsidRPr="00956513" w:rsidRDefault="00956513" w:rsidP="00634E33">
            <w:pPr>
              <w:spacing w:before="80" w:after="80" w:line="200" w:lineRule="exact"/>
              <w:ind w:right="113"/>
              <w:rPr>
                <w:rFonts w:eastAsia="楷体"/>
                <w:sz w:val="18"/>
                <w:szCs w:val="18"/>
              </w:rPr>
            </w:pPr>
            <w:r w:rsidRPr="00956513">
              <w:rPr>
                <w:rFonts w:eastAsia="楷体"/>
                <w:sz w:val="18"/>
                <w:szCs w:val="18"/>
                <w:lang w:val="zh-CN"/>
              </w:rPr>
              <w:lastRenderedPageBreak/>
              <w:t>人均收入</w:t>
            </w:r>
          </w:p>
        </w:tc>
        <w:tc>
          <w:tcPr>
            <w:tcW w:w="4818" w:type="dxa"/>
            <w:gridSpan w:val="6"/>
            <w:tcBorders>
              <w:top w:val="single" w:sz="4" w:space="0" w:color="auto"/>
              <w:bottom w:val="single" w:sz="12" w:space="0" w:color="auto"/>
            </w:tcBorders>
            <w:shd w:val="clear" w:color="auto" w:fill="auto"/>
            <w:vAlign w:val="bottom"/>
          </w:tcPr>
          <w:p w14:paraId="0EBA9F53" w14:textId="3490773B" w:rsidR="00956513" w:rsidRPr="00956513" w:rsidRDefault="00956513" w:rsidP="00634E33">
            <w:pPr>
              <w:spacing w:before="80" w:after="80" w:line="200" w:lineRule="exact"/>
              <w:ind w:right="113"/>
              <w:jc w:val="right"/>
              <w:rPr>
                <w:rFonts w:eastAsia="楷体"/>
                <w:sz w:val="18"/>
                <w:szCs w:val="18"/>
              </w:rPr>
            </w:pPr>
            <w:r w:rsidRPr="00956513">
              <w:rPr>
                <w:rFonts w:eastAsia="楷体"/>
                <w:sz w:val="18"/>
                <w:szCs w:val="18"/>
                <w:lang w:val="zh-CN"/>
              </w:rPr>
              <w:t>4</w:t>
            </w:r>
            <w:r w:rsidR="006D1156">
              <w:rPr>
                <w:rFonts w:eastAsia="楷体"/>
                <w:sz w:val="18"/>
                <w:szCs w:val="18"/>
                <w:lang w:val="zh-CN"/>
              </w:rPr>
              <w:t>,</w:t>
            </w:r>
            <w:r w:rsidRPr="00956513">
              <w:rPr>
                <w:rFonts w:eastAsia="楷体"/>
                <w:sz w:val="18"/>
                <w:szCs w:val="18"/>
                <w:lang w:val="zh-CN"/>
              </w:rPr>
              <w:t>615.24</w:t>
            </w:r>
            <w:r w:rsidRPr="00956513">
              <w:rPr>
                <w:rFonts w:eastAsia="楷体"/>
                <w:sz w:val="18"/>
                <w:szCs w:val="18"/>
                <w:lang w:val="zh-CN"/>
              </w:rPr>
              <w:t>美元</w:t>
            </w:r>
            <w:r w:rsidRPr="00956513">
              <w:rPr>
                <w:rFonts w:eastAsia="楷体"/>
                <w:sz w:val="18"/>
                <w:szCs w:val="18"/>
                <w:lang w:val="zh-CN"/>
              </w:rPr>
              <w:t>(147</w:t>
            </w:r>
            <w:r w:rsidR="006D1156">
              <w:rPr>
                <w:rFonts w:eastAsia="楷体"/>
                <w:sz w:val="18"/>
                <w:szCs w:val="18"/>
                <w:lang w:val="zh-CN"/>
              </w:rPr>
              <w:t>,</w:t>
            </w:r>
            <w:r w:rsidRPr="00956513">
              <w:rPr>
                <w:rFonts w:eastAsia="楷体"/>
                <w:sz w:val="18"/>
                <w:szCs w:val="18"/>
                <w:lang w:val="zh-CN"/>
              </w:rPr>
              <w:t>088</w:t>
            </w:r>
            <w:r w:rsidRPr="00956513">
              <w:rPr>
                <w:rFonts w:eastAsia="楷体"/>
                <w:sz w:val="18"/>
                <w:szCs w:val="18"/>
                <w:lang w:val="zh-CN"/>
              </w:rPr>
              <w:t>泰铢</w:t>
            </w:r>
            <w:r w:rsidRPr="00956513">
              <w:rPr>
                <w:rFonts w:eastAsia="楷体"/>
                <w:sz w:val="18"/>
                <w:szCs w:val="18"/>
                <w:lang w:val="zh-CN"/>
              </w:rPr>
              <w:t>)</w:t>
            </w:r>
            <w:r w:rsidRPr="00956513">
              <w:rPr>
                <w:rStyle w:val="a8"/>
                <w:rFonts w:eastAsia="楷体"/>
                <w:szCs w:val="18"/>
                <w:rtl/>
                <w:lang w:val="zh-CN"/>
              </w:rPr>
              <w:footnoteReference w:id="4"/>
            </w:r>
          </w:p>
        </w:tc>
      </w:tr>
      <w:tr w:rsidR="00956513" w:rsidRPr="00337391" w14:paraId="45ED2ACF" w14:textId="77777777" w:rsidTr="00956513">
        <w:tc>
          <w:tcPr>
            <w:tcW w:w="2552" w:type="dxa"/>
            <w:tcBorders>
              <w:top w:val="single" w:sz="12" w:space="0" w:color="auto"/>
            </w:tcBorders>
            <w:shd w:val="clear" w:color="auto" w:fill="auto"/>
          </w:tcPr>
          <w:p w14:paraId="26D5A680" w14:textId="77777777" w:rsidR="00956513" w:rsidRPr="00337391" w:rsidRDefault="00956513" w:rsidP="00634E33">
            <w:pPr>
              <w:spacing w:before="40" w:after="40" w:line="220" w:lineRule="exact"/>
              <w:ind w:right="113"/>
              <w:rPr>
                <w:sz w:val="18"/>
                <w:szCs w:val="18"/>
              </w:rPr>
            </w:pPr>
            <w:r w:rsidRPr="00337391">
              <w:rPr>
                <w:sz w:val="18"/>
                <w:szCs w:val="18"/>
                <w:lang w:val="zh-CN"/>
              </w:rPr>
              <w:t>国内生产总值</w:t>
            </w:r>
            <w:r w:rsidRPr="00337391">
              <w:rPr>
                <w:sz w:val="18"/>
                <w:szCs w:val="18"/>
                <w:lang w:val="zh-CN"/>
              </w:rPr>
              <w:t>(</w:t>
            </w:r>
            <w:r w:rsidRPr="00337391">
              <w:rPr>
                <w:sz w:val="18"/>
                <w:szCs w:val="18"/>
                <w:lang w:val="zh-CN"/>
              </w:rPr>
              <w:t>百万</w:t>
            </w:r>
            <w:r w:rsidRPr="00337391">
              <w:rPr>
                <w:sz w:val="18"/>
                <w:szCs w:val="18"/>
                <w:lang w:val="zh-CN"/>
              </w:rPr>
              <w:t>)</w:t>
            </w:r>
          </w:p>
        </w:tc>
        <w:tc>
          <w:tcPr>
            <w:tcW w:w="4818" w:type="dxa"/>
            <w:gridSpan w:val="6"/>
            <w:tcBorders>
              <w:top w:val="single" w:sz="12" w:space="0" w:color="auto"/>
            </w:tcBorders>
            <w:shd w:val="clear" w:color="auto" w:fill="auto"/>
            <w:vAlign w:val="bottom"/>
          </w:tcPr>
          <w:p w14:paraId="6D6139A4" w14:textId="427EA017" w:rsidR="00956513" w:rsidRPr="00337391" w:rsidRDefault="00956513" w:rsidP="002875C9">
            <w:pPr>
              <w:spacing w:before="40" w:after="40" w:line="220" w:lineRule="exact"/>
              <w:jc w:val="right"/>
              <w:rPr>
                <w:sz w:val="18"/>
                <w:szCs w:val="18"/>
              </w:rPr>
            </w:pPr>
            <w:r w:rsidRPr="00337391">
              <w:rPr>
                <w:sz w:val="18"/>
                <w:szCs w:val="18"/>
                <w:lang w:val="zh-CN"/>
              </w:rPr>
              <w:t>313</w:t>
            </w:r>
            <w:r w:rsidR="006D1156">
              <w:rPr>
                <w:sz w:val="18"/>
                <w:szCs w:val="18"/>
                <w:lang w:val="zh-CN"/>
              </w:rPr>
              <w:t>,</w:t>
            </w:r>
            <w:r w:rsidRPr="00337391">
              <w:rPr>
                <w:sz w:val="18"/>
                <w:szCs w:val="18"/>
                <w:lang w:val="zh-CN"/>
              </w:rPr>
              <w:t>701.53</w:t>
            </w:r>
            <w:r w:rsidRPr="00337391">
              <w:rPr>
                <w:sz w:val="18"/>
                <w:szCs w:val="18"/>
                <w:lang w:val="zh-CN"/>
              </w:rPr>
              <w:t>美元</w:t>
            </w:r>
            <w:r w:rsidRPr="00337391">
              <w:rPr>
                <w:sz w:val="18"/>
                <w:szCs w:val="18"/>
                <w:lang w:val="zh-CN"/>
              </w:rPr>
              <w:t>(9</w:t>
            </w:r>
            <w:r w:rsidR="006D1156">
              <w:rPr>
                <w:sz w:val="18"/>
                <w:szCs w:val="18"/>
                <w:lang w:val="zh-CN"/>
              </w:rPr>
              <w:t>,</w:t>
            </w:r>
            <w:r w:rsidRPr="00337391">
              <w:rPr>
                <w:sz w:val="18"/>
                <w:szCs w:val="18"/>
                <w:lang w:val="zh-CN"/>
              </w:rPr>
              <w:t>997</w:t>
            </w:r>
            <w:r w:rsidR="006D1156">
              <w:rPr>
                <w:sz w:val="18"/>
                <w:szCs w:val="18"/>
                <w:lang w:val="zh-CN"/>
              </w:rPr>
              <w:t>,</w:t>
            </w:r>
            <w:r w:rsidRPr="00337391">
              <w:rPr>
                <w:sz w:val="18"/>
                <w:szCs w:val="18"/>
                <w:lang w:val="zh-CN"/>
              </w:rPr>
              <w:t>668</w:t>
            </w:r>
            <w:r w:rsidRPr="00337391">
              <w:rPr>
                <w:sz w:val="18"/>
                <w:szCs w:val="18"/>
                <w:lang w:val="zh-CN"/>
              </w:rPr>
              <w:t>泰铢</w:t>
            </w:r>
            <w:r w:rsidRPr="00337391">
              <w:rPr>
                <w:sz w:val="18"/>
                <w:szCs w:val="18"/>
                <w:lang w:val="zh-CN"/>
              </w:rPr>
              <w:t>)</w:t>
            </w:r>
          </w:p>
        </w:tc>
      </w:tr>
      <w:tr w:rsidR="00956513" w:rsidRPr="00337391" w14:paraId="388D004B" w14:textId="77777777" w:rsidTr="00634E33">
        <w:tc>
          <w:tcPr>
            <w:tcW w:w="2552" w:type="dxa"/>
            <w:shd w:val="clear" w:color="auto" w:fill="auto"/>
          </w:tcPr>
          <w:p w14:paraId="36902622" w14:textId="77777777" w:rsidR="00956513" w:rsidRPr="00337391" w:rsidRDefault="00956513" w:rsidP="00634E33">
            <w:pPr>
              <w:spacing w:before="40" w:after="40" w:line="220" w:lineRule="exact"/>
              <w:ind w:right="113"/>
              <w:rPr>
                <w:sz w:val="18"/>
                <w:szCs w:val="18"/>
              </w:rPr>
            </w:pPr>
            <w:r w:rsidRPr="00337391">
              <w:rPr>
                <w:sz w:val="18"/>
                <w:szCs w:val="18"/>
                <w:lang w:val="zh-CN"/>
              </w:rPr>
              <w:t>年增长率</w:t>
            </w:r>
          </w:p>
        </w:tc>
        <w:tc>
          <w:tcPr>
            <w:tcW w:w="4818" w:type="dxa"/>
            <w:gridSpan w:val="6"/>
            <w:shd w:val="clear" w:color="auto" w:fill="auto"/>
            <w:vAlign w:val="bottom"/>
          </w:tcPr>
          <w:p w14:paraId="5313C582" w14:textId="77777777" w:rsidR="00956513" w:rsidRPr="00337391" w:rsidRDefault="00956513" w:rsidP="002875C9">
            <w:pPr>
              <w:spacing w:before="40" w:after="40" w:line="220" w:lineRule="exact"/>
              <w:jc w:val="right"/>
              <w:rPr>
                <w:sz w:val="18"/>
                <w:szCs w:val="18"/>
              </w:rPr>
            </w:pPr>
            <w:r w:rsidRPr="00337391">
              <w:rPr>
                <w:sz w:val="18"/>
                <w:szCs w:val="18"/>
                <w:lang w:val="zh-CN"/>
              </w:rPr>
              <w:t>3.3%</w:t>
            </w:r>
          </w:p>
        </w:tc>
      </w:tr>
      <w:tr w:rsidR="00956513" w:rsidRPr="00337391" w14:paraId="7303A8E6" w14:textId="77777777" w:rsidTr="00634E33">
        <w:tc>
          <w:tcPr>
            <w:tcW w:w="2552" w:type="dxa"/>
            <w:shd w:val="clear" w:color="auto" w:fill="auto"/>
          </w:tcPr>
          <w:p w14:paraId="1450FE96" w14:textId="77777777" w:rsidR="00956513" w:rsidRPr="00337391" w:rsidRDefault="00956513" w:rsidP="00634E33">
            <w:pPr>
              <w:spacing w:before="40" w:after="40" w:line="220" w:lineRule="exact"/>
              <w:ind w:right="113"/>
              <w:rPr>
                <w:sz w:val="18"/>
                <w:szCs w:val="18"/>
              </w:rPr>
            </w:pPr>
            <w:r w:rsidRPr="00337391">
              <w:rPr>
                <w:sz w:val="18"/>
                <w:szCs w:val="18"/>
                <w:lang w:val="zh-CN"/>
              </w:rPr>
              <w:t>国民总收入</w:t>
            </w:r>
            <w:r w:rsidRPr="00337391">
              <w:rPr>
                <w:sz w:val="18"/>
                <w:szCs w:val="18"/>
                <w:lang w:val="zh-CN"/>
              </w:rPr>
              <w:t>(</w:t>
            </w:r>
            <w:r w:rsidRPr="00337391">
              <w:rPr>
                <w:sz w:val="18"/>
                <w:szCs w:val="18"/>
                <w:lang w:val="zh-CN"/>
              </w:rPr>
              <w:t>百万</w:t>
            </w:r>
            <w:r w:rsidRPr="00337391">
              <w:rPr>
                <w:sz w:val="18"/>
                <w:szCs w:val="18"/>
                <w:lang w:val="zh-CN"/>
              </w:rPr>
              <w:t>)</w:t>
            </w:r>
          </w:p>
        </w:tc>
        <w:tc>
          <w:tcPr>
            <w:tcW w:w="4818" w:type="dxa"/>
            <w:gridSpan w:val="6"/>
            <w:shd w:val="clear" w:color="auto" w:fill="auto"/>
            <w:vAlign w:val="bottom"/>
          </w:tcPr>
          <w:p w14:paraId="024382F5" w14:textId="0E1D7028" w:rsidR="00956513" w:rsidRPr="00337391" w:rsidRDefault="00956513" w:rsidP="002875C9">
            <w:pPr>
              <w:spacing w:before="40" w:after="40" w:line="220" w:lineRule="exact"/>
              <w:jc w:val="right"/>
              <w:rPr>
                <w:sz w:val="18"/>
                <w:szCs w:val="18"/>
              </w:rPr>
            </w:pPr>
            <w:r w:rsidRPr="00337391">
              <w:rPr>
                <w:sz w:val="18"/>
                <w:szCs w:val="18"/>
                <w:lang w:val="zh-CN"/>
              </w:rPr>
              <w:t>434</w:t>
            </w:r>
            <w:r w:rsidR="006D1156">
              <w:rPr>
                <w:sz w:val="18"/>
                <w:szCs w:val="18"/>
                <w:lang w:val="zh-CN"/>
              </w:rPr>
              <w:t>,</w:t>
            </w:r>
            <w:r w:rsidRPr="00337391">
              <w:rPr>
                <w:sz w:val="18"/>
                <w:szCs w:val="18"/>
                <w:lang w:val="zh-CN"/>
              </w:rPr>
              <w:t>612.83</w:t>
            </w:r>
            <w:r w:rsidRPr="00337391">
              <w:rPr>
                <w:sz w:val="18"/>
                <w:szCs w:val="18"/>
                <w:lang w:val="zh-CN"/>
              </w:rPr>
              <w:t>美元</w:t>
            </w:r>
            <w:r w:rsidRPr="00337391">
              <w:rPr>
                <w:sz w:val="18"/>
                <w:szCs w:val="18"/>
                <w:lang w:val="zh-CN"/>
              </w:rPr>
              <w:t>(13</w:t>
            </w:r>
            <w:r w:rsidR="006D1156">
              <w:rPr>
                <w:sz w:val="18"/>
                <w:szCs w:val="18"/>
                <w:lang w:val="zh-CN"/>
              </w:rPr>
              <w:t>,</w:t>
            </w:r>
            <w:r w:rsidRPr="00337391">
              <w:rPr>
                <w:sz w:val="18"/>
                <w:szCs w:val="18"/>
                <w:lang w:val="zh-CN"/>
              </w:rPr>
              <w:t>851</w:t>
            </w:r>
            <w:r w:rsidR="006D1156">
              <w:rPr>
                <w:sz w:val="18"/>
                <w:szCs w:val="18"/>
                <w:lang w:val="zh-CN"/>
              </w:rPr>
              <w:t>,</w:t>
            </w:r>
            <w:r w:rsidRPr="00337391">
              <w:rPr>
                <w:sz w:val="18"/>
                <w:szCs w:val="18"/>
                <w:lang w:val="zh-CN"/>
              </w:rPr>
              <w:t>111</w:t>
            </w:r>
            <w:r w:rsidRPr="00337391">
              <w:rPr>
                <w:sz w:val="18"/>
                <w:szCs w:val="18"/>
                <w:lang w:val="zh-CN"/>
              </w:rPr>
              <w:t>泰铢</w:t>
            </w:r>
            <w:r w:rsidRPr="00337391">
              <w:rPr>
                <w:sz w:val="18"/>
                <w:szCs w:val="18"/>
                <w:lang w:val="zh-CN"/>
              </w:rPr>
              <w:t>)</w:t>
            </w:r>
          </w:p>
        </w:tc>
      </w:tr>
      <w:tr w:rsidR="00956513" w:rsidRPr="00337391" w14:paraId="7F5E8E9A" w14:textId="77777777" w:rsidTr="00634E33">
        <w:tc>
          <w:tcPr>
            <w:tcW w:w="2552" w:type="dxa"/>
            <w:vMerge w:val="restart"/>
            <w:shd w:val="clear" w:color="auto" w:fill="auto"/>
          </w:tcPr>
          <w:p w14:paraId="6E736CBA" w14:textId="77777777" w:rsidR="00956513" w:rsidRPr="00337391" w:rsidRDefault="00956513" w:rsidP="00634E33">
            <w:pPr>
              <w:spacing w:before="40" w:after="40" w:line="220" w:lineRule="exact"/>
              <w:ind w:right="113"/>
              <w:rPr>
                <w:sz w:val="18"/>
                <w:szCs w:val="18"/>
                <w:cs/>
              </w:rPr>
            </w:pPr>
            <w:r w:rsidRPr="00337391">
              <w:rPr>
                <w:sz w:val="18"/>
                <w:szCs w:val="18"/>
                <w:lang w:val="zh-CN"/>
              </w:rPr>
              <w:t>社会支出</w:t>
            </w:r>
            <w:r w:rsidRPr="00337391">
              <w:rPr>
                <w:sz w:val="18"/>
                <w:szCs w:val="18"/>
                <w:lang w:val="zh-CN"/>
              </w:rPr>
              <w:t>(</w:t>
            </w:r>
            <w:r w:rsidRPr="00337391">
              <w:rPr>
                <w:sz w:val="18"/>
                <w:szCs w:val="18"/>
                <w:lang w:val="zh-CN"/>
              </w:rPr>
              <w:t>百万泰铢</w:t>
            </w:r>
            <w:r w:rsidRPr="00337391">
              <w:rPr>
                <w:sz w:val="18"/>
                <w:szCs w:val="18"/>
                <w:lang w:val="zh-CN"/>
              </w:rPr>
              <w:t>)</w:t>
            </w:r>
            <w:r w:rsidRPr="00337391">
              <w:rPr>
                <w:sz w:val="18"/>
                <w:szCs w:val="18"/>
                <w:lang w:val="zh-CN"/>
              </w:rPr>
              <w:t>及占公共支出总额的比例</w:t>
            </w:r>
          </w:p>
        </w:tc>
        <w:tc>
          <w:tcPr>
            <w:tcW w:w="1701" w:type="dxa"/>
            <w:shd w:val="clear" w:color="auto" w:fill="auto"/>
            <w:vAlign w:val="bottom"/>
          </w:tcPr>
          <w:p w14:paraId="5D1EFF00" w14:textId="77777777" w:rsidR="00956513" w:rsidRPr="00337391" w:rsidRDefault="00956513" w:rsidP="002875C9">
            <w:pPr>
              <w:spacing w:before="40" w:after="40" w:line="220" w:lineRule="exact"/>
              <w:jc w:val="right"/>
              <w:rPr>
                <w:sz w:val="18"/>
                <w:szCs w:val="18"/>
              </w:rPr>
            </w:pPr>
          </w:p>
        </w:tc>
        <w:tc>
          <w:tcPr>
            <w:tcW w:w="949" w:type="dxa"/>
            <w:shd w:val="clear" w:color="auto" w:fill="auto"/>
            <w:vAlign w:val="bottom"/>
          </w:tcPr>
          <w:p w14:paraId="09297E57" w14:textId="77777777" w:rsidR="00956513" w:rsidRPr="00337391" w:rsidRDefault="00956513" w:rsidP="002875C9">
            <w:pPr>
              <w:spacing w:before="40" w:after="40" w:line="220" w:lineRule="exact"/>
              <w:jc w:val="right"/>
              <w:rPr>
                <w:sz w:val="18"/>
                <w:szCs w:val="18"/>
              </w:rPr>
            </w:pPr>
            <w:r w:rsidRPr="00337391">
              <w:rPr>
                <w:sz w:val="18"/>
                <w:szCs w:val="18"/>
                <w:lang w:val="zh-CN"/>
              </w:rPr>
              <w:t>2017</w:t>
            </w:r>
            <w:r w:rsidRPr="00337391">
              <w:rPr>
                <w:sz w:val="18"/>
                <w:szCs w:val="18"/>
                <w:lang w:val="zh-CN"/>
              </w:rPr>
              <w:t>财年</w:t>
            </w:r>
          </w:p>
        </w:tc>
        <w:tc>
          <w:tcPr>
            <w:tcW w:w="626" w:type="dxa"/>
            <w:gridSpan w:val="2"/>
            <w:shd w:val="clear" w:color="auto" w:fill="auto"/>
            <w:vAlign w:val="bottom"/>
          </w:tcPr>
          <w:p w14:paraId="17E09332" w14:textId="77777777" w:rsidR="00956513" w:rsidRPr="00337391" w:rsidRDefault="00956513" w:rsidP="002875C9">
            <w:pPr>
              <w:spacing w:before="40" w:after="40" w:line="220" w:lineRule="exact"/>
              <w:jc w:val="right"/>
              <w:rPr>
                <w:sz w:val="18"/>
                <w:szCs w:val="18"/>
              </w:rPr>
            </w:pPr>
            <w:r w:rsidRPr="00337391">
              <w:rPr>
                <w:sz w:val="18"/>
                <w:szCs w:val="18"/>
                <w:lang w:val="zh-CN"/>
              </w:rPr>
              <w:t>%</w:t>
            </w:r>
          </w:p>
        </w:tc>
        <w:tc>
          <w:tcPr>
            <w:tcW w:w="865" w:type="dxa"/>
            <w:shd w:val="clear" w:color="auto" w:fill="auto"/>
            <w:vAlign w:val="bottom"/>
          </w:tcPr>
          <w:p w14:paraId="1D7B9280" w14:textId="77777777" w:rsidR="00956513" w:rsidRPr="002875C9" w:rsidRDefault="00956513" w:rsidP="002875C9">
            <w:pPr>
              <w:spacing w:before="40" w:after="40" w:line="220" w:lineRule="exact"/>
              <w:jc w:val="right"/>
              <w:rPr>
                <w:spacing w:val="-4"/>
                <w:sz w:val="18"/>
                <w:szCs w:val="18"/>
              </w:rPr>
            </w:pPr>
            <w:r w:rsidRPr="002875C9">
              <w:rPr>
                <w:spacing w:val="-4"/>
                <w:sz w:val="18"/>
                <w:szCs w:val="18"/>
                <w:lang w:val="zh-CN"/>
              </w:rPr>
              <w:t>2018</w:t>
            </w:r>
            <w:r w:rsidRPr="002875C9">
              <w:rPr>
                <w:spacing w:val="-4"/>
                <w:sz w:val="18"/>
                <w:szCs w:val="18"/>
                <w:lang w:val="zh-CN"/>
              </w:rPr>
              <w:t>财年</w:t>
            </w:r>
          </w:p>
        </w:tc>
        <w:tc>
          <w:tcPr>
            <w:tcW w:w="677" w:type="dxa"/>
            <w:shd w:val="clear" w:color="auto" w:fill="auto"/>
            <w:vAlign w:val="bottom"/>
          </w:tcPr>
          <w:p w14:paraId="28AFE7DB" w14:textId="77777777" w:rsidR="00956513" w:rsidRPr="00337391" w:rsidRDefault="00956513" w:rsidP="002875C9">
            <w:pPr>
              <w:spacing w:before="40" w:after="40" w:line="220" w:lineRule="exact"/>
              <w:jc w:val="right"/>
              <w:rPr>
                <w:sz w:val="18"/>
                <w:szCs w:val="18"/>
              </w:rPr>
            </w:pPr>
            <w:r w:rsidRPr="00337391">
              <w:rPr>
                <w:sz w:val="18"/>
                <w:szCs w:val="18"/>
                <w:lang w:val="zh-CN"/>
              </w:rPr>
              <w:t>%</w:t>
            </w:r>
          </w:p>
        </w:tc>
      </w:tr>
      <w:tr w:rsidR="00956513" w:rsidRPr="00337391" w14:paraId="188A43A9" w14:textId="77777777" w:rsidTr="00634E33">
        <w:tc>
          <w:tcPr>
            <w:tcW w:w="2552" w:type="dxa"/>
            <w:vMerge/>
            <w:shd w:val="clear" w:color="auto" w:fill="auto"/>
          </w:tcPr>
          <w:p w14:paraId="6991A62D" w14:textId="77777777" w:rsidR="00956513" w:rsidRPr="00337391" w:rsidRDefault="00956513" w:rsidP="00634E33">
            <w:pPr>
              <w:spacing w:before="40" w:after="40" w:line="220" w:lineRule="exact"/>
              <w:ind w:right="113"/>
              <w:rPr>
                <w:sz w:val="18"/>
                <w:szCs w:val="18"/>
              </w:rPr>
            </w:pPr>
          </w:p>
        </w:tc>
        <w:tc>
          <w:tcPr>
            <w:tcW w:w="1701" w:type="dxa"/>
            <w:shd w:val="clear" w:color="auto" w:fill="auto"/>
            <w:vAlign w:val="bottom"/>
          </w:tcPr>
          <w:p w14:paraId="13A0EC7C" w14:textId="77777777" w:rsidR="00956513" w:rsidRPr="00337391" w:rsidRDefault="00956513" w:rsidP="002875C9">
            <w:pPr>
              <w:spacing w:before="40" w:after="40" w:line="220" w:lineRule="exact"/>
              <w:rPr>
                <w:sz w:val="18"/>
                <w:szCs w:val="18"/>
              </w:rPr>
            </w:pPr>
            <w:r w:rsidRPr="00337391">
              <w:rPr>
                <w:sz w:val="18"/>
                <w:szCs w:val="18"/>
                <w:lang w:val="zh-CN"/>
              </w:rPr>
              <w:t>公共住房和社区</w:t>
            </w:r>
          </w:p>
        </w:tc>
        <w:tc>
          <w:tcPr>
            <w:tcW w:w="949" w:type="dxa"/>
            <w:shd w:val="clear" w:color="auto" w:fill="auto"/>
            <w:vAlign w:val="bottom"/>
          </w:tcPr>
          <w:p w14:paraId="1F9D0640" w14:textId="1A413F2F" w:rsidR="00956513" w:rsidRPr="00337391" w:rsidRDefault="00956513" w:rsidP="002875C9">
            <w:pPr>
              <w:spacing w:before="40" w:after="40" w:line="220" w:lineRule="exact"/>
              <w:jc w:val="right"/>
              <w:rPr>
                <w:sz w:val="18"/>
                <w:szCs w:val="18"/>
              </w:rPr>
            </w:pPr>
            <w:r w:rsidRPr="00337391">
              <w:rPr>
                <w:sz w:val="18"/>
                <w:szCs w:val="18"/>
                <w:lang w:val="zh-CN"/>
              </w:rPr>
              <w:t>72</w:t>
            </w:r>
            <w:r w:rsidR="006D1156">
              <w:rPr>
                <w:sz w:val="18"/>
                <w:szCs w:val="18"/>
                <w:lang w:val="zh-CN"/>
              </w:rPr>
              <w:t>,</w:t>
            </w:r>
            <w:r w:rsidRPr="00337391">
              <w:rPr>
                <w:sz w:val="18"/>
                <w:szCs w:val="18"/>
                <w:lang w:val="zh-CN"/>
              </w:rPr>
              <w:t>423</w:t>
            </w:r>
          </w:p>
        </w:tc>
        <w:tc>
          <w:tcPr>
            <w:tcW w:w="626" w:type="dxa"/>
            <w:gridSpan w:val="2"/>
            <w:shd w:val="clear" w:color="auto" w:fill="auto"/>
            <w:vAlign w:val="bottom"/>
          </w:tcPr>
          <w:p w14:paraId="66057760" w14:textId="77777777" w:rsidR="00956513" w:rsidRPr="00337391" w:rsidRDefault="00956513" w:rsidP="002875C9">
            <w:pPr>
              <w:spacing w:before="40" w:after="40" w:line="220" w:lineRule="exact"/>
              <w:jc w:val="right"/>
              <w:rPr>
                <w:sz w:val="18"/>
                <w:szCs w:val="18"/>
              </w:rPr>
            </w:pPr>
            <w:r w:rsidRPr="00337391">
              <w:rPr>
                <w:sz w:val="18"/>
                <w:szCs w:val="18"/>
                <w:lang w:val="zh-CN"/>
              </w:rPr>
              <w:t>3.58</w:t>
            </w:r>
          </w:p>
        </w:tc>
        <w:tc>
          <w:tcPr>
            <w:tcW w:w="865" w:type="dxa"/>
            <w:shd w:val="clear" w:color="auto" w:fill="auto"/>
            <w:vAlign w:val="bottom"/>
          </w:tcPr>
          <w:p w14:paraId="7AC18B91" w14:textId="297BCD2E" w:rsidR="00956513" w:rsidRPr="00337391" w:rsidRDefault="00956513" w:rsidP="002875C9">
            <w:pPr>
              <w:spacing w:before="40" w:after="40" w:line="220" w:lineRule="exact"/>
              <w:jc w:val="right"/>
              <w:rPr>
                <w:sz w:val="18"/>
                <w:szCs w:val="18"/>
              </w:rPr>
            </w:pPr>
            <w:r w:rsidRPr="00337391">
              <w:rPr>
                <w:sz w:val="18"/>
                <w:szCs w:val="18"/>
                <w:lang w:val="zh-CN"/>
              </w:rPr>
              <w:t>70</w:t>
            </w:r>
            <w:r w:rsidR="006D1156">
              <w:rPr>
                <w:sz w:val="18"/>
                <w:szCs w:val="18"/>
                <w:lang w:val="zh-CN"/>
              </w:rPr>
              <w:t>,</w:t>
            </w:r>
            <w:r w:rsidRPr="00337391">
              <w:rPr>
                <w:sz w:val="18"/>
                <w:szCs w:val="18"/>
                <w:lang w:val="zh-CN"/>
              </w:rPr>
              <w:t>929</w:t>
            </w:r>
          </w:p>
        </w:tc>
        <w:tc>
          <w:tcPr>
            <w:tcW w:w="677" w:type="dxa"/>
            <w:shd w:val="clear" w:color="auto" w:fill="auto"/>
            <w:vAlign w:val="bottom"/>
          </w:tcPr>
          <w:p w14:paraId="6E1436E1" w14:textId="77777777" w:rsidR="00956513" w:rsidRPr="00337391" w:rsidRDefault="00956513" w:rsidP="002875C9">
            <w:pPr>
              <w:spacing w:before="40" w:after="40" w:line="220" w:lineRule="exact"/>
              <w:jc w:val="right"/>
              <w:rPr>
                <w:sz w:val="18"/>
                <w:szCs w:val="18"/>
              </w:rPr>
            </w:pPr>
            <w:r w:rsidRPr="00337391">
              <w:rPr>
                <w:sz w:val="18"/>
                <w:szCs w:val="18"/>
                <w:lang w:val="zh-CN"/>
              </w:rPr>
              <w:t>3.32</w:t>
            </w:r>
          </w:p>
        </w:tc>
      </w:tr>
      <w:tr w:rsidR="00956513" w:rsidRPr="00337391" w14:paraId="12BED84C" w14:textId="77777777" w:rsidTr="00634E33">
        <w:tc>
          <w:tcPr>
            <w:tcW w:w="2552" w:type="dxa"/>
            <w:vMerge/>
            <w:shd w:val="clear" w:color="auto" w:fill="auto"/>
          </w:tcPr>
          <w:p w14:paraId="0B526FDB" w14:textId="77777777" w:rsidR="00956513" w:rsidRPr="00337391" w:rsidRDefault="00956513" w:rsidP="00634E33">
            <w:pPr>
              <w:spacing w:before="40" w:after="40" w:line="220" w:lineRule="exact"/>
              <w:ind w:right="113"/>
              <w:rPr>
                <w:sz w:val="18"/>
                <w:szCs w:val="18"/>
              </w:rPr>
            </w:pPr>
          </w:p>
        </w:tc>
        <w:tc>
          <w:tcPr>
            <w:tcW w:w="1701" w:type="dxa"/>
            <w:shd w:val="clear" w:color="auto" w:fill="auto"/>
            <w:vAlign w:val="bottom"/>
          </w:tcPr>
          <w:p w14:paraId="7499E6A4" w14:textId="77777777" w:rsidR="00956513" w:rsidRPr="00337391" w:rsidRDefault="00956513" w:rsidP="002875C9">
            <w:pPr>
              <w:spacing w:before="40" w:after="40" w:line="220" w:lineRule="exact"/>
              <w:rPr>
                <w:sz w:val="18"/>
                <w:szCs w:val="18"/>
              </w:rPr>
            </w:pPr>
            <w:r w:rsidRPr="00337391">
              <w:rPr>
                <w:sz w:val="18"/>
                <w:szCs w:val="18"/>
                <w:lang w:val="zh-CN"/>
              </w:rPr>
              <w:t>公共卫生</w:t>
            </w:r>
          </w:p>
        </w:tc>
        <w:tc>
          <w:tcPr>
            <w:tcW w:w="949" w:type="dxa"/>
            <w:shd w:val="clear" w:color="auto" w:fill="auto"/>
            <w:vAlign w:val="bottom"/>
          </w:tcPr>
          <w:p w14:paraId="4F3229B9" w14:textId="49851F9D" w:rsidR="00956513" w:rsidRPr="00337391" w:rsidRDefault="00956513" w:rsidP="002875C9">
            <w:pPr>
              <w:spacing w:before="40" w:after="40" w:line="220" w:lineRule="exact"/>
              <w:jc w:val="right"/>
              <w:rPr>
                <w:sz w:val="18"/>
                <w:szCs w:val="18"/>
              </w:rPr>
            </w:pPr>
            <w:r w:rsidRPr="00337391">
              <w:rPr>
                <w:sz w:val="18"/>
                <w:szCs w:val="18"/>
                <w:lang w:val="zh-CN"/>
              </w:rPr>
              <w:t>295</w:t>
            </w:r>
            <w:r w:rsidR="006D1156">
              <w:rPr>
                <w:sz w:val="18"/>
                <w:szCs w:val="18"/>
                <w:lang w:val="zh-CN"/>
              </w:rPr>
              <w:t>,</w:t>
            </w:r>
            <w:r w:rsidRPr="00337391">
              <w:rPr>
                <w:sz w:val="18"/>
                <w:szCs w:val="18"/>
                <w:lang w:val="zh-CN"/>
              </w:rPr>
              <w:t>207</w:t>
            </w:r>
          </w:p>
        </w:tc>
        <w:tc>
          <w:tcPr>
            <w:tcW w:w="626" w:type="dxa"/>
            <w:gridSpan w:val="2"/>
            <w:shd w:val="clear" w:color="auto" w:fill="auto"/>
            <w:vAlign w:val="bottom"/>
          </w:tcPr>
          <w:p w14:paraId="527779B2" w14:textId="77777777" w:rsidR="00956513" w:rsidRPr="00337391" w:rsidRDefault="00956513" w:rsidP="002875C9">
            <w:pPr>
              <w:spacing w:before="40" w:after="40" w:line="220" w:lineRule="exact"/>
              <w:jc w:val="right"/>
              <w:rPr>
                <w:sz w:val="18"/>
                <w:szCs w:val="18"/>
              </w:rPr>
            </w:pPr>
            <w:r w:rsidRPr="00337391">
              <w:rPr>
                <w:sz w:val="18"/>
                <w:szCs w:val="18"/>
                <w:lang w:val="zh-CN"/>
              </w:rPr>
              <w:t>14.59</w:t>
            </w:r>
          </w:p>
        </w:tc>
        <w:tc>
          <w:tcPr>
            <w:tcW w:w="865" w:type="dxa"/>
            <w:shd w:val="clear" w:color="auto" w:fill="auto"/>
            <w:vAlign w:val="bottom"/>
          </w:tcPr>
          <w:p w14:paraId="4C847330" w14:textId="7E5B8D92" w:rsidR="00956513" w:rsidRPr="00337391" w:rsidRDefault="00956513" w:rsidP="002875C9">
            <w:pPr>
              <w:spacing w:before="40" w:after="40" w:line="220" w:lineRule="exact"/>
              <w:jc w:val="right"/>
              <w:rPr>
                <w:sz w:val="18"/>
                <w:szCs w:val="18"/>
              </w:rPr>
            </w:pPr>
            <w:r w:rsidRPr="00337391">
              <w:rPr>
                <w:sz w:val="18"/>
                <w:szCs w:val="18"/>
                <w:lang w:val="zh-CN"/>
              </w:rPr>
              <w:t>304</w:t>
            </w:r>
            <w:r w:rsidR="006D1156">
              <w:rPr>
                <w:sz w:val="18"/>
                <w:szCs w:val="18"/>
                <w:lang w:val="zh-CN"/>
              </w:rPr>
              <w:t>,</w:t>
            </w:r>
            <w:r w:rsidRPr="00337391">
              <w:rPr>
                <w:sz w:val="18"/>
                <w:szCs w:val="18"/>
                <w:lang w:val="zh-CN"/>
              </w:rPr>
              <w:t>169</w:t>
            </w:r>
          </w:p>
        </w:tc>
        <w:tc>
          <w:tcPr>
            <w:tcW w:w="677" w:type="dxa"/>
            <w:shd w:val="clear" w:color="auto" w:fill="auto"/>
            <w:vAlign w:val="bottom"/>
          </w:tcPr>
          <w:p w14:paraId="1043C3E5" w14:textId="77777777" w:rsidR="00956513" w:rsidRPr="00337391" w:rsidRDefault="00956513" w:rsidP="002875C9">
            <w:pPr>
              <w:spacing w:before="40" w:after="40" w:line="220" w:lineRule="exact"/>
              <w:jc w:val="right"/>
              <w:rPr>
                <w:sz w:val="18"/>
                <w:szCs w:val="18"/>
              </w:rPr>
            </w:pPr>
            <w:r w:rsidRPr="00337391">
              <w:rPr>
                <w:sz w:val="18"/>
                <w:szCs w:val="18"/>
                <w:lang w:val="zh-CN"/>
              </w:rPr>
              <w:t>14.27</w:t>
            </w:r>
          </w:p>
        </w:tc>
      </w:tr>
      <w:tr w:rsidR="00956513" w:rsidRPr="00337391" w14:paraId="502091E5" w14:textId="77777777" w:rsidTr="00634E33">
        <w:tc>
          <w:tcPr>
            <w:tcW w:w="2552" w:type="dxa"/>
            <w:vMerge/>
            <w:shd w:val="clear" w:color="auto" w:fill="auto"/>
          </w:tcPr>
          <w:p w14:paraId="3E7CA69D" w14:textId="77777777" w:rsidR="00956513" w:rsidRPr="00337391" w:rsidRDefault="00956513" w:rsidP="00634E33">
            <w:pPr>
              <w:spacing w:before="40" w:after="40" w:line="220" w:lineRule="exact"/>
              <w:ind w:right="113"/>
              <w:rPr>
                <w:sz w:val="18"/>
                <w:szCs w:val="18"/>
              </w:rPr>
            </w:pPr>
          </w:p>
        </w:tc>
        <w:tc>
          <w:tcPr>
            <w:tcW w:w="1701" w:type="dxa"/>
            <w:shd w:val="clear" w:color="auto" w:fill="auto"/>
            <w:vAlign w:val="bottom"/>
          </w:tcPr>
          <w:p w14:paraId="4F10A80E" w14:textId="77777777" w:rsidR="00956513" w:rsidRPr="00337391" w:rsidRDefault="00956513" w:rsidP="002875C9">
            <w:pPr>
              <w:spacing w:before="40" w:after="40" w:line="220" w:lineRule="exact"/>
              <w:rPr>
                <w:sz w:val="18"/>
                <w:szCs w:val="18"/>
              </w:rPr>
            </w:pPr>
            <w:r w:rsidRPr="00337391">
              <w:rPr>
                <w:sz w:val="18"/>
                <w:szCs w:val="18"/>
                <w:lang w:val="zh-CN"/>
              </w:rPr>
              <w:t>教育</w:t>
            </w:r>
          </w:p>
        </w:tc>
        <w:tc>
          <w:tcPr>
            <w:tcW w:w="949" w:type="dxa"/>
            <w:shd w:val="clear" w:color="auto" w:fill="auto"/>
            <w:vAlign w:val="bottom"/>
          </w:tcPr>
          <w:p w14:paraId="4D0C04D1" w14:textId="25562082" w:rsidR="00956513" w:rsidRPr="00337391" w:rsidRDefault="00956513" w:rsidP="002875C9">
            <w:pPr>
              <w:spacing w:before="40" w:after="40" w:line="220" w:lineRule="exact"/>
              <w:jc w:val="right"/>
              <w:rPr>
                <w:sz w:val="18"/>
                <w:szCs w:val="18"/>
              </w:rPr>
            </w:pPr>
            <w:r w:rsidRPr="00337391">
              <w:rPr>
                <w:sz w:val="18"/>
                <w:szCs w:val="18"/>
                <w:lang w:val="zh-CN"/>
              </w:rPr>
              <w:t>534</w:t>
            </w:r>
            <w:r w:rsidR="006D1156">
              <w:rPr>
                <w:sz w:val="18"/>
                <w:szCs w:val="18"/>
                <w:lang w:val="zh-CN"/>
              </w:rPr>
              <w:t>,</w:t>
            </w:r>
            <w:r w:rsidRPr="00337391">
              <w:rPr>
                <w:sz w:val="18"/>
                <w:szCs w:val="18"/>
                <w:lang w:val="zh-CN"/>
              </w:rPr>
              <w:t>059</w:t>
            </w:r>
          </w:p>
        </w:tc>
        <w:tc>
          <w:tcPr>
            <w:tcW w:w="626" w:type="dxa"/>
            <w:gridSpan w:val="2"/>
            <w:shd w:val="clear" w:color="auto" w:fill="auto"/>
            <w:vAlign w:val="bottom"/>
          </w:tcPr>
          <w:p w14:paraId="612196B2" w14:textId="77777777" w:rsidR="00956513" w:rsidRPr="00337391" w:rsidRDefault="00956513" w:rsidP="002875C9">
            <w:pPr>
              <w:spacing w:before="40" w:after="40" w:line="220" w:lineRule="exact"/>
              <w:jc w:val="right"/>
              <w:rPr>
                <w:sz w:val="18"/>
                <w:szCs w:val="18"/>
              </w:rPr>
            </w:pPr>
            <w:r w:rsidRPr="00337391">
              <w:rPr>
                <w:sz w:val="18"/>
                <w:szCs w:val="18"/>
                <w:lang w:val="zh-CN"/>
              </w:rPr>
              <w:t>26.39</w:t>
            </w:r>
          </w:p>
        </w:tc>
        <w:tc>
          <w:tcPr>
            <w:tcW w:w="865" w:type="dxa"/>
            <w:shd w:val="clear" w:color="auto" w:fill="auto"/>
            <w:vAlign w:val="bottom"/>
          </w:tcPr>
          <w:p w14:paraId="609F2386" w14:textId="07D9884B" w:rsidR="00956513" w:rsidRPr="00337391" w:rsidRDefault="00956513" w:rsidP="002875C9">
            <w:pPr>
              <w:spacing w:before="40" w:after="40" w:line="220" w:lineRule="exact"/>
              <w:jc w:val="right"/>
              <w:rPr>
                <w:sz w:val="18"/>
                <w:szCs w:val="18"/>
              </w:rPr>
            </w:pPr>
            <w:r w:rsidRPr="00337391">
              <w:rPr>
                <w:sz w:val="18"/>
                <w:szCs w:val="18"/>
                <w:lang w:val="zh-CN"/>
              </w:rPr>
              <w:t>521</w:t>
            </w:r>
            <w:r w:rsidR="006D1156">
              <w:rPr>
                <w:sz w:val="18"/>
                <w:szCs w:val="18"/>
                <w:lang w:val="zh-CN"/>
              </w:rPr>
              <w:t>,</w:t>
            </w:r>
            <w:r w:rsidRPr="00337391">
              <w:rPr>
                <w:sz w:val="18"/>
                <w:szCs w:val="18"/>
                <w:lang w:val="zh-CN"/>
              </w:rPr>
              <w:t>132</w:t>
            </w:r>
          </w:p>
        </w:tc>
        <w:tc>
          <w:tcPr>
            <w:tcW w:w="677" w:type="dxa"/>
            <w:shd w:val="clear" w:color="auto" w:fill="auto"/>
            <w:vAlign w:val="bottom"/>
          </w:tcPr>
          <w:p w14:paraId="5422A4FE" w14:textId="77777777" w:rsidR="00956513" w:rsidRPr="00337391" w:rsidRDefault="00956513" w:rsidP="002875C9">
            <w:pPr>
              <w:spacing w:before="40" w:after="40" w:line="220" w:lineRule="exact"/>
              <w:jc w:val="right"/>
              <w:rPr>
                <w:sz w:val="18"/>
                <w:szCs w:val="18"/>
              </w:rPr>
            </w:pPr>
            <w:r w:rsidRPr="00337391">
              <w:rPr>
                <w:sz w:val="18"/>
                <w:szCs w:val="18"/>
                <w:lang w:val="zh-CN"/>
              </w:rPr>
              <w:t>24.46</w:t>
            </w:r>
          </w:p>
        </w:tc>
      </w:tr>
      <w:tr w:rsidR="00956513" w:rsidRPr="00337391" w14:paraId="7D9708C9" w14:textId="77777777" w:rsidTr="00634E33">
        <w:tc>
          <w:tcPr>
            <w:tcW w:w="2552" w:type="dxa"/>
            <w:vMerge w:val="restart"/>
            <w:shd w:val="clear" w:color="auto" w:fill="auto"/>
          </w:tcPr>
          <w:p w14:paraId="0C89CE12" w14:textId="77777777" w:rsidR="00956513" w:rsidRPr="00337391" w:rsidRDefault="00956513" w:rsidP="00634E33">
            <w:pPr>
              <w:spacing w:before="40" w:after="40" w:line="220" w:lineRule="exact"/>
              <w:ind w:right="113"/>
              <w:rPr>
                <w:sz w:val="18"/>
                <w:szCs w:val="18"/>
              </w:rPr>
            </w:pPr>
            <w:r w:rsidRPr="00337391">
              <w:rPr>
                <w:sz w:val="18"/>
                <w:szCs w:val="18"/>
                <w:lang w:val="zh-CN"/>
              </w:rPr>
              <w:t>国外和国内公债（百万泰铢）</w:t>
            </w:r>
          </w:p>
        </w:tc>
        <w:tc>
          <w:tcPr>
            <w:tcW w:w="2758" w:type="dxa"/>
            <w:gridSpan w:val="3"/>
            <w:shd w:val="clear" w:color="auto" w:fill="auto"/>
            <w:vAlign w:val="bottom"/>
          </w:tcPr>
          <w:p w14:paraId="1DB32DC8" w14:textId="77777777" w:rsidR="00956513" w:rsidRPr="00337391" w:rsidRDefault="00956513" w:rsidP="002875C9">
            <w:pPr>
              <w:spacing w:before="40" w:after="40" w:line="220" w:lineRule="exact"/>
              <w:rPr>
                <w:sz w:val="18"/>
                <w:szCs w:val="18"/>
              </w:rPr>
            </w:pPr>
            <w:r w:rsidRPr="00337391">
              <w:rPr>
                <w:sz w:val="18"/>
                <w:szCs w:val="18"/>
                <w:lang w:val="zh-CN"/>
              </w:rPr>
              <w:t>国外公共债务</w:t>
            </w:r>
          </w:p>
        </w:tc>
        <w:tc>
          <w:tcPr>
            <w:tcW w:w="2060" w:type="dxa"/>
            <w:gridSpan w:val="3"/>
            <w:shd w:val="clear" w:color="auto" w:fill="auto"/>
            <w:vAlign w:val="bottom"/>
          </w:tcPr>
          <w:p w14:paraId="7DF00FB2" w14:textId="78DD8DC6" w:rsidR="00956513" w:rsidRPr="00337391" w:rsidRDefault="00956513" w:rsidP="002875C9">
            <w:pPr>
              <w:spacing w:before="40" w:after="40" w:line="220" w:lineRule="exact"/>
              <w:jc w:val="center"/>
              <w:rPr>
                <w:sz w:val="18"/>
                <w:szCs w:val="18"/>
              </w:rPr>
            </w:pPr>
            <w:r w:rsidRPr="00337391">
              <w:rPr>
                <w:sz w:val="18"/>
                <w:szCs w:val="18"/>
                <w:lang w:val="zh-CN"/>
              </w:rPr>
              <w:t>227</w:t>
            </w:r>
            <w:r w:rsidR="006D1156">
              <w:rPr>
                <w:sz w:val="18"/>
                <w:szCs w:val="18"/>
                <w:lang w:val="zh-CN"/>
              </w:rPr>
              <w:t>,</w:t>
            </w:r>
            <w:r w:rsidRPr="00337391">
              <w:rPr>
                <w:sz w:val="18"/>
                <w:szCs w:val="18"/>
                <w:lang w:val="zh-CN"/>
              </w:rPr>
              <w:t>596.51</w:t>
            </w:r>
            <w:r w:rsidRPr="00337391">
              <w:rPr>
                <w:sz w:val="18"/>
                <w:szCs w:val="18"/>
                <w:lang w:val="zh-CN"/>
              </w:rPr>
              <w:t>美元</w:t>
            </w:r>
            <w:r w:rsidRPr="00337391">
              <w:rPr>
                <w:sz w:val="18"/>
                <w:szCs w:val="18"/>
                <w:lang w:val="zh-CN"/>
              </w:rPr>
              <w:t>(7</w:t>
            </w:r>
            <w:r w:rsidR="006D1156">
              <w:rPr>
                <w:sz w:val="18"/>
                <w:szCs w:val="18"/>
                <w:lang w:val="zh-CN"/>
              </w:rPr>
              <w:t>,</w:t>
            </w:r>
            <w:r w:rsidRPr="00337391">
              <w:rPr>
                <w:sz w:val="18"/>
                <w:szCs w:val="18"/>
                <w:lang w:val="zh-CN"/>
              </w:rPr>
              <w:t>141.4</w:t>
            </w:r>
            <w:r w:rsidRPr="00337391">
              <w:rPr>
                <w:sz w:val="18"/>
                <w:szCs w:val="18"/>
                <w:lang w:val="zh-CN"/>
              </w:rPr>
              <w:t>美元</w:t>
            </w:r>
            <w:r w:rsidRPr="00337391">
              <w:rPr>
                <w:sz w:val="18"/>
                <w:szCs w:val="18"/>
                <w:lang w:val="zh-CN"/>
              </w:rPr>
              <w:t>)</w:t>
            </w:r>
          </w:p>
        </w:tc>
      </w:tr>
      <w:tr w:rsidR="00956513" w:rsidRPr="00337391" w14:paraId="29574189" w14:textId="77777777" w:rsidTr="002875C9">
        <w:tc>
          <w:tcPr>
            <w:tcW w:w="2552" w:type="dxa"/>
            <w:vMerge/>
            <w:shd w:val="clear" w:color="auto" w:fill="auto"/>
          </w:tcPr>
          <w:p w14:paraId="2639013B" w14:textId="77777777" w:rsidR="00956513" w:rsidRPr="00337391" w:rsidRDefault="00956513" w:rsidP="00634E33">
            <w:pPr>
              <w:spacing w:before="40" w:after="40" w:line="220" w:lineRule="exact"/>
              <w:ind w:right="113"/>
              <w:rPr>
                <w:sz w:val="18"/>
              </w:rPr>
            </w:pPr>
          </w:p>
        </w:tc>
        <w:tc>
          <w:tcPr>
            <w:tcW w:w="2758" w:type="dxa"/>
            <w:gridSpan w:val="3"/>
            <w:tcBorders>
              <w:bottom w:val="single" w:sz="4" w:space="0" w:color="auto"/>
            </w:tcBorders>
            <w:shd w:val="clear" w:color="auto" w:fill="auto"/>
            <w:vAlign w:val="bottom"/>
          </w:tcPr>
          <w:p w14:paraId="73F0F1CC" w14:textId="77777777" w:rsidR="00956513" w:rsidRPr="00337391" w:rsidRDefault="00956513" w:rsidP="002875C9">
            <w:pPr>
              <w:spacing w:before="40" w:after="40" w:line="220" w:lineRule="exact"/>
              <w:rPr>
                <w:sz w:val="18"/>
                <w:szCs w:val="18"/>
              </w:rPr>
            </w:pPr>
            <w:r w:rsidRPr="00337391">
              <w:rPr>
                <w:sz w:val="18"/>
                <w:szCs w:val="18"/>
                <w:lang w:val="zh-CN"/>
              </w:rPr>
              <w:t>国内公共债务</w:t>
            </w:r>
          </w:p>
        </w:tc>
        <w:tc>
          <w:tcPr>
            <w:tcW w:w="2060" w:type="dxa"/>
            <w:gridSpan w:val="3"/>
            <w:tcBorders>
              <w:bottom w:val="single" w:sz="4" w:space="0" w:color="auto"/>
            </w:tcBorders>
            <w:shd w:val="clear" w:color="auto" w:fill="auto"/>
            <w:vAlign w:val="bottom"/>
          </w:tcPr>
          <w:p w14:paraId="7D79163E" w14:textId="228AA5A5" w:rsidR="00956513" w:rsidRPr="00337391" w:rsidRDefault="00956513" w:rsidP="002875C9">
            <w:pPr>
              <w:spacing w:before="40" w:after="40" w:line="220" w:lineRule="exact"/>
              <w:jc w:val="right"/>
              <w:rPr>
                <w:sz w:val="18"/>
                <w:szCs w:val="18"/>
              </w:rPr>
            </w:pPr>
            <w:r w:rsidRPr="00337391">
              <w:rPr>
                <w:sz w:val="18"/>
                <w:szCs w:val="18"/>
                <w:lang w:val="zh-CN"/>
              </w:rPr>
              <w:t>6</w:t>
            </w:r>
            <w:r w:rsidR="006D1156">
              <w:rPr>
                <w:sz w:val="18"/>
                <w:szCs w:val="18"/>
                <w:lang w:val="zh-CN"/>
              </w:rPr>
              <w:t>,</w:t>
            </w:r>
            <w:r w:rsidRPr="00337391">
              <w:rPr>
                <w:sz w:val="18"/>
                <w:szCs w:val="18"/>
                <w:lang w:val="zh-CN"/>
              </w:rPr>
              <w:t>733</w:t>
            </w:r>
            <w:r w:rsidR="006D1156">
              <w:rPr>
                <w:sz w:val="18"/>
                <w:szCs w:val="18"/>
                <w:lang w:val="zh-CN"/>
              </w:rPr>
              <w:t>,</w:t>
            </w:r>
            <w:r w:rsidRPr="00337391">
              <w:rPr>
                <w:sz w:val="18"/>
                <w:szCs w:val="18"/>
                <w:lang w:val="zh-CN"/>
              </w:rPr>
              <w:t>028.95</w:t>
            </w:r>
            <w:r w:rsidRPr="00337391">
              <w:rPr>
                <w:sz w:val="18"/>
                <w:szCs w:val="18"/>
                <w:lang w:val="zh-CN"/>
              </w:rPr>
              <w:t>美元</w:t>
            </w:r>
            <w:r w:rsidRPr="00337391">
              <w:rPr>
                <w:sz w:val="18"/>
                <w:szCs w:val="18"/>
                <w:lang w:val="zh-CN"/>
              </w:rPr>
              <w:t>(211</w:t>
            </w:r>
            <w:r w:rsidR="006D1156">
              <w:rPr>
                <w:sz w:val="18"/>
                <w:szCs w:val="18"/>
                <w:lang w:val="zh-CN"/>
              </w:rPr>
              <w:t>,</w:t>
            </w:r>
            <w:r w:rsidRPr="00337391">
              <w:rPr>
                <w:sz w:val="18"/>
                <w:szCs w:val="18"/>
                <w:lang w:val="zh-CN"/>
              </w:rPr>
              <w:t>265.42</w:t>
            </w:r>
            <w:r w:rsidRPr="00337391">
              <w:rPr>
                <w:sz w:val="18"/>
                <w:szCs w:val="18"/>
                <w:lang w:val="zh-CN"/>
              </w:rPr>
              <w:t>美元</w:t>
            </w:r>
            <w:r w:rsidRPr="00337391">
              <w:rPr>
                <w:sz w:val="18"/>
                <w:szCs w:val="18"/>
                <w:lang w:val="zh-CN"/>
              </w:rPr>
              <w:t>)</w:t>
            </w:r>
          </w:p>
        </w:tc>
      </w:tr>
      <w:tr w:rsidR="00956513" w:rsidRPr="00337391" w14:paraId="4546A18D" w14:textId="77777777" w:rsidTr="002875C9">
        <w:tc>
          <w:tcPr>
            <w:tcW w:w="2552" w:type="dxa"/>
            <w:vMerge/>
            <w:shd w:val="clear" w:color="auto" w:fill="auto"/>
          </w:tcPr>
          <w:p w14:paraId="1379E5BC" w14:textId="77777777" w:rsidR="00956513" w:rsidRPr="00337391" w:rsidRDefault="00956513" w:rsidP="00634E33">
            <w:pPr>
              <w:spacing w:before="40" w:after="40" w:line="220" w:lineRule="exact"/>
              <w:ind w:right="113"/>
              <w:rPr>
                <w:sz w:val="18"/>
              </w:rPr>
            </w:pPr>
          </w:p>
        </w:tc>
        <w:tc>
          <w:tcPr>
            <w:tcW w:w="2758" w:type="dxa"/>
            <w:gridSpan w:val="3"/>
            <w:tcBorders>
              <w:top w:val="single" w:sz="4" w:space="0" w:color="auto"/>
              <w:bottom w:val="single" w:sz="12" w:space="0" w:color="auto"/>
            </w:tcBorders>
            <w:shd w:val="clear" w:color="auto" w:fill="auto"/>
            <w:vAlign w:val="bottom"/>
          </w:tcPr>
          <w:p w14:paraId="466F2348" w14:textId="77777777" w:rsidR="00956513" w:rsidRPr="002875C9" w:rsidRDefault="00956513" w:rsidP="002875C9">
            <w:pPr>
              <w:spacing w:before="80" w:after="80" w:line="220" w:lineRule="exact"/>
              <w:ind w:left="283"/>
              <w:rPr>
                <w:rFonts w:ascii="Time New Roman" w:eastAsia="黑体" w:hAnsi="Time New Roman"/>
                <w:b/>
                <w:sz w:val="18"/>
                <w:szCs w:val="18"/>
              </w:rPr>
            </w:pPr>
            <w:r w:rsidRPr="002875C9">
              <w:rPr>
                <w:rFonts w:ascii="Time New Roman" w:eastAsia="黑体" w:hAnsi="Time New Roman"/>
                <w:b/>
                <w:bCs/>
                <w:sz w:val="18"/>
                <w:szCs w:val="18"/>
                <w:lang w:val="zh-CN"/>
              </w:rPr>
              <w:t>总计</w:t>
            </w:r>
          </w:p>
        </w:tc>
        <w:tc>
          <w:tcPr>
            <w:tcW w:w="2060" w:type="dxa"/>
            <w:gridSpan w:val="3"/>
            <w:tcBorders>
              <w:top w:val="single" w:sz="4" w:space="0" w:color="auto"/>
              <w:bottom w:val="single" w:sz="12" w:space="0" w:color="auto"/>
            </w:tcBorders>
            <w:shd w:val="clear" w:color="auto" w:fill="auto"/>
            <w:vAlign w:val="bottom"/>
          </w:tcPr>
          <w:p w14:paraId="30A94DA9" w14:textId="33F7FFF8" w:rsidR="00956513" w:rsidRPr="00337391" w:rsidRDefault="00956513" w:rsidP="002875C9">
            <w:pPr>
              <w:spacing w:before="40" w:after="40" w:line="220" w:lineRule="exact"/>
              <w:jc w:val="right"/>
              <w:rPr>
                <w:b/>
                <w:bCs/>
                <w:sz w:val="18"/>
                <w:szCs w:val="18"/>
                <w:lang w:val="zh-CN"/>
              </w:rPr>
            </w:pPr>
            <w:r w:rsidRPr="00337391">
              <w:rPr>
                <w:b/>
                <w:bCs/>
                <w:sz w:val="18"/>
                <w:szCs w:val="18"/>
                <w:lang w:val="zh-CN"/>
              </w:rPr>
              <w:t>6</w:t>
            </w:r>
            <w:r w:rsidR="006D1156">
              <w:rPr>
                <w:b/>
                <w:bCs/>
                <w:sz w:val="18"/>
                <w:szCs w:val="18"/>
                <w:lang w:val="zh-CN"/>
              </w:rPr>
              <w:t>,</w:t>
            </w:r>
            <w:r w:rsidRPr="00337391">
              <w:rPr>
                <w:b/>
                <w:bCs/>
                <w:sz w:val="18"/>
                <w:szCs w:val="18"/>
                <w:lang w:val="zh-CN"/>
              </w:rPr>
              <w:t>960</w:t>
            </w:r>
            <w:r w:rsidR="006D1156">
              <w:rPr>
                <w:b/>
                <w:bCs/>
                <w:sz w:val="18"/>
                <w:szCs w:val="18"/>
                <w:lang w:val="zh-CN"/>
              </w:rPr>
              <w:t>,</w:t>
            </w:r>
            <w:r w:rsidRPr="00337391">
              <w:rPr>
                <w:b/>
                <w:bCs/>
                <w:sz w:val="18"/>
                <w:szCs w:val="18"/>
                <w:lang w:val="zh-CN"/>
              </w:rPr>
              <w:t>625.46</w:t>
            </w:r>
          </w:p>
          <w:p w14:paraId="6A151154" w14:textId="0BA314B6" w:rsidR="00956513" w:rsidRPr="00337391" w:rsidRDefault="00956513" w:rsidP="002875C9">
            <w:pPr>
              <w:spacing w:before="40" w:after="40" w:line="220" w:lineRule="exact"/>
              <w:jc w:val="right"/>
              <w:rPr>
                <w:b/>
                <w:bCs/>
                <w:sz w:val="18"/>
                <w:szCs w:val="18"/>
              </w:rPr>
            </w:pPr>
            <w:r w:rsidRPr="00337391">
              <w:rPr>
                <w:b/>
                <w:bCs/>
                <w:sz w:val="18"/>
                <w:szCs w:val="18"/>
                <w:lang w:val="zh-CN"/>
              </w:rPr>
              <w:t>(218</w:t>
            </w:r>
            <w:r w:rsidR="006D1156">
              <w:rPr>
                <w:b/>
                <w:bCs/>
                <w:sz w:val="18"/>
                <w:szCs w:val="18"/>
                <w:lang w:val="zh-CN"/>
              </w:rPr>
              <w:t>,</w:t>
            </w:r>
            <w:r w:rsidRPr="00337391">
              <w:rPr>
                <w:b/>
                <w:bCs/>
                <w:sz w:val="18"/>
                <w:szCs w:val="18"/>
                <w:lang w:val="zh-CN"/>
              </w:rPr>
              <w:t>406.82</w:t>
            </w:r>
            <w:r w:rsidRPr="00337391">
              <w:rPr>
                <w:b/>
                <w:bCs/>
                <w:sz w:val="18"/>
                <w:szCs w:val="18"/>
                <w:lang w:val="zh-CN"/>
              </w:rPr>
              <w:t>美元</w:t>
            </w:r>
            <w:r w:rsidRPr="00337391">
              <w:rPr>
                <w:b/>
                <w:bCs/>
                <w:sz w:val="18"/>
                <w:szCs w:val="18"/>
                <w:lang w:val="zh-CN"/>
              </w:rPr>
              <w:t>)</w:t>
            </w:r>
          </w:p>
        </w:tc>
      </w:tr>
    </w:tbl>
    <w:p w14:paraId="1C2CE2EC" w14:textId="46AAB2FB" w:rsidR="00522F93" w:rsidRDefault="00522F93" w:rsidP="00B36215">
      <w:pPr>
        <w:pStyle w:val="H23GC"/>
      </w:pPr>
      <w:r>
        <w:rPr>
          <w:rFonts w:hint="eastAsia"/>
        </w:rPr>
        <w:tab/>
      </w:r>
      <w:r>
        <w:rPr>
          <w:rFonts w:hint="eastAsia"/>
        </w:rPr>
        <w:tab/>
      </w:r>
      <w:r>
        <w:rPr>
          <w:rFonts w:hint="eastAsia"/>
        </w:rPr>
        <w:t>就业</w:t>
      </w:r>
    </w:p>
    <w:p w14:paraId="010A3DCC" w14:textId="44D914B0" w:rsidR="00522F93" w:rsidRDefault="00522F93" w:rsidP="00522F93">
      <w:pPr>
        <w:pStyle w:val="SingleTxtGC"/>
      </w:pPr>
      <w:r>
        <w:rPr>
          <w:rFonts w:hint="eastAsia"/>
        </w:rPr>
        <w:t>16.</w:t>
      </w:r>
      <w:r>
        <w:rPr>
          <w:rFonts w:hint="eastAsia"/>
        </w:rPr>
        <w:tab/>
        <w:t>2019</w:t>
      </w:r>
      <w:r>
        <w:rPr>
          <w:rFonts w:hint="eastAsia"/>
        </w:rPr>
        <w:t>年失业率保持在</w:t>
      </w:r>
      <w:r>
        <w:rPr>
          <w:rFonts w:hint="eastAsia"/>
        </w:rPr>
        <w:t>0.99%</w:t>
      </w:r>
      <w:r>
        <w:rPr>
          <w:rFonts w:hint="eastAsia"/>
        </w:rPr>
        <w:t>的低位，失业人数为</w:t>
      </w:r>
      <w:r>
        <w:rPr>
          <w:rFonts w:hint="eastAsia"/>
        </w:rPr>
        <w:t>37</w:t>
      </w:r>
      <w:r>
        <w:rPr>
          <w:rFonts w:hint="eastAsia"/>
        </w:rPr>
        <w:t>万。整体平均工资和私营部门平均工资分别增长</w:t>
      </w:r>
      <w:r>
        <w:rPr>
          <w:rFonts w:hint="eastAsia"/>
        </w:rPr>
        <w:t>2.3%</w:t>
      </w:r>
      <w:r>
        <w:rPr>
          <w:rFonts w:hint="eastAsia"/>
        </w:rPr>
        <w:t>和</w:t>
      </w:r>
      <w:r>
        <w:rPr>
          <w:rFonts w:hint="eastAsia"/>
        </w:rPr>
        <w:t>3.3%</w:t>
      </w:r>
      <w:r>
        <w:rPr>
          <w:rFonts w:hint="eastAsia"/>
        </w:rPr>
        <w:t>。劳动生产率比上一年增长了</w:t>
      </w:r>
      <w:r>
        <w:rPr>
          <w:rFonts w:hint="eastAsia"/>
        </w:rPr>
        <w:t>3.1%</w:t>
      </w:r>
      <w:r>
        <w:rPr>
          <w:rFonts w:hint="eastAsia"/>
        </w:rPr>
        <w:t>。</w:t>
      </w:r>
    </w:p>
    <w:p w14:paraId="00F16838" w14:textId="0900EDE0" w:rsidR="00522F93" w:rsidRDefault="00522F93" w:rsidP="00522F93">
      <w:pPr>
        <w:pStyle w:val="SingleTxtGC"/>
      </w:pPr>
      <w:r>
        <w:rPr>
          <w:rFonts w:hint="eastAsia"/>
        </w:rPr>
        <w:t>17.</w:t>
      </w:r>
      <w:r>
        <w:rPr>
          <w:rFonts w:hint="eastAsia"/>
        </w:rPr>
        <w:tab/>
        <w:t>2019</w:t>
      </w:r>
      <w:r>
        <w:rPr>
          <w:rFonts w:hint="eastAsia"/>
        </w:rPr>
        <w:t>年服务业就业人数持续增加，尤其是酒店</w:t>
      </w:r>
      <w:r>
        <w:rPr>
          <w:rFonts w:hint="eastAsia"/>
        </w:rPr>
        <w:t>/</w:t>
      </w:r>
      <w:r>
        <w:rPr>
          <w:rFonts w:hint="eastAsia"/>
        </w:rPr>
        <w:t>餐饮业</w:t>
      </w:r>
      <w:r>
        <w:rPr>
          <w:rFonts w:hint="eastAsia"/>
        </w:rPr>
        <w:t>(0.8%)</w:t>
      </w:r>
      <w:r>
        <w:rPr>
          <w:rFonts w:hint="eastAsia"/>
        </w:rPr>
        <w:t>。此外，由于公共投资和各种平台在线交易</w:t>
      </w:r>
      <w:r>
        <w:rPr>
          <w:rFonts w:hint="eastAsia"/>
        </w:rPr>
        <w:t>/</w:t>
      </w:r>
      <w:r>
        <w:rPr>
          <w:rFonts w:hint="eastAsia"/>
        </w:rPr>
        <w:t>订购的扩大，建筑业和交通运输业的就业人数也继续分别增长</w:t>
      </w:r>
      <w:r>
        <w:rPr>
          <w:rFonts w:hint="eastAsia"/>
        </w:rPr>
        <w:t>3.3%</w:t>
      </w:r>
      <w:r>
        <w:rPr>
          <w:rFonts w:hint="eastAsia"/>
        </w:rPr>
        <w:t>和</w:t>
      </w:r>
      <w:r>
        <w:rPr>
          <w:rFonts w:hint="eastAsia"/>
        </w:rPr>
        <w:t>3.7%</w:t>
      </w:r>
      <w:r>
        <w:rPr>
          <w:rFonts w:hint="eastAsia"/>
        </w:rPr>
        <w:t>。</w:t>
      </w:r>
    </w:p>
    <w:p w14:paraId="4837ED28" w14:textId="03B253E4" w:rsidR="00522F93" w:rsidRDefault="00522F93" w:rsidP="00522F93">
      <w:pPr>
        <w:pStyle w:val="SingleTxtGC"/>
      </w:pPr>
      <w:r>
        <w:rPr>
          <w:rFonts w:hint="eastAsia"/>
        </w:rPr>
        <w:t>18.</w:t>
      </w:r>
      <w:r>
        <w:rPr>
          <w:rFonts w:hint="eastAsia"/>
        </w:rPr>
        <w:tab/>
      </w:r>
      <w:r>
        <w:rPr>
          <w:rFonts w:hint="eastAsia"/>
        </w:rPr>
        <w:t>然而泰国</w:t>
      </w:r>
      <w:r>
        <w:rPr>
          <w:rFonts w:hint="eastAsia"/>
        </w:rPr>
        <w:t>2019</w:t>
      </w:r>
      <w:r>
        <w:rPr>
          <w:rFonts w:hint="eastAsia"/>
        </w:rPr>
        <w:t>年的整体就业人数减少了</w:t>
      </w:r>
      <w:r>
        <w:rPr>
          <w:rFonts w:hint="eastAsia"/>
        </w:rPr>
        <w:t>0.7%</w:t>
      </w:r>
      <w:r>
        <w:rPr>
          <w:rFonts w:hint="eastAsia"/>
        </w:rPr>
        <w:t>。劳动力市场受到周期性影响和结构性影响，而且也受到技术进步的影响。周期性影响是由于经济放缓导致生产和出口减少就业，结构性影响包括泰国劳动力市场结构的变化和更多的受教育机会，这会减缓劳动力进入市场的速度。</w:t>
      </w:r>
    </w:p>
    <w:p w14:paraId="24920171" w14:textId="5CCF7D7E" w:rsidR="00522F93" w:rsidRDefault="00522F93" w:rsidP="00522F93">
      <w:pPr>
        <w:pStyle w:val="SingleTxtGC"/>
      </w:pPr>
      <w:r>
        <w:rPr>
          <w:rFonts w:hint="eastAsia"/>
        </w:rPr>
        <w:t>19.</w:t>
      </w:r>
      <w:r>
        <w:rPr>
          <w:rFonts w:hint="eastAsia"/>
        </w:rPr>
        <w:tab/>
      </w:r>
      <w:r>
        <w:rPr>
          <w:rFonts w:hint="eastAsia"/>
        </w:rPr>
        <w:t>截至</w:t>
      </w:r>
      <w:r>
        <w:rPr>
          <w:rFonts w:hint="eastAsia"/>
        </w:rPr>
        <w:t>2019</w:t>
      </w:r>
      <w:r>
        <w:rPr>
          <w:rFonts w:hint="eastAsia"/>
        </w:rPr>
        <w:t>年</w:t>
      </w:r>
      <w:r>
        <w:rPr>
          <w:rFonts w:hint="eastAsia"/>
        </w:rPr>
        <w:t>3</w:t>
      </w:r>
      <w:r>
        <w:rPr>
          <w:rFonts w:hint="eastAsia"/>
        </w:rPr>
        <w:t>月，在工会登记的劳动力人数为</w:t>
      </w:r>
      <w:r>
        <w:rPr>
          <w:rFonts w:hint="eastAsia"/>
        </w:rPr>
        <w:t>616</w:t>
      </w:r>
      <w:r w:rsidR="006D1156">
        <w:rPr>
          <w:rFonts w:hint="eastAsia"/>
        </w:rPr>
        <w:t>,</w:t>
      </w:r>
      <w:r>
        <w:rPr>
          <w:rFonts w:hint="eastAsia"/>
        </w:rPr>
        <w:t>492</w:t>
      </w:r>
      <w:r>
        <w:rPr>
          <w:rFonts w:hint="eastAsia"/>
        </w:rPr>
        <w:t>人。</w:t>
      </w:r>
    </w:p>
    <w:p w14:paraId="104E187B" w14:textId="77777777" w:rsidR="00522F93" w:rsidRDefault="00522F93" w:rsidP="00B36215">
      <w:pPr>
        <w:pStyle w:val="H23GC"/>
      </w:pPr>
      <w:r>
        <w:rPr>
          <w:rFonts w:hint="eastAsia"/>
        </w:rPr>
        <w:tab/>
      </w:r>
      <w:r>
        <w:rPr>
          <w:rFonts w:hint="eastAsia"/>
        </w:rPr>
        <w:tab/>
      </w:r>
      <w:r>
        <w:rPr>
          <w:rFonts w:hint="eastAsia"/>
        </w:rPr>
        <w:t>家庭消费支出</w:t>
      </w:r>
    </w:p>
    <w:p w14:paraId="1F0DE4A7" w14:textId="346B8C4A" w:rsidR="00522F93" w:rsidRDefault="00522F93" w:rsidP="00522F93">
      <w:pPr>
        <w:pStyle w:val="SingleTxtGC"/>
      </w:pPr>
      <w:r>
        <w:rPr>
          <w:rFonts w:hint="eastAsia"/>
        </w:rPr>
        <w:t>20.</w:t>
      </w:r>
      <w:r>
        <w:rPr>
          <w:rFonts w:hint="eastAsia"/>
        </w:rPr>
        <w:tab/>
        <w:t>2019</w:t>
      </w:r>
      <w:r>
        <w:rPr>
          <w:rFonts w:hint="eastAsia"/>
        </w:rPr>
        <w:t>年泰国家庭消费支出主要包括食品及非酒精饮料</w:t>
      </w:r>
      <w:r>
        <w:rPr>
          <w:rFonts w:hint="eastAsia"/>
        </w:rPr>
        <w:t>(38.31%)</w:t>
      </w:r>
      <w:r>
        <w:rPr>
          <w:rFonts w:hint="eastAsia"/>
        </w:rPr>
        <w:t>、酒精饮料</w:t>
      </w:r>
      <w:r>
        <w:rPr>
          <w:rFonts w:hint="eastAsia"/>
        </w:rPr>
        <w:t>(1.37%)</w:t>
      </w:r>
      <w:r>
        <w:rPr>
          <w:rFonts w:hint="eastAsia"/>
        </w:rPr>
        <w:t>、烟草制品</w:t>
      </w:r>
      <w:r>
        <w:rPr>
          <w:rFonts w:hint="eastAsia"/>
        </w:rPr>
        <w:t>(0.68%)</w:t>
      </w:r>
      <w:r>
        <w:rPr>
          <w:rFonts w:hint="eastAsia"/>
        </w:rPr>
        <w:t>、家用物品</w:t>
      </w:r>
      <w:r>
        <w:rPr>
          <w:rFonts w:hint="eastAsia"/>
        </w:rPr>
        <w:t>(23.38%)</w:t>
      </w:r>
      <w:r>
        <w:rPr>
          <w:rFonts w:hint="eastAsia"/>
        </w:rPr>
        <w:t>、服装鞋类</w:t>
      </w:r>
      <w:r>
        <w:rPr>
          <w:rFonts w:hint="eastAsia"/>
        </w:rPr>
        <w:t>(2.50%)</w:t>
      </w:r>
      <w:r>
        <w:rPr>
          <w:rFonts w:hint="eastAsia"/>
        </w:rPr>
        <w:t>、个人支出</w:t>
      </w:r>
      <w:r>
        <w:rPr>
          <w:rFonts w:hint="eastAsia"/>
        </w:rPr>
        <w:t>(3.43%)</w:t>
      </w:r>
      <w:r>
        <w:rPr>
          <w:rFonts w:hint="eastAsia"/>
        </w:rPr>
        <w:t>、保健</w:t>
      </w:r>
      <w:r>
        <w:rPr>
          <w:rFonts w:hint="eastAsia"/>
        </w:rPr>
        <w:t>(1.78%)</w:t>
      </w:r>
      <w:r>
        <w:rPr>
          <w:rFonts w:hint="eastAsia"/>
        </w:rPr>
        <w:t>、交通和通讯</w:t>
      </w:r>
      <w:r>
        <w:rPr>
          <w:rFonts w:hint="eastAsia"/>
        </w:rPr>
        <w:t>(23.94%)</w:t>
      </w:r>
      <w:r>
        <w:rPr>
          <w:rFonts w:hint="eastAsia"/>
        </w:rPr>
        <w:t>、教育</w:t>
      </w:r>
      <w:r>
        <w:rPr>
          <w:rFonts w:hint="eastAsia"/>
        </w:rPr>
        <w:t>(2.02%)</w:t>
      </w:r>
      <w:r>
        <w:rPr>
          <w:rFonts w:hint="eastAsia"/>
        </w:rPr>
        <w:t>、娱乐、阅读和宗教活动</w:t>
      </w:r>
      <w:r>
        <w:rPr>
          <w:rFonts w:hint="eastAsia"/>
        </w:rPr>
        <w:t>(1.77%)</w:t>
      </w:r>
      <w:r>
        <w:rPr>
          <w:rFonts w:hint="eastAsia"/>
        </w:rPr>
        <w:t>和文化费用</w:t>
      </w:r>
      <w:r>
        <w:rPr>
          <w:rFonts w:hint="eastAsia"/>
        </w:rPr>
        <w:t>(0.82%)</w:t>
      </w:r>
      <w:r>
        <w:rPr>
          <w:rFonts w:hint="eastAsia"/>
        </w:rPr>
        <w:t>。</w:t>
      </w:r>
    </w:p>
    <w:p w14:paraId="73099675" w14:textId="7F65139F" w:rsidR="00522F93" w:rsidRDefault="00522F93" w:rsidP="00522F93">
      <w:pPr>
        <w:pStyle w:val="SingleTxtGC"/>
      </w:pPr>
      <w:r>
        <w:rPr>
          <w:rFonts w:hint="eastAsia"/>
        </w:rPr>
        <w:t>21.</w:t>
      </w:r>
      <w:r>
        <w:rPr>
          <w:rFonts w:hint="eastAsia"/>
        </w:rPr>
        <w:tab/>
        <w:t>2019</w:t>
      </w:r>
      <w:r>
        <w:rPr>
          <w:rFonts w:hint="eastAsia"/>
        </w:rPr>
        <w:t>年，与收入分配或家庭消费支出相关的基尼系数为</w:t>
      </w:r>
      <w:r>
        <w:rPr>
          <w:rFonts w:hint="eastAsia"/>
        </w:rPr>
        <w:t>0.364</w:t>
      </w:r>
      <w:r>
        <w:rPr>
          <w:rFonts w:hint="eastAsia"/>
        </w:rPr>
        <w:t>。</w:t>
      </w:r>
    </w:p>
    <w:p w14:paraId="51DE04C2" w14:textId="77777777" w:rsidR="00522F93" w:rsidRDefault="00522F93" w:rsidP="00B36215">
      <w:pPr>
        <w:pStyle w:val="H23GC"/>
      </w:pPr>
      <w:r>
        <w:rPr>
          <w:rFonts w:hint="eastAsia"/>
        </w:rPr>
        <w:tab/>
      </w:r>
      <w:r>
        <w:rPr>
          <w:rFonts w:hint="eastAsia"/>
        </w:rPr>
        <w:tab/>
      </w:r>
      <w:r>
        <w:rPr>
          <w:rFonts w:hint="eastAsia"/>
        </w:rPr>
        <w:t>卫生</w:t>
      </w:r>
    </w:p>
    <w:p w14:paraId="4D6962DD" w14:textId="693B2B94" w:rsidR="00522F93" w:rsidRDefault="00522F93" w:rsidP="00522F93">
      <w:pPr>
        <w:pStyle w:val="SingleTxtGC"/>
      </w:pPr>
      <w:r>
        <w:rPr>
          <w:rFonts w:hint="eastAsia"/>
        </w:rPr>
        <w:t>22.</w:t>
      </w:r>
      <w:r>
        <w:rPr>
          <w:rFonts w:hint="eastAsia"/>
        </w:rPr>
        <w:tab/>
        <w:t>2017</w:t>
      </w:r>
      <w:r>
        <w:rPr>
          <w:rFonts w:hint="eastAsia"/>
        </w:rPr>
        <w:t>年，该国的卫生支出约占国内生产总值的</w:t>
      </w:r>
      <w:r>
        <w:rPr>
          <w:rFonts w:hint="eastAsia"/>
        </w:rPr>
        <w:t>3.7%</w:t>
      </w:r>
      <w:r>
        <w:rPr>
          <w:rFonts w:hint="eastAsia"/>
        </w:rPr>
        <w:t>。如第</w:t>
      </w:r>
      <w:r>
        <w:rPr>
          <w:rFonts w:hint="eastAsia"/>
        </w:rPr>
        <w:t>20</w:t>
      </w:r>
      <w:r>
        <w:rPr>
          <w:rFonts w:hint="eastAsia"/>
        </w:rPr>
        <w:t>段所述，家庭保健支出占家庭消费支出的</w:t>
      </w:r>
      <w:r>
        <w:rPr>
          <w:rFonts w:hint="eastAsia"/>
        </w:rPr>
        <w:t>1.78%</w:t>
      </w:r>
      <w:r>
        <w:rPr>
          <w:rFonts w:hint="eastAsia"/>
        </w:rPr>
        <w:t>。</w:t>
      </w:r>
    </w:p>
    <w:p w14:paraId="5F0290B3" w14:textId="4E9B5BA6" w:rsidR="00522F93" w:rsidRDefault="00522F93" w:rsidP="00522F93">
      <w:pPr>
        <w:pStyle w:val="SingleTxtGC"/>
      </w:pPr>
      <w:r>
        <w:rPr>
          <w:rFonts w:hint="eastAsia"/>
        </w:rPr>
        <w:t>23.</w:t>
      </w:r>
      <w:r>
        <w:rPr>
          <w:rFonts w:hint="eastAsia"/>
        </w:rPr>
        <w:tab/>
      </w:r>
      <w:r>
        <w:rPr>
          <w:rFonts w:hint="eastAsia"/>
        </w:rPr>
        <w:t>泰国以实现全民健康覆盖而自豪。全民健康覆盖计划覆盖了几乎百分之百的人口。尽管泰国是一个中等收入国家，但被公认为全民健康覆盖的典范，其经验</w:t>
      </w:r>
      <w:r>
        <w:rPr>
          <w:rFonts w:hint="eastAsia"/>
        </w:rPr>
        <w:lastRenderedPageBreak/>
        <w:t>可以与其他国家分享。与此同时，泰国致力于不断改进其全民健康覆盖计划，以确保所有人都能进一步公平地获得服务。</w:t>
      </w:r>
    </w:p>
    <w:p w14:paraId="007609C2" w14:textId="0F65BF9A" w:rsidR="00522F93" w:rsidRDefault="00522F93" w:rsidP="00522F93">
      <w:pPr>
        <w:pStyle w:val="SingleTxtGC"/>
      </w:pPr>
      <w:r>
        <w:rPr>
          <w:rFonts w:hint="eastAsia"/>
        </w:rPr>
        <w:t>24.</w:t>
      </w:r>
      <w:r>
        <w:rPr>
          <w:rFonts w:hint="eastAsia"/>
        </w:rPr>
        <w:tab/>
      </w:r>
      <w:r>
        <w:rPr>
          <w:rFonts w:hint="eastAsia"/>
        </w:rPr>
        <w:t>在性健康和生殖健康方面，泰国逐步执行了《</w:t>
      </w:r>
      <w:r>
        <w:rPr>
          <w:rFonts w:hint="eastAsia"/>
        </w:rPr>
        <w:t>2030</w:t>
      </w:r>
      <w:r>
        <w:rPr>
          <w:rFonts w:hint="eastAsia"/>
        </w:rPr>
        <w:t>年可持续发展议程》的相关目标和具体目标。</w:t>
      </w:r>
      <w:r>
        <w:rPr>
          <w:rFonts w:hint="eastAsia"/>
        </w:rPr>
        <w:t>2019</w:t>
      </w:r>
      <w:r>
        <w:rPr>
          <w:rFonts w:hint="eastAsia"/>
        </w:rPr>
        <w:t>年，使用避孕药具或其伴侣使用避孕药具的育龄妇女比例为</w:t>
      </w:r>
      <w:r>
        <w:rPr>
          <w:rFonts w:hint="eastAsia"/>
        </w:rPr>
        <w:t>78.4%</w:t>
      </w:r>
      <w:r>
        <w:rPr>
          <w:rFonts w:hint="eastAsia"/>
        </w:rPr>
        <w:t>，而</w:t>
      </w:r>
      <w:r>
        <w:rPr>
          <w:rFonts w:hint="eastAsia"/>
        </w:rPr>
        <w:t>1994</w:t>
      </w:r>
      <w:r>
        <w:rPr>
          <w:rFonts w:hint="eastAsia"/>
        </w:rPr>
        <w:t>年为</w:t>
      </w:r>
      <w:r>
        <w:rPr>
          <w:rFonts w:hint="eastAsia"/>
        </w:rPr>
        <w:t>72%</w:t>
      </w:r>
      <w:r>
        <w:rPr>
          <w:rFonts w:hint="eastAsia"/>
        </w:rPr>
        <w:t>。人口基金认为，泰国是“过去</w:t>
      </w:r>
      <w:r>
        <w:rPr>
          <w:rFonts w:hint="eastAsia"/>
        </w:rPr>
        <w:t>25</w:t>
      </w:r>
      <w:r>
        <w:rPr>
          <w:rFonts w:hint="eastAsia"/>
        </w:rPr>
        <w:t>年来在实现人口与发展目标方面取得突破性进展和领先的国家之一”。</w:t>
      </w:r>
    </w:p>
    <w:p w14:paraId="4B610C13" w14:textId="7CF97DFD" w:rsidR="00522F93" w:rsidRDefault="00522F93" w:rsidP="00522F93">
      <w:pPr>
        <w:pStyle w:val="SingleTxtGC"/>
      </w:pPr>
      <w:r>
        <w:rPr>
          <w:rFonts w:hint="eastAsia"/>
        </w:rPr>
        <w:t>25.</w:t>
      </w:r>
      <w:r>
        <w:rPr>
          <w:rFonts w:hint="eastAsia"/>
        </w:rPr>
        <w:tab/>
        <w:t>2018</w:t>
      </w:r>
      <w:r>
        <w:rPr>
          <w:rFonts w:hint="eastAsia"/>
        </w:rPr>
        <w:t>年，通过卫生部发放的美达邦药片进行医学终止妊娠的案例有</w:t>
      </w:r>
      <w:r>
        <w:rPr>
          <w:rFonts w:hint="eastAsia"/>
        </w:rPr>
        <w:t>5</w:t>
      </w:r>
      <w:r w:rsidR="002A3D86">
        <w:rPr>
          <w:rFonts w:hint="eastAsia"/>
        </w:rPr>
        <w:t>,</w:t>
      </w:r>
      <w:r>
        <w:rPr>
          <w:rFonts w:hint="eastAsia"/>
        </w:rPr>
        <w:t>043</w:t>
      </w:r>
      <w:r>
        <w:rPr>
          <w:rFonts w:hint="eastAsia"/>
        </w:rPr>
        <w:t>起。</w:t>
      </w:r>
    </w:p>
    <w:p w14:paraId="6519225F" w14:textId="0A1B8071" w:rsidR="00522F93" w:rsidRDefault="00522F93" w:rsidP="00522F93">
      <w:pPr>
        <w:pStyle w:val="SingleTxtGC"/>
      </w:pPr>
      <w:r>
        <w:rPr>
          <w:rFonts w:hint="eastAsia"/>
        </w:rPr>
        <w:t>26.</w:t>
      </w:r>
      <w:r>
        <w:rPr>
          <w:rFonts w:hint="eastAsia"/>
        </w:rPr>
        <w:tab/>
      </w:r>
      <w:r>
        <w:rPr>
          <w:rFonts w:hint="eastAsia"/>
        </w:rPr>
        <w:t>主要死因</w:t>
      </w:r>
      <w:r>
        <w:rPr>
          <w:rFonts w:hint="eastAsia"/>
        </w:rPr>
        <w:t>(</w:t>
      </w:r>
      <w:r>
        <w:rPr>
          <w:rFonts w:hint="eastAsia"/>
        </w:rPr>
        <w:t>每</w:t>
      </w:r>
      <w:r>
        <w:rPr>
          <w:rFonts w:hint="eastAsia"/>
        </w:rPr>
        <w:t>10</w:t>
      </w:r>
      <w:r>
        <w:rPr>
          <w:rFonts w:hint="eastAsia"/>
        </w:rPr>
        <w:t>万人口</w:t>
      </w:r>
      <w:r>
        <w:rPr>
          <w:rFonts w:hint="eastAsia"/>
        </w:rPr>
        <w:t>)</w:t>
      </w:r>
      <w:r>
        <w:rPr>
          <w:rFonts w:hint="eastAsia"/>
        </w:rPr>
        <w:t>包括各种形式的恶性肿瘤</w:t>
      </w:r>
      <w:r>
        <w:rPr>
          <w:rFonts w:hint="eastAsia"/>
        </w:rPr>
        <w:t>(120.5)</w:t>
      </w:r>
      <w:r>
        <w:rPr>
          <w:rFonts w:hint="eastAsia"/>
        </w:rPr>
        <w:t>、循环系统疾病</w:t>
      </w:r>
      <w:r>
        <w:rPr>
          <w:rFonts w:hint="eastAsia"/>
        </w:rPr>
        <w:t>(103.7)</w:t>
      </w:r>
      <w:r>
        <w:rPr>
          <w:rFonts w:hint="eastAsia"/>
        </w:rPr>
        <w:t>、呼吸系统疾病</w:t>
      </w:r>
      <w:r>
        <w:rPr>
          <w:rFonts w:hint="eastAsia"/>
        </w:rPr>
        <w:t>(64.0)</w:t>
      </w:r>
      <w:r>
        <w:rPr>
          <w:rFonts w:hint="eastAsia"/>
        </w:rPr>
        <w:t>、发病和死亡的外部原因</w:t>
      </w:r>
      <w:r>
        <w:rPr>
          <w:rFonts w:hint="eastAsia"/>
        </w:rPr>
        <w:t>(59.7)</w:t>
      </w:r>
      <w:r>
        <w:rPr>
          <w:rFonts w:hint="eastAsia"/>
        </w:rPr>
        <w:t>、某些传染病和寄生虫病</w:t>
      </w:r>
      <w:r>
        <w:rPr>
          <w:rFonts w:hint="eastAsia"/>
        </w:rPr>
        <w:t>(56.7)</w:t>
      </w:r>
      <w:r>
        <w:rPr>
          <w:rFonts w:hint="eastAsia"/>
        </w:rPr>
        <w:t>、生殖泌尿系统疾病</w:t>
      </w:r>
      <w:r>
        <w:rPr>
          <w:rFonts w:hint="eastAsia"/>
        </w:rPr>
        <w:t>(35.2)</w:t>
      </w:r>
      <w:r>
        <w:rPr>
          <w:rFonts w:hint="eastAsia"/>
        </w:rPr>
        <w:t>，消化系统疾病</w:t>
      </w:r>
      <w:r>
        <w:rPr>
          <w:rFonts w:hint="eastAsia"/>
        </w:rPr>
        <w:t>(29.7)</w:t>
      </w:r>
      <w:r>
        <w:rPr>
          <w:rFonts w:hint="eastAsia"/>
        </w:rPr>
        <w:t>，内分泌、营养和代谢疾病</w:t>
      </w:r>
      <w:r>
        <w:rPr>
          <w:rFonts w:hint="eastAsia"/>
        </w:rPr>
        <w:t>(23.9)</w:t>
      </w:r>
      <w:r>
        <w:rPr>
          <w:rFonts w:hint="eastAsia"/>
        </w:rPr>
        <w:t>，神经系统疾病</w:t>
      </w:r>
      <w:r>
        <w:rPr>
          <w:rFonts w:hint="eastAsia"/>
        </w:rPr>
        <w:t>(17.6)</w:t>
      </w:r>
      <w:r>
        <w:rPr>
          <w:rFonts w:hint="eastAsia"/>
        </w:rPr>
        <w:t>，以及血液和造血器官疾病和涉及免疫机制的某些疾病</w:t>
      </w:r>
      <w:r>
        <w:rPr>
          <w:rFonts w:hint="eastAsia"/>
        </w:rPr>
        <w:t>(1.7)</w:t>
      </w:r>
    </w:p>
    <w:p w14:paraId="10488A47" w14:textId="1F10EA9A" w:rsidR="00522F93" w:rsidRDefault="00522F93" w:rsidP="00522F93">
      <w:pPr>
        <w:pStyle w:val="SingleTxtGC"/>
      </w:pPr>
      <w:r>
        <w:rPr>
          <w:rFonts w:hint="eastAsia"/>
        </w:rPr>
        <w:t>27.</w:t>
      </w:r>
      <w:r>
        <w:rPr>
          <w:rFonts w:hint="eastAsia"/>
        </w:rPr>
        <w:tab/>
        <w:t>2019</w:t>
      </w:r>
      <w:r>
        <w:rPr>
          <w:rFonts w:hint="eastAsia"/>
        </w:rPr>
        <w:t>年，泰国在公共卫生部下属医院接受治疗的每</w:t>
      </w:r>
      <w:r>
        <w:rPr>
          <w:rFonts w:hint="eastAsia"/>
        </w:rPr>
        <w:t>10</w:t>
      </w:r>
      <w:r>
        <w:rPr>
          <w:rFonts w:hint="eastAsia"/>
        </w:rPr>
        <w:t>万人中主要非传染性疾病的患病率如下：</w:t>
      </w:r>
      <w:r>
        <w:rPr>
          <w:rFonts w:hint="eastAsia"/>
        </w:rPr>
        <w:t>(</w:t>
      </w:r>
      <w:r>
        <w:rPr>
          <w:rFonts w:hint="eastAsia"/>
        </w:rPr>
        <w:t>一</w:t>
      </w:r>
      <w:r>
        <w:rPr>
          <w:rFonts w:hint="eastAsia"/>
        </w:rPr>
        <w:t>)</w:t>
      </w:r>
      <w:r w:rsidR="00D643E8">
        <w:t xml:space="preserve"> </w:t>
      </w:r>
      <w:r>
        <w:rPr>
          <w:rFonts w:hint="eastAsia"/>
        </w:rPr>
        <w:t>冠状动脉疾病</w:t>
      </w:r>
      <w:r>
        <w:rPr>
          <w:rFonts w:hint="eastAsia"/>
        </w:rPr>
        <w:t>(610.2)</w:t>
      </w:r>
      <w:r>
        <w:rPr>
          <w:rFonts w:hint="eastAsia"/>
        </w:rPr>
        <w:t>，</w:t>
      </w:r>
      <w:r>
        <w:rPr>
          <w:rFonts w:hint="eastAsia"/>
        </w:rPr>
        <w:t>(</w:t>
      </w:r>
      <w:r>
        <w:rPr>
          <w:rFonts w:hint="eastAsia"/>
        </w:rPr>
        <w:t>二</w:t>
      </w:r>
      <w:r>
        <w:rPr>
          <w:rFonts w:hint="eastAsia"/>
        </w:rPr>
        <w:t>)</w:t>
      </w:r>
      <w:r w:rsidR="00D643E8">
        <w:t xml:space="preserve"> </w:t>
      </w:r>
      <w:r>
        <w:rPr>
          <w:rFonts w:hint="eastAsia"/>
        </w:rPr>
        <w:t>慢性阻塞性肺病</w:t>
      </w:r>
      <w:r>
        <w:rPr>
          <w:rFonts w:hint="eastAsia"/>
        </w:rPr>
        <w:t>(473.6)</w:t>
      </w:r>
      <w:r>
        <w:rPr>
          <w:rFonts w:hint="eastAsia"/>
        </w:rPr>
        <w:t>，和</w:t>
      </w:r>
      <w:r>
        <w:rPr>
          <w:rFonts w:hint="eastAsia"/>
        </w:rPr>
        <w:t>(</w:t>
      </w:r>
      <w:r>
        <w:rPr>
          <w:rFonts w:hint="eastAsia"/>
        </w:rPr>
        <w:t>三</w:t>
      </w:r>
      <w:r>
        <w:rPr>
          <w:rFonts w:hint="eastAsia"/>
        </w:rPr>
        <w:t>)</w:t>
      </w:r>
      <w:r w:rsidR="00D643E8">
        <w:t xml:space="preserve"> </w:t>
      </w:r>
      <w:r>
        <w:rPr>
          <w:rFonts w:hint="eastAsia"/>
        </w:rPr>
        <w:t>糖尿病</w:t>
      </w:r>
      <w:r>
        <w:rPr>
          <w:rFonts w:hint="eastAsia"/>
        </w:rPr>
        <w:t>(5</w:t>
      </w:r>
      <w:r w:rsidR="002A3D86">
        <w:rPr>
          <w:rFonts w:hint="eastAsia"/>
        </w:rPr>
        <w:t>,</w:t>
      </w:r>
      <w:r>
        <w:rPr>
          <w:rFonts w:hint="eastAsia"/>
        </w:rPr>
        <w:t>440.8)</w:t>
      </w:r>
      <w:r>
        <w:rPr>
          <w:rFonts w:hint="eastAsia"/>
        </w:rPr>
        <w:t>。</w:t>
      </w:r>
    </w:p>
    <w:p w14:paraId="49ED919F" w14:textId="4FEAE353" w:rsidR="00522F93" w:rsidRDefault="00522F93" w:rsidP="00522F93">
      <w:pPr>
        <w:pStyle w:val="SingleTxtGC"/>
      </w:pPr>
      <w:r>
        <w:rPr>
          <w:rFonts w:hint="eastAsia"/>
        </w:rPr>
        <w:t>28.</w:t>
      </w:r>
      <w:r>
        <w:rPr>
          <w:rFonts w:hint="eastAsia"/>
        </w:rPr>
        <w:tab/>
      </w:r>
      <w:r>
        <w:rPr>
          <w:rFonts w:hint="eastAsia"/>
        </w:rPr>
        <w:t>截至</w:t>
      </w:r>
      <w:r>
        <w:rPr>
          <w:rFonts w:hint="eastAsia"/>
        </w:rPr>
        <w:t>2018</w:t>
      </w:r>
      <w:r>
        <w:rPr>
          <w:rFonts w:hint="eastAsia"/>
        </w:rPr>
        <w:t>年</w:t>
      </w:r>
      <w:r>
        <w:rPr>
          <w:rFonts w:hint="eastAsia"/>
        </w:rPr>
        <w:t>10</w:t>
      </w:r>
      <w:r>
        <w:rPr>
          <w:rFonts w:hint="eastAsia"/>
        </w:rPr>
        <w:t>月，泰国有</w:t>
      </w:r>
      <w:r>
        <w:rPr>
          <w:rFonts w:hint="eastAsia"/>
        </w:rPr>
        <w:t>450</w:t>
      </w:r>
      <w:r w:rsidR="002A3D86">
        <w:rPr>
          <w:rFonts w:hint="eastAsia"/>
        </w:rPr>
        <w:t>,</w:t>
      </w:r>
      <w:r>
        <w:rPr>
          <w:rFonts w:hint="eastAsia"/>
        </w:rPr>
        <w:t>573</w:t>
      </w:r>
      <w:r>
        <w:rPr>
          <w:rFonts w:hint="eastAsia"/>
        </w:rPr>
        <w:t>人感染艾滋病毒</w:t>
      </w:r>
      <w:r>
        <w:rPr>
          <w:rFonts w:hint="eastAsia"/>
        </w:rPr>
        <w:t>/</w:t>
      </w:r>
      <w:r>
        <w:rPr>
          <w:rFonts w:hint="eastAsia"/>
        </w:rPr>
        <w:t>艾滋病。</w:t>
      </w:r>
    </w:p>
    <w:p w14:paraId="39F853B5" w14:textId="77777777" w:rsidR="00522F93" w:rsidRDefault="00522F93" w:rsidP="00B36215">
      <w:pPr>
        <w:pStyle w:val="H23GC"/>
      </w:pPr>
      <w:r>
        <w:rPr>
          <w:rFonts w:hint="eastAsia"/>
        </w:rPr>
        <w:tab/>
      </w:r>
      <w:r>
        <w:rPr>
          <w:rFonts w:hint="eastAsia"/>
        </w:rPr>
        <w:tab/>
      </w:r>
      <w:r>
        <w:rPr>
          <w:rFonts w:hint="eastAsia"/>
        </w:rPr>
        <w:t>教育</w:t>
      </w:r>
    </w:p>
    <w:p w14:paraId="06B02385" w14:textId="76605117" w:rsidR="00522F93" w:rsidRDefault="00522F93" w:rsidP="00522F93">
      <w:pPr>
        <w:pStyle w:val="SingleTxtGC"/>
      </w:pPr>
      <w:r>
        <w:rPr>
          <w:rFonts w:hint="eastAsia"/>
        </w:rPr>
        <w:t>29.</w:t>
      </w:r>
      <w:r>
        <w:rPr>
          <w:rFonts w:hint="eastAsia"/>
        </w:rPr>
        <w:tab/>
      </w:r>
      <w:r>
        <w:rPr>
          <w:rFonts w:hint="eastAsia"/>
        </w:rPr>
        <w:t>泰国实行了</w:t>
      </w:r>
      <w:bookmarkStart w:id="0" w:name="_Hlk98942732"/>
      <w:r>
        <w:rPr>
          <w:rFonts w:hint="eastAsia"/>
        </w:rPr>
        <w:t>“全民教育”</w:t>
      </w:r>
      <w:bookmarkEnd w:id="0"/>
      <w:r>
        <w:rPr>
          <w:rFonts w:hint="eastAsia"/>
        </w:rPr>
        <w:t>政策</w:t>
      </w:r>
      <w:r>
        <w:rPr>
          <w:rFonts w:hint="eastAsia"/>
        </w:rPr>
        <w:t>(</w:t>
      </w:r>
      <w:r>
        <w:rPr>
          <w:rFonts w:hint="eastAsia"/>
        </w:rPr>
        <w:t>见第</w:t>
      </w:r>
      <w:r>
        <w:rPr>
          <w:rFonts w:hint="eastAsia"/>
        </w:rPr>
        <w:t>114</w:t>
      </w:r>
      <w:r>
        <w:rPr>
          <w:rFonts w:hint="eastAsia"/>
        </w:rPr>
        <w:t>段</w:t>
      </w:r>
      <w:r>
        <w:rPr>
          <w:rFonts w:hint="eastAsia"/>
        </w:rPr>
        <w:t>)</w:t>
      </w:r>
      <w:r>
        <w:rPr>
          <w:rFonts w:hint="eastAsia"/>
        </w:rPr>
        <w:t>。根据学生占学龄人口的百分比计算，初等和中等教育净入学率分别为</w:t>
      </w:r>
      <w:r>
        <w:rPr>
          <w:rFonts w:hint="eastAsia"/>
        </w:rPr>
        <w:t>102.74%(</w:t>
      </w:r>
      <w:r>
        <w:rPr>
          <w:rFonts w:hint="eastAsia"/>
        </w:rPr>
        <w:t>女生</w:t>
      </w:r>
      <w:r>
        <w:rPr>
          <w:rFonts w:hint="eastAsia"/>
        </w:rPr>
        <w:t>46.72%</w:t>
      </w:r>
      <w:r>
        <w:rPr>
          <w:rFonts w:hint="eastAsia"/>
        </w:rPr>
        <w:t>，男生</w:t>
      </w:r>
      <w:r>
        <w:rPr>
          <w:rFonts w:hint="eastAsia"/>
        </w:rPr>
        <w:t>53.28%)</w:t>
      </w:r>
      <w:r>
        <w:rPr>
          <w:rFonts w:hint="eastAsia"/>
        </w:rPr>
        <w:t>和</w:t>
      </w:r>
      <w:r>
        <w:rPr>
          <w:rFonts w:hint="eastAsia"/>
        </w:rPr>
        <w:t>87.52%(</w:t>
      </w:r>
      <w:r>
        <w:rPr>
          <w:rFonts w:hint="eastAsia"/>
        </w:rPr>
        <w:t>女生</w:t>
      </w:r>
      <w:r>
        <w:rPr>
          <w:rFonts w:hint="eastAsia"/>
        </w:rPr>
        <w:t>50.25%</w:t>
      </w:r>
      <w:r>
        <w:rPr>
          <w:rFonts w:hint="eastAsia"/>
        </w:rPr>
        <w:t>，男生</w:t>
      </w:r>
      <w:r>
        <w:rPr>
          <w:rFonts w:hint="eastAsia"/>
        </w:rPr>
        <w:t>49.75%)</w:t>
      </w:r>
      <w:r>
        <w:rPr>
          <w:rFonts w:hint="eastAsia"/>
        </w:rPr>
        <w:t>。</w:t>
      </w:r>
    </w:p>
    <w:p w14:paraId="2E4F53D9" w14:textId="71A431FF" w:rsidR="00522F93" w:rsidRDefault="00522F93" w:rsidP="00522F93">
      <w:pPr>
        <w:pStyle w:val="SingleTxtGC"/>
      </w:pPr>
      <w:r>
        <w:rPr>
          <w:rFonts w:hint="eastAsia"/>
        </w:rPr>
        <w:t>30.</w:t>
      </w:r>
      <w:r>
        <w:rPr>
          <w:rFonts w:hint="eastAsia"/>
        </w:rPr>
        <w:tab/>
        <w:t>2016</w:t>
      </w:r>
      <w:r>
        <w:rPr>
          <w:rFonts w:hint="eastAsia"/>
        </w:rPr>
        <w:t>年小学教育辍学率为</w:t>
      </w:r>
      <w:r>
        <w:rPr>
          <w:rFonts w:hint="eastAsia"/>
        </w:rPr>
        <w:t>0.04%</w:t>
      </w:r>
      <w:r>
        <w:rPr>
          <w:rFonts w:hint="eastAsia"/>
        </w:rPr>
        <w:t>，初中教育辍学率为</w:t>
      </w:r>
      <w:r>
        <w:rPr>
          <w:rFonts w:hint="eastAsia"/>
        </w:rPr>
        <w:t>0.16%</w:t>
      </w:r>
      <w:r>
        <w:rPr>
          <w:rFonts w:hint="eastAsia"/>
        </w:rPr>
        <w:t>，高中教育辍学率为</w:t>
      </w:r>
      <w:r>
        <w:rPr>
          <w:rFonts w:hint="eastAsia"/>
        </w:rPr>
        <w:t>0.13%</w:t>
      </w:r>
      <w:r>
        <w:rPr>
          <w:rFonts w:hint="eastAsia"/>
        </w:rPr>
        <w:t>，共有</w:t>
      </w:r>
      <w:r>
        <w:rPr>
          <w:rFonts w:hint="eastAsia"/>
        </w:rPr>
        <w:t>5</w:t>
      </w:r>
      <w:r w:rsidR="002A3D86">
        <w:t>,</w:t>
      </w:r>
      <w:r>
        <w:rPr>
          <w:rFonts w:hint="eastAsia"/>
        </w:rPr>
        <w:t>377</w:t>
      </w:r>
      <w:r>
        <w:rPr>
          <w:rFonts w:hint="eastAsia"/>
        </w:rPr>
        <w:t>名学生辍学。</w:t>
      </w:r>
    </w:p>
    <w:p w14:paraId="34507DF4" w14:textId="6704E9A3" w:rsidR="00522F93" w:rsidRDefault="00522F93" w:rsidP="00522F93">
      <w:pPr>
        <w:pStyle w:val="SingleTxtGC"/>
      </w:pPr>
      <w:r>
        <w:rPr>
          <w:rFonts w:hint="eastAsia"/>
        </w:rPr>
        <w:t>31.</w:t>
      </w:r>
      <w:r>
        <w:rPr>
          <w:rFonts w:hint="eastAsia"/>
        </w:rPr>
        <w:tab/>
      </w:r>
      <w:r>
        <w:rPr>
          <w:rFonts w:hint="eastAsia"/>
        </w:rPr>
        <w:t>根据</w:t>
      </w:r>
      <w:r>
        <w:rPr>
          <w:rFonts w:hint="eastAsia"/>
        </w:rPr>
        <w:t>2018</w:t>
      </w:r>
      <w:r>
        <w:rPr>
          <w:rFonts w:hint="eastAsia"/>
        </w:rPr>
        <w:t>年国际学生评估方案调查，泰国学生在阅读、数学和科学方面的平均成绩分别为</w:t>
      </w:r>
      <w:r>
        <w:rPr>
          <w:rFonts w:hint="eastAsia"/>
        </w:rPr>
        <w:t>393</w:t>
      </w:r>
      <w:r>
        <w:rPr>
          <w:rFonts w:hint="eastAsia"/>
        </w:rPr>
        <w:t>、</w:t>
      </w:r>
      <w:r>
        <w:rPr>
          <w:rFonts w:hint="eastAsia"/>
        </w:rPr>
        <w:t>419</w:t>
      </w:r>
      <w:r>
        <w:rPr>
          <w:rFonts w:hint="eastAsia"/>
        </w:rPr>
        <w:t>、</w:t>
      </w:r>
      <w:r>
        <w:rPr>
          <w:rFonts w:hint="eastAsia"/>
        </w:rPr>
        <w:t>426,</w:t>
      </w:r>
      <w:r w:rsidR="00D643E8">
        <w:t xml:space="preserve"> </w:t>
      </w:r>
      <w:r>
        <w:rPr>
          <w:rFonts w:hint="eastAsia"/>
        </w:rPr>
        <w:t>低于经合组织的平均成绩</w:t>
      </w:r>
      <w:r>
        <w:rPr>
          <w:rFonts w:hint="eastAsia"/>
        </w:rPr>
        <w:t>487</w:t>
      </w:r>
      <w:r>
        <w:rPr>
          <w:rFonts w:hint="eastAsia"/>
        </w:rPr>
        <w:t>、</w:t>
      </w:r>
      <w:r>
        <w:rPr>
          <w:rFonts w:hint="eastAsia"/>
        </w:rPr>
        <w:t>489</w:t>
      </w:r>
      <w:r>
        <w:rPr>
          <w:rFonts w:hint="eastAsia"/>
        </w:rPr>
        <w:t>和</w:t>
      </w:r>
      <w:r>
        <w:rPr>
          <w:rFonts w:hint="eastAsia"/>
        </w:rPr>
        <w:t>489</w:t>
      </w:r>
      <w:r>
        <w:rPr>
          <w:rFonts w:hint="eastAsia"/>
        </w:rPr>
        <w:t>。平均阅读成绩比</w:t>
      </w:r>
      <w:r>
        <w:rPr>
          <w:rFonts w:hint="eastAsia"/>
        </w:rPr>
        <w:t>2015</w:t>
      </w:r>
      <w:r>
        <w:rPr>
          <w:rFonts w:hint="eastAsia"/>
        </w:rPr>
        <w:t>年国际学生评估方案调查低了</w:t>
      </w:r>
      <w:r>
        <w:rPr>
          <w:rFonts w:hint="eastAsia"/>
        </w:rPr>
        <w:t>16</w:t>
      </w:r>
      <w:r>
        <w:rPr>
          <w:rFonts w:hint="eastAsia"/>
        </w:rPr>
        <w:t>分，而数学和科学的平均成绩分别提高了</w:t>
      </w:r>
      <w:r>
        <w:rPr>
          <w:rFonts w:hint="eastAsia"/>
        </w:rPr>
        <w:t>4</w:t>
      </w:r>
      <w:r>
        <w:rPr>
          <w:rFonts w:hint="eastAsia"/>
        </w:rPr>
        <w:t>分和</w:t>
      </w:r>
      <w:r>
        <w:rPr>
          <w:rFonts w:hint="eastAsia"/>
        </w:rPr>
        <w:t>5</w:t>
      </w:r>
      <w:r>
        <w:rPr>
          <w:rFonts w:hint="eastAsia"/>
        </w:rPr>
        <w:t>分。女生在阅读方面比男生高</w:t>
      </w:r>
      <w:r>
        <w:rPr>
          <w:rFonts w:hint="eastAsia"/>
        </w:rPr>
        <w:t>39</w:t>
      </w:r>
      <w:r>
        <w:rPr>
          <w:rFonts w:hint="eastAsia"/>
        </w:rPr>
        <w:t>分，数学高</w:t>
      </w:r>
      <w:r>
        <w:rPr>
          <w:rFonts w:hint="eastAsia"/>
        </w:rPr>
        <w:t>16</w:t>
      </w:r>
      <w:r>
        <w:rPr>
          <w:rFonts w:hint="eastAsia"/>
        </w:rPr>
        <w:t>分，科学高</w:t>
      </w:r>
      <w:r>
        <w:rPr>
          <w:rFonts w:hint="eastAsia"/>
        </w:rPr>
        <w:t>20</w:t>
      </w:r>
      <w:r>
        <w:rPr>
          <w:rFonts w:hint="eastAsia"/>
        </w:rPr>
        <w:t>分。</w:t>
      </w:r>
    </w:p>
    <w:p w14:paraId="0EFCD67B" w14:textId="322B5AD4" w:rsidR="00522F93" w:rsidRDefault="00522F93" w:rsidP="00522F93">
      <w:pPr>
        <w:pStyle w:val="SingleTxtGC"/>
      </w:pPr>
      <w:r>
        <w:rPr>
          <w:rFonts w:hint="eastAsia"/>
        </w:rPr>
        <w:t>32.</w:t>
      </w:r>
      <w:r>
        <w:rPr>
          <w:rFonts w:hint="eastAsia"/>
        </w:rPr>
        <w:tab/>
        <w:t>2018</w:t>
      </w:r>
      <w:r>
        <w:rPr>
          <w:rFonts w:hint="eastAsia"/>
        </w:rPr>
        <w:t>学年，基础教育委员会办公室下属</w:t>
      </w:r>
      <w:r>
        <w:rPr>
          <w:rFonts w:hint="eastAsia"/>
        </w:rPr>
        <w:t>26</w:t>
      </w:r>
      <w:r w:rsidR="002A3D86">
        <w:t>,</w:t>
      </w:r>
      <w:r>
        <w:rPr>
          <w:rFonts w:hint="eastAsia"/>
        </w:rPr>
        <w:t>557</w:t>
      </w:r>
      <w:r>
        <w:rPr>
          <w:rFonts w:hint="eastAsia"/>
        </w:rPr>
        <w:t>所学校的</w:t>
      </w:r>
      <w:r>
        <w:rPr>
          <w:rFonts w:hint="eastAsia"/>
        </w:rPr>
        <w:t>510</w:t>
      </w:r>
      <w:r w:rsidR="002A3D86">
        <w:t>,</w:t>
      </w:r>
      <w:r>
        <w:rPr>
          <w:rFonts w:hint="eastAsia"/>
        </w:rPr>
        <w:t>040</w:t>
      </w:r>
      <w:r>
        <w:rPr>
          <w:rFonts w:hint="eastAsia"/>
        </w:rPr>
        <w:t>名有特殊情况的学生获得了公平教育基金的赠款。关于公平教育基金的更多资料见第</w:t>
      </w:r>
      <w:r>
        <w:rPr>
          <w:rFonts w:hint="eastAsia"/>
        </w:rPr>
        <w:t>115</w:t>
      </w:r>
      <w:r>
        <w:rPr>
          <w:rFonts w:hint="eastAsia"/>
        </w:rPr>
        <w:t>段。</w:t>
      </w:r>
    </w:p>
    <w:p w14:paraId="14BCE22F" w14:textId="5629E721" w:rsidR="00522F93" w:rsidRDefault="00B36215" w:rsidP="00B36215">
      <w:pPr>
        <w:pStyle w:val="H1GC"/>
      </w:pPr>
      <w:r>
        <w:tab/>
      </w:r>
      <w:r w:rsidR="00522F93">
        <w:rPr>
          <w:rFonts w:hint="eastAsia"/>
        </w:rPr>
        <w:t>B.</w:t>
      </w:r>
      <w:r w:rsidR="00522F93">
        <w:rPr>
          <w:rFonts w:hint="eastAsia"/>
        </w:rPr>
        <w:tab/>
      </w:r>
      <w:r w:rsidR="00522F93">
        <w:rPr>
          <w:rFonts w:hint="eastAsia"/>
        </w:rPr>
        <w:t>宪法、政治和法律结构</w:t>
      </w:r>
    </w:p>
    <w:p w14:paraId="2D3DF313" w14:textId="114B49F4" w:rsidR="00522F93" w:rsidRDefault="00522F93" w:rsidP="00522F93">
      <w:pPr>
        <w:pStyle w:val="SingleTxtGC"/>
      </w:pPr>
      <w:r>
        <w:rPr>
          <w:rFonts w:hint="eastAsia"/>
        </w:rPr>
        <w:t>33.</w:t>
      </w:r>
      <w:r>
        <w:rPr>
          <w:rFonts w:hint="eastAsia"/>
        </w:rPr>
        <w:tab/>
      </w:r>
      <w:r>
        <w:rPr>
          <w:rFonts w:hint="eastAsia"/>
        </w:rPr>
        <w:t>泰国</w:t>
      </w:r>
      <w:r>
        <w:rPr>
          <w:rFonts w:hint="eastAsia"/>
        </w:rPr>
        <w:t>(</w:t>
      </w:r>
      <w:r>
        <w:rPr>
          <w:rFonts w:hint="eastAsia"/>
        </w:rPr>
        <w:t>以前称为暹罗</w:t>
      </w:r>
      <w:r>
        <w:rPr>
          <w:rFonts w:hint="eastAsia"/>
        </w:rPr>
        <w:t>)</w:t>
      </w:r>
      <w:r>
        <w:rPr>
          <w:rFonts w:hint="eastAsia"/>
        </w:rPr>
        <w:t>一直受绝对君主制统治，</w:t>
      </w:r>
      <w:r>
        <w:rPr>
          <w:rFonts w:hint="eastAsia"/>
        </w:rPr>
        <w:t>1932</w:t>
      </w:r>
      <w:r>
        <w:rPr>
          <w:rFonts w:hint="eastAsia"/>
        </w:rPr>
        <w:t>年成为君主立宪制国家。现任执政君主是查克里王朝的第十任国王玛哈</w:t>
      </w:r>
      <w:bookmarkStart w:id="1" w:name="_Hlk98942714"/>
      <w:r>
        <w:rPr>
          <w:rFonts w:hint="eastAsia"/>
        </w:rPr>
        <w:t>·</w:t>
      </w:r>
      <w:bookmarkEnd w:id="1"/>
      <w:r>
        <w:rPr>
          <w:rFonts w:hint="eastAsia"/>
        </w:rPr>
        <w:t>哇集拉隆功·弗·瓦吉拉劳朝玉华国王陛下。</w:t>
      </w:r>
    </w:p>
    <w:p w14:paraId="3CA2FD1D" w14:textId="764FBE04" w:rsidR="00522F93" w:rsidRDefault="00522F93" w:rsidP="00522F93">
      <w:pPr>
        <w:pStyle w:val="SingleTxtGC"/>
      </w:pPr>
      <w:r>
        <w:rPr>
          <w:rFonts w:hint="eastAsia"/>
        </w:rPr>
        <w:t>34.</w:t>
      </w:r>
      <w:r>
        <w:rPr>
          <w:rFonts w:hint="eastAsia"/>
        </w:rPr>
        <w:tab/>
      </w:r>
      <w:r>
        <w:rPr>
          <w:rFonts w:hint="eastAsia"/>
        </w:rPr>
        <w:t>现行《宪法》于</w:t>
      </w:r>
      <w:r>
        <w:rPr>
          <w:rFonts w:hint="eastAsia"/>
        </w:rPr>
        <w:t>2017</w:t>
      </w:r>
      <w:r>
        <w:rPr>
          <w:rFonts w:hint="eastAsia"/>
        </w:rPr>
        <w:t>年</w:t>
      </w:r>
      <w:r>
        <w:rPr>
          <w:rFonts w:hint="eastAsia"/>
        </w:rPr>
        <w:t>4</w:t>
      </w:r>
      <w:r>
        <w:rPr>
          <w:rFonts w:hint="eastAsia"/>
        </w:rPr>
        <w:t>月</w:t>
      </w:r>
      <w:r>
        <w:rPr>
          <w:rFonts w:hint="eastAsia"/>
        </w:rPr>
        <w:t>6</w:t>
      </w:r>
      <w:r>
        <w:rPr>
          <w:rFonts w:hint="eastAsia"/>
        </w:rPr>
        <w:t>日颁布，取代</w:t>
      </w:r>
      <w:r>
        <w:rPr>
          <w:rFonts w:hint="eastAsia"/>
        </w:rPr>
        <w:t>2014</w:t>
      </w:r>
      <w:r>
        <w:rPr>
          <w:rFonts w:hint="eastAsia"/>
        </w:rPr>
        <w:t>年《临时宪法》。</w:t>
      </w:r>
      <w:r>
        <w:rPr>
          <w:rFonts w:hint="eastAsia"/>
        </w:rPr>
        <w:t>2017</w:t>
      </w:r>
      <w:r>
        <w:rPr>
          <w:rFonts w:hint="eastAsia"/>
        </w:rPr>
        <w:t>年《宪法》的起草工作强调公众参与，包括通过社交媒体参与。该草案在</w:t>
      </w:r>
      <w:r>
        <w:rPr>
          <w:rFonts w:hint="eastAsia"/>
        </w:rPr>
        <w:t>2016</w:t>
      </w:r>
      <w:r>
        <w:rPr>
          <w:rFonts w:hint="eastAsia"/>
        </w:rPr>
        <w:t>年</w:t>
      </w:r>
      <w:r>
        <w:rPr>
          <w:rFonts w:hint="eastAsia"/>
        </w:rPr>
        <w:t>8</w:t>
      </w:r>
      <w:r>
        <w:rPr>
          <w:rFonts w:hint="eastAsia"/>
        </w:rPr>
        <w:t>月的全国公投中以</w:t>
      </w:r>
      <w:r>
        <w:rPr>
          <w:rFonts w:hint="eastAsia"/>
        </w:rPr>
        <w:t>61.35%</w:t>
      </w:r>
      <w:r>
        <w:rPr>
          <w:rFonts w:hint="eastAsia"/>
        </w:rPr>
        <w:t>的赞成票获得通过。</w:t>
      </w:r>
    </w:p>
    <w:p w14:paraId="53D519E0" w14:textId="4DF0F48A" w:rsidR="00522F93" w:rsidRDefault="00522F93" w:rsidP="00522F93">
      <w:pPr>
        <w:pStyle w:val="SingleTxtGC"/>
      </w:pPr>
      <w:r>
        <w:rPr>
          <w:rFonts w:hint="eastAsia"/>
        </w:rPr>
        <w:lastRenderedPageBreak/>
        <w:t>35.</w:t>
      </w:r>
      <w:r>
        <w:rPr>
          <w:rFonts w:hint="eastAsia"/>
        </w:rPr>
        <w:tab/>
      </w:r>
      <w:r>
        <w:rPr>
          <w:rFonts w:hint="eastAsia"/>
        </w:rPr>
        <w:t>根据</w:t>
      </w:r>
      <w:r>
        <w:rPr>
          <w:rFonts w:hint="eastAsia"/>
        </w:rPr>
        <w:t>2017</w:t>
      </w:r>
      <w:r>
        <w:rPr>
          <w:rFonts w:hint="eastAsia"/>
        </w:rPr>
        <w:t>年《宪法》，泰国政治制度体现了以下四个特点；它是</w:t>
      </w:r>
      <w:r>
        <w:rPr>
          <w:rFonts w:hint="eastAsia"/>
        </w:rPr>
        <w:t>(</w:t>
      </w:r>
      <w:r>
        <w:rPr>
          <w:rFonts w:hint="eastAsia"/>
        </w:rPr>
        <w:t>一</w:t>
      </w:r>
      <w:r>
        <w:rPr>
          <w:rFonts w:hint="eastAsia"/>
        </w:rPr>
        <w:t>)</w:t>
      </w:r>
      <w:r w:rsidR="00D643E8">
        <w:t xml:space="preserve"> </w:t>
      </w:r>
      <w:r>
        <w:rPr>
          <w:rFonts w:hint="eastAsia"/>
        </w:rPr>
        <w:t>君主立宪制，</w:t>
      </w:r>
      <w:r>
        <w:rPr>
          <w:rFonts w:hint="eastAsia"/>
        </w:rPr>
        <w:t>(</w:t>
      </w:r>
      <w:r>
        <w:rPr>
          <w:rFonts w:hint="eastAsia"/>
        </w:rPr>
        <w:t>二</w:t>
      </w:r>
      <w:r>
        <w:rPr>
          <w:rFonts w:hint="eastAsia"/>
        </w:rPr>
        <w:t>)</w:t>
      </w:r>
      <w:r w:rsidR="00D643E8">
        <w:t xml:space="preserve"> </w:t>
      </w:r>
      <w:r>
        <w:rPr>
          <w:rFonts w:hint="eastAsia"/>
        </w:rPr>
        <w:t>单一制国家，</w:t>
      </w:r>
      <w:r>
        <w:rPr>
          <w:rFonts w:hint="eastAsia"/>
        </w:rPr>
        <w:t>(</w:t>
      </w:r>
      <w:r>
        <w:rPr>
          <w:rFonts w:hint="eastAsia"/>
        </w:rPr>
        <w:t>三</w:t>
      </w:r>
      <w:r>
        <w:rPr>
          <w:rFonts w:hint="eastAsia"/>
        </w:rPr>
        <w:t>)</w:t>
      </w:r>
      <w:r w:rsidR="00D643E8">
        <w:t xml:space="preserve"> </w:t>
      </w:r>
      <w:r>
        <w:rPr>
          <w:rFonts w:hint="eastAsia"/>
        </w:rPr>
        <w:t>三权分立制度，</w:t>
      </w:r>
      <w:r>
        <w:rPr>
          <w:rFonts w:hint="eastAsia"/>
        </w:rPr>
        <w:t>(</w:t>
      </w:r>
      <w:r>
        <w:rPr>
          <w:rFonts w:hint="eastAsia"/>
        </w:rPr>
        <w:t>四</w:t>
      </w:r>
      <w:r>
        <w:rPr>
          <w:rFonts w:hint="eastAsia"/>
        </w:rPr>
        <w:t>)</w:t>
      </w:r>
      <w:r w:rsidR="00D643E8">
        <w:t xml:space="preserve"> </w:t>
      </w:r>
      <w:r>
        <w:rPr>
          <w:rFonts w:hint="eastAsia"/>
        </w:rPr>
        <w:t>两院制议会制度。</w:t>
      </w:r>
    </w:p>
    <w:p w14:paraId="314E8622" w14:textId="3BBD2574" w:rsidR="00522F93" w:rsidRDefault="00522F93" w:rsidP="00522F93">
      <w:pPr>
        <w:pStyle w:val="SingleTxtGC"/>
      </w:pPr>
      <w:r>
        <w:rPr>
          <w:rFonts w:hint="eastAsia"/>
        </w:rPr>
        <w:t>36.</w:t>
      </w:r>
      <w:r>
        <w:rPr>
          <w:rFonts w:hint="eastAsia"/>
        </w:rPr>
        <w:tab/>
      </w:r>
      <w:r>
        <w:rPr>
          <w:rFonts w:hint="eastAsia"/>
        </w:rPr>
        <w:t>主权权力属于泰国人民。国王作为国家元首，应根据本《宪法》的规定，分别通过议会、内阁和法院行使立法、行政和司法权力。司法部门与其他部门完全分离，因而确保了法院的独立性，从而确保了泰国政治制度的民主性质。</w:t>
      </w:r>
    </w:p>
    <w:p w14:paraId="2C7CA570" w14:textId="109B5832" w:rsidR="00522F93" w:rsidRDefault="00522F93" w:rsidP="00B36215">
      <w:pPr>
        <w:pStyle w:val="H23GC"/>
      </w:pPr>
      <w:r>
        <w:rPr>
          <w:rFonts w:hint="eastAsia"/>
        </w:rPr>
        <w:tab/>
      </w:r>
      <w:r>
        <w:rPr>
          <w:rFonts w:hint="eastAsia"/>
        </w:rPr>
        <w:tab/>
      </w:r>
      <w:r>
        <w:rPr>
          <w:rFonts w:hint="eastAsia"/>
        </w:rPr>
        <w:t>立法部门：两院制议会制</w:t>
      </w:r>
    </w:p>
    <w:p w14:paraId="44E3806B" w14:textId="006FDEF2" w:rsidR="00522F93" w:rsidRDefault="00522F93" w:rsidP="00522F93">
      <w:pPr>
        <w:pStyle w:val="SingleTxtGC"/>
      </w:pPr>
      <w:r>
        <w:rPr>
          <w:rFonts w:hint="eastAsia"/>
        </w:rPr>
        <w:t>37.</w:t>
      </w:r>
      <w:r>
        <w:rPr>
          <w:rFonts w:hint="eastAsia"/>
        </w:rPr>
        <w:tab/>
        <w:t>2017</w:t>
      </w:r>
      <w:r>
        <w:rPr>
          <w:rFonts w:hint="eastAsia"/>
        </w:rPr>
        <w:t>年《宪法》规定，议会由下议院和上议院两院组成。</w:t>
      </w:r>
    </w:p>
    <w:p w14:paraId="66C274B1" w14:textId="778411BD" w:rsidR="00522F93" w:rsidRDefault="00522F93" w:rsidP="00522F93">
      <w:pPr>
        <w:pStyle w:val="SingleTxtGC"/>
      </w:pPr>
      <w:r>
        <w:rPr>
          <w:rFonts w:hint="eastAsia"/>
        </w:rPr>
        <w:t>38.</w:t>
      </w:r>
      <w:r>
        <w:rPr>
          <w:rFonts w:hint="eastAsia"/>
        </w:rPr>
        <w:tab/>
      </w:r>
      <w:r>
        <w:rPr>
          <w:rFonts w:hint="eastAsia"/>
        </w:rPr>
        <w:t>下议院有</w:t>
      </w:r>
      <w:r>
        <w:rPr>
          <w:rFonts w:hint="eastAsia"/>
        </w:rPr>
        <w:t>500</w:t>
      </w:r>
      <w:r>
        <w:rPr>
          <w:rFonts w:hint="eastAsia"/>
        </w:rPr>
        <w:t>名议员，由</w:t>
      </w:r>
      <w:r>
        <w:rPr>
          <w:rFonts w:hint="eastAsia"/>
        </w:rPr>
        <w:t>350</w:t>
      </w:r>
      <w:r>
        <w:rPr>
          <w:rFonts w:hint="eastAsia"/>
        </w:rPr>
        <w:t>名选区下议员和</w:t>
      </w:r>
      <w:r>
        <w:rPr>
          <w:rFonts w:hint="eastAsia"/>
        </w:rPr>
        <w:t>150</w:t>
      </w:r>
      <w:r>
        <w:rPr>
          <w:rFonts w:hint="eastAsia"/>
        </w:rPr>
        <w:t>名按比例代表制选出的政党名单下议员组成。</w:t>
      </w:r>
    </w:p>
    <w:p w14:paraId="4D0392C0" w14:textId="6B77FC6C" w:rsidR="00522F93" w:rsidRDefault="00522F93" w:rsidP="00522F93">
      <w:pPr>
        <w:pStyle w:val="SingleTxtGC"/>
      </w:pPr>
      <w:r>
        <w:rPr>
          <w:rFonts w:hint="eastAsia"/>
        </w:rPr>
        <w:t>39.</w:t>
      </w:r>
      <w:r>
        <w:rPr>
          <w:rFonts w:hint="eastAsia"/>
        </w:rPr>
        <w:tab/>
      </w:r>
      <w:r>
        <w:rPr>
          <w:rFonts w:hint="eastAsia"/>
        </w:rPr>
        <w:t>上议院由</w:t>
      </w:r>
      <w:r>
        <w:rPr>
          <w:rFonts w:hint="eastAsia"/>
        </w:rPr>
        <w:t>200</w:t>
      </w:r>
      <w:r>
        <w:rPr>
          <w:rFonts w:hint="eastAsia"/>
        </w:rPr>
        <w:t>名成员组成，从具有知识、专长、经验、专业或特点或共同利益或在社会不同领域工作或曾经工作过的人员中选出。群体的划分应使每个人都有权申请选择属于任何一个群体。然而，最初的上议院任期为五年，由国王根据全国和平与秩序委员会的建议任命的</w:t>
      </w:r>
      <w:r>
        <w:rPr>
          <w:rFonts w:hint="eastAsia"/>
        </w:rPr>
        <w:t>250</w:t>
      </w:r>
      <w:r>
        <w:rPr>
          <w:rFonts w:hint="eastAsia"/>
        </w:rPr>
        <w:t>名成员组成。</w:t>
      </w:r>
    </w:p>
    <w:p w14:paraId="1D21B189" w14:textId="1FB26905" w:rsidR="00522F93" w:rsidRDefault="00522F93" w:rsidP="00522F93">
      <w:pPr>
        <w:pStyle w:val="SingleTxtGC"/>
      </w:pPr>
      <w:r>
        <w:rPr>
          <w:rFonts w:hint="eastAsia"/>
        </w:rPr>
        <w:t>40.</w:t>
      </w:r>
      <w:r>
        <w:rPr>
          <w:rFonts w:hint="eastAsia"/>
        </w:rPr>
        <w:tab/>
      </w:r>
      <w:r>
        <w:rPr>
          <w:rFonts w:hint="eastAsia"/>
        </w:rPr>
        <w:t>目前，有</w:t>
      </w:r>
      <w:r>
        <w:rPr>
          <w:rFonts w:hint="eastAsia"/>
        </w:rPr>
        <w:t>78</w:t>
      </w:r>
      <w:r>
        <w:rPr>
          <w:rFonts w:hint="eastAsia"/>
        </w:rPr>
        <w:t>名女下议员</w:t>
      </w:r>
      <w:r>
        <w:rPr>
          <w:rFonts w:hint="eastAsia"/>
        </w:rPr>
        <w:t>(15.6%)</w:t>
      </w:r>
      <w:r>
        <w:rPr>
          <w:rFonts w:hint="eastAsia"/>
        </w:rPr>
        <w:t>和</w:t>
      </w:r>
      <w:r>
        <w:rPr>
          <w:rFonts w:hint="eastAsia"/>
        </w:rPr>
        <w:t>25</w:t>
      </w:r>
      <w:r>
        <w:rPr>
          <w:rFonts w:hint="eastAsia"/>
        </w:rPr>
        <w:t>名女上议员</w:t>
      </w:r>
      <w:r>
        <w:rPr>
          <w:rFonts w:hint="eastAsia"/>
        </w:rPr>
        <w:t>(10%)</w:t>
      </w:r>
      <w:r>
        <w:rPr>
          <w:rFonts w:hint="eastAsia"/>
        </w:rPr>
        <w:t>。</w:t>
      </w:r>
    </w:p>
    <w:p w14:paraId="30A489D2" w14:textId="77777777" w:rsidR="00522F93" w:rsidRDefault="00522F93" w:rsidP="00B36215">
      <w:pPr>
        <w:pStyle w:val="H23GC"/>
      </w:pPr>
      <w:r>
        <w:rPr>
          <w:rFonts w:hint="eastAsia"/>
        </w:rPr>
        <w:tab/>
      </w:r>
      <w:r>
        <w:rPr>
          <w:rFonts w:hint="eastAsia"/>
        </w:rPr>
        <w:tab/>
      </w:r>
      <w:r>
        <w:rPr>
          <w:rFonts w:hint="eastAsia"/>
        </w:rPr>
        <w:t>行政部门</w:t>
      </w:r>
    </w:p>
    <w:p w14:paraId="334807D8" w14:textId="3420BD7C" w:rsidR="00522F93" w:rsidRDefault="00522F93" w:rsidP="00522F93">
      <w:pPr>
        <w:pStyle w:val="SingleTxtGC"/>
      </w:pPr>
      <w:r>
        <w:rPr>
          <w:rFonts w:hint="eastAsia"/>
        </w:rPr>
        <w:t>41.</w:t>
      </w:r>
      <w:r>
        <w:rPr>
          <w:rFonts w:hint="eastAsia"/>
        </w:rPr>
        <w:tab/>
      </w:r>
      <w:r>
        <w:rPr>
          <w:rFonts w:hint="eastAsia"/>
        </w:rPr>
        <w:t>以总理为首的行政部门负责管理国家事务和执行法律。它就其所有行动和决定向议会负责。</w:t>
      </w:r>
    </w:p>
    <w:p w14:paraId="6D61B90A" w14:textId="3B173D8D" w:rsidR="00522F93" w:rsidRDefault="00522F93" w:rsidP="00522F93">
      <w:pPr>
        <w:pStyle w:val="SingleTxtGC"/>
      </w:pPr>
      <w:r>
        <w:rPr>
          <w:rFonts w:hint="eastAsia"/>
        </w:rPr>
        <w:t>42.</w:t>
      </w:r>
      <w:r>
        <w:rPr>
          <w:rFonts w:hint="eastAsia"/>
        </w:rPr>
        <w:tab/>
      </w:r>
      <w:r>
        <w:rPr>
          <w:rFonts w:hint="eastAsia"/>
        </w:rPr>
        <w:t>国家的行政结构分为三级：中央行政机构、府级行政机构和地方行政机构：</w:t>
      </w:r>
    </w:p>
    <w:p w14:paraId="5904B116" w14:textId="0795195C" w:rsidR="00522F93" w:rsidRDefault="00522F93" w:rsidP="00B36215">
      <w:pPr>
        <w:pStyle w:val="Bullet1GC"/>
      </w:pPr>
      <w:r>
        <w:rPr>
          <w:rFonts w:hint="eastAsia"/>
        </w:rPr>
        <w:t>集中管理</w:t>
      </w:r>
      <w:r>
        <w:rPr>
          <w:rFonts w:hint="eastAsia"/>
        </w:rPr>
        <w:t>.</w:t>
      </w:r>
      <w:r>
        <w:rPr>
          <w:rFonts w:hint="eastAsia"/>
        </w:rPr>
        <w:t>中央行政部门由</w:t>
      </w:r>
      <w:r>
        <w:rPr>
          <w:rFonts w:hint="eastAsia"/>
        </w:rPr>
        <w:t>20</w:t>
      </w:r>
      <w:r>
        <w:rPr>
          <w:rFonts w:hint="eastAsia"/>
        </w:rPr>
        <w:t>个部委组成，负责根据《政府重组法》</w:t>
      </w:r>
      <w:r>
        <w:rPr>
          <w:rFonts w:hint="eastAsia"/>
        </w:rPr>
        <w:t>B.E. 2534(1991)</w:t>
      </w:r>
      <w:r>
        <w:rPr>
          <w:rFonts w:hint="eastAsia"/>
        </w:rPr>
        <w:t>履行职责，提供公共服务。内阁首脑是总理，负责所有部委；</w:t>
      </w:r>
    </w:p>
    <w:p w14:paraId="240A8DF5" w14:textId="1D46431B" w:rsidR="00522F93" w:rsidRDefault="00522F93" w:rsidP="00B36215">
      <w:pPr>
        <w:pStyle w:val="Bullet1GC"/>
      </w:pPr>
      <w:r>
        <w:rPr>
          <w:rFonts w:hint="eastAsia"/>
        </w:rPr>
        <w:t>府级行政机构全国在行政上分为</w:t>
      </w:r>
      <w:r>
        <w:rPr>
          <w:rFonts w:hint="eastAsia"/>
        </w:rPr>
        <w:t>76</w:t>
      </w:r>
      <w:r>
        <w:rPr>
          <w:rFonts w:hint="eastAsia"/>
        </w:rPr>
        <w:t>个府、</w:t>
      </w:r>
      <w:r>
        <w:rPr>
          <w:rFonts w:hint="eastAsia"/>
        </w:rPr>
        <w:t>878</w:t>
      </w:r>
      <w:r>
        <w:rPr>
          <w:rFonts w:hint="eastAsia"/>
        </w:rPr>
        <w:t>个县、</w:t>
      </w:r>
      <w:r>
        <w:rPr>
          <w:rFonts w:hint="eastAsia"/>
        </w:rPr>
        <w:t>7</w:t>
      </w:r>
      <w:r w:rsidR="001F6C4E">
        <w:rPr>
          <w:rFonts w:hint="eastAsia"/>
        </w:rPr>
        <w:t>,</w:t>
      </w:r>
      <w:r>
        <w:rPr>
          <w:rFonts w:hint="eastAsia"/>
        </w:rPr>
        <w:t>255</w:t>
      </w:r>
      <w:r>
        <w:rPr>
          <w:rFonts w:hint="eastAsia"/>
        </w:rPr>
        <w:t>个区和</w:t>
      </w:r>
      <w:r>
        <w:rPr>
          <w:rFonts w:hint="eastAsia"/>
        </w:rPr>
        <w:t>75</w:t>
      </w:r>
      <w:r w:rsidR="001F6C4E">
        <w:rPr>
          <w:rFonts w:hint="eastAsia"/>
        </w:rPr>
        <w:t>,</w:t>
      </w:r>
      <w:r>
        <w:rPr>
          <w:rFonts w:hint="eastAsia"/>
        </w:rPr>
        <w:t>032</w:t>
      </w:r>
      <w:r>
        <w:rPr>
          <w:rFonts w:hint="eastAsia"/>
        </w:rPr>
        <w:t>个村。村是最基本的行政形式，主管是村长，负责维持法律和秩序。区是村的集合，主管是区长。村长和区长是政府代表，但他们由当地人民选举产生，直接向由府尹直接领导的县长报告。县长和府尹是公务员，由内政部集中任命；</w:t>
      </w:r>
    </w:p>
    <w:p w14:paraId="43F4B83C" w14:textId="3B027576" w:rsidR="00522F93" w:rsidRDefault="00522F93" w:rsidP="00B36215">
      <w:pPr>
        <w:pStyle w:val="Bullet1GC"/>
      </w:pPr>
      <w:r>
        <w:rPr>
          <w:rFonts w:hint="eastAsia"/>
        </w:rPr>
        <w:t>地方行政机构地方行政机构是处理和提供公共服务以造福当地人民的主要机制。它们有能力自我管理自己的事务。每个地方行政组织都有独立制定自己的行政、财政和金融政策并履行其具体权力和职责的合法性，但要充分考虑到府和国家的发展政策。政府将只提供法律规定的必要监督，以不断加强权力下放的进程。</w:t>
      </w:r>
      <w:r>
        <w:rPr>
          <w:rFonts w:hint="eastAsia"/>
        </w:rPr>
        <w:t>2018</w:t>
      </w:r>
      <w:r>
        <w:rPr>
          <w:rFonts w:hint="eastAsia"/>
        </w:rPr>
        <w:t>年，由曼谷大都会政府、帕塔亚市、</w:t>
      </w:r>
      <w:r>
        <w:rPr>
          <w:rFonts w:hint="eastAsia"/>
        </w:rPr>
        <w:t>76</w:t>
      </w:r>
      <w:r>
        <w:rPr>
          <w:rFonts w:hint="eastAsia"/>
        </w:rPr>
        <w:t>个府级行政组织、</w:t>
      </w:r>
      <w:r>
        <w:rPr>
          <w:rFonts w:hint="eastAsia"/>
        </w:rPr>
        <w:t>2</w:t>
      </w:r>
      <w:r w:rsidR="001F6C4E">
        <w:rPr>
          <w:rFonts w:hint="eastAsia"/>
        </w:rPr>
        <w:t>,</w:t>
      </w:r>
      <w:r>
        <w:rPr>
          <w:rFonts w:hint="eastAsia"/>
        </w:rPr>
        <w:t>442</w:t>
      </w:r>
      <w:r>
        <w:rPr>
          <w:rFonts w:hint="eastAsia"/>
        </w:rPr>
        <w:t>个县和</w:t>
      </w:r>
      <w:r>
        <w:rPr>
          <w:rFonts w:hint="eastAsia"/>
        </w:rPr>
        <w:t>5</w:t>
      </w:r>
      <w:r w:rsidR="001F6C4E">
        <w:rPr>
          <w:rFonts w:hint="eastAsia"/>
        </w:rPr>
        <w:t>,</w:t>
      </w:r>
      <w:r>
        <w:rPr>
          <w:rFonts w:hint="eastAsia"/>
        </w:rPr>
        <w:t>332</w:t>
      </w:r>
      <w:r>
        <w:rPr>
          <w:rFonts w:hint="eastAsia"/>
        </w:rPr>
        <w:t>个区行政组织组成的地方行政组织由普选产生的行政首长领导。</w:t>
      </w:r>
    </w:p>
    <w:p w14:paraId="1E4CB389" w14:textId="65FE7238" w:rsidR="00522F93" w:rsidRDefault="00522F93" w:rsidP="00522F93">
      <w:pPr>
        <w:pStyle w:val="SingleTxtGC"/>
      </w:pPr>
      <w:r>
        <w:rPr>
          <w:rFonts w:hint="eastAsia"/>
        </w:rPr>
        <w:t>43.</w:t>
      </w:r>
      <w:r>
        <w:rPr>
          <w:rFonts w:hint="eastAsia"/>
        </w:rPr>
        <w:tab/>
      </w:r>
      <w:r>
        <w:rPr>
          <w:rFonts w:hint="eastAsia"/>
        </w:rPr>
        <w:t>政府行政管理根据国家预算制度进行，年度预算拨款由议会审查和批准。财政年度从</w:t>
      </w:r>
      <w:r>
        <w:rPr>
          <w:rFonts w:hint="eastAsia"/>
        </w:rPr>
        <w:t>10</w:t>
      </w:r>
      <w:r>
        <w:rPr>
          <w:rFonts w:hint="eastAsia"/>
        </w:rPr>
        <w:t>月</w:t>
      </w:r>
      <w:r>
        <w:rPr>
          <w:rFonts w:hint="eastAsia"/>
        </w:rPr>
        <w:t>1</w:t>
      </w:r>
      <w:r>
        <w:rPr>
          <w:rFonts w:hint="eastAsia"/>
        </w:rPr>
        <w:t>日开始，到次年</w:t>
      </w:r>
      <w:r>
        <w:rPr>
          <w:rFonts w:hint="eastAsia"/>
        </w:rPr>
        <w:t>9</w:t>
      </w:r>
      <w:r>
        <w:rPr>
          <w:rFonts w:hint="eastAsia"/>
        </w:rPr>
        <w:t>月</w:t>
      </w:r>
      <w:r>
        <w:rPr>
          <w:rFonts w:hint="eastAsia"/>
        </w:rPr>
        <w:t>30</w:t>
      </w:r>
      <w:r>
        <w:rPr>
          <w:rFonts w:hint="eastAsia"/>
        </w:rPr>
        <w:t>日结束。</w:t>
      </w:r>
    </w:p>
    <w:p w14:paraId="7F904B28" w14:textId="039AA487" w:rsidR="00522F93" w:rsidRDefault="00522F93" w:rsidP="00522F93">
      <w:pPr>
        <w:pStyle w:val="SingleTxtGC"/>
      </w:pPr>
      <w:r>
        <w:rPr>
          <w:rFonts w:hint="eastAsia"/>
        </w:rPr>
        <w:t>44.</w:t>
      </w:r>
      <w:r>
        <w:rPr>
          <w:rFonts w:hint="eastAsia"/>
        </w:rPr>
        <w:tab/>
      </w:r>
      <w:r>
        <w:rPr>
          <w:rFonts w:hint="eastAsia"/>
        </w:rPr>
        <w:t>政府可能会在下议院通过不信任票的情况下被否决，在这种情况下，下议院议长需要任命另一名能够保持议会信任的领导人，否则总理可以通过发布选举令解散议会。</w:t>
      </w:r>
    </w:p>
    <w:p w14:paraId="5DA04D2B" w14:textId="77777777" w:rsidR="00522F93" w:rsidRDefault="00522F93" w:rsidP="00B36215">
      <w:pPr>
        <w:pStyle w:val="H23GC"/>
      </w:pPr>
      <w:r>
        <w:rPr>
          <w:rFonts w:hint="eastAsia"/>
        </w:rPr>
        <w:lastRenderedPageBreak/>
        <w:tab/>
      </w:r>
      <w:r>
        <w:rPr>
          <w:rFonts w:hint="eastAsia"/>
        </w:rPr>
        <w:tab/>
      </w:r>
      <w:r>
        <w:rPr>
          <w:rFonts w:hint="eastAsia"/>
        </w:rPr>
        <w:t>司法部门</w:t>
      </w:r>
    </w:p>
    <w:p w14:paraId="69BD4C66" w14:textId="6BF5D4C4" w:rsidR="00522F93" w:rsidRDefault="00522F93" w:rsidP="00522F93">
      <w:pPr>
        <w:pStyle w:val="SingleTxtGC"/>
      </w:pPr>
      <w:r>
        <w:rPr>
          <w:rFonts w:hint="eastAsia"/>
        </w:rPr>
        <w:t>45.</w:t>
      </w:r>
      <w:r>
        <w:rPr>
          <w:rFonts w:hint="eastAsia"/>
        </w:rPr>
        <w:tab/>
      </w:r>
      <w:r>
        <w:rPr>
          <w:rFonts w:hint="eastAsia"/>
        </w:rPr>
        <w:t>司法部门由宪法法院、法院、行政法院和军事法院组成。</w:t>
      </w:r>
    </w:p>
    <w:p w14:paraId="1E28E6D5" w14:textId="7503AF0E" w:rsidR="00522F93" w:rsidRDefault="00522F93" w:rsidP="00522F93">
      <w:pPr>
        <w:pStyle w:val="SingleTxtGC"/>
      </w:pPr>
      <w:r>
        <w:rPr>
          <w:rFonts w:hint="eastAsia"/>
        </w:rPr>
        <w:t>46.</w:t>
      </w:r>
      <w:r>
        <w:rPr>
          <w:rFonts w:hint="eastAsia"/>
        </w:rPr>
        <w:tab/>
      </w:r>
      <w:r>
        <w:rPr>
          <w:rFonts w:hint="eastAsia"/>
        </w:rPr>
        <w:t>宪法法院负责审议法律条款是否违反或不符合《宪法》。</w:t>
      </w:r>
    </w:p>
    <w:p w14:paraId="222C43EF" w14:textId="5812EEB2" w:rsidR="00522F93" w:rsidRDefault="00522F93" w:rsidP="00522F93">
      <w:pPr>
        <w:pStyle w:val="SingleTxtGC"/>
      </w:pPr>
      <w:r>
        <w:rPr>
          <w:rFonts w:hint="eastAsia"/>
        </w:rPr>
        <w:t>47.</w:t>
      </w:r>
      <w:r>
        <w:rPr>
          <w:rFonts w:hint="eastAsia"/>
        </w:rPr>
        <w:tab/>
      </w:r>
      <w:r>
        <w:rPr>
          <w:rFonts w:hint="eastAsia"/>
        </w:rPr>
        <w:t>法院有权审判和裁决所有案件，但本《宪法》或法律规定属于其他法院管辖的案件除外。根据《法院组织法颁布法》</w:t>
      </w:r>
      <w:r>
        <w:rPr>
          <w:rFonts w:hint="eastAsia"/>
        </w:rPr>
        <w:t>B.E. 2534 (2000)</w:t>
      </w:r>
      <w:r>
        <w:rPr>
          <w:rFonts w:hint="eastAsia"/>
        </w:rPr>
        <w:t>，泰国有三级法院：一审法院、上诉法院和最高法院。由于某些类型的案件需要专门知识和特别程序，因此设立了特别法院和分庭，以处理有关选举、毒品、劳工、税务、破产、人口贩运、知识产权、环境案件、国际贸易、少年和家庭、腐败和不当行为的案件，以及公职人员的刑事案件。</w:t>
      </w:r>
    </w:p>
    <w:p w14:paraId="1736F767" w14:textId="26731891" w:rsidR="00522F93" w:rsidRDefault="00522F93" w:rsidP="00522F93">
      <w:pPr>
        <w:pStyle w:val="SingleTxtGC"/>
      </w:pPr>
      <w:r>
        <w:rPr>
          <w:rFonts w:hint="eastAsia"/>
        </w:rPr>
        <w:t>48.</w:t>
      </w:r>
      <w:r>
        <w:rPr>
          <w:rFonts w:hint="eastAsia"/>
        </w:rPr>
        <w:tab/>
      </w:r>
      <w:r>
        <w:rPr>
          <w:rFonts w:hint="eastAsia"/>
        </w:rPr>
        <w:t>行政法院有权审判和裁决政府机构、国家官员和个人之间或国家官员本身之间争端的案件。有一审行政法院和最高行政法院。</w:t>
      </w:r>
    </w:p>
    <w:p w14:paraId="32BDDA26" w14:textId="17BFAFED" w:rsidR="00522F93" w:rsidRDefault="00522F93" w:rsidP="00522F93">
      <w:pPr>
        <w:pStyle w:val="SingleTxtGC"/>
      </w:pPr>
      <w:r>
        <w:rPr>
          <w:rFonts w:hint="eastAsia"/>
        </w:rPr>
        <w:t>49.</w:t>
      </w:r>
      <w:r>
        <w:rPr>
          <w:rFonts w:hint="eastAsia"/>
        </w:rPr>
        <w:tab/>
      </w:r>
      <w:r>
        <w:rPr>
          <w:rFonts w:hint="eastAsia"/>
        </w:rPr>
        <w:t>军事法院有权审判和裁决罪犯受军事法院管辖的案件。</w:t>
      </w:r>
    </w:p>
    <w:p w14:paraId="3866B255" w14:textId="77777777" w:rsidR="00522F93" w:rsidRDefault="00522F93" w:rsidP="00B36215">
      <w:pPr>
        <w:pStyle w:val="H23GC"/>
      </w:pPr>
      <w:r>
        <w:rPr>
          <w:rFonts w:hint="eastAsia"/>
        </w:rPr>
        <w:tab/>
      </w:r>
      <w:r>
        <w:rPr>
          <w:rFonts w:hint="eastAsia"/>
        </w:rPr>
        <w:tab/>
      </w:r>
      <w:r>
        <w:rPr>
          <w:rFonts w:hint="eastAsia"/>
        </w:rPr>
        <w:t>《宪法》规定的独立组织</w:t>
      </w:r>
    </w:p>
    <w:p w14:paraId="56D42824" w14:textId="09ECC74A" w:rsidR="00522F93" w:rsidRDefault="00522F93" w:rsidP="00522F93">
      <w:pPr>
        <w:pStyle w:val="SingleTxtGC"/>
      </w:pPr>
      <w:r>
        <w:rPr>
          <w:rFonts w:hint="eastAsia"/>
        </w:rPr>
        <w:t>50.</w:t>
      </w:r>
      <w:r>
        <w:rPr>
          <w:rFonts w:hint="eastAsia"/>
        </w:rPr>
        <w:tab/>
      </w:r>
      <w:r>
        <w:rPr>
          <w:rFonts w:hint="eastAsia"/>
        </w:rPr>
        <w:t>根据</w:t>
      </w:r>
      <w:r>
        <w:rPr>
          <w:rFonts w:hint="eastAsia"/>
        </w:rPr>
        <w:t>2017</w:t>
      </w:r>
      <w:r>
        <w:rPr>
          <w:rFonts w:hint="eastAsia"/>
        </w:rPr>
        <w:t>年《宪法》第</w:t>
      </w:r>
      <w:r>
        <w:rPr>
          <w:rFonts w:hint="eastAsia"/>
        </w:rPr>
        <w:t>12</w:t>
      </w:r>
      <w:r>
        <w:rPr>
          <w:rFonts w:hint="eastAsia"/>
        </w:rPr>
        <w:t>章，设立了五个独立组织，作为履行需要专业化和公正性的职能的机制，即选举委员会、监察员、国家反腐败委员会、国家审计委员会和国家人权委员会。</w:t>
      </w:r>
    </w:p>
    <w:p w14:paraId="2414CEF0" w14:textId="52CC87F1" w:rsidR="00522F93" w:rsidRDefault="00522F93" w:rsidP="00522F93">
      <w:pPr>
        <w:pStyle w:val="SingleTxtGC"/>
      </w:pPr>
      <w:r>
        <w:rPr>
          <w:rFonts w:hint="eastAsia"/>
        </w:rPr>
        <w:t>51.</w:t>
      </w:r>
      <w:r>
        <w:rPr>
          <w:rFonts w:hint="eastAsia"/>
        </w:rPr>
        <w:tab/>
      </w:r>
      <w:r>
        <w:rPr>
          <w:rFonts w:hint="eastAsia"/>
        </w:rPr>
        <w:t>选举委员会负责酌情管控和举行选举和</w:t>
      </w:r>
      <w:r>
        <w:rPr>
          <w:rFonts w:hint="eastAsia"/>
        </w:rPr>
        <w:t>(</w:t>
      </w:r>
      <w:r>
        <w:rPr>
          <w:rFonts w:hint="eastAsia"/>
        </w:rPr>
        <w:t>或</w:t>
      </w:r>
      <w:r>
        <w:rPr>
          <w:rFonts w:hint="eastAsia"/>
        </w:rPr>
        <w:t>)</w:t>
      </w:r>
      <w:r>
        <w:rPr>
          <w:rFonts w:hint="eastAsia"/>
        </w:rPr>
        <w:t>遴选下议院、上议院和地方议会的成员和地方行政长官。这些条款还规定了临时内阁的职责，并监督全民投票，以确保投票以诚实和公平的方式进行。</w:t>
      </w:r>
    </w:p>
    <w:p w14:paraId="4D538934" w14:textId="6EE4B2C9" w:rsidR="00522F93" w:rsidRDefault="00522F93" w:rsidP="00522F93">
      <w:pPr>
        <w:pStyle w:val="SingleTxtGC"/>
      </w:pPr>
      <w:r>
        <w:rPr>
          <w:rFonts w:hint="eastAsia"/>
        </w:rPr>
        <w:t>52.</w:t>
      </w:r>
      <w:r>
        <w:rPr>
          <w:rFonts w:hint="eastAsia"/>
        </w:rPr>
        <w:tab/>
      </w:r>
      <w:r>
        <w:rPr>
          <w:rFonts w:hint="eastAsia"/>
        </w:rPr>
        <w:t>监察员负责</w:t>
      </w:r>
      <w:r>
        <w:rPr>
          <w:rFonts w:hint="eastAsia"/>
        </w:rPr>
        <w:t>(</w:t>
      </w:r>
      <w:r>
        <w:rPr>
          <w:rFonts w:hint="eastAsia"/>
        </w:rPr>
        <w:t>一</w:t>
      </w:r>
      <w:r>
        <w:rPr>
          <w:rFonts w:hint="eastAsia"/>
        </w:rPr>
        <w:t>)</w:t>
      </w:r>
      <w:r w:rsidR="00B36215">
        <w:t xml:space="preserve"> </w:t>
      </w:r>
      <w:r>
        <w:rPr>
          <w:rFonts w:hint="eastAsia"/>
        </w:rPr>
        <w:t>在以下情况下审议和调查投诉，以查明事实：</w:t>
      </w:r>
      <w:r>
        <w:rPr>
          <w:rFonts w:hint="eastAsia"/>
        </w:rPr>
        <w:t xml:space="preserve">(a) </w:t>
      </w:r>
      <w:r>
        <w:rPr>
          <w:rFonts w:hint="eastAsia"/>
        </w:rPr>
        <w:t>政府官员、政府机构、国家机构、国有企业或地方政府组织的官员或雇员未能依法履行职责或超越法律规定的权力和职责行事。</w:t>
      </w:r>
      <w:r>
        <w:rPr>
          <w:rFonts w:hint="eastAsia"/>
        </w:rPr>
        <w:t>(b)</w:t>
      </w:r>
      <w:r w:rsidR="00B36215">
        <w:t xml:space="preserve"> </w:t>
      </w:r>
      <w:r>
        <w:rPr>
          <w:rFonts w:hint="eastAsia"/>
        </w:rPr>
        <w:t>政府官员、政府机构、国家机关、国有企业或地方政府组织的官员或雇员履行或不履行职责，不公正地给投诉人或公众造成损害；</w:t>
      </w:r>
      <w:r>
        <w:rPr>
          <w:rFonts w:hint="eastAsia"/>
        </w:rPr>
        <w:t>(</w:t>
      </w:r>
      <w:r>
        <w:rPr>
          <w:rFonts w:hint="eastAsia"/>
        </w:rPr>
        <w:t>二</w:t>
      </w:r>
      <w:r>
        <w:rPr>
          <w:rFonts w:hint="eastAsia"/>
        </w:rPr>
        <w:t xml:space="preserve">) </w:t>
      </w:r>
      <w:r>
        <w:rPr>
          <w:rFonts w:hint="eastAsia"/>
        </w:rPr>
        <w:t>就公职人员和国家官员的道德问题采取行动；</w:t>
      </w:r>
      <w:r>
        <w:rPr>
          <w:rFonts w:hint="eastAsia"/>
        </w:rPr>
        <w:t>(</w:t>
      </w:r>
      <w:r>
        <w:rPr>
          <w:rFonts w:hint="eastAsia"/>
        </w:rPr>
        <w:t>三</w:t>
      </w:r>
      <w:r>
        <w:rPr>
          <w:rFonts w:hint="eastAsia"/>
        </w:rPr>
        <w:t>)</w:t>
      </w:r>
      <w:r w:rsidR="00B36215">
        <w:t xml:space="preserve"> </w:t>
      </w:r>
      <w:r>
        <w:rPr>
          <w:rFonts w:hint="eastAsia"/>
        </w:rPr>
        <w:t>监测、评价和编写关于遵守《宪法》的建议；</w:t>
      </w:r>
      <w:r>
        <w:rPr>
          <w:rFonts w:hint="eastAsia"/>
        </w:rPr>
        <w:t>(</w:t>
      </w:r>
      <w:r>
        <w:rPr>
          <w:rFonts w:hint="eastAsia"/>
        </w:rPr>
        <w:t>四</w:t>
      </w:r>
      <w:r>
        <w:rPr>
          <w:rFonts w:hint="eastAsia"/>
        </w:rPr>
        <w:t>)</w:t>
      </w:r>
      <w:r w:rsidR="00B36215">
        <w:t xml:space="preserve"> </w:t>
      </w:r>
      <w:r>
        <w:rPr>
          <w:rFonts w:hint="eastAsia"/>
        </w:rPr>
        <w:t>在这种行为有可能对广大公众造成伤害或有必要维护公共利益的情况下进行调查。</w:t>
      </w:r>
    </w:p>
    <w:p w14:paraId="18C37CB0" w14:textId="6EFA0720" w:rsidR="00522F93" w:rsidRDefault="00522F93" w:rsidP="00522F93">
      <w:pPr>
        <w:pStyle w:val="SingleTxtGC"/>
      </w:pPr>
      <w:r>
        <w:rPr>
          <w:rFonts w:hint="eastAsia"/>
        </w:rPr>
        <w:t>53.</w:t>
      </w:r>
      <w:r>
        <w:rPr>
          <w:rFonts w:hint="eastAsia"/>
        </w:rPr>
        <w:tab/>
      </w:r>
      <w:r>
        <w:rPr>
          <w:rFonts w:hint="eastAsia"/>
        </w:rPr>
        <w:t>国家反腐败委员会负责调查事实，并编写关于罢免政治公职人员和高级官员的意见，提交上议院或最高法院政治公职人员刑事庭；检查政治公职人员的资产和负债；监督政治公职人员的道德和伦理。</w:t>
      </w:r>
    </w:p>
    <w:p w14:paraId="1E933BE3" w14:textId="07A47051" w:rsidR="00522F93" w:rsidRDefault="00522F93" w:rsidP="00522F93">
      <w:pPr>
        <w:pStyle w:val="SingleTxtGC"/>
      </w:pPr>
      <w:r>
        <w:rPr>
          <w:rFonts w:hint="eastAsia"/>
        </w:rPr>
        <w:t>54.</w:t>
      </w:r>
      <w:r>
        <w:rPr>
          <w:rFonts w:hint="eastAsia"/>
        </w:rPr>
        <w:tab/>
      </w:r>
      <w:r>
        <w:rPr>
          <w:rFonts w:hint="eastAsia"/>
        </w:rPr>
        <w:t>国家审计委员会负责以独立和中立的方式进行视察，规定国家审计的标准和规则，并就国家审计提出咨询和建议补救措施。</w:t>
      </w:r>
    </w:p>
    <w:p w14:paraId="116D460A" w14:textId="6860F7B9" w:rsidR="00522F93" w:rsidRDefault="00522F93" w:rsidP="00522F93">
      <w:pPr>
        <w:pStyle w:val="SingleTxtGC"/>
      </w:pPr>
      <w:r>
        <w:rPr>
          <w:rFonts w:hint="eastAsia"/>
        </w:rPr>
        <w:t>55.</w:t>
      </w:r>
      <w:r>
        <w:rPr>
          <w:rFonts w:hint="eastAsia"/>
        </w:rPr>
        <w:tab/>
      </w:r>
      <w:r>
        <w:rPr>
          <w:rFonts w:hint="eastAsia"/>
        </w:rPr>
        <w:t>国家人权委员会负责审查侵犯人权的事实，并向有关国家机构和</w:t>
      </w:r>
      <w:r>
        <w:rPr>
          <w:rFonts w:hint="eastAsia"/>
        </w:rPr>
        <w:t>(</w:t>
      </w:r>
      <w:r>
        <w:rPr>
          <w:rFonts w:hint="eastAsia"/>
        </w:rPr>
        <w:t>或</w:t>
      </w:r>
      <w:r>
        <w:rPr>
          <w:rFonts w:hint="eastAsia"/>
        </w:rPr>
        <w:t>)</w:t>
      </w:r>
      <w:r>
        <w:rPr>
          <w:rFonts w:hint="eastAsia"/>
        </w:rPr>
        <w:t>私营部门报告这种事实；并就促进和保护人权的措施或准则向国会、部长会议和有关机构提出建议。</w:t>
      </w:r>
      <w:r>
        <w:rPr>
          <w:rFonts w:hint="eastAsia"/>
        </w:rPr>
        <w:t>2017</w:t>
      </w:r>
      <w:r>
        <w:rPr>
          <w:rFonts w:hint="eastAsia"/>
        </w:rPr>
        <w:t>年</w:t>
      </w:r>
      <w:r>
        <w:rPr>
          <w:rFonts w:hint="eastAsia"/>
        </w:rPr>
        <w:t>12</w:t>
      </w:r>
      <w:r>
        <w:rPr>
          <w:rFonts w:hint="eastAsia"/>
        </w:rPr>
        <w:t>月</w:t>
      </w:r>
      <w:r>
        <w:rPr>
          <w:rFonts w:hint="eastAsia"/>
        </w:rPr>
        <w:t>13</w:t>
      </w:r>
      <w:r>
        <w:rPr>
          <w:rFonts w:hint="eastAsia"/>
        </w:rPr>
        <w:t>日生效的《国家人权委员会组织法》反映了泰国根据《关于国家机构的地位的原则》</w:t>
      </w:r>
      <w:r>
        <w:rPr>
          <w:rFonts w:hint="eastAsia"/>
        </w:rPr>
        <w:t>(</w:t>
      </w:r>
      <w:r>
        <w:rPr>
          <w:rFonts w:hint="eastAsia"/>
        </w:rPr>
        <w:t>《巴黎原则》</w:t>
      </w:r>
      <w:r>
        <w:rPr>
          <w:rFonts w:hint="eastAsia"/>
        </w:rPr>
        <w:t>)</w:t>
      </w:r>
      <w:r>
        <w:rPr>
          <w:rFonts w:hint="eastAsia"/>
        </w:rPr>
        <w:t>重振这一关键人权机制的努力。</w:t>
      </w:r>
    </w:p>
    <w:p w14:paraId="2824A78E" w14:textId="77777777" w:rsidR="00522F93" w:rsidRDefault="00522F93" w:rsidP="00B36215">
      <w:pPr>
        <w:pStyle w:val="H23GC"/>
      </w:pPr>
      <w:r>
        <w:rPr>
          <w:rFonts w:hint="eastAsia"/>
        </w:rPr>
        <w:lastRenderedPageBreak/>
        <w:tab/>
      </w:r>
      <w:r>
        <w:rPr>
          <w:rFonts w:hint="eastAsia"/>
        </w:rPr>
        <w:tab/>
      </w:r>
      <w:r>
        <w:rPr>
          <w:rFonts w:hint="eastAsia"/>
        </w:rPr>
        <w:t>国家检察官</w:t>
      </w:r>
    </w:p>
    <w:p w14:paraId="213CB5B9" w14:textId="551F731D" w:rsidR="00522F93" w:rsidRDefault="00522F93" w:rsidP="00522F93">
      <w:pPr>
        <w:pStyle w:val="SingleTxtGC"/>
      </w:pPr>
      <w:r>
        <w:rPr>
          <w:rFonts w:hint="eastAsia"/>
        </w:rPr>
        <w:t>56.</w:t>
      </w:r>
      <w:r>
        <w:rPr>
          <w:rFonts w:hint="eastAsia"/>
        </w:rPr>
        <w:tab/>
      </w:r>
      <w:r>
        <w:rPr>
          <w:rFonts w:hint="eastAsia"/>
        </w:rPr>
        <w:t>总检察长办公室有权力和宪法保障的独立性来决定是否提起起诉，并以公正的方式履行《宪法》规定的职能。该办公室是保护公民人权的一个关键角色。</w:t>
      </w:r>
    </w:p>
    <w:p w14:paraId="31144A75" w14:textId="77777777" w:rsidR="00522F93" w:rsidRDefault="00522F93" w:rsidP="00B36215">
      <w:pPr>
        <w:pStyle w:val="H23GC"/>
      </w:pPr>
      <w:r>
        <w:rPr>
          <w:rFonts w:hint="eastAsia"/>
        </w:rPr>
        <w:tab/>
      </w:r>
      <w:r>
        <w:rPr>
          <w:rFonts w:hint="eastAsia"/>
        </w:rPr>
        <w:tab/>
      </w:r>
      <w:r>
        <w:rPr>
          <w:rFonts w:hint="eastAsia"/>
        </w:rPr>
        <w:t>选举制度</w:t>
      </w:r>
    </w:p>
    <w:p w14:paraId="72793295" w14:textId="2634BE5D" w:rsidR="00522F93" w:rsidRDefault="00522F93" w:rsidP="00522F93">
      <w:pPr>
        <w:pStyle w:val="SingleTxtGC"/>
      </w:pPr>
      <w:r>
        <w:rPr>
          <w:rFonts w:hint="eastAsia"/>
        </w:rPr>
        <w:t>57.</w:t>
      </w:r>
      <w:r>
        <w:rPr>
          <w:rFonts w:hint="eastAsia"/>
        </w:rPr>
        <w:tab/>
      </w:r>
      <w:r>
        <w:rPr>
          <w:rFonts w:hint="eastAsia"/>
        </w:rPr>
        <w:t>要取得选举投票权，一个人必须是泰国公民</w:t>
      </w:r>
      <w:r>
        <w:rPr>
          <w:rFonts w:hint="eastAsia"/>
        </w:rPr>
        <w:t>(</w:t>
      </w:r>
      <w:r>
        <w:rPr>
          <w:rFonts w:hint="eastAsia"/>
        </w:rPr>
        <w:t>如果通过归化获得泰国国籍，则必须持有泰国国籍至少五年</w:t>
      </w:r>
      <w:r>
        <w:rPr>
          <w:rFonts w:hint="eastAsia"/>
        </w:rPr>
        <w:t>)</w:t>
      </w:r>
      <w:r>
        <w:rPr>
          <w:rFonts w:hint="eastAsia"/>
        </w:rPr>
        <w:t>，并且在选举日年满</w:t>
      </w:r>
      <w:r>
        <w:rPr>
          <w:rFonts w:hint="eastAsia"/>
        </w:rPr>
        <w:t>18</w:t>
      </w:r>
      <w:r>
        <w:rPr>
          <w:rFonts w:hint="eastAsia"/>
        </w:rPr>
        <w:t>岁。</w:t>
      </w:r>
    </w:p>
    <w:p w14:paraId="2E96744B" w14:textId="370F3E0C" w:rsidR="00522F93" w:rsidRDefault="00522F93" w:rsidP="00522F93">
      <w:pPr>
        <w:pStyle w:val="SingleTxtGC"/>
      </w:pPr>
      <w:r>
        <w:rPr>
          <w:rFonts w:hint="eastAsia"/>
        </w:rPr>
        <w:t>58.</w:t>
      </w:r>
      <w:r>
        <w:rPr>
          <w:rFonts w:hint="eastAsia"/>
        </w:rPr>
        <w:tab/>
      </w:r>
      <w:r>
        <w:rPr>
          <w:rFonts w:hint="eastAsia"/>
        </w:rPr>
        <w:t>在</w:t>
      </w:r>
      <w:r>
        <w:rPr>
          <w:rFonts w:hint="eastAsia"/>
        </w:rPr>
        <w:t>2019</w:t>
      </w:r>
      <w:r>
        <w:rPr>
          <w:rFonts w:hint="eastAsia"/>
        </w:rPr>
        <w:t>年选举中，有资格投票的人数为</w:t>
      </w:r>
      <w:r>
        <w:rPr>
          <w:rFonts w:hint="eastAsia"/>
        </w:rPr>
        <w:t>51</w:t>
      </w:r>
      <w:r w:rsidR="001F6C4E">
        <w:rPr>
          <w:rFonts w:hint="eastAsia"/>
        </w:rPr>
        <w:t>,</w:t>
      </w:r>
      <w:r>
        <w:rPr>
          <w:rFonts w:hint="eastAsia"/>
        </w:rPr>
        <w:t>419</w:t>
      </w:r>
      <w:r w:rsidR="001F6C4E">
        <w:rPr>
          <w:rFonts w:hint="eastAsia"/>
        </w:rPr>
        <w:t>,</w:t>
      </w:r>
      <w:r>
        <w:rPr>
          <w:rFonts w:hint="eastAsia"/>
        </w:rPr>
        <w:t>975</w:t>
      </w:r>
      <w:r>
        <w:rPr>
          <w:rFonts w:hint="eastAsia"/>
        </w:rPr>
        <w:t>人，其中女性为</w:t>
      </w:r>
      <w:r>
        <w:rPr>
          <w:rFonts w:hint="eastAsia"/>
        </w:rPr>
        <w:t>26</w:t>
      </w:r>
      <w:r w:rsidR="001F6C4E">
        <w:rPr>
          <w:rFonts w:hint="eastAsia"/>
        </w:rPr>
        <w:t>,</w:t>
      </w:r>
      <w:r>
        <w:rPr>
          <w:rFonts w:hint="eastAsia"/>
        </w:rPr>
        <w:t>618</w:t>
      </w:r>
      <w:r w:rsidR="001F6C4E">
        <w:rPr>
          <w:rFonts w:hint="eastAsia"/>
        </w:rPr>
        <w:t>,</w:t>
      </w:r>
      <w:r>
        <w:rPr>
          <w:rFonts w:hint="eastAsia"/>
        </w:rPr>
        <w:t>448</w:t>
      </w:r>
      <w:r>
        <w:rPr>
          <w:rFonts w:hint="eastAsia"/>
        </w:rPr>
        <w:t>人，男性为</w:t>
      </w:r>
      <w:r>
        <w:rPr>
          <w:rFonts w:hint="eastAsia"/>
        </w:rPr>
        <w:t>24</w:t>
      </w:r>
      <w:r w:rsidR="001F6C4E">
        <w:rPr>
          <w:rFonts w:hint="eastAsia"/>
        </w:rPr>
        <w:t>,</w:t>
      </w:r>
      <w:r>
        <w:rPr>
          <w:rFonts w:hint="eastAsia"/>
        </w:rPr>
        <w:t>801</w:t>
      </w:r>
      <w:r w:rsidR="001F6C4E">
        <w:rPr>
          <w:rFonts w:hint="eastAsia"/>
        </w:rPr>
        <w:t>,</w:t>
      </w:r>
      <w:r>
        <w:rPr>
          <w:rFonts w:hint="eastAsia"/>
        </w:rPr>
        <w:t>527</w:t>
      </w:r>
      <w:r>
        <w:rPr>
          <w:rFonts w:hint="eastAsia"/>
        </w:rPr>
        <w:t>人。</w:t>
      </w:r>
    </w:p>
    <w:p w14:paraId="5CF825F4" w14:textId="589DDFB3" w:rsidR="00522F93" w:rsidRDefault="00522F93" w:rsidP="00522F93">
      <w:pPr>
        <w:pStyle w:val="SingleTxtGC"/>
      </w:pPr>
      <w:r>
        <w:rPr>
          <w:rFonts w:hint="eastAsia"/>
        </w:rPr>
        <w:t>59.</w:t>
      </w:r>
      <w:r>
        <w:rPr>
          <w:rFonts w:hint="eastAsia"/>
        </w:rPr>
        <w:tab/>
      </w:r>
      <w:r>
        <w:rPr>
          <w:rFonts w:hint="eastAsia"/>
        </w:rPr>
        <w:t>截至</w:t>
      </w:r>
      <w:r>
        <w:rPr>
          <w:rFonts w:hint="eastAsia"/>
        </w:rPr>
        <w:t>2019</w:t>
      </w:r>
      <w:r>
        <w:rPr>
          <w:rFonts w:hint="eastAsia"/>
        </w:rPr>
        <w:t>年</w:t>
      </w:r>
      <w:r>
        <w:rPr>
          <w:rFonts w:hint="eastAsia"/>
        </w:rPr>
        <w:t>5</w:t>
      </w:r>
      <w:r>
        <w:rPr>
          <w:rFonts w:hint="eastAsia"/>
        </w:rPr>
        <w:t>月</w:t>
      </w:r>
      <w:r>
        <w:rPr>
          <w:rFonts w:hint="eastAsia"/>
        </w:rPr>
        <w:t>13</w:t>
      </w:r>
      <w:r>
        <w:rPr>
          <w:rFonts w:hint="eastAsia"/>
        </w:rPr>
        <w:t>日，全国共有</w:t>
      </w:r>
      <w:r>
        <w:rPr>
          <w:rFonts w:hint="eastAsia"/>
        </w:rPr>
        <w:t>88</w:t>
      </w:r>
      <w:r>
        <w:rPr>
          <w:rFonts w:hint="eastAsia"/>
        </w:rPr>
        <w:t>个公认的政党。按政党分列的立法席位分配如下：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972"/>
        <w:gridCol w:w="1398"/>
      </w:tblGrid>
      <w:tr w:rsidR="00B36215" w:rsidRPr="00676CA4" w14:paraId="009A86D5" w14:textId="77777777" w:rsidTr="00B36215">
        <w:trPr>
          <w:tblHeader/>
        </w:trPr>
        <w:tc>
          <w:tcPr>
            <w:tcW w:w="5972" w:type="dxa"/>
            <w:tcBorders>
              <w:top w:val="single" w:sz="4" w:space="0" w:color="auto"/>
              <w:bottom w:val="single" w:sz="12" w:space="0" w:color="auto"/>
            </w:tcBorders>
            <w:shd w:val="clear" w:color="auto" w:fill="auto"/>
            <w:vAlign w:val="bottom"/>
          </w:tcPr>
          <w:p w14:paraId="50D59168" w14:textId="77777777" w:rsidR="00B36215" w:rsidRPr="00676CA4" w:rsidRDefault="00B36215" w:rsidP="00634E33">
            <w:pPr>
              <w:spacing w:before="80" w:after="80" w:line="200" w:lineRule="exact"/>
              <w:ind w:right="113"/>
              <w:rPr>
                <w:rFonts w:ascii="Time New Roman" w:eastAsia="楷体" w:hAnsi="Time New Roman" w:hint="eastAsia"/>
                <w:sz w:val="18"/>
                <w:szCs w:val="18"/>
              </w:rPr>
            </w:pPr>
            <w:r w:rsidRPr="00676CA4">
              <w:rPr>
                <w:rFonts w:ascii="Time New Roman" w:eastAsia="楷体" w:hAnsi="Time New Roman"/>
                <w:sz w:val="18"/>
                <w:szCs w:val="18"/>
                <w:lang w:val="zh-CN"/>
              </w:rPr>
              <w:t>政党</w:t>
            </w:r>
          </w:p>
        </w:tc>
        <w:tc>
          <w:tcPr>
            <w:tcW w:w="1398" w:type="dxa"/>
            <w:tcBorders>
              <w:top w:val="single" w:sz="4" w:space="0" w:color="auto"/>
              <w:bottom w:val="single" w:sz="12" w:space="0" w:color="auto"/>
            </w:tcBorders>
            <w:shd w:val="clear" w:color="auto" w:fill="auto"/>
            <w:vAlign w:val="bottom"/>
          </w:tcPr>
          <w:p w14:paraId="2C3822C4" w14:textId="77777777" w:rsidR="00B36215" w:rsidRPr="00676CA4" w:rsidRDefault="00B36215" w:rsidP="00634E33">
            <w:pPr>
              <w:spacing w:before="80" w:after="80" w:line="200" w:lineRule="exact"/>
              <w:ind w:right="113"/>
              <w:jc w:val="right"/>
              <w:rPr>
                <w:rFonts w:ascii="Time New Roman" w:eastAsia="楷体" w:hAnsi="Time New Roman" w:hint="eastAsia"/>
                <w:sz w:val="18"/>
                <w:szCs w:val="18"/>
              </w:rPr>
            </w:pPr>
            <w:r w:rsidRPr="00676CA4">
              <w:rPr>
                <w:rFonts w:ascii="Time New Roman" w:eastAsia="楷体" w:hAnsi="Time New Roman"/>
                <w:sz w:val="18"/>
                <w:szCs w:val="18"/>
                <w:lang w:val="zh-CN"/>
              </w:rPr>
              <w:t>席位</w:t>
            </w:r>
          </w:p>
        </w:tc>
      </w:tr>
      <w:tr w:rsidR="00B36215" w:rsidRPr="00676CA4" w14:paraId="388CAD3B" w14:textId="77777777" w:rsidTr="00B36215">
        <w:trPr>
          <w:trHeight w:hRule="exact" w:val="113"/>
          <w:tblHeader/>
        </w:trPr>
        <w:tc>
          <w:tcPr>
            <w:tcW w:w="5972" w:type="dxa"/>
            <w:tcBorders>
              <w:top w:val="single" w:sz="12" w:space="0" w:color="auto"/>
            </w:tcBorders>
            <w:shd w:val="clear" w:color="auto" w:fill="auto"/>
          </w:tcPr>
          <w:p w14:paraId="433353C0" w14:textId="77777777" w:rsidR="00B36215" w:rsidRPr="00676CA4" w:rsidRDefault="00B36215" w:rsidP="00634E33">
            <w:pPr>
              <w:spacing w:before="40" w:after="40" w:line="220" w:lineRule="exact"/>
              <w:ind w:right="113"/>
              <w:rPr>
                <w:sz w:val="18"/>
                <w:szCs w:val="18"/>
              </w:rPr>
            </w:pPr>
          </w:p>
        </w:tc>
        <w:tc>
          <w:tcPr>
            <w:tcW w:w="1398" w:type="dxa"/>
            <w:tcBorders>
              <w:top w:val="single" w:sz="12" w:space="0" w:color="auto"/>
            </w:tcBorders>
            <w:shd w:val="clear" w:color="auto" w:fill="auto"/>
            <w:vAlign w:val="bottom"/>
          </w:tcPr>
          <w:p w14:paraId="2320B356" w14:textId="77777777" w:rsidR="00B36215" w:rsidRPr="00676CA4" w:rsidRDefault="00B36215" w:rsidP="00634E33">
            <w:pPr>
              <w:spacing w:before="40" w:after="40" w:line="220" w:lineRule="exact"/>
              <w:ind w:right="113"/>
              <w:jc w:val="right"/>
              <w:rPr>
                <w:sz w:val="18"/>
                <w:szCs w:val="18"/>
              </w:rPr>
            </w:pPr>
          </w:p>
        </w:tc>
      </w:tr>
      <w:tr w:rsidR="00B36215" w:rsidRPr="00676CA4" w14:paraId="1580EA2B" w14:textId="77777777" w:rsidTr="00634E33">
        <w:tc>
          <w:tcPr>
            <w:tcW w:w="5972" w:type="dxa"/>
            <w:shd w:val="clear" w:color="auto" w:fill="auto"/>
          </w:tcPr>
          <w:p w14:paraId="07DE72C0" w14:textId="77777777" w:rsidR="00B36215" w:rsidRPr="00676CA4" w:rsidRDefault="00B36215" w:rsidP="00634E33">
            <w:pPr>
              <w:spacing w:before="40" w:after="40" w:line="220" w:lineRule="exact"/>
              <w:ind w:right="113"/>
              <w:rPr>
                <w:sz w:val="18"/>
                <w:szCs w:val="18"/>
              </w:rPr>
            </w:pPr>
            <w:r w:rsidRPr="00676CA4">
              <w:rPr>
                <w:sz w:val="18"/>
                <w:szCs w:val="18"/>
                <w:lang w:val="zh-CN"/>
              </w:rPr>
              <w:t>为泰党</w:t>
            </w:r>
          </w:p>
        </w:tc>
        <w:tc>
          <w:tcPr>
            <w:tcW w:w="1398" w:type="dxa"/>
            <w:shd w:val="clear" w:color="auto" w:fill="auto"/>
            <w:vAlign w:val="bottom"/>
          </w:tcPr>
          <w:p w14:paraId="7BE4D9B5"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136</w:t>
            </w:r>
          </w:p>
        </w:tc>
      </w:tr>
      <w:tr w:rsidR="00B36215" w:rsidRPr="00676CA4" w14:paraId="7659B913" w14:textId="77777777" w:rsidTr="00634E33">
        <w:tc>
          <w:tcPr>
            <w:tcW w:w="5972" w:type="dxa"/>
            <w:shd w:val="clear" w:color="auto" w:fill="auto"/>
          </w:tcPr>
          <w:p w14:paraId="0DA43F61" w14:textId="77777777" w:rsidR="00B36215" w:rsidRPr="00676CA4" w:rsidRDefault="00B36215" w:rsidP="00634E33">
            <w:pPr>
              <w:spacing w:before="40" w:after="40" w:line="220" w:lineRule="exact"/>
              <w:ind w:right="113"/>
              <w:rPr>
                <w:sz w:val="18"/>
                <w:szCs w:val="18"/>
              </w:rPr>
            </w:pPr>
            <w:r w:rsidRPr="00676CA4">
              <w:rPr>
                <w:sz w:val="18"/>
                <w:szCs w:val="18"/>
                <w:lang w:val="zh-CN"/>
              </w:rPr>
              <w:t>人民力量党</w:t>
            </w:r>
          </w:p>
        </w:tc>
        <w:tc>
          <w:tcPr>
            <w:tcW w:w="1398" w:type="dxa"/>
            <w:shd w:val="clear" w:color="auto" w:fill="auto"/>
            <w:vAlign w:val="bottom"/>
          </w:tcPr>
          <w:p w14:paraId="712011DA"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116</w:t>
            </w:r>
          </w:p>
        </w:tc>
      </w:tr>
      <w:tr w:rsidR="00B36215" w:rsidRPr="00676CA4" w14:paraId="06BE7AAD" w14:textId="77777777" w:rsidTr="00634E33">
        <w:tc>
          <w:tcPr>
            <w:tcW w:w="5972" w:type="dxa"/>
            <w:shd w:val="clear" w:color="auto" w:fill="auto"/>
          </w:tcPr>
          <w:p w14:paraId="6B1E08DB" w14:textId="77777777" w:rsidR="00B36215" w:rsidRPr="00676CA4" w:rsidRDefault="00B36215" w:rsidP="00634E33">
            <w:pPr>
              <w:spacing w:before="40" w:after="40" w:line="220" w:lineRule="exact"/>
              <w:ind w:right="113"/>
              <w:rPr>
                <w:sz w:val="18"/>
                <w:szCs w:val="18"/>
              </w:rPr>
            </w:pPr>
            <w:r w:rsidRPr="00676CA4">
              <w:rPr>
                <w:sz w:val="18"/>
                <w:szCs w:val="18"/>
                <w:lang w:val="zh-CN"/>
              </w:rPr>
              <w:t>未来前进党</w:t>
            </w:r>
          </w:p>
        </w:tc>
        <w:tc>
          <w:tcPr>
            <w:tcW w:w="1398" w:type="dxa"/>
            <w:shd w:val="clear" w:color="auto" w:fill="auto"/>
            <w:vAlign w:val="bottom"/>
          </w:tcPr>
          <w:p w14:paraId="7A46BC9B"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80</w:t>
            </w:r>
          </w:p>
        </w:tc>
      </w:tr>
      <w:tr w:rsidR="00B36215" w:rsidRPr="00676CA4" w14:paraId="38221E03" w14:textId="77777777" w:rsidTr="00634E33">
        <w:tc>
          <w:tcPr>
            <w:tcW w:w="5972" w:type="dxa"/>
            <w:shd w:val="clear" w:color="auto" w:fill="auto"/>
          </w:tcPr>
          <w:p w14:paraId="5474F5C5" w14:textId="77777777" w:rsidR="00B36215" w:rsidRPr="00676CA4" w:rsidRDefault="00B36215" w:rsidP="00634E33">
            <w:pPr>
              <w:spacing w:before="40" w:after="40" w:line="220" w:lineRule="exact"/>
              <w:ind w:right="113"/>
              <w:rPr>
                <w:sz w:val="18"/>
                <w:szCs w:val="18"/>
              </w:rPr>
            </w:pPr>
            <w:r w:rsidRPr="00676CA4">
              <w:rPr>
                <w:sz w:val="18"/>
                <w:szCs w:val="18"/>
                <w:lang w:val="zh-CN"/>
              </w:rPr>
              <w:t>民主党</w:t>
            </w:r>
          </w:p>
        </w:tc>
        <w:tc>
          <w:tcPr>
            <w:tcW w:w="1398" w:type="dxa"/>
            <w:shd w:val="clear" w:color="auto" w:fill="auto"/>
            <w:vAlign w:val="bottom"/>
          </w:tcPr>
          <w:p w14:paraId="260565E1"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53</w:t>
            </w:r>
          </w:p>
        </w:tc>
      </w:tr>
      <w:tr w:rsidR="00B36215" w:rsidRPr="00676CA4" w14:paraId="395F458B" w14:textId="77777777" w:rsidTr="00634E33">
        <w:tc>
          <w:tcPr>
            <w:tcW w:w="5972" w:type="dxa"/>
            <w:shd w:val="clear" w:color="auto" w:fill="auto"/>
          </w:tcPr>
          <w:p w14:paraId="0FE6388D" w14:textId="77777777" w:rsidR="00B36215" w:rsidRPr="00676CA4" w:rsidRDefault="00B36215" w:rsidP="00634E33">
            <w:pPr>
              <w:spacing w:before="40" w:after="40" w:line="220" w:lineRule="exact"/>
              <w:ind w:right="113"/>
              <w:rPr>
                <w:sz w:val="18"/>
                <w:szCs w:val="18"/>
              </w:rPr>
            </w:pPr>
            <w:r w:rsidRPr="00676CA4">
              <w:rPr>
                <w:sz w:val="18"/>
                <w:szCs w:val="18"/>
                <w:lang w:val="zh-CN"/>
              </w:rPr>
              <w:t>自豪泰党</w:t>
            </w:r>
          </w:p>
        </w:tc>
        <w:tc>
          <w:tcPr>
            <w:tcW w:w="1398" w:type="dxa"/>
            <w:shd w:val="clear" w:color="auto" w:fill="auto"/>
            <w:vAlign w:val="bottom"/>
          </w:tcPr>
          <w:p w14:paraId="0E143C70"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51</w:t>
            </w:r>
          </w:p>
        </w:tc>
      </w:tr>
      <w:tr w:rsidR="00B36215" w:rsidRPr="00676CA4" w14:paraId="64997D52" w14:textId="77777777" w:rsidTr="00634E33">
        <w:tc>
          <w:tcPr>
            <w:tcW w:w="5972" w:type="dxa"/>
            <w:shd w:val="clear" w:color="auto" w:fill="auto"/>
          </w:tcPr>
          <w:p w14:paraId="16FBA975" w14:textId="77777777" w:rsidR="00B36215" w:rsidRPr="00676CA4" w:rsidRDefault="00B36215" w:rsidP="00634E33">
            <w:pPr>
              <w:spacing w:before="40" w:after="40" w:line="220" w:lineRule="exact"/>
              <w:ind w:right="113"/>
              <w:rPr>
                <w:sz w:val="18"/>
                <w:szCs w:val="18"/>
              </w:rPr>
            </w:pPr>
            <w:r w:rsidRPr="00676CA4">
              <w:rPr>
                <w:sz w:val="18"/>
                <w:szCs w:val="18"/>
                <w:lang w:val="zh-CN"/>
              </w:rPr>
              <w:t>泰国自由党</w:t>
            </w:r>
          </w:p>
        </w:tc>
        <w:tc>
          <w:tcPr>
            <w:tcW w:w="1398" w:type="dxa"/>
            <w:shd w:val="clear" w:color="auto" w:fill="auto"/>
            <w:vAlign w:val="bottom"/>
          </w:tcPr>
          <w:p w14:paraId="4FA0BDAD"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10</w:t>
            </w:r>
          </w:p>
        </w:tc>
      </w:tr>
      <w:tr w:rsidR="00B36215" w:rsidRPr="00676CA4" w14:paraId="52BEEF04" w14:textId="77777777" w:rsidTr="00634E33">
        <w:tc>
          <w:tcPr>
            <w:tcW w:w="5972" w:type="dxa"/>
            <w:shd w:val="clear" w:color="auto" w:fill="auto"/>
          </w:tcPr>
          <w:p w14:paraId="6F69AD12" w14:textId="77777777" w:rsidR="00B36215" w:rsidRPr="00676CA4" w:rsidRDefault="00B36215" w:rsidP="00634E33">
            <w:pPr>
              <w:spacing w:before="40" w:after="40" w:line="220" w:lineRule="exact"/>
              <w:ind w:right="113"/>
              <w:rPr>
                <w:sz w:val="18"/>
                <w:szCs w:val="18"/>
              </w:rPr>
            </w:pPr>
            <w:r w:rsidRPr="00676CA4">
              <w:rPr>
                <w:sz w:val="18"/>
                <w:szCs w:val="18"/>
                <w:lang w:val="zh-CN"/>
              </w:rPr>
              <w:t>泰国发展党</w:t>
            </w:r>
          </w:p>
        </w:tc>
        <w:tc>
          <w:tcPr>
            <w:tcW w:w="1398" w:type="dxa"/>
            <w:shd w:val="clear" w:color="auto" w:fill="auto"/>
            <w:vAlign w:val="bottom"/>
          </w:tcPr>
          <w:p w14:paraId="44217629"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10</w:t>
            </w:r>
          </w:p>
        </w:tc>
      </w:tr>
      <w:tr w:rsidR="00B36215" w:rsidRPr="00676CA4" w14:paraId="740ADCBF" w14:textId="77777777" w:rsidTr="00634E33">
        <w:tc>
          <w:tcPr>
            <w:tcW w:w="5972" w:type="dxa"/>
            <w:shd w:val="clear" w:color="auto" w:fill="auto"/>
          </w:tcPr>
          <w:p w14:paraId="01E44A6B" w14:textId="77777777" w:rsidR="00B36215" w:rsidRPr="00676CA4" w:rsidRDefault="00B36215" w:rsidP="00634E33">
            <w:pPr>
              <w:spacing w:before="40" w:after="40" w:line="220" w:lineRule="exact"/>
              <w:ind w:right="113"/>
              <w:rPr>
                <w:sz w:val="18"/>
                <w:szCs w:val="18"/>
              </w:rPr>
            </w:pPr>
            <w:r w:rsidRPr="00676CA4">
              <w:rPr>
                <w:sz w:val="18"/>
                <w:szCs w:val="18"/>
                <w:lang w:val="zh-CN"/>
              </w:rPr>
              <w:t>新经济党</w:t>
            </w:r>
          </w:p>
        </w:tc>
        <w:tc>
          <w:tcPr>
            <w:tcW w:w="1398" w:type="dxa"/>
            <w:shd w:val="clear" w:color="auto" w:fill="auto"/>
            <w:vAlign w:val="bottom"/>
          </w:tcPr>
          <w:p w14:paraId="2E0795CE"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6</w:t>
            </w:r>
          </w:p>
        </w:tc>
      </w:tr>
      <w:tr w:rsidR="00B36215" w:rsidRPr="00676CA4" w14:paraId="5FB93877" w14:textId="77777777" w:rsidTr="00634E33">
        <w:tc>
          <w:tcPr>
            <w:tcW w:w="5972" w:type="dxa"/>
            <w:shd w:val="clear" w:color="auto" w:fill="auto"/>
          </w:tcPr>
          <w:p w14:paraId="5FC38538" w14:textId="77777777" w:rsidR="00B36215" w:rsidRPr="00676CA4" w:rsidRDefault="00B36215" w:rsidP="00634E33">
            <w:pPr>
              <w:spacing w:before="40" w:after="40" w:line="220" w:lineRule="exact"/>
              <w:ind w:right="113"/>
              <w:rPr>
                <w:sz w:val="18"/>
                <w:szCs w:val="18"/>
              </w:rPr>
            </w:pPr>
            <w:r w:rsidRPr="00676CA4">
              <w:rPr>
                <w:sz w:val="18"/>
                <w:szCs w:val="18"/>
                <w:lang w:val="zh-CN"/>
              </w:rPr>
              <w:t>国家党</w:t>
            </w:r>
          </w:p>
        </w:tc>
        <w:tc>
          <w:tcPr>
            <w:tcW w:w="1398" w:type="dxa"/>
            <w:shd w:val="clear" w:color="auto" w:fill="auto"/>
            <w:vAlign w:val="bottom"/>
          </w:tcPr>
          <w:p w14:paraId="6ADA9CAB"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7</w:t>
            </w:r>
          </w:p>
        </w:tc>
      </w:tr>
      <w:tr w:rsidR="00B36215" w:rsidRPr="00676CA4" w14:paraId="37635F45" w14:textId="77777777" w:rsidTr="00634E33">
        <w:tc>
          <w:tcPr>
            <w:tcW w:w="5972" w:type="dxa"/>
            <w:shd w:val="clear" w:color="auto" w:fill="auto"/>
          </w:tcPr>
          <w:p w14:paraId="5FB8203E" w14:textId="77777777" w:rsidR="00B36215" w:rsidRPr="00676CA4" w:rsidRDefault="00B36215" w:rsidP="00634E33">
            <w:pPr>
              <w:spacing w:before="40" w:after="40" w:line="220" w:lineRule="exact"/>
              <w:ind w:right="113"/>
              <w:rPr>
                <w:sz w:val="18"/>
                <w:szCs w:val="18"/>
              </w:rPr>
            </w:pPr>
            <w:r w:rsidRPr="00676CA4">
              <w:rPr>
                <w:sz w:val="18"/>
                <w:szCs w:val="18"/>
                <w:lang w:val="zh-CN"/>
              </w:rPr>
              <w:t>为国党</w:t>
            </w:r>
          </w:p>
        </w:tc>
        <w:tc>
          <w:tcPr>
            <w:tcW w:w="1398" w:type="dxa"/>
            <w:shd w:val="clear" w:color="auto" w:fill="auto"/>
            <w:vAlign w:val="bottom"/>
          </w:tcPr>
          <w:p w14:paraId="35B9E3C2"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5</w:t>
            </w:r>
          </w:p>
        </w:tc>
      </w:tr>
      <w:tr w:rsidR="00B36215" w:rsidRPr="00676CA4" w14:paraId="065F8950" w14:textId="77777777" w:rsidTr="00634E33">
        <w:tc>
          <w:tcPr>
            <w:tcW w:w="5972" w:type="dxa"/>
            <w:shd w:val="clear" w:color="auto" w:fill="auto"/>
          </w:tcPr>
          <w:p w14:paraId="7A4AB314" w14:textId="77777777" w:rsidR="00B36215" w:rsidRPr="00676CA4" w:rsidRDefault="00B36215" w:rsidP="00634E33">
            <w:pPr>
              <w:spacing w:before="40" w:after="40" w:line="220" w:lineRule="exact"/>
              <w:ind w:right="113"/>
              <w:rPr>
                <w:sz w:val="18"/>
                <w:szCs w:val="18"/>
              </w:rPr>
            </w:pPr>
            <w:r w:rsidRPr="00676CA4">
              <w:rPr>
                <w:sz w:val="18"/>
                <w:szCs w:val="18"/>
                <w:lang w:val="zh-CN"/>
              </w:rPr>
              <w:t>泰国行动联盟</w:t>
            </w:r>
          </w:p>
        </w:tc>
        <w:tc>
          <w:tcPr>
            <w:tcW w:w="1398" w:type="dxa"/>
            <w:shd w:val="clear" w:color="auto" w:fill="auto"/>
            <w:vAlign w:val="bottom"/>
          </w:tcPr>
          <w:p w14:paraId="1EC4FE61"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5</w:t>
            </w:r>
          </w:p>
        </w:tc>
      </w:tr>
      <w:tr w:rsidR="00B36215" w:rsidRPr="00676CA4" w14:paraId="073A5306" w14:textId="77777777" w:rsidTr="00634E33">
        <w:tc>
          <w:tcPr>
            <w:tcW w:w="5972" w:type="dxa"/>
            <w:shd w:val="clear" w:color="auto" w:fill="auto"/>
          </w:tcPr>
          <w:p w14:paraId="1A236CC6" w14:textId="77777777" w:rsidR="00B36215" w:rsidRPr="00676CA4" w:rsidRDefault="00B36215" w:rsidP="00634E33">
            <w:pPr>
              <w:spacing w:before="40" w:after="40" w:line="220" w:lineRule="exact"/>
              <w:ind w:right="113"/>
              <w:rPr>
                <w:sz w:val="18"/>
                <w:szCs w:val="18"/>
              </w:rPr>
            </w:pPr>
            <w:r w:rsidRPr="00676CA4">
              <w:rPr>
                <w:sz w:val="18"/>
                <w:szCs w:val="18"/>
                <w:lang w:val="zh-CN"/>
              </w:rPr>
              <w:t>为国发展党</w:t>
            </w:r>
          </w:p>
        </w:tc>
        <w:tc>
          <w:tcPr>
            <w:tcW w:w="1398" w:type="dxa"/>
            <w:shd w:val="clear" w:color="auto" w:fill="auto"/>
            <w:vAlign w:val="bottom"/>
          </w:tcPr>
          <w:p w14:paraId="5C10AFEF"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3</w:t>
            </w:r>
          </w:p>
        </w:tc>
      </w:tr>
      <w:tr w:rsidR="00B36215" w:rsidRPr="00676CA4" w14:paraId="719089B5" w14:textId="77777777" w:rsidTr="00634E33">
        <w:tc>
          <w:tcPr>
            <w:tcW w:w="5972" w:type="dxa"/>
            <w:shd w:val="clear" w:color="auto" w:fill="auto"/>
          </w:tcPr>
          <w:p w14:paraId="638FAF92" w14:textId="77777777" w:rsidR="00B36215" w:rsidRPr="00676CA4" w:rsidRDefault="00B36215" w:rsidP="00634E33">
            <w:pPr>
              <w:spacing w:before="40" w:after="40" w:line="220" w:lineRule="exact"/>
              <w:ind w:right="113"/>
              <w:rPr>
                <w:sz w:val="18"/>
                <w:szCs w:val="18"/>
              </w:rPr>
            </w:pPr>
            <w:r w:rsidRPr="00676CA4">
              <w:rPr>
                <w:sz w:val="18"/>
                <w:szCs w:val="18"/>
                <w:lang w:val="zh-CN"/>
              </w:rPr>
              <w:t>泰国地方力量党</w:t>
            </w:r>
          </w:p>
        </w:tc>
        <w:tc>
          <w:tcPr>
            <w:tcW w:w="1398" w:type="dxa"/>
            <w:shd w:val="clear" w:color="auto" w:fill="auto"/>
            <w:vAlign w:val="bottom"/>
          </w:tcPr>
          <w:p w14:paraId="1A4F5C31"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3</w:t>
            </w:r>
          </w:p>
        </w:tc>
      </w:tr>
      <w:tr w:rsidR="00B36215" w:rsidRPr="00676CA4" w14:paraId="3A0919DE" w14:textId="77777777" w:rsidTr="00634E33">
        <w:tc>
          <w:tcPr>
            <w:tcW w:w="5972" w:type="dxa"/>
            <w:shd w:val="clear" w:color="auto" w:fill="auto"/>
          </w:tcPr>
          <w:p w14:paraId="50FFD0A6" w14:textId="77777777" w:rsidR="00B36215" w:rsidRPr="00676CA4" w:rsidRDefault="00B36215" w:rsidP="00634E33">
            <w:pPr>
              <w:spacing w:before="40" w:after="40" w:line="220" w:lineRule="exact"/>
              <w:ind w:right="113"/>
              <w:rPr>
                <w:sz w:val="18"/>
                <w:szCs w:val="18"/>
              </w:rPr>
            </w:pPr>
            <w:r w:rsidRPr="00676CA4">
              <w:rPr>
                <w:sz w:val="18"/>
                <w:szCs w:val="18"/>
                <w:lang w:val="zh-CN"/>
              </w:rPr>
              <w:t>泰国森林保护党</w:t>
            </w:r>
          </w:p>
        </w:tc>
        <w:tc>
          <w:tcPr>
            <w:tcW w:w="1398" w:type="dxa"/>
            <w:shd w:val="clear" w:color="auto" w:fill="auto"/>
            <w:vAlign w:val="bottom"/>
          </w:tcPr>
          <w:p w14:paraId="00F45FBA"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2</w:t>
            </w:r>
          </w:p>
        </w:tc>
      </w:tr>
      <w:tr w:rsidR="00B36215" w:rsidRPr="00676CA4" w14:paraId="7763D063" w14:textId="77777777" w:rsidTr="00634E33">
        <w:tc>
          <w:tcPr>
            <w:tcW w:w="5972" w:type="dxa"/>
            <w:shd w:val="clear" w:color="auto" w:fill="auto"/>
          </w:tcPr>
          <w:p w14:paraId="0A323571" w14:textId="77777777" w:rsidR="00B36215" w:rsidRPr="00676CA4" w:rsidRDefault="00B36215" w:rsidP="00634E33">
            <w:pPr>
              <w:spacing w:before="40" w:after="40" w:line="220" w:lineRule="exact"/>
              <w:ind w:right="113"/>
              <w:rPr>
                <w:sz w:val="18"/>
                <w:szCs w:val="18"/>
              </w:rPr>
            </w:pPr>
            <w:r w:rsidRPr="00676CA4">
              <w:rPr>
                <w:sz w:val="18"/>
                <w:szCs w:val="18"/>
                <w:lang w:val="zh-CN"/>
              </w:rPr>
              <w:t>泰国人民力量党</w:t>
            </w:r>
          </w:p>
        </w:tc>
        <w:tc>
          <w:tcPr>
            <w:tcW w:w="1398" w:type="dxa"/>
            <w:shd w:val="clear" w:color="auto" w:fill="auto"/>
            <w:vAlign w:val="bottom"/>
          </w:tcPr>
          <w:p w14:paraId="4338DC2F"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w:t>
            </w:r>
          </w:p>
        </w:tc>
      </w:tr>
      <w:tr w:rsidR="00B36215" w:rsidRPr="00676CA4" w14:paraId="3821CE9F" w14:textId="77777777" w:rsidTr="00634E33">
        <w:tc>
          <w:tcPr>
            <w:tcW w:w="5972" w:type="dxa"/>
            <w:shd w:val="clear" w:color="auto" w:fill="auto"/>
          </w:tcPr>
          <w:p w14:paraId="4B3E5396" w14:textId="77777777" w:rsidR="00B36215" w:rsidRPr="00676CA4" w:rsidRDefault="00B36215" w:rsidP="00634E33">
            <w:pPr>
              <w:spacing w:before="40" w:after="40" w:line="220" w:lineRule="exact"/>
              <w:ind w:right="113"/>
              <w:rPr>
                <w:sz w:val="18"/>
                <w:szCs w:val="18"/>
              </w:rPr>
            </w:pPr>
            <w:r w:rsidRPr="00676CA4">
              <w:rPr>
                <w:sz w:val="18"/>
                <w:szCs w:val="18"/>
                <w:lang w:val="zh-CN"/>
              </w:rPr>
              <w:t>泰国国家力量党</w:t>
            </w:r>
          </w:p>
        </w:tc>
        <w:tc>
          <w:tcPr>
            <w:tcW w:w="1398" w:type="dxa"/>
            <w:shd w:val="clear" w:color="auto" w:fill="auto"/>
            <w:vAlign w:val="bottom"/>
          </w:tcPr>
          <w:p w14:paraId="31197171"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w:t>
            </w:r>
          </w:p>
        </w:tc>
      </w:tr>
      <w:tr w:rsidR="00B36215" w:rsidRPr="00676CA4" w14:paraId="18F22563" w14:textId="77777777" w:rsidTr="00634E33">
        <w:tc>
          <w:tcPr>
            <w:tcW w:w="5972" w:type="dxa"/>
            <w:shd w:val="clear" w:color="auto" w:fill="auto"/>
          </w:tcPr>
          <w:p w14:paraId="04008A0C" w14:textId="77777777" w:rsidR="00B36215" w:rsidRPr="00676CA4" w:rsidRDefault="00B36215" w:rsidP="00634E33">
            <w:pPr>
              <w:spacing w:before="40" w:after="40" w:line="220" w:lineRule="exact"/>
              <w:ind w:right="113"/>
              <w:rPr>
                <w:sz w:val="18"/>
                <w:szCs w:val="18"/>
              </w:rPr>
            </w:pPr>
            <w:r w:rsidRPr="00676CA4">
              <w:rPr>
                <w:sz w:val="18"/>
                <w:szCs w:val="18"/>
                <w:lang w:val="zh-CN"/>
              </w:rPr>
              <w:t>人民进步党</w:t>
            </w:r>
          </w:p>
        </w:tc>
        <w:tc>
          <w:tcPr>
            <w:tcW w:w="1398" w:type="dxa"/>
            <w:shd w:val="clear" w:color="auto" w:fill="auto"/>
            <w:vAlign w:val="bottom"/>
          </w:tcPr>
          <w:p w14:paraId="23BCB17F"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w:t>
            </w:r>
          </w:p>
        </w:tc>
      </w:tr>
      <w:tr w:rsidR="00B36215" w:rsidRPr="00676CA4" w14:paraId="51815C87" w14:textId="77777777" w:rsidTr="00634E33">
        <w:tc>
          <w:tcPr>
            <w:tcW w:w="5972" w:type="dxa"/>
            <w:shd w:val="clear" w:color="auto" w:fill="auto"/>
          </w:tcPr>
          <w:p w14:paraId="1C910F0C" w14:textId="77777777" w:rsidR="00B36215" w:rsidRPr="00676CA4" w:rsidRDefault="00B36215" w:rsidP="00634E33">
            <w:pPr>
              <w:spacing w:before="40" w:after="40" w:line="220" w:lineRule="exact"/>
              <w:ind w:right="113"/>
              <w:rPr>
                <w:sz w:val="18"/>
                <w:szCs w:val="18"/>
              </w:rPr>
            </w:pPr>
            <w:r w:rsidRPr="00676CA4">
              <w:rPr>
                <w:sz w:val="18"/>
                <w:szCs w:val="18"/>
                <w:lang w:val="zh-CN"/>
              </w:rPr>
              <w:t>泰国文明党</w:t>
            </w:r>
          </w:p>
        </w:tc>
        <w:tc>
          <w:tcPr>
            <w:tcW w:w="1398" w:type="dxa"/>
            <w:shd w:val="clear" w:color="auto" w:fill="auto"/>
            <w:vAlign w:val="bottom"/>
          </w:tcPr>
          <w:p w14:paraId="03FB0F29"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w:t>
            </w:r>
          </w:p>
        </w:tc>
      </w:tr>
      <w:tr w:rsidR="00B36215" w:rsidRPr="00676CA4" w14:paraId="7726AB09" w14:textId="77777777" w:rsidTr="00634E33">
        <w:tc>
          <w:tcPr>
            <w:tcW w:w="5972" w:type="dxa"/>
            <w:shd w:val="clear" w:color="auto" w:fill="auto"/>
          </w:tcPr>
          <w:p w14:paraId="6AC78F91" w14:textId="77777777" w:rsidR="00B36215" w:rsidRPr="00676CA4" w:rsidRDefault="00B36215" w:rsidP="00634E33">
            <w:pPr>
              <w:spacing w:before="40" w:after="40" w:line="220" w:lineRule="exact"/>
              <w:ind w:right="113"/>
              <w:rPr>
                <w:sz w:val="18"/>
                <w:szCs w:val="18"/>
              </w:rPr>
            </w:pPr>
            <w:r w:rsidRPr="00676CA4">
              <w:rPr>
                <w:sz w:val="18"/>
                <w:szCs w:val="18"/>
                <w:lang w:val="zh-CN"/>
              </w:rPr>
              <w:t>泰爱泰党</w:t>
            </w:r>
          </w:p>
        </w:tc>
        <w:tc>
          <w:tcPr>
            <w:tcW w:w="1398" w:type="dxa"/>
            <w:shd w:val="clear" w:color="auto" w:fill="auto"/>
            <w:vAlign w:val="bottom"/>
          </w:tcPr>
          <w:p w14:paraId="04DB966E"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w:t>
            </w:r>
          </w:p>
        </w:tc>
      </w:tr>
      <w:tr w:rsidR="00B36215" w:rsidRPr="00676CA4" w14:paraId="2B39D80B" w14:textId="77777777" w:rsidTr="00634E33">
        <w:tc>
          <w:tcPr>
            <w:tcW w:w="5972" w:type="dxa"/>
            <w:shd w:val="clear" w:color="auto" w:fill="auto"/>
          </w:tcPr>
          <w:p w14:paraId="217C7780" w14:textId="77777777" w:rsidR="00B36215" w:rsidRPr="00676CA4" w:rsidRDefault="00B36215" w:rsidP="00634E33">
            <w:pPr>
              <w:spacing w:before="40" w:after="40" w:line="220" w:lineRule="exact"/>
              <w:ind w:right="113"/>
              <w:rPr>
                <w:sz w:val="18"/>
                <w:szCs w:val="18"/>
              </w:rPr>
            </w:pPr>
            <w:r w:rsidRPr="00676CA4">
              <w:rPr>
                <w:sz w:val="18"/>
                <w:szCs w:val="18"/>
                <w:lang w:val="zh-CN"/>
              </w:rPr>
              <w:t>泰国人民教师党</w:t>
            </w:r>
          </w:p>
        </w:tc>
        <w:tc>
          <w:tcPr>
            <w:tcW w:w="1398" w:type="dxa"/>
            <w:shd w:val="clear" w:color="auto" w:fill="auto"/>
            <w:vAlign w:val="bottom"/>
          </w:tcPr>
          <w:p w14:paraId="3F012D76"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w:t>
            </w:r>
          </w:p>
        </w:tc>
      </w:tr>
      <w:tr w:rsidR="00B36215" w:rsidRPr="00676CA4" w14:paraId="415EA1FB" w14:textId="77777777" w:rsidTr="00634E33">
        <w:tc>
          <w:tcPr>
            <w:tcW w:w="5972" w:type="dxa"/>
            <w:shd w:val="clear" w:color="auto" w:fill="auto"/>
          </w:tcPr>
          <w:p w14:paraId="6521DF1B" w14:textId="77777777" w:rsidR="00B36215" w:rsidRPr="00676CA4" w:rsidRDefault="00B36215" w:rsidP="00634E33">
            <w:pPr>
              <w:spacing w:before="40" w:after="40" w:line="220" w:lineRule="exact"/>
              <w:ind w:right="113"/>
              <w:rPr>
                <w:sz w:val="18"/>
                <w:szCs w:val="18"/>
              </w:rPr>
            </w:pPr>
            <w:r w:rsidRPr="00676CA4">
              <w:rPr>
                <w:sz w:val="18"/>
                <w:szCs w:val="18"/>
                <w:lang w:val="zh-CN"/>
              </w:rPr>
              <w:t>祈祷党</w:t>
            </w:r>
          </w:p>
        </w:tc>
        <w:tc>
          <w:tcPr>
            <w:tcW w:w="1398" w:type="dxa"/>
            <w:shd w:val="clear" w:color="auto" w:fill="auto"/>
            <w:vAlign w:val="bottom"/>
          </w:tcPr>
          <w:p w14:paraId="5F790917"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w:t>
            </w:r>
          </w:p>
        </w:tc>
      </w:tr>
      <w:tr w:rsidR="00B36215" w:rsidRPr="00676CA4" w14:paraId="65714EFF" w14:textId="77777777" w:rsidTr="00634E33">
        <w:tc>
          <w:tcPr>
            <w:tcW w:w="5972" w:type="dxa"/>
            <w:shd w:val="clear" w:color="auto" w:fill="auto"/>
          </w:tcPr>
          <w:p w14:paraId="6678DFDD" w14:textId="77777777" w:rsidR="00B36215" w:rsidRPr="00676CA4" w:rsidRDefault="00B36215" w:rsidP="00634E33">
            <w:pPr>
              <w:spacing w:before="40" w:after="40" w:line="220" w:lineRule="exact"/>
              <w:ind w:right="113"/>
              <w:rPr>
                <w:sz w:val="18"/>
                <w:szCs w:val="18"/>
              </w:rPr>
            </w:pPr>
            <w:r w:rsidRPr="00676CA4">
              <w:rPr>
                <w:sz w:val="18"/>
                <w:szCs w:val="18"/>
                <w:lang w:val="zh-CN"/>
              </w:rPr>
              <w:t>泰国人民正义党</w:t>
            </w:r>
          </w:p>
        </w:tc>
        <w:tc>
          <w:tcPr>
            <w:tcW w:w="1398" w:type="dxa"/>
            <w:shd w:val="clear" w:color="auto" w:fill="auto"/>
            <w:vAlign w:val="bottom"/>
          </w:tcPr>
          <w:p w14:paraId="46311EA4"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w:t>
            </w:r>
          </w:p>
        </w:tc>
      </w:tr>
      <w:tr w:rsidR="00B36215" w:rsidRPr="00676CA4" w14:paraId="5D29F8BA" w14:textId="77777777" w:rsidTr="00634E33">
        <w:tc>
          <w:tcPr>
            <w:tcW w:w="5972" w:type="dxa"/>
            <w:shd w:val="clear" w:color="auto" w:fill="auto"/>
          </w:tcPr>
          <w:p w14:paraId="46F0692C" w14:textId="77777777" w:rsidR="00B36215" w:rsidRPr="00676CA4" w:rsidRDefault="00B36215" w:rsidP="00634E33">
            <w:pPr>
              <w:spacing w:before="40" w:after="40" w:line="220" w:lineRule="exact"/>
              <w:ind w:right="113"/>
              <w:rPr>
                <w:sz w:val="18"/>
                <w:szCs w:val="18"/>
              </w:rPr>
            </w:pPr>
            <w:r w:rsidRPr="00676CA4">
              <w:rPr>
                <w:sz w:val="18"/>
                <w:szCs w:val="18"/>
                <w:lang w:val="zh-CN"/>
              </w:rPr>
              <w:t>人民革新党</w:t>
            </w:r>
          </w:p>
        </w:tc>
        <w:tc>
          <w:tcPr>
            <w:tcW w:w="1398" w:type="dxa"/>
            <w:shd w:val="clear" w:color="auto" w:fill="auto"/>
            <w:vAlign w:val="bottom"/>
          </w:tcPr>
          <w:p w14:paraId="0FFFA357"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w:t>
            </w:r>
          </w:p>
        </w:tc>
      </w:tr>
      <w:tr w:rsidR="00B36215" w:rsidRPr="00676CA4" w14:paraId="6479D494" w14:textId="77777777" w:rsidTr="00634E33">
        <w:tc>
          <w:tcPr>
            <w:tcW w:w="5972" w:type="dxa"/>
            <w:shd w:val="clear" w:color="auto" w:fill="auto"/>
          </w:tcPr>
          <w:p w14:paraId="2E37D349" w14:textId="77777777" w:rsidR="00B36215" w:rsidRPr="00676CA4" w:rsidRDefault="00B36215" w:rsidP="00634E33">
            <w:pPr>
              <w:spacing w:before="40" w:after="40" w:line="220" w:lineRule="exact"/>
              <w:ind w:right="113"/>
              <w:rPr>
                <w:sz w:val="18"/>
                <w:szCs w:val="18"/>
              </w:rPr>
            </w:pPr>
            <w:r w:rsidRPr="00676CA4">
              <w:rPr>
                <w:sz w:val="18"/>
                <w:szCs w:val="18"/>
                <w:lang w:val="zh-CN"/>
              </w:rPr>
              <w:t>泰国公民力量党</w:t>
            </w:r>
          </w:p>
        </w:tc>
        <w:tc>
          <w:tcPr>
            <w:tcW w:w="1398" w:type="dxa"/>
            <w:shd w:val="clear" w:color="auto" w:fill="auto"/>
            <w:vAlign w:val="bottom"/>
          </w:tcPr>
          <w:p w14:paraId="2EB15796" w14:textId="77777777" w:rsidR="00B36215" w:rsidRPr="00676CA4" w:rsidRDefault="00B36215" w:rsidP="00634E33">
            <w:pPr>
              <w:spacing w:before="40" w:after="40" w:line="220" w:lineRule="exact"/>
              <w:ind w:right="113"/>
              <w:jc w:val="right"/>
              <w:rPr>
                <w:sz w:val="18"/>
                <w:szCs w:val="18"/>
              </w:rPr>
            </w:pPr>
            <w:r w:rsidRPr="00676CA4">
              <w:rPr>
                <w:sz w:val="18"/>
                <w:szCs w:val="18"/>
                <w:lang w:val="zh-CN"/>
              </w:rPr>
              <w:t>1</w:t>
            </w:r>
          </w:p>
        </w:tc>
      </w:tr>
      <w:tr w:rsidR="00B36215" w:rsidRPr="00676CA4" w14:paraId="352C77E0" w14:textId="77777777" w:rsidTr="00634E33">
        <w:tc>
          <w:tcPr>
            <w:tcW w:w="5972" w:type="dxa"/>
            <w:shd w:val="clear" w:color="auto" w:fill="auto"/>
          </w:tcPr>
          <w:p w14:paraId="30DD2FB9" w14:textId="77777777" w:rsidR="00B36215" w:rsidRPr="00676CA4" w:rsidRDefault="00B36215" w:rsidP="00634E33">
            <w:pPr>
              <w:keepNext/>
              <w:keepLines/>
              <w:spacing w:before="40" w:after="40" w:line="220" w:lineRule="exact"/>
              <w:ind w:right="113"/>
              <w:rPr>
                <w:sz w:val="18"/>
                <w:szCs w:val="18"/>
              </w:rPr>
            </w:pPr>
            <w:r w:rsidRPr="00676CA4">
              <w:rPr>
                <w:sz w:val="18"/>
                <w:szCs w:val="18"/>
                <w:lang w:val="zh-CN"/>
              </w:rPr>
              <w:t>新民主党</w:t>
            </w:r>
          </w:p>
        </w:tc>
        <w:tc>
          <w:tcPr>
            <w:tcW w:w="1398" w:type="dxa"/>
            <w:shd w:val="clear" w:color="auto" w:fill="auto"/>
            <w:vAlign w:val="bottom"/>
          </w:tcPr>
          <w:p w14:paraId="307C8CA6" w14:textId="77777777" w:rsidR="00B36215" w:rsidRPr="00676CA4" w:rsidRDefault="00B36215" w:rsidP="00634E33">
            <w:pPr>
              <w:keepNext/>
              <w:keepLines/>
              <w:spacing w:before="40" w:after="40" w:line="220" w:lineRule="exact"/>
              <w:ind w:right="113"/>
              <w:jc w:val="right"/>
              <w:rPr>
                <w:sz w:val="18"/>
                <w:szCs w:val="18"/>
              </w:rPr>
            </w:pPr>
            <w:r w:rsidRPr="00676CA4">
              <w:rPr>
                <w:sz w:val="18"/>
                <w:szCs w:val="18"/>
                <w:lang w:val="zh-CN"/>
              </w:rPr>
              <w:t>1</w:t>
            </w:r>
          </w:p>
        </w:tc>
      </w:tr>
      <w:tr w:rsidR="00B36215" w:rsidRPr="00676CA4" w14:paraId="7D698067" w14:textId="77777777" w:rsidTr="00634E33">
        <w:tc>
          <w:tcPr>
            <w:tcW w:w="5972" w:type="dxa"/>
            <w:shd w:val="clear" w:color="auto" w:fill="auto"/>
          </w:tcPr>
          <w:p w14:paraId="05FF8F5D" w14:textId="77777777" w:rsidR="00B36215" w:rsidRPr="00676CA4" w:rsidRDefault="00B36215" w:rsidP="00634E33">
            <w:pPr>
              <w:keepNext/>
              <w:keepLines/>
              <w:spacing w:before="40" w:after="40" w:line="220" w:lineRule="exact"/>
              <w:ind w:right="113"/>
              <w:rPr>
                <w:sz w:val="18"/>
                <w:szCs w:val="18"/>
              </w:rPr>
            </w:pPr>
            <w:r w:rsidRPr="00676CA4">
              <w:rPr>
                <w:sz w:val="18"/>
                <w:szCs w:val="18"/>
                <w:lang w:val="zh-CN"/>
              </w:rPr>
              <w:t>新帕朗达玛党</w:t>
            </w:r>
          </w:p>
        </w:tc>
        <w:tc>
          <w:tcPr>
            <w:tcW w:w="1398" w:type="dxa"/>
            <w:shd w:val="clear" w:color="auto" w:fill="auto"/>
            <w:vAlign w:val="bottom"/>
          </w:tcPr>
          <w:p w14:paraId="382BA519" w14:textId="77777777" w:rsidR="00B36215" w:rsidRPr="00676CA4" w:rsidRDefault="00B36215" w:rsidP="00634E33">
            <w:pPr>
              <w:keepNext/>
              <w:keepLines/>
              <w:spacing w:before="40" w:after="40" w:line="220" w:lineRule="exact"/>
              <w:ind w:right="113"/>
              <w:jc w:val="right"/>
              <w:rPr>
                <w:sz w:val="18"/>
                <w:szCs w:val="18"/>
              </w:rPr>
            </w:pPr>
            <w:r w:rsidRPr="00676CA4">
              <w:rPr>
                <w:sz w:val="18"/>
                <w:szCs w:val="18"/>
                <w:lang w:val="zh-CN"/>
              </w:rPr>
              <w:t>1</w:t>
            </w:r>
          </w:p>
        </w:tc>
      </w:tr>
    </w:tbl>
    <w:p w14:paraId="16EBE61D" w14:textId="77777777" w:rsidR="00B36215" w:rsidRDefault="00B36215" w:rsidP="00522F93">
      <w:pPr>
        <w:pStyle w:val="SingleTxtGC"/>
      </w:pPr>
    </w:p>
    <w:p w14:paraId="12854255" w14:textId="56ABC686" w:rsidR="00522F93" w:rsidRDefault="00522F93" w:rsidP="00676CA4">
      <w:pPr>
        <w:pStyle w:val="H23GC"/>
      </w:pPr>
      <w:r>
        <w:rPr>
          <w:rFonts w:hint="eastAsia"/>
        </w:rPr>
        <w:lastRenderedPageBreak/>
        <w:tab/>
      </w:r>
      <w:r>
        <w:rPr>
          <w:rFonts w:hint="eastAsia"/>
        </w:rPr>
        <w:tab/>
      </w:r>
      <w:r>
        <w:rPr>
          <w:rFonts w:hint="eastAsia"/>
        </w:rPr>
        <w:t>犯罪和司法</w:t>
      </w:r>
    </w:p>
    <w:p w14:paraId="1D4E790B" w14:textId="2FE21FC3" w:rsidR="00522F93" w:rsidRDefault="00522F93" w:rsidP="00522F93">
      <w:pPr>
        <w:pStyle w:val="SingleTxtGC"/>
      </w:pPr>
      <w:r>
        <w:rPr>
          <w:rFonts w:hint="eastAsia"/>
        </w:rPr>
        <w:t>60.</w:t>
      </w:r>
      <w:r>
        <w:rPr>
          <w:rFonts w:hint="eastAsia"/>
        </w:rPr>
        <w:tab/>
        <w:t>2019</w:t>
      </w:r>
      <w:r>
        <w:rPr>
          <w:rFonts w:hint="eastAsia"/>
        </w:rPr>
        <w:t>年刑事案件比上年增长了</w:t>
      </w:r>
      <w:r>
        <w:rPr>
          <w:rFonts w:hint="eastAsia"/>
        </w:rPr>
        <w:t>23%</w:t>
      </w:r>
      <w:r>
        <w:rPr>
          <w:rFonts w:hint="eastAsia"/>
        </w:rPr>
        <w:t>。其中，毒品案件和侵犯财产罪案件分别增长</w:t>
      </w:r>
      <w:r>
        <w:rPr>
          <w:rFonts w:hint="eastAsia"/>
        </w:rPr>
        <w:t>27.7%</w:t>
      </w:r>
      <w:r>
        <w:rPr>
          <w:rFonts w:hint="eastAsia"/>
        </w:rPr>
        <w:t>和</w:t>
      </w:r>
      <w:r>
        <w:rPr>
          <w:rFonts w:hint="eastAsia"/>
        </w:rPr>
        <w:t>4.3%</w:t>
      </w:r>
      <w:r>
        <w:rPr>
          <w:rFonts w:hint="eastAsia"/>
        </w:rPr>
        <w:t>。然而，侵犯生命、身体和性侵犯的犯罪行为减少了</w:t>
      </w:r>
      <w:r>
        <w:rPr>
          <w:rFonts w:hint="eastAsia"/>
        </w:rPr>
        <w:t>6.1%</w:t>
      </w:r>
      <w:r>
        <w:rPr>
          <w:rFonts w:hint="eastAsia"/>
        </w:rPr>
        <w:t>。以下表格中的数字基于截至</w:t>
      </w:r>
      <w:r>
        <w:rPr>
          <w:rFonts w:hint="eastAsia"/>
        </w:rPr>
        <w:t>2019</w:t>
      </w:r>
      <w:r>
        <w:rPr>
          <w:rFonts w:hint="eastAsia"/>
        </w:rPr>
        <w:t>年</w:t>
      </w:r>
      <w:r>
        <w:rPr>
          <w:rFonts w:hint="eastAsia"/>
        </w:rPr>
        <w:t>3</w:t>
      </w:r>
      <w:r>
        <w:rPr>
          <w:rFonts w:hint="eastAsia"/>
        </w:rPr>
        <w:t>月的现有数据。</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35"/>
        <w:gridCol w:w="1328"/>
        <w:gridCol w:w="761"/>
        <w:gridCol w:w="620"/>
        <w:gridCol w:w="742"/>
        <w:gridCol w:w="484"/>
      </w:tblGrid>
      <w:tr w:rsidR="00676CA4" w:rsidRPr="00D643E8" w14:paraId="5DD81BA3" w14:textId="77777777" w:rsidTr="00634E33">
        <w:trPr>
          <w:tblHeader/>
        </w:trPr>
        <w:tc>
          <w:tcPr>
            <w:tcW w:w="3435" w:type="dxa"/>
            <w:tcBorders>
              <w:top w:val="single" w:sz="4" w:space="0" w:color="auto"/>
              <w:bottom w:val="single" w:sz="4" w:space="0" w:color="auto"/>
            </w:tcBorders>
            <w:shd w:val="clear" w:color="auto" w:fill="auto"/>
            <w:vAlign w:val="bottom"/>
          </w:tcPr>
          <w:p w14:paraId="0297D786" w14:textId="77777777" w:rsidR="00676CA4" w:rsidRPr="00D643E8" w:rsidRDefault="00676CA4" w:rsidP="00634E33">
            <w:pPr>
              <w:spacing w:before="80" w:after="80" w:line="200" w:lineRule="exact"/>
              <w:ind w:right="113"/>
              <w:rPr>
                <w:rFonts w:ascii="Time New Roman" w:eastAsia="楷体" w:hAnsi="Time New Roman"/>
                <w:sz w:val="18"/>
                <w:szCs w:val="18"/>
              </w:rPr>
            </w:pPr>
            <w:r w:rsidRPr="00D643E8">
              <w:rPr>
                <w:rFonts w:ascii="Time New Roman" w:eastAsia="楷体" w:hAnsi="Time New Roman"/>
                <w:sz w:val="18"/>
                <w:szCs w:val="18"/>
                <w:lang w:val="zh-CN"/>
              </w:rPr>
              <w:t>已报告的每</w:t>
            </w:r>
            <w:r w:rsidRPr="00D643E8">
              <w:rPr>
                <w:rFonts w:ascii="Time New Roman" w:eastAsia="楷体" w:hAnsi="Time New Roman"/>
                <w:sz w:val="18"/>
                <w:szCs w:val="18"/>
                <w:lang w:val="zh-CN"/>
              </w:rPr>
              <w:t>10</w:t>
            </w:r>
            <w:r w:rsidRPr="00D643E8">
              <w:rPr>
                <w:rFonts w:ascii="Time New Roman" w:eastAsia="楷体" w:hAnsi="Time New Roman"/>
                <w:sz w:val="18"/>
                <w:szCs w:val="18"/>
                <w:lang w:val="zh-CN"/>
              </w:rPr>
              <w:t>万人中暴力死亡和威胁生命犯罪、侵犯身体罪和性犯罪的发生率</w:t>
            </w:r>
          </w:p>
        </w:tc>
        <w:tc>
          <w:tcPr>
            <w:tcW w:w="3935" w:type="dxa"/>
            <w:gridSpan w:val="5"/>
            <w:tcBorders>
              <w:top w:val="single" w:sz="4" w:space="0" w:color="auto"/>
              <w:bottom w:val="single" w:sz="4" w:space="0" w:color="auto"/>
            </w:tcBorders>
            <w:shd w:val="clear" w:color="auto" w:fill="auto"/>
            <w:vAlign w:val="bottom"/>
          </w:tcPr>
          <w:p w14:paraId="1633D752" w14:textId="77777777" w:rsidR="00676CA4" w:rsidRPr="00D643E8" w:rsidRDefault="00676CA4" w:rsidP="00634E33">
            <w:pPr>
              <w:spacing w:before="80" w:after="80" w:line="200" w:lineRule="exact"/>
              <w:ind w:right="113"/>
              <w:jc w:val="right"/>
              <w:rPr>
                <w:rFonts w:ascii="Time New Roman" w:eastAsia="楷体" w:hAnsi="Time New Roman"/>
                <w:sz w:val="18"/>
                <w:szCs w:val="18"/>
                <w:cs/>
              </w:rPr>
            </w:pPr>
            <w:r w:rsidRPr="00D643E8">
              <w:rPr>
                <w:rFonts w:ascii="Time New Roman" w:eastAsia="楷体" w:hAnsi="Time New Roman"/>
                <w:sz w:val="18"/>
                <w:szCs w:val="18"/>
                <w:lang w:val="zh-CN"/>
              </w:rPr>
              <w:t>6.98</w:t>
            </w:r>
          </w:p>
        </w:tc>
      </w:tr>
      <w:tr w:rsidR="00676CA4" w:rsidRPr="00337391" w14:paraId="5F506507" w14:textId="77777777" w:rsidTr="00634E33">
        <w:tc>
          <w:tcPr>
            <w:tcW w:w="3435" w:type="dxa"/>
            <w:vMerge w:val="restart"/>
            <w:tcBorders>
              <w:top w:val="single" w:sz="4" w:space="0" w:color="auto"/>
              <w:bottom w:val="single" w:sz="12" w:space="0" w:color="auto"/>
            </w:tcBorders>
            <w:shd w:val="clear" w:color="auto" w:fill="auto"/>
          </w:tcPr>
          <w:p w14:paraId="46A92B8F" w14:textId="77777777" w:rsidR="00676CA4" w:rsidRPr="00337391" w:rsidRDefault="00676CA4" w:rsidP="00634E33">
            <w:pPr>
              <w:spacing w:before="40" w:after="40" w:line="220" w:lineRule="exact"/>
              <w:ind w:right="113"/>
              <w:rPr>
                <w:sz w:val="18"/>
                <w:szCs w:val="18"/>
                <w:rtl/>
                <w:cs/>
              </w:rPr>
            </w:pPr>
            <w:r w:rsidRPr="00337391">
              <w:rPr>
                <w:sz w:val="18"/>
                <w:szCs w:val="18"/>
                <w:lang w:val="zh-CN"/>
              </w:rPr>
              <w:t>因暴力犯罪或其他严重罪行</w:t>
            </w:r>
            <w:r w:rsidRPr="00337391">
              <w:rPr>
                <w:sz w:val="18"/>
                <w:szCs w:val="18"/>
                <w:lang w:val="zh-CN"/>
              </w:rPr>
              <w:t>(</w:t>
            </w:r>
            <w:r w:rsidRPr="00337391">
              <w:rPr>
                <w:sz w:val="18"/>
                <w:szCs w:val="18"/>
                <w:lang w:val="zh-CN"/>
              </w:rPr>
              <w:t>如杀人、抢劫、攻击和贩运</w:t>
            </w:r>
            <w:r w:rsidRPr="00337391">
              <w:rPr>
                <w:sz w:val="18"/>
                <w:szCs w:val="18"/>
                <w:lang w:val="zh-CN"/>
              </w:rPr>
              <w:t>)</w:t>
            </w:r>
            <w:r w:rsidRPr="00337391">
              <w:rPr>
                <w:sz w:val="18"/>
                <w:szCs w:val="18"/>
                <w:lang w:val="zh-CN"/>
              </w:rPr>
              <w:t>而被捕</w:t>
            </w:r>
            <w:r w:rsidRPr="00337391">
              <w:rPr>
                <w:sz w:val="18"/>
                <w:szCs w:val="18"/>
                <w:lang w:val="zh-CN"/>
              </w:rPr>
              <w:t>/</w:t>
            </w:r>
            <w:r w:rsidRPr="00337391">
              <w:rPr>
                <w:sz w:val="18"/>
                <w:szCs w:val="18"/>
                <w:lang w:val="zh-CN"/>
              </w:rPr>
              <w:t>被起诉的人数和比率</w:t>
            </w:r>
            <w:r w:rsidRPr="00337391">
              <w:rPr>
                <w:sz w:val="18"/>
                <w:szCs w:val="18"/>
                <w:lang w:val="zh-CN"/>
              </w:rPr>
              <w:t>(</w:t>
            </w:r>
            <w:r w:rsidRPr="00337391">
              <w:rPr>
                <w:sz w:val="18"/>
                <w:szCs w:val="18"/>
                <w:lang w:val="zh-CN"/>
              </w:rPr>
              <w:t>每</w:t>
            </w:r>
            <w:r w:rsidRPr="00337391">
              <w:rPr>
                <w:sz w:val="18"/>
                <w:szCs w:val="18"/>
                <w:lang w:val="zh-CN"/>
              </w:rPr>
              <w:t>100,000</w:t>
            </w:r>
            <w:r w:rsidRPr="00337391">
              <w:rPr>
                <w:sz w:val="18"/>
                <w:szCs w:val="18"/>
                <w:lang w:val="zh-CN"/>
              </w:rPr>
              <w:t>人</w:t>
            </w:r>
            <w:r w:rsidRPr="00337391">
              <w:rPr>
                <w:sz w:val="18"/>
                <w:szCs w:val="18"/>
                <w:lang w:val="zh-CN"/>
              </w:rPr>
              <w:t>)</w:t>
            </w:r>
          </w:p>
        </w:tc>
        <w:tc>
          <w:tcPr>
            <w:tcW w:w="1328" w:type="dxa"/>
            <w:vMerge w:val="restart"/>
            <w:tcBorders>
              <w:top w:val="single" w:sz="4" w:space="0" w:color="auto"/>
              <w:bottom w:val="nil"/>
            </w:tcBorders>
            <w:shd w:val="clear" w:color="auto" w:fill="auto"/>
            <w:vAlign w:val="bottom"/>
          </w:tcPr>
          <w:p w14:paraId="62F8E3A4" w14:textId="77777777" w:rsidR="00676CA4" w:rsidRPr="00D643E8" w:rsidRDefault="00676CA4" w:rsidP="00634E33">
            <w:pPr>
              <w:spacing w:before="80" w:after="80" w:line="200" w:lineRule="exact"/>
              <w:ind w:right="113"/>
              <w:rPr>
                <w:rFonts w:ascii="Time New Roman" w:eastAsia="楷体" w:hAnsi="Time New Roman"/>
                <w:sz w:val="18"/>
                <w:szCs w:val="18"/>
              </w:rPr>
            </w:pPr>
            <w:r w:rsidRPr="00D643E8">
              <w:rPr>
                <w:rFonts w:ascii="Time New Roman" w:eastAsia="楷体" w:hAnsi="Time New Roman"/>
                <w:sz w:val="18"/>
                <w:szCs w:val="18"/>
                <w:lang w:val="zh-CN"/>
              </w:rPr>
              <w:t>罪行</w:t>
            </w:r>
          </w:p>
        </w:tc>
        <w:tc>
          <w:tcPr>
            <w:tcW w:w="1381" w:type="dxa"/>
            <w:gridSpan w:val="2"/>
            <w:tcBorders>
              <w:top w:val="single" w:sz="4" w:space="0" w:color="auto"/>
              <w:bottom w:val="single" w:sz="4" w:space="0" w:color="auto"/>
              <w:right w:val="single" w:sz="24" w:space="0" w:color="FFFFFF" w:themeColor="background1"/>
            </w:tcBorders>
            <w:shd w:val="clear" w:color="auto" w:fill="auto"/>
            <w:vAlign w:val="bottom"/>
          </w:tcPr>
          <w:p w14:paraId="0141EA7E" w14:textId="77777777" w:rsidR="00676CA4" w:rsidRPr="00D643E8" w:rsidRDefault="00676CA4" w:rsidP="00634E33">
            <w:pPr>
              <w:spacing w:before="80" w:after="80" w:line="200" w:lineRule="exact"/>
              <w:ind w:right="113"/>
              <w:jc w:val="right"/>
              <w:rPr>
                <w:rFonts w:ascii="Time New Roman" w:eastAsia="楷体" w:hAnsi="Time New Roman"/>
                <w:sz w:val="18"/>
                <w:szCs w:val="18"/>
              </w:rPr>
            </w:pPr>
            <w:r w:rsidRPr="00D643E8">
              <w:rPr>
                <w:rFonts w:ascii="Time New Roman" w:eastAsia="楷体" w:hAnsi="Time New Roman"/>
                <w:sz w:val="18"/>
                <w:szCs w:val="18"/>
                <w:lang w:val="zh-CN"/>
              </w:rPr>
              <w:t>假定</w:t>
            </w:r>
          </w:p>
        </w:tc>
        <w:tc>
          <w:tcPr>
            <w:tcW w:w="1226" w:type="dxa"/>
            <w:gridSpan w:val="2"/>
            <w:tcBorders>
              <w:top w:val="single" w:sz="4" w:space="0" w:color="auto"/>
              <w:left w:val="single" w:sz="24" w:space="0" w:color="FFFFFF" w:themeColor="background1"/>
              <w:bottom w:val="single" w:sz="4" w:space="0" w:color="auto"/>
            </w:tcBorders>
            <w:shd w:val="clear" w:color="auto" w:fill="auto"/>
            <w:vAlign w:val="bottom"/>
          </w:tcPr>
          <w:p w14:paraId="58CD8411" w14:textId="77777777" w:rsidR="00676CA4" w:rsidRPr="00D643E8" w:rsidRDefault="00676CA4" w:rsidP="00634E33">
            <w:pPr>
              <w:spacing w:before="80" w:after="80" w:line="200" w:lineRule="exact"/>
              <w:ind w:right="113"/>
              <w:jc w:val="right"/>
              <w:rPr>
                <w:rFonts w:ascii="Time New Roman" w:eastAsia="楷体" w:hAnsi="Time New Roman"/>
                <w:sz w:val="18"/>
                <w:szCs w:val="18"/>
              </w:rPr>
            </w:pPr>
            <w:r w:rsidRPr="00D643E8">
              <w:rPr>
                <w:rFonts w:ascii="Time New Roman" w:eastAsia="楷体" w:hAnsi="Time New Roman"/>
                <w:sz w:val="18"/>
                <w:szCs w:val="18"/>
                <w:lang w:val="zh-CN"/>
              </w:rPr>
              <w:t>被依法执行</w:t>
            </w:r>
          </w:p>
        </w:tc>
      </w:tr>
      <w:tr w:rsidR="00676CA4" w:rsidRPr="00337391" w14:paraId="46B5EF10" w14:textId="77777777" w:rsidTr="00634E33">
        <w:tc>
          <w:tcPr>
            <w:tcW w:w="3435" w:type="dxa"/>
            <w:vMerge/>
            <w:tcBorders>
              <w:top w:val="nil"/>
              <w:bottom w:val="single" w:sz="12" w:space="0" w:color="auto"/>
            </w:tcBorders>
            <w:shd w:val="clear" w:color="auto" w:fill="auto"/>
          </w:tcPr>
          <w:p w14:paraId="2A40B594" w14:textId="77777777" w:rsidR="00676CA4" w:rsidRPr="00337391" w:rsidRDefault="00676CA4" w:rsidP="00634E33">
            <w:pPr>
              <w:spacing w:before="40" w:after="40" w:line="220" w:lineRule="exact"/>
              <w:ind w:right="113"/>
              <w:rPr>
                <w:sz w:val="18"/>
                <w:szCs w:val="18"/>
              </w:rPr>
            </w:pPr>
          </w:p>
        </w:tc>
        <w:tc>
          <w:tcPr>
            <w:tcW w:w="1328" w:type="dxa"/>
            <w:vMerge/>
            <w:tcBorders>
              <w:top w:val="nil"/>
              <w:bottom w:val="single" w:sz="12" w:space="0" w:color="auto"/>
            </w:tcBorders>
            <w:shd w:val="clear" w:color="auto" w:fill="auto"/>
            <w:vAlign w:val="bottom"/>
          </w:tcPr>
          <w:p w14:paraId="0F82C829" w14:textId="77777777" w:rsidR="00676CA4" w:rsidRPr="00337391" w:rsidRDefault="00676CA4" w:rsidP="00634E33">
            <w:pPr>
              <w:spacing w:before="80" w:after="80" w:line="200" w:lineRule="exact"/>
              <w:ind w:right="113"/>
              <w:jc w:val="right"/>
              <w:rPr>
                <w:i/>
                <w:iCs/>
                <w:sz w:val="18"/>
                <w:szCs w:val="18"/>
              </w:rPr>
            </w:pPr>
          </w:p>
        </w:tc>
        <w:tc>
          <w:tcPr>
            <w:tcW w:w="761" w:type="dxa"/>
            <w:tcBorders>
              <w:top w:val="single" w:sz="4" w:space="0" w:color="auto"/>
              <w:bottom w:val="single" w:sz="12" w:space="0" w:color="auto"/>
            </w:tcBorders>
            <w:shd w:val="clear" w:color="auto" w:fill="auto"/>
            <w:vAlign w:val="bottom"/>
          </w:tcPr>
          <w:p w14:paraId="274574C2" w14:textId="77777777" w:rsidR="00676CA4" w:rsidRPr="00D643E8" w:rsidRDefault="00676CA4" w:rsidP="00634E33">
            <w:pPr>
              <w:spacing w:before="80" w:after="80" w:line="200" w:lineRule="exact"/>
              <w:ind w:right="113"/>
              <w:jc w:val="right"/>
              <w:rPr>
                <w:rFonts w:ascii="Time New Roman" w:eastAsia="楷体" w:hAnsi="Time New Roman"/>
                <w:sz w:val="18"/>
                <w:szCs w:val="18"/>
              </w:rPr>
            </w:pPr>
            <w:r w:rsidRPr="00D643E8">
              <w:rPr>
                <w:rFonts w:ascii="Time New Roman" w:eastAsia="楷体" w:hAnsi="Time New Roman"/>
                <w:sz w:val="18"/>
                <w:szCs w:val="18"/>
                <w:lang w:val="zh-CN"/>
              </w:rPr>
              <w:t>数目</w:t>
            </w:r>
          </w:p>
        </w:tc>
        <w:tc>
          <w:tcPr>
            <w:tcW w:w="620" w:type="dxa"/>
            <w:tcBorders>
              <w:top w:val="single" w:sz="4" w:space="0" w:color="auto"/>
              <w:bottom w:val="single" w:sz="12" w:space="0" w:color="auto"/>
              <w:right w:val="single" w:sz="24" w:space="0" w:color="FFFFFF" w:themeColor="background1"/>
            </w:tcBorders>
            <w:shd w:val="clear" w:color="auto" w:fill="auto"/>
            <w:vAlign w:val="bottom"/>
          </w:tcPr>
          <w:p w14:paraId="2E9D023B" w14:textId="77777777" w:rsidR="00676CA4" w:rsidRPr="00D643E8" w:rsidRDefault="00676CA4" w:rsidP="00634E33">
            <w:pPr>
              <w:spacing w:before="80" w:after="80" w:line="200" w:lineRule="exact"/>
              <w:ind w:right="113"/>
              <w:jc w:val="right"/>
              <w:rPr>
                <w:rFonts w:ascii="Time New Roman" w:eastAsia="楷体" w:hAnsi="Time New Roman"/>
                <w:sz w:val="18"/>
                <w:szCs w:val="18"/>
              </w:rPr>
            </w:pPr>
            <w:r w:rsidRPr="00D643E8">
              <w:rPr>
                <w:rFonts w:ascii="Time New Roman" w:eastAsia="楷体" w:hAnsi="Time New Roman"/>
                <w:sz w:val="18"/>
                <w:szCs w:val="18"/>
                <w:lang w:val="zh-CN"/>
              </w:rPr>
              <w:t>比率</w:t>
            </w:r>
          </w:p>
        </w:tc>
        <w:tc>
          <w:tcPr>
            <w:tcW w:w="742" w:type="dxa"/>
            <w:tcBorders>
              <w:top w:val="single" w:sz="4" w:space="0" w:color="auto"/>
              <w:left w:val="single" w:sz="24" w:space="0" w:color="FFFFFF" w:themeColor="background1"/>
              <w:bottom w:val="single" w:sz="12" w:space="0" w:color="auto"/>
            </w:tcBorders>
            <w:shd w:val="clear" w:color="auto" w:fill="auto"/>
            <w:vAlign w:val="bottom"/>
          </w:tcPr>
          <w:p w14:paraId="586B5D69" w14:textId="77777777" w:rsidR="00676CA4" w:rsidRPr="00D643E8" w:rsidRDefault="00676CA4" w:rsidP="00634E33">
            <w:pPr>
              <w:spacing w:before="80" w:after="80" w:line="200" w:lineRule="exact"/>
              <w:ind w:right="113"/>
              <w:jc w:val="right"/>
              <w:rPr>
                <w:rFonts w:ascii="Time New Roman" w:eastAsia="楷体" w:hAnsi="Time New Roman"/>
                <w:sz w:val="18"/>
                <w:szCs w:val="18"/>
              </w:rPr>
            </w:pPr>
            <w:r w:rsidRPr="00D643E8">
              <w:rPr>
                <w:rFonts w:ascii="Time New Roman" w:eastAsia="楷体" w:hAnsi="Time New Roman"/>
                <w:sz w:val="18"/>
                <w:szCs w:val="18"/>
                <w:lang w:val="zh-CN"/>
              </w:rPr>
              <w:t>数目</w:t>
            </w:r>
          </w:p>
        </w:tc>
        <w:tc>
          <w:tcPr>
            <w:tcW w:w="484" w:type="dxa"/>
            <w:tcBorders>
              <w:top w:val="single" w:sz="4" w:space="0" w:color="auto"/>
              <w:bottom w:val="single" w:sz="12" w:space="0" w:color="auto"/>
            </w:tcBorders>
            <w:shd w:val="clear" w:color="auto" w:fill="auto"/>
            <w:vAlign w:val="bottom"/>
          </w:tcPr>
          <w:p w14:paraId="29EB6607" w14:textId="77777777" w:rsidR="00676CA4" w:rsidRPr="00D643E8" w:rsidRDefault="00676CA4" w:rsidP="00634E33">
            <w:pPr>
              <w:spacing w:before="80" w:after="80" w:line="200" w:lineRule="exact"/>
              <w:ind w:right="113"/>
              <w:jc w:val="right"/>
              <w:rPr>
                <w:rFonts w:ascii="Time New Roman" w:eastAsia="楷体" w:hAnsi="Time New Roman"/>
                <w:sz w:val="18"/>
                <w:szCs w:val="18"/>
              </w:rPr>
            </w:pPr>
            <w:r w:rsidRPr="00D643E8">
              <w:rPr>
                <w:rFonts w:ascii="Time New Roman" w:eastAsia="楷体" w:hAnsi="Time New Roman"/>
                <w:sz w:val="18"/>
                <w:szCs w:val="18"/>
                <w:lang w:val="zh-CN"/>
              </w:rPr>
              <w:t>比率</w:t>
            </w:r>
          </w:p>
        </w:tc>
      </w:tr>
      <w:tr w:rsidR="00676CA4" w:rsidRPr="00337391" w14:paraId="5EEE81E7" w14:textId="77777777" w:rsidTr="00634E33">
        <w:tc>
          <w:tcPr>
            <w:tcW w:w="3435" w:type="dxa"/>
            <w:vMerge/>
            <w:tcBorders>
              <w:top w:val="nil"/>
              <w:bottom w:val="single" w:sz="12" w:space="0" w:color="auto"/>
            </w:tcBorders>
            <w:shd w:val="clear" w:color="auto" w:fill="auto"/>
          </w:tcPr>
          <w:p w14:paraId="4CA10E75" w14:textId="77777777" w:rsidR="00676CA4" w:rsidRPr="00337391" w:rsidRDefault="00676CA4" w:rsidP="00634E33">
            <w:pPr>
              <w:spacing w:before="40" w:after="40" w:line="220" w:lineRule="exact"/>
              <w:ind w:right="113"/>
              <w:rPr>
                <w:sz w:val="18"/>
                <w:szCs w:val="18"/>
              </w:rPr>
            </w:pPr>
          </w:p>
        </w:tc>
        <w:tc>
          <w:tcPr>
            <w:tcW w:w="1328" w:type="dxa"/>
            <w:tcBorders>
              <w:top w:val="single" w:sz="12" w:space="0" w:color="auto"/>
            </w:tcBorders>
            <w:shd w:val="clear" w:color="auto" w:fill="auto"/>
            <w:vAlign w:val="bottom"/>
          </w:tcPr>
          <w:p w14:paraId="59B46995" w14:textId="77777777" w:rsidR="00676CA4" w:rsidRPr="00337391" w:rsidRDefault="00676CA4" w:rsidP="00634E33">
            <w:pPr>
              <w:spacing w:before="40" w:after="40" w:line="220" w:lineRule="exact"/>
              <w:ind w:right="113"/>
              <w:rPr>
                <w:sz w:val="18"/>
                <w:szCs w:val="18"/>
              </w:rPr>
            </w:pPr>
            <w:r w:rsidRPr="00337391">
              <w:rPr>
                <w:sz w:val="18"/>
                <w:szCs w:val="18"/>
                <w:lang w:val="zh-CN"/>
              </w:rPr>
              <w:t>纵火</w:t>
            </w:r>
          </w:p>
        </w:tc>
        <w:tc>
          <w:tcPr>
            <w:tcW w:w="761" w:type="dxa"/>
            <w:tcBorders>
              <w:top w:val="single" w:sz="12" w:space="0" w:color="auto"/>
            </w:tcBorders>
            <w:shd w:val="clear" w:color="auto" w:fill="auto"/>
            <w:vAlign w:val="bottom"/>
          </w:tcPr>
          <w:p w14:paraId="7943531D"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317</w:t>
            </w:r>
          </w:p>
        </w:tc>
        <w:tc>
          <w:tcPr>
            <w:tcW w:w="620" w:type="dxa"/>
            <w:tcBorders>
              <w:top w:val="single" w:sz="12" w:space="0" w:color="auto"/>
            </w:tcBorders>
            <w:shd w:val="clear" w:color="auto" w:fill="auto"/>
            <w:vAlign w:val="bottom"/>
          </w:tcPr>
          <w:p w14:paraId="26D88582"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0.55</w:t>
            </w:r>
          </w:p>
        </w:tc>
        <w:tc>
          <w:tcPr>
            <w:tcW w:w="742" w:type="dxa"/>
            <w:tcBorders>
              <w:top w:val="single" w:sz="12" w:space="0" w:color="auto"/>
            </w:tcBorders>
            <w:shd w:val="clear" w:color="auto" w:fill="auto"/>
            <w:vAlign w:val="bottom"/>
          </w:tcPr>
          <w:p w14:paraId="5B869D5F"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594</w:t>
            </w:r>
          </w:p>
        </w:tc>
        <w:tc>
          <w:tcPr>
            <w:tcW w:w="484" w:type="dxa"/>
            <w:tcBorders>
              <w:top w:val="single" w:sz="12" w:space="0" w:color="auto"/>
            </w:tcBorders>
            <w:shd w:val="clear" w:color="auto" w:fill="auto"/>
            <w:vAlign w:val="bottom"/>
          </w:tcPr>
          <w:p w14:paraId="56503AD9"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0.89</w:t>
            </w:r>
          </w:p>
        </w:tc>
      </w:tr>
      <w:tr w:rsidR="00676CA4" w:rsidRPr="00337391" w14:paraId="10FAB333" w14:textId="77777777" w:rsidTr="00634E33">
        <w:tc>
          <w:tcPr>
            <w:tcW w:w="3435" w:type="dxa"/>
            <w:vMerge/>
            <w:tcBorders>
              <w:top w:val="nil"/>
              <w:bottom w:val="single" w:sz="12" w:space="0" w:color="auto"/>
            </w:tcBorders>
            <w:shd w:val="clear" w:color="auto" w:fill="auto"/>
          </w:tcPr>
          <w:p w14:paraId="7EFA6A68" w14:textId="77777777" w:rsidR="00676CA4" w:rsidRPr="00337391" w:rsidRDefault="00676CA4" w:rsidP="00634E33">
            <w:pPr>
              <w:spacing w:before="40" w:after="40" w:line="220" w:lineRule="exact"/>
              <w:ind w:right="113"/>
              <w:rPr>
                <w:sz w:val="18"/>
                <w:szCs w:val="18"/>
              </w:rPr>
            </w:pPr>
          </w:p>
        </w:tc>
        <w:tc>
          <w:tcPr>
            <w:tcW w:w="1328" w:type="dxa"/>
            <w:shd w:val="clear" w:color="auto" w:fill="auto"/>
            <w:vAlign w:val="bottom"/>
          </w:tcPr>
          <w:p w14:paraId="67D122C5" w14:textId="77777777" w:rsidR="00676CA4" w:rsidRPr="00337391" w:rsidRDefault="00676CA4" w:rsidP="00634E33">
            <w:pPr>
              <w:spacing w:before="40" w:after="40" w:line="220" w:lineRule="exact"/>
              <w:ind w:right="113"/>
              <w:rPr>
                <w:sz w:val="18"/>
                <w:szCs w:val="18"/>
              </w:rPr>
            </w:pPr>
            <w:r w:rsidRPr="00337391">
              <w:rPr>
                <w:sz w:val="18"/>
                <w:szCs w:val="18"/>
                <w:lang w:val="zh-CN"/>
              </w:rPr>
              <w:t>强奸</w:t>
            </w:r>
          </w:p>
        </w:tc>
        <w:tc>
          <w:tcPr>
            <w:tcW w:w="761" w:type="dxa"/>
            <w:shd w:val="clear" w:color="auto" w:fill="auto"/>
            <w:vAlign w:val="bottom"/>
          </w:tcPr>
          <w:p w14:paraId="5D2FDDAB" w14:textId="3ED36275" w:rsidR="00676CA4" w:rsidRPr="00337391" w:rsidRDefault="00676CA4" w:rsidP="00634E33">
            <w:pPr>
              <w:spacing w:before="40" w:after="40" w:line="220" w:lineRule="exact"/>
              <w:ind w:right="113"/>
              <w:jc w:val="right"/>
              <w:rPr>
                <w:sz w:val="18"/>
                <w:szCs w:val="18"/>
              </w:rPr>
            </w:pPr>
            <w:r w:rsidRPr="00337391">
              <w:rPr>
                <w:sz w:val="18"/>
                <w:szCs w:val="18"/>
                <w:lang w:val="zh-CN"/>
              </w:rPr>
              <w:t>3</w:t>
            </w:r>
            <w:r w:rsidR="00C748E7">
              <w:rPr>
                <w:sz w:val="18"/>
                <w:szCs w:val="18"/>
                <w:lang w:val="zh-CN"/>
              </w:rPr>
              <w:t>,</w:t>
            </w:r>
            <w:r w:rsidRPr="00337391">
              <w:rPr>
                <w:sz w:val="18"/>
                <w:szCs w:val="18"/>
                <w:lang w:val="zh-CN"/>
              </w:rPr>
              <w:t>523</w:t>
            </w:r>
          </w:p>
        </w:tc>
        <w:tc>
          <w:tcPr>
            <w:tcW w:w="620" w:type="dxa"/>
            <w:shd w:val="clear" w:color="auto" w:fill="auto"/>
            <w:vAlign w:val="bottom"/>
          </w:tcPr>
          <w:p w14:paraId="1057DDDD"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5.3</w:t>
            </w:r>
          </w:p>
        </w:tc>
        <w:tc>
          <w:tcPr>
            <w:tcW w:w="742" w:type="dxa"/>
            <w:shd w:val="clear" w:color="auto" w:fill="auto"/>
            <w:vAlign w:val="bottom"/>
          </w:tcPr>
          <w:p w14:paraId="15E71A9D" w14:textId="7963493E" w:rsidR="00676CA4" w:rsidRPr="00337391" w:rsidRDefault="00676CA4" w:rsidP="00634E33">
            <w:pPr>
              <w:spacing w:before="40" w:after="40" w:line="220" w:lineRule="exact"/>
              <w:ind w:right="113"/>
              <w:jc w:val="right"/>
              <w:rPr>
                <w:sz w:val="18"/>
                <w:szCs w:val="18"/>
              </w:rPr>
            </w:pPr>
            <w:r w:rsidRPr="00337391">
              <w:rPr>
                <w:sz w:val="18"/>
                <w:szCs w:val="18"/>
                <w:lang w:val="zh-CN"/>
              </w:rPr>
              <w:t>7</w:t>
            </w:r>
            <w:r w:rsidR="00C748E7">
              <w:rPr>
                <w:sz w:val="18"/>
                <w:szCs w:val="18"/>
                <w:lang w:val="zh-CN"/>
              </w:rPr>
              <w:t>,</w:t>
            </w:r>
            <w:r w:rsidRPr="00337391">
              <w:rPr>
                <w:sz w:val="18"/>
                <w:szCs w:val="18"/>
                <w:lang w:val="zh-CN"/>
              </w:rPr>
              <w:t>334</w:t>
            </w:r>
          </w:p>
        </w:tc>
        <w:tc>
          <w:tcPr>
            <w:tcW w:w="484" w:type="dxa"/>
            <w:shd w:val="clear" w:color="auto" w:fill="auto"/>
            <w:vAlign w:val="bottom"/>
          </w:tcPr>
          <w:p w14:paraId="5DF4BCC5"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11</w:t>
            </w:r>
          </w:p>
        </w:tc>
      </w:tr>
      <w:tr w:rsidR="00676CA4" w:rsidRPr="00337391" w14:paraId="6BF72666" w14:textId="77777777" w:rsidTr="00634E33">
        <w:tc>
          <w:tcPr>
            <w:tcW w:w="3435" w:type="dxa"/>
            <w:vMerge/>
            <w:tcBorders>
              <w:top w:val="nil"/>
              <w:bottom w:val="single" w:sz="12" w:space="0" w:color="auto"/>
            </w:tcBorders>
            <w:shd w:val="clear" w:color="auto" w:fill="auto"/>
          </w:tcPr>
          <w:p w14:paraId="7CB97900" w14:textId="77777777" w:rsidR="00676CA4" w:rsidRPr="00337391" w:rsidRDefault="00676CA4" w:rsidP="00634E33">
            <w:pPr>
              <w:spacing w:before="40" w:after="40" w:line="220" w:lineRule="exact"/>
              <w:ind w:right="113"/>
              <w:rPr>
                <w:sz w:val="18"/>
                <w:szCs w:val="18"/>
              </w:rPr>
            </w:pPr>
          </w:p>
        </w:tc>
        <w:tc>
          <w:tcPr>
            <w:tcW w:w="1328" w:type="dxa"/>
            <w:shd w:val="clear" w:color="auto" w:fill="auto"/>
            <w:vAlign w:val="bottom"/>
          </w:tcPr>
          <w:p w14:paraId="7263EE28" w14:textId="77777777" w:rsidR="00676CA4" w:rsidRPr="00337391" w:rsidRDefault="00676CA4" w:rsidP="00634E33">
            <w:pPr>
              <w:spacing w:before="40" w:after="40" w:line="220" w:lineRule="exact"/>
              <w:ind w:right="113"/>
              <w:rPr>
                <w:sz w:val="18"/>
                <w:szCs w:val="18"/>
              </w:rPr>
            </w:pPr>
            <w:r w:rsidRPr="00337391">
              <w:rPr>
                <w:sz w:val="18"/>
                <w:szCs w:val="18"/>
                <w:lang w:val="zh-CN"/>
              </w:rPr>
              <w:t>其他性犯罪</w:t>
            </w:r>
          </w:p>
        </w:tc>
        <w:tc>
          <w:tcPr>
            <w:tcW w:w="761" w:type="dxa"/>
            <w:shd w:val="clear" w:color="auto" w:fill="auto"/>
            <w:vAlign w:val="bottom"/>
          </w:tcPr>
          <w:p w14:paraId="7EB469CA" w14:textId="5045904A" w:rsidR="00676CA4" w:rsidRPr="00337391" w:rsidRDefault="00676CA4" w:rsidP="00634E33">
            <w:pPr>
              <w:spacing w:before="40" w:after="40" w:line="220" w:lineRule="exact"/>
              <w:ind w:right="113"/>
              <w:jc w:val="right"/>
              <w:rPr>
                <w:sz w:val="18"/>
                <w:szCs w:val="18"/>
              </w:rPr>
            </w:pPr>
            <w:r w:rsidRPr="00337391">
              <w:rPr>
                <w:sz w:val="18"/>
                <w:szCs w:val="18"/>
                <w:lang w:val="zh-CN"/>
              </w:rPr>
              <w:t>1</w:t>
            </w:r>
            <w:r w:rsidR="00C748E7">
              <w:rPr>
                <w:sz w:val="18"/>
                <w:szCs w:val="18"/>
                <w:lang w:val="zh-CN"/>
              </w:rPr>
              <w:t>,</w:t>
            </w:r>
            <w:r w:rsidRPr="00337391">
              <w:rPr>
                <w:sz w:val="18"/>
                <w:szCs w:val="18"/>
                <w:lang w:val="zh-CN"/>
              </w:rPr>
              <w:t>559</w:t>
            </w:r>
          </w:p>
        </w:tc>
        <w:tc>
          <w:tcPr>
            <w:tcW w:w="620" w:type="dxa"/>
            <w:shd w:val="clear" w:color="auto" w:fill="auto"/>
            <w:vAlign w:val="bottom"/>
          </w:tcPr>
          <w:p w14:paraId="6A4B74EC"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2.35</w:t>
            </w:r>
          </w:p>
        </w:tc>
        <w:tc>
          <w:tcPr>
            <w:tcW w:w="742" w:type="dxa"/>
            <w:shd w:val="clear" w:color="auto" w:fill="auto"/>
            <w:vAlign w:val="bottom"/>
          </w:tcPr>
          <w:p w14:paraId="6BD17C64" w14:textId="50A85F0E" w:rsidR="00676CA4" w:rsidRPr="00337391" w:rsidRDefault="00676CA4" w:rsidP="00634E33">
            <w:pPr>
              <w:spacing w:before="40" w:after="40" w:line="220" w:lineRule="exact"/>
              <w:ind w:right="113"/>
              <w:jc w:val="right"/>
              <w:rPr>
                <w:sz w:val="18"/>
                <w:szCs w:val="18"/>
              </w:rPr>
            </w:pPr>
            <w:r w:rsidRPr="00337391">
              <w:rPr>
                <w:sz w:val="18"/>
                <w:szCs w:val="18"/>
                <w:lang w:val="zh-CN"/>
              </w:rPr>
              <w:t>3</w:t>
            </w:r>
            <w:r w:rsidR="00C748E7">
              <w:rPr>
                <w:sz w:val="18"/>
                <w:szCs w:val="18"/>
                <w:lang w:val="zh-CN"/>
              </w:rPr>
              <w:t>,</w:t>
            </w:r>
            <w:r w:rsidRPr="00337391">
              <w:rPr>
                <w:sz w:val="18"/>
                <w:szCs w:val="18"/>
                <w:lang w:val="zh-CN"/>
              </w:rPr>
              <w:t>078</w:t>
            </w:r>
          </w:p>
        </w:tc>
        <w:tc>
          <w:tcPr>
            <w:tcW w:w="484" w:type="dxa"/>
            <w:shd w:val="clear" w:color="auto" w:fill="auto"/>
            <w:vAlign w:val="bottom"/>
          </w:tcPr>
          <w:p w14:paraId="5E9DEF6E"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4.6</w:t>
            </w:r>
          </w:p>
        </w:tc>
      </w:tr>
      <w:tr w:rsidR="00676CA4" w:rsidRPr="00337391" w14:paraId="6524B17E" w14:textId="77777777" w:rsidTr="00634E33">
        <w:tc>
          <w:tcPr>
            <w:tcW w:w="3435" w:type="dxa"/>
            <w:vMerge/>
            <w:tcBorders>
              <w:top w:val="nil"/>
              <w:bottom w:val="single" w:sz="12" w:space="0" w:color="auto"/>
            </w:tcBorders>
            <w:shd w:val="clear" w:color="auto" w:fill="auto"/>
          </w:tcPr>
          <w:p w14:paraId="03891649" w14:textId="77777777" w:rsidR="00676CA4" w:rsidRPr="00337391" w:rsidRDefault="00676CA4" w:rsidP="00634E33">
            <w:pPr>
              <w:spacing w:before="40" w:after="40" w:line="220" w:lineRule="exact"/>
              <w:ind w:right="113"/>
              <w:rPr>
                <w:sz w:val="18"/>
                <w:szCs w:val="18"/>
              </w:rPr>
            </w:pPr>
          </w:p>
        </w:tc>
        <w:tc>
          <w:tcPr>
            <w:tcW w:w="1328" w:type="dxa"/>
            <w:shd w:val="clear" w:color="auto" w:fill="auto"/>
            <w:vAlign w:val="bottom"/>
          </w:tcPr>
          <w:p w14:paraId="3D28B27B" w14:textId="77777777" w:rsidR="00676CA4" w:rsidRPr="00337391" w:rsidRDefault="00676CA4" w:rsidP="00634E33">
            <w:pPr>
              <w:spacing w:before="40" w:after="40" w:line="220" w:lineRule="exact"/>
              <w:ind w:right="113"/>
              <w:rPr>
                <w:sz w:val="18"/>
                <w:szCs w:val="18"/>
              </w:rPr>
            </w:pPr>
            <w:r w:rsidRPr="00337391">
              <w:rPr>
                <w:sz w:val="18"/>
                <w:szCs w:val="18"/>
                <w:lang w:val="zh-CN"/>
              </w:rPr>
              <w:t>谋杀</w:t>
            </w:r>
          </w:p>
        </w:tc>
        <w:tc>
          <w:tcPr>
            <w:tcW w:w="761" w:type="dxa"/>
            <w:shd w:val="clear" w:color="auto" w:fill="auto"/>
            <w:vAlign w:val="bottom"/>
          </w:tcPr>
          <w:p w14:paraId="5D53E8DB" w14:textId="296A2795" w:rsidR="00676CA4" w:rsidRPr="00337391" w:rsidRDefault="00676CA4" w:rsidP="00634E33">
            <w:pPr>
              <w:spacing w:before="40" w:after="40" w:line="220" w:lineRule="exact"/>
              <w:ind w:right="113"/>
              <w:jc w:val="right"/>
              <w:rPr>
                <w:sz w:val="18"/>
                <w:szCs w:val="18"/>
              </w:rPr>
            </w:pPr>
            <w:r w:rsidRPr="00337391">
              <w:rPr>
                <w:sz w:val="18"/>
                <w:szCs w:val="18"/>
                <w:lang w:val="zh-CN"/>
              </w:rPr>
              <w:t>2</w:t>
            </w:r>
            <w:r w:rsidR="00C748E7">
              <w:rPr>
                <w:sz w:val="18"/>
                <w:szCs w:val="18"/>
                <w:lang w:val="zh-CN"/>
              </w:rPr>
              <w:t>,</w:t>
            </w:r>
            <w:r w:rsidRPr="00337391">
              <w:rPr>
                <w:sz w:val="18"/>
                <w:szCs w:val="18"/>
                <w:lang w:val="zh-CN"/>
              </w:rPr>
              <w:t>660</w:t>
            </w:r>
          </w:p>
        </w:tc>
        <w:tc>
          <w:tcPr>
            <w:tcW w:w="620" w:type="dxa"/>
            <w:shd w:val="clear" w:color="auto" w:fill="auto"/>
            <w:vAlign w:val="bottom"/>
          </w:tcPr>
          <w:p w14:paraId="77190108"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4</w:t>
            </w:r>
          </w:p>
        </w:tc>
        <w:tc>
          <w:tcPr>
            <w:tcW w:w="742" w:type="dxa"/>
            <w:shd w:val="clear" w:color="auto" w:fill="auto"/>
            <w:vAlign w:val="bottom"/>
          </w:tcPr>
          <w:p w14:paraId="15498A31" w14:textId="2B85F6DF" w:rsidR="00676CA4" w:rsidRPr="00337391" w:rsidRDefault="00676CA4" w:rsidP="00634E33">
            <w:pPr>
              <w:spacing w:before="40" w:after="40" w:line="220" w:lineRule="exact"/>
              <w:ind w:right="113"/>
              <w:jc w:val="right"/>
              <w:rPr>
                <w:sz w:val="18"/>
                <w:szCs w:val="18"/>
              </w:rPr>
            </w:pPr>
            <w:r w:rsidRPr="00337391">
              <w:rPr>
                <w:sz w:val="18"/>
                <w:szCs w:val="18"/>
                <w:lang w:val="zh-CN"/>
              </w:rPr>
              <w:t>6</w:t>
            </w:r>
            <w:r w:rsidR="00C748E7">
              <w:rPr>
                <w:sz w:val="18"/>
                <w:szCs w:val="18"/>
                <w:lang w:val="zh-CN"/>
              </w:rPr>
              <w:t>,</w:t>
            </w:r>
            <w:r w:rsidRPr="00337391">
              <w:rPr>
                <w:sz w:val="18"/>
                <w:szCs w:val="18"/>
                <w:lang w:val="zh-CN"/>
              </w:rPr>
              <w:t>242</w:t>
            </w:r>
          </w:p>
        </w:tc>
        <w:tc>
          <w:tcPr>
            <w:tcW w:w="484" w:type="dxa"/>
            <w:shd w:val="clear" w:color="auto" w:fill="auto"/>
            <w:vAlign w:val="bottom"/>
          </w:tcPr>
          <w:p w14:paraId="41473E10"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9.4</w:t>
            </w:r>
          </w:p>
        </w:tc>
      </w:tr>
      <w:tr w:rsidR="00676CA4" w:rsidRPr="00337391" w14:paraId="31FA38CB" w14:textId="77777777" w:rsidTr="00634E33">
        <w:tc>
          <w:tcPr>
            <w:tcW w:w="3435" w:type="dxa"/>
            <w:vMerge/>
            <w:tcBorders>
              <w:top w:val="nil"/>
              <w:bottom w:val="single" w:sz="12" w:space="0" w:color="auto"/>
            </w:tcBorders>
            <w:shd w:val="clear" w:color="auto" w:fill="auto"/>
          </w:tcPr>
          <w:p w14:paraId="4BBA2C21" w14:textId="77777777" w:rsidR="00676CA4" w:rsidRPr="00337391" w:rsidRDefault="00676CA4" w:rsidP="00634E33">
            <w:pPr>
              <w:spacing w:before="40" w:after="40" w:line="220" w:lineRule="exact"/>
              <w:ind w:right="113"/>
              <w:rPr>
                <w:sz w:val="18"/>
                <w:szCs w:val="18"/>
              </w:rPr>
            </w:pPr>
          </w:p>
        </w:tc>
        <w:tc>
          <w:tcPr>
            <w:tcW w:w="1328" w:type="dxa"/>
            <w:shd w:val="clear" w:color="auto" w:fill="auto"/>
            <w:vAlign w:val="bottom"/>
          </w:tcPr>
          <w:p w14:paraId="403BC368" w14:textId="77777777" w:rsidR="00676CA4" w:rsidRPr="00337391" w:rsidRDefault="00676CA4" w:rsidP="00634E33">
            <w:pPr>
              <w:spacing w:before="40" w:after="40" w:line="220" w:lineRule="exact"/>
              <w:ind w:right="113"/>
              <w:rPr>
                <w:sz w:val="18"/>
                <w:szCs w:val="18"/>
              </w:rPr>
            </w:pPr>
            <w:r w:rsidRPr="00337391">
              <w:rPr>
                <w:sz w:val="18"/>
                <w:szCs w:val="18"/>
                <w:lang w:val="zh-CN"/>
              </w:rPr>
              <w:t>谋杀未遂</w:t>
            </w:r>
          </w:p>
        </w:tc>
        <w:tc>
          <w:tcPr>
            <w:tcW w:w="761" w:type="dxa"/>
            <w:shd w:val="clear" w:color="auto" w:fill="auto"/>
            <w:vAlign w:val="bottom"/>
          </w:tcPr>
          <w:p w14:paraId="4FC44951" w14:textId="73623393" w:rsidR="00676CA4" w:rsidRPr="00337391" w:rsidRDefault="00676CA4" w:rsidP="00634E33">
            <w:pPr>
              <w:spacing w:before="40" w:after="40" w:line="220" w:lineRule="exact"/>
              <w:ind w:right="113"/>
              <w:jc w:val="right"/>
              <w:rPr>
                <w:sz w:val="18"/>
                <w:szCs w:val="18"/>
              </w:rPr>
            </w:pPr>
            <w:r w:rsidRPr="00337391">
              <w:rPr>
                <w:sz w:val="18"/>
                <w:szCs w:val="18"/>
                <w:lang w:val="zh-CN"/>
              </w:rPr>
              <w:t>4</w:t>
            </w:r>
            <w:r w:rsidR="00C748E7">
              <w:rPr>
                <w:sz w:val="18"/>
                <w:szCs w:val="18"/>
                <w:lang w:val="zh-CN"/>
              </w:rPr>
              <w:t>,</w:t>
            </w:r>
            <w:r w:rsidRPr="00337391">
              <w:rPr>
                <w:sz w:val="18"/>
                <w:szCs w:val="18"/>
                <w:lang w:val="zh-CN"/>
              </w:rPr>
              <w:t>762</w:t>
            </w:r>
          </w:p>
        </w:tc>
        <w:tc>
          <w:tcPr>
            <w:tcW w:w="620" w:type="dxa"/>
            <w:shd w:val="clear" w:color="auto" w:fill="auto"/>
            <w:vAlign w:val="bottom"/>
          </w:tcPr>
          <w:p w14:paraId="383D8EC7"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7.17</w:t>
            </w:r>
          </w:p>
        </w:tc>
        <w:tc>
          <w:tcPr>
            <w:tcW w:w="742" w:type="dxa"/>
            <w:shd w:val="clear" w:color="auto" w:fill="auto"/>
            <w:vAlign w:val="bottom"/>
          </w:tcPr>
          <w:p w14:paraId="2C9B46C7" w14:textId="4DB72CEB" w:rsidR="00676CA4" w:rsidRPr="00337391" w:rsidRDefault="00676CA4" w:rsidP="00634E33">
            <w:pPr>
              <w:spacing w:before="40" w:after="40" w:line="220" w:lineRule="exact"/>
              <w:ind w:right="113"/>
              <w:jc w:val="right"/>
              <w:rPr>
                <w:sz w:val="18"/>
                <w:szCs w:val="18"/>
              </w:rPr>
            </w:pPr>
            <w:r w:rsidRPr="00337391">
              <w:rPr>
                <w:sz w:val="18"/>
                <w:szCs w:val="18"/>
                <w:lang w:val="zh-CN"/>
              </w:rPr>
              <w:t>12</w:t>
            </w:r>
            <w:r w:rsidR="00C748E7">
              <w:rPr>
                <w:sz w:val="18"/>
                <w:szCs w:val="18"/>
                <w:lang w:val="zh-CN"/>
              </w:rPr>
              <w:t>,</w:t>
            </w:r>
            <w:r w:rsidRPr="00337391">
              <w:rPr>
                <w:sz w:val="18"/>
                <w:szCs w:val="18"/>
                <w:lang w:val="zh-CN"/>
              </w:rPr>
              <w:t>035</w:t>
            </w:r>
          </w:p>
        </w:tc>
        <w:tc>
          <w:tcPr>
            <w:tcW w:w="484" w:type="dxa"/>
            <w:shd w:val="clear" w:color="auto" w:fill="auto"/>
            <w:vAlign w:val="bottom"/>
          </w:tcPr>
          <w:p w14:paraId="5BF71C01"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18.1</w:t>
            </w:r>
          </w:p>
        </w:tc>
      </w:tr>
      <w:tr w:rsidR="00676CA4" w:rsidRPr="00337391" w14:paraId="5769147E" w14:textId="77777777" w:rsidTr="00634E33">
        <w:tc>
          <w:tcPr>
            <w:tcW w:w="3435" w:type="dxa"/>
            <w:vMerge/>
            <w:tcBorders>
              <w:top w:val="nil"/>
              <w:bottom w:val="single" w:sz="12" w:space="0" w:color="auto"/>
            </w:tcBorders>
            <w:shd w:val="clear" w:color="auto" w:fill="auto"/>
          </w:tcPr>
          <w:p w14:paraId="676182D5" w14:textId="77777777" w:rsidR="00676CA4" w:rsidRPr="00337391" w:rsidRDefault="00676CA4" w:rsidP="00634E33">
            <w:pPr>
              <w:spacing w:before="40" w:after="40" w:line="220" w:lineRule="exact"/>
              <w:ind w:right="113"/>
              <w:rPr>
                <w:sz w:val="18"/>
                <w:szCs w:val="18"/>
              </w:rPr>
            </w:pPr>
          </w:p>
        </w:tc>
        <w:tc>
          <w:tcPr>
            <w:tcW w:w="1328" w:type="dxa"/>
            <w:shd w:val="clear" w:color="auto" w:fill="auto"/>
            <w:vAlign w:val="bottom"/>
          </w:tcPr>
          <w:p w14:paraId="22E52356" w14:textId="77777777" w:rsidR="00676CA4" w:rsidRPr="00337391" w:rsidRDefault="00676CA4" w:rsidP="00634E33">
            <w:pPr>
              <w:spacing w:before="40" w:after="40" w:line="220" w:lineRule="exact"/>
              <w:ind w:right="113"/>
              <w:rPr>
                <w:sz w:val="18"/>
                <w:szCs w:val="18"/>
              </w:rPr>
            </w:pPr>
            <w:r w:rsidRPr="00337391">
              <w:rPr>
                <w:sz w:val="18"/>
                <w:szCs w:val="18"/>
                <w:lang w:val="zh-CN"/>
              </w:rPr>
              <w:t>无意杀人</w:t>
            </w:r>
          </w:p>
        </w:tc>
        <w:tc>
          <w:tcPr>
            <w:tcW w:w="761" w:type="dxa"/>
            <w:shd w:val="clear" w:color="auto" w:fill="auto"/>
            <w:vAlign w:val="bottom"/>
          </w:tcPr>
          <w:p w14:paraId="4B895AAE"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503</w:t>
            </w:r>
          </w:p>
        </w:tc>
        <w:tc>
          <w:tcPr>
            <w:tcW w:w="620" w:type="dxa"/>
            <w:shd w:val="clear" w:color="auto" w:fill="auto"/>
            <w:vAlign w:val="bottom"/>
          </w:tcPr>
          <w:p w14:paraId="6F68A724"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0.76</w:t>
            </w:r>
          </w:p>
        </w:tc>
        <w:tc>
          <w:tcPr>
            <w:tcW w:w="742" w:type="dxa"/>
            <w:shd w:val="clear" w:color="auto" w:fill="auto"/>
            <w:vAlign w:val="bottom"/>
          </w:tcPr>
          <w:p w14:paraId="1CE0F96E" w14:textId="337B357D" w:rsidR="00676CA4" w:rsidRPr="00337391" w:rsidRDefault="00676CA4" w:rsidP="00634E33">
            <w:pPr>
              <w:spacing w:before="40" w:after="40" w:line="220" w:lineRule="exact"/>
              <w:ind w:right="113"/>
              <w:jc w:val="right"/>
              <w:rPr>
                <w:sz w:val="18"/>
                <w:szCs w:val="18"/>
              </w:rPr>
            </w:pPr>
            <w:r w:rsidRPr="00337391">
              <w:rPr>
                <w:sz w:val="18"/>
                <w:szCs w:val="18"/>
                <w:lang w:val="zh-CN"/>
              </w:rPr>
              <w:t>1</w:t>
            </w:r>
            <w:r w:rsidR="00C748E7">
              <w:rPr>
                <w:sz w:val="18"/>
                <w:szCs w:val="18"/>
                <w:lang w:val="zh-CN"/>
              </w:rPr>
              <w:t>,</w:t>
            </w:r>
            <w:r w:rsidRPr="00337391">
              <w:rPr>
                <w:sz w:val="18"/>
                <w:szCs w:val="18"/>
                <w:lang w:val="zh-CN"/>
              </w:rPr>
              <w:t>309</w:t>
            </w:r>
          </w:p>
        </w:tc>
        <w:tc>
          <w:tcPr>
            <w:tcW w:w="484" w:type="dxa"/>
            <w:shd w:val="clear" w:color="auto" w:fill="auto"/>
            <w:vAlign w:val="bottom"/>
          </w:tcPr>
          <w:p w14:paraId="7DCDB36B"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1.97</w:t>
            </w:r>
          </w:p>
        </w:tc>
      </w:tr>
      <w:tr w:rsidR="00676CA4" w:rsidRPr="00337391" w14:paraId="560C6579" w14:textId="77777777" w:rsidTr="00634E33">
        <w:tc>
          <w:tcPr>
            <w:tcW w:w="3435" w:type="dxa"/>
            <w:vMerge/>
            <w:tcBorders>
              <w:top w:val="nil"/>
              <w:bottom w:val="single" w:sz="12" w:space="0" w:color="auto"/>
            </w:tcBorders>
            <w:shd w:val="clear" w:color="auto" w:fill="auto"/>
          </w:tcPr>
          <w:p w14:paraId="75441317" w14:textId="77777777" w:rsidR="00676CA4" w:rsidRPr="00337391" w:rsidRDefault="00676CA4" w:rsidP="00634E33">
            <w:pPr>
              <w:spacing w:before="40" w:after="40" w:line="220" w:lineRule="exact"/>
              <w:ind w:right="113"/>
              <w:rPr>
                <w:sz w:val="18"/>
                <w:szCs w:val="18"/>
              </w:rPr>
            </w:pPr>
          </w:p>
        </w:tc>
        <w:tc>
          <w:tcPr>
            <w:tcW w:w="1328" w:type="dxa"/>
            <w:shd w:val="clear" w:color="auto" w:fill="auto"/>
            <w:vAlign w:val="bottom"/>
          </w:tcPr>
          <w:p w14:paraId="4F9D5A15" w14:textId="77777777" w:rsidR="00676CA4" w:rsidRPr="00337391" w:rsidRDefault="00676CA4" w:rsidP="00634E33">
            <w:pPr>
              <w:spacing w:before="40" w:after="40" w:line="220" w:lineRule="exact"/>
              <w:ind w:right="113"/>
              <w:rPr>
                <w:sz w:val="18"/>
                <w:szCs w:val="18"/>
              </w:rPr>
            </w:pPr>
            <w:r w:rsidRPr="00337391">
              <w:rPr>
                <w:sz w:val="18"/>
                <w:szCs w:val="18"/>
                <w:lang w:val="zh-CN"/>
              </w:rPr>
              <w:t>其他杀人罪</w:t>
            </w:r>
          </w:p>
        </w:tc>
        <w:tc>
          <w:tcPr>
            <w:tcW w:w="761" w:type="dxa"/>
            <w:shd w:val="clear" w:color="auto" w:fill="auto"/>
            <w:vAlign w:val="bottom"/>
          </w:tcPr>
          <w:p w14:paraId="6295B3DD"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111</w:t>
            </w:r>
          </w:p>
        </w:tc>
        <w:tc>
          <w:tcPr>
            <w:tcW w:w="620" w:type="dxa"/>
            <w:shd w:val="clear" w:color="auto" w:fill="auto"/>
            <w:vAlign w:val="bottom"/>
          </w:tcPr>
          <w:p w14:paraId="24221621"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0.17</w:t>
            </w:r>
          </w:p>
        </w:tc>
        <w:tc>
          <w:tcPr>
            <w:tcW w:w="742" w:type="dxa"/>
            <w:shd w:val="clear" w:color="auto" w:fill="auto"/>
            <w:vAlign w:val="bottom"/>
          </w:tcPr>
          <w:p w14:paraId="4AB7B898"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257</w:t>
            </w:r>
          </w:p>
        </w:tc>
        <w:tc>
          <w:tcPr>
            <w:tcW w:w="484" w:type="dxa"/>
            <w:shd w:val="clear" w:color="auto" w:fill="auto"/>
            <w:vAlign w:val="bottom"/>
          </w:tcPr>
          <w:p w14:paraId="05317970"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0.39</w:t>
            </w:r>
          </w:p>
        </w:tc>
      </w:tr>
      <w:tr w:rsidR="00676CA4" w:rsidRPr="00337391" w14:paraId="3F9A8CBE" w14:textId="77777777" w:rsidTr="00634E33">
        <w:tc>
          <w:tcPr>
            <w:tcW w:w="3435" w:type="dxa"/>
            <w:vMerge/>
            <w:tcBorders>
              <w:top w:val="nil"/>
              <w:bottom w:val="single" w:sz="12" w:space="0" w:color="auto"/>
            </w:tcBorders>
            <w:shd w:val="clear" w:color="auto" w:fill="auto"/>
          </w:tcPr>
          <w:p w14:paraId="349DBE1B" w14:textId="77777777" w:rsidR="00676CA4" w:rsidRPr="00337391" w:rsidRDefault="00676CA4" w:rsidP="00634E33">
            <w:pPr>
              <w:spacing w:before="40" w:after="40" w:line="220" w:lineRule="exact"/>
              <w:ind w:right="113"/>
              <w:rPr>
                <w:sz w:val="18"/>
                <w:szCs w:val="18"/>
              </w:rPr>
            </w:pPr>
          </w:p>
        </w:tc>
        <w:tc>
          <w:tcPr>
            <w:tcW w:w="1328" w:type="dxa"/>
            <w:shd w:val="clear" w:color="auto" w:fill="auto"/>
            <w:vAlign w:val="bottom"/>
          </w:tcPr>
          <w:p w14:paraId="2292E1E9" w14:textId="77777777" w:rsidR="00676CA4" w:rsidRPr="00337391" w:rsidRDefault="00676CA4" w:rsidP="00634E33">
            <w:pPr>
              <w:spacing w:before="40" w:after="40" w:line="220" w:lineRule="exact"/>
              <w:ind w:right="113"/>
              <w:rPr>
                <w:sz w:val="18"/>
                <w:szCs w:val="18"/>
              </w:rPr>
            </w:pPr>
            <w:r w:rsidRPr="00337391">
              <w:rPr>
                <w:sz w:val="18"/>
                <w:szCs w:val="18"/>
                <w:lang w:val="zh-CN"/>
              </w:rPr>
              <w:t>侵害身体罪</w:t>
            </w:r>
          </w:p>
        </w:tc>
        <w:tc>
          <w:tcPr>
            <w:tcW w:w="761" w:type="dxa"/>
            <w:shd w:val="clear" w:color="auto" w:fill="auto"/>
            <w:vAlign w:val="bottom"/>
          </w:tcPr>
          <w:p w14:paraId="77F161C9" w14:textId="0ED3B1BB" w:rsidR="00676CA4" w:rsidRPr="00337391" w:rsidRDefault="00676CA4" w:rsidP="00634E33">
            <w:pPr>
              <w:spacing w:before="40" w:after="40" w:line="220" w:lineRule="exact"/>
              <w:ind w:right="113"/>
              <w:jc w:val="right"/>
              <w:rPr>
                <w:sz w:val="18"/>
                <w:szCs w:val="18"/>
              </w:rPr>
            </w:pPr>
            <w:r w:rsidRPr="00337391">
              <w:rPr>
                <w:sz w:val="18"/>
                <w:szCs w:val="18"/>
                <w:lang w:val="zh-CN"/>
              </w:rPr>
              <w:t>14</w:t>
            </w:r>
            <w:r w:rsidR="00C748E7">
              <w:rPr>
                <w:sz w:val="18"/>
                <w:szCs w:val="18"/>
                <w:lang w:val="zh-CN"/>
              </w:rPr>
              <w:t>,</w:t>
            </w:r>
            <w:r w:rsidRPr="00337391">
              <w:rPr>
                <w:sz w:val="18"/>
                <w:szCs w:val="18"/>
                <w:lang w:val="zh-CN"/>
              </w:rPr>
              <w:t>770</w:t>
            </w:r>
          </w:p>
        </w:tc>
        <w:tc>
          <w:tcPr>
            <w:tcW w:w="620" w:type="dxa"/>
            <w:shd w:val="clear" w:color="auto" w:fill="auto"/>
            <w:vAlign w:val="bottom"/>
          </w:tcPr>
          <w:p w14:paraId="02415A6D"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22.24</w:t>
            </w:r>
          </w:p>
        </w:tc>
        <w:tc>
          <w:tcPr>
            <w:tcW w:w="742" w:type="dxa"/>
            <w:shd w:val="clear" w:color="auto" w:fill="auto"/>
            <w:vAlign w:val="bottom"/>
          </w:tcPr>
          <w:p w14:paraId="2036CB8F" w14:textId="0462B7BD" w:rsidR="00676CA4" w:rsidRPr="00337391" w:rsidRDefault="00676CA4" w:rsidP="00634E33">
            <w:pPr>
              <w:spacing w:before="40" w:after="40" w:line="220" w:lineRule="exact"/>
              <w:ind w:right="113"/>
              <w:jc w:val="right"/>
              <w:rPr>
                <w:sz w:val="18"/>
                <w:szCs w:val="18"/>
              </w:rPr>
            </w:pPr>
            <w:r w:rsidRPr="00337391">
              <w:rPr>
                <w:sz w:val="18"/>
                <w:szCs w:val="18"/>
                <w:lang w:val="zh-CN"/>
              </w:rPr>
              <w:t>20</w:t>
            </w:r>
            <w:r w:rsidR="00C748E7">
              <w:rPr>
                <w:sz w:val="18"/>
                <w:szCs w:val="18"/>
                <w:lang w:val="zh-CN"/>
              </w:rPr>
              <w:t>,</w:t>
            </w:r>
            <w:r w:rsidRPr="00337391">
              <w:rPr>
                <w:sz w:val="18"/>
                <w:szCs w:val="18"/>
                <w:lang w:val="zh-CN"/>
              </w:rPr>
              <w:t>858</w:t>
            </w:r>
          </w:p>
        </w:tc>
        <w:tc>
          <w:tcPr>
            <w:tcW w:w="484" w:type="dxa"/>
            <w:shd w:val="clear" w:color="auto" w:fill="auto"/>
            <w:vAlign w:val="bottom"/>
          </w:tcPr>
          <w:p w14:paraId="712BFD1F"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31.4</w:t>
            </w:r>
          </w:p>
        </w:tc>
      </w:tr>
      <w:tr w:rsidR="00676CA4" w:rsidRPr="00337391" w14:paraId="4FAC0CEF" w14:textId="77777777" w:rsidTr="00634E33">
        <w:tc>
          <w:tcPr>
            <w:tcW w:w="3435" w:type="dxa"/>
            <w:vMerge/>
            <w:tcBorders>
              <w:top w:val="nil"/>
              <w:bottom w:val="single" w:sz="12" w:space="0" w:color="auto"/>
            </w:tcBorders>
            <w:shd w:val="clear" w:color="auto" w:fill="auto"/>
          </w:tcPr>
          <w:p w14:paraId="27161FE1" w14:textId="77777777" w:rsidR="00676CA4" w:rsidRPr="00337391" w:rsidRDefault="00676CA4" w:rsidP="00634E33">
            <w:pPr>
              <w:spacing w:before="40" w:after="40" w:line="220" w:lineRule="exact"/>
              <w:ind w:right="113"/>
              <w:rPr>
                <w:sz w:val="18"/>
                <w:szCs w:val="18"/>
              </w:rPr>
            </w:pPr>
          </w:p>
        </w:tc>
        <w:tc>
          <w:tcPr>
            <w:tcW w:w="1328" w:type="dxa"/>
            <w:shd w:val="clear" w:color="auto" w:fill="auto"/>
            <w:vAlign w:val="bottom"/>
          </w:tcPr>
          <w:p w14:paraId="16D1BFD3" w14:textId="77777777" w:rsidR="00676CA4" w:rsidRPr="00337391" w:rsidRDefault="00676CA4" w:rsidP="00634E33">
            <w:pPr>
              <w:spacing w:before="40" w:after="40" w:line="220" w:lineRule="exact"/>
              <w:ind w:right="113"/>
              <w:rPr>
                <w:sz w:val="18"/>
                <w:szCs w:val="18"/>
              </w:rPr>
            </w:pPr>
            <w:r w:rsidRPr="00337391">
              <w:rPr>
                <w:sz w:val="18"/>
                <w:szCs w:val="18"/>
                <w:lang w:val="zh-CN"/>
              </w:rPr>
              <w:t>抢劫</w:t>
            </w:r>
          </w:p>
        </w:tc>
        <w:tc>
          <w:tcPr>
            <w:tcW w:w="761" w:type="dxa"/>
            <w:shd w:val="clear" w:color="auto" w:fill="auto"/>
            <w:vAlign w:val="bottom"/>
          </w:tcPr>
          <w:p w14:paraId="07B8C744" w14:textId="6B93CC38" w:rsidR="00676CA4" w:rsidRPr="00337391" w:rsidRDefault="00676CA4" w:rsidP="00634E33">
            <w:pPr>
              <w:spacing w:before="40" w:after="40" w:line="220" w:lineRule="exact"/>
              <w:ind w:right="113"/>
              <w:jc w:val="right"/>
              <w:rPr>
                <w:sz w:val="18"/>
                <w:szCs w:val="18"/>
              </w:rPr>
            </w:pPr>
            <w:r w:rsidRPr="00337391">
              <w:rPr>
                <w:sz w:val="18"/>
                <w:szCs w:val="18"/>
                <w:lang w:val="zh-CN"/>
              </w:rPr>
              <w:t>1</w:t>
            </w:r>
            <w:r w:rsidR="00C748E7">
              <w:rPr>
                <w:sz w:val="18"/>
                <w:szCs w:val="18"/>
                <w:lang w:val="zh-CN"/>
              </w:rPr>
              <w:t>,</w:t>
            </w:r>
            <w:r w:rsidRPr="00337391">
              <w:rPr>
                <w:sz w:val="18"/>
                <w:szCs w:val="18"/>
                <w:lang w:val="zh-CN"/>
              </w:rPr>
              <w:t>005</w:t>
            </w:r>
          </w:p>
        </w:tc>
        <w:tc>
          <w:tcPr>
            <w:tcW w:w="620" w:type="dxa"/>
            <w:shd w:val="clear" w:color="auto" w:fill="auto"/>
            <w:vAlign w:val="bottom"/>
          </w:tcPr>
          <w:p w14:paraId="56C1255D"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1.5</w:t>
            </w:r>
          </w:p>
        </w:tc>
        <w:tc>
          <w:tcPr>
            <w:tcW w:w="742" w:type="dxa"/>
            <w:shd w:val="clear" w:color="auto" w:fill="auto"/>
            <w:vAlign w:val="bottom"/>
          </w:tcPr>
          <w:p w14:paraId="4AC33A53" w14:textId="6785EB42" w:rsidR="00676CA4" w:rsidRPr="00337391" w:rsidRDefault="00676CA4" w:rsidP="00634E33">
            <w:pPr>
              <w:spacing w:before="40" w:after="40" w:line="220" w:lineRule="exact"/>
              <w:ind w:right="113"/>
              <w:jc w:val="right"/>
              <w:rPr>
                <w:sz w:val="18"/>
                <w:szCs w:val="18"/>
              </w:rPr>
            </w:pPr>
            <w:r w:rsidRPr="00337391">
              <w:rPr>
                <w:sz w:val="18"/>
                <w:szCs w:val="18"/>
                <w:lang w:val="zh-CN"/>
              </w:rPr>
              <w:t>2</w:t>
            </w:r>
            <w:r w:rsidR="00C748E7">
              <w:rPr>
                <w:sz w:val="18"/>
                <w:szCs w:val="18"/>
                <w:lang w:val="zh-CN"/>
              </w:rPr>
              <w:t>,</w:t>
            </w:r>
            <w:r w:rsidRPr="00337391">
              <w:rPr>
                <w:sz w:val="18"/>
                <w:szCs w:val="18"/>
                <w:lang w:val="zh-CN"/>
              </w:rPr>
              <w:t>983</w:t>
            </w:r>
          </w:p>
        </w:tc>
        <w:tc>
          <w:tcPr>
            <w:tcW w:w="484" w:type="dxa"/>
            <w:shd w:val="clear" w:color="auto" w:fill="auto"/>
            <w:vAlign w:val="bottom"/>
          </w:tcPr>
          <w:p w14:paraId="3EA15E51"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4.5</w:t>
            </w:r>
          </w:p>
        </w:tc>
      </w:tr>
      <w:tr w:rsidR="00676CA4" w:rsidRPr="00337391" w14:paraId="27B1C2FA" w14:textId="77777777" w:rsidTr="00634E33">
        <w:tc>
          <w:tcPr>
            <w:tcW w:w="3435" w:type="dxa"/>
            <w:vMerge/>
            <w:tcBorders>
              <w:top w:val="nil"/>
              <w:bottom w:val="single" w:sz="12" w:space="0" w:color="auto"/>
            </w:tcBorders>
            <w:shd w:val="clear" w:color="auto" w:fill="auto"/>
          </w:tcPr>
          <w:p w14:paraId="16791FEB" w14:textId="77777777" w:rsidR="00676CA4" w:rsidRPr="00337391" w:rsidRDefault="00676CA4" w:rsidP="00634E33">
            <w:pPr>
              <w:spacing w:before="40" w:after="40" w:line="220" w:lineRule="exact"/>
              <w:ind w:right="113"/>
              <w:rPr>
                <w:sz w:val="18"/>
                <w:szCs w:val="18"/>
              </w:rPr>
            </w:pPr>
          </w:p>
        </w:tc>
        <w:tc>
          <w:tcPr>
            <w:tcW w:w="1328" w:type="dxa"/>
            <w:shd w:val="clear" w:color="auto" w:fill="auto"/>
            <w:vAlign w:val="bottom"/>
          </w:tcPr>
          <w:p w14:paraId="3FCA2DD9" w14:textId="77777777" w:rsidR="00676CA4" w:rsidRPr="00337391" w:rsidRDefault="00676CA4" w:rsidP="00634E33">
            <w:pPr>
              <w:spacing w:before="40" w:after="40" w:line="220" w:lineRule="exact"/>
              <w:ind w:right="113"/>
              <w:rPr>
                <w:sz w:val="18"/>
                <w:szCs w:val="18"/>
              </w:rPr>
            </w:pPr>
            <w:r w:rsidRPr="00337391">
              <w:rPr>
                <w:sz w:val="18"/>
                <w:szCs w:val="18"/>
                <w:lang w:val="zh-CN"/>
              </w:rPr>
              <w:t>团伙抢劫</w:t>
            </w:r>
          </w:p>
        </w:tc>
        <w:tc>
          <w:tcPr>
            <w:tcW w:w="761" w:type="dxa"/>
            <w:shd w:val="clear" w:color="auto" w:fill="auto"/>
            <w:vAlign w:val="bottom"/>
          </w:tcPr>
          <w:p w14:paraId="4A4DAF81"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598</w:t>
            </w:r>
          </w:p>
        </w:tc>
        <w:tc>
          <w:tcPr>
            <w:tcW w:w="620" w:type="dxa"/>
            <w:shd w:val="clear" w:color="auto" w:fill="auto"/>
            <w:vAlign w:val="bottom"/>
          </w:tcPr>
          <w:p w14:paraId="2152C141"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0.9</w:t>
            </w:r>
          </w:p>
        </w:tc>
        <w:tc>
          <w:tcPr>
            <w:tcW w:w="742" w:type="dxa"/>
            <w:shd w:val="clear" w:color="auto" w:fill="auto"/>
            <w:vAlign w:val="bottom"/>
          </w:tcPr>
          <w:p w14:paraId="7ECCA8D6" w14:textId="4F1B6458" w:rsidR="00676CA4" w:rsidRPr="00337391" w:rsidRDefault="00676CA4" w:rsidP="00634E33">
            <w:pPr>
              <w:spacing w:before="40" w:after="40" w:line="220" w:lineRule="exact"/>
              <w:ind w:right="113"/>
              <w:jc w:val="right"/>
              <w:rPr>
                <w:sz w:val="18"/>
                <w:szCs w:val="18"/>
              </w:rPr>
            </w:pPr>
            <w:r w:rsidRPr="00337391">
              <w:rPr>
                <w:sz w:val="18"/>
                <w:szCs w:val="18"/>
                <w:lang w:val="zh-CN"/>
              </w:rPr>
              <w:t>2</w:t>
            </w:r>
            <w:r w:rsidR="00C748E7">
              <w:rPr>
                <w:sz w:val="18"/>
                <w:szCs w:val="18"/>
                <w:lang w:val="zh-CN"/>
              </w:rPr>
              <w:t>,</w:t>
            </w:r>
            <w:r w:rsidRPr="00337391">
              <w:rPr>
                <w:sz w:val="18"/>
                <w:szCs w:val="18"/>
                <w:lang w:val="zh-CN"/>
              </w:rPr>
              <w:t>571</w:t>
            </w:r>
          </w:p>
        </w:tc>
        <w:tc>
          <w:tcPr>
            <w:tcW w:w="484" w:type="dxa"/>
            <w:shd w:val="clear" w:color="auto" w:fill="auto"/>
            <w:vAlign w:val="bottom"/>
          </w:tcPr>
          <w:p w14:paraId="0C760BDD"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3.88</w:t>
            </w:r>
          </w:p>
        </w:tc>
      </w:tr>
      <w:tr w:rsidR="00676CA4" w:rsidRPr="00337391" w14:paraId="242E308E" w14:textId="77777777" w:rsidTr="00634E33">
        <w:tc>
          <w:tcPr>
            <w:tcW w:w="3435" w:type="dxa"/>
            <w:vMerge/>
            <w:tcBorders>
              <w:top w:val="nil"/>
              <w:bottom w:val="single" w:sz="12" w:space="0" w:color="auto"/>
            </w:tcBorders>
            <w:shd w:val="clear" w:color="auto" w:fill="auto"/>
          </w:tcPr>
          <w:p w14:paraId="6991B24E" w14:textId="77777777" w:rsidR="00676CA4" w:rsidRPr="00337391" w:rsidRDefault="00676CA4" w:rsidP="00634E33">
            <w:pPr>
              <w:spacing w:before="40" w:after="40" w:line="220" w:lineRule="exact"/>
              <w:ind w:right="113"/>
              <w:rPr>
                <w:sz w:val="18"/>
                <w:szCs w:val="18"/>
              </w:rPr>
            </w:pPr>
          </w:p>
        </w:tc>
        <w:tc>
          <w:tcPr>
            <w:tcW w:w="1328" w:type="dxa"/>
            <w:shd w:val="clear" w:color="auto" w:fill="auto"/>
            <w:vAlign w:val="bottom"/>
          </w:tcPr>
          <w:p w14:paraId="1572511A" w14:textId="77777777" w:rsidR="00676CA4" w:rsidRPr="00337391" w:rsidRDefault="00676CA4" w:rsidP="00634E33">
            <w:pPr>
              <w:spacing w:before="40" w:after="40" w:line="220" w:lineRule="exact"/>
              <w:ind w:right="113"/>
              <w:rPr>
                <w:sz w:val="18"/>
                <w:szCs w:val="18"/>
              </w:rPr>
            </w:pPr>
            <w:r w:rsidRPr="00337391">
              <w:rPr>
                <w:sz w:val="18"/>
                <w:szCs w:val="18"/>
                <w:lang w:val="zh-CN"/>
              </w:rPr>
              <w:t>贩运人口</w:t>
            </w:r>
          </w:p>
        </w:tc>
        <w:tc>
          <w:tcPr>
            <w:tcW w:w="761" w:type="dxa"/>
            <w:shd w:val="clear" w:color="auto" w:fill="auto"/>
            <w:vAlign w:val="bottom"/>
          </w:tcPr>
          <w:p w14:paraId="5D9E0219"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555</w:t>
            </w:r>
          </w:p>
        </w:tc>
        <w:tc>
          <w:tcPr>
            <w:tcW w:w="620" w:type="dxa"/>
            <w:shd w:val="clear" w:color="auto" w:fill="auto"/>
            <w:vAlign w:val="bottom"/>
          </w:tcPr>
          <w:p w14:paraId="11C36701"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0.83</w:t>
            </w:r>
          </w:p>
        </w:tc>
        <w:tc>
          <w:tcPr>
            <w:tcW w:w="742" w:type="dxa"/>
            <w:shd w:val="clear" w:color="auto" w:fill="auto"/>
            <w:vAlign w:val="bottom"/>
          </w:tcPr>
          <w:p w14:paraId="105356C0"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461</w:t>
            </w:r>
          </w:p>
        </w:tc>
        <w:tc>
          <w:tcPr>
            <w:tcW w:w="484" w:type="dxa"/>
            <w:shd w:val="clear" w:color="auto" w:fill="auto"/>
            <w:vAlign w:val="bottom"/>
          </w:tcPr>
          <w:p w14:paraId="6833BEDE" w14:textId="77777777" w:rsidR="00676CA4" w:rsidRPr="00337391" w:rsidRDefault="00676CA4" w:rsidP="00634E33">
            <w:pPr>
              <w:spacing w:before="40" w:after="40" w:line="220" w:lineRule="exact"/>
              <w:ind w:right="113"/>
              <w:jc w:val="right"/>
              <w:rPr>
                <w:sz w:val="18"/>
                <w:szCs w:val="18"/>
              </w:rPr>
            </w:pPr>
            <w:r w:rsidRPr="00337391">
              <w:rPr>
                <w:sz w:val="18"/>
                <w:szCs w:val="18"/>
                <w:lang w:val="zh-CN"/>
              </w:rPr>
              <w:t>0.69</w:t>
            </w:r>
          </w:p>
        </w:tc>
      </w:tr>
    </w:tbl>
    <w:p w14:paraId="4242029D" w14:textId="0DD4B5A9" w:rsidR="00676CA4" w:rsidRDefault="00676CA4" w:rsidP="00522F93">
      <w:pPr>
        <w:pStyle w:val="SingleTxtGC"/>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25"/>
        <w:gridCol w:w="3745"/>
      </w:tblGrid>
      <w:tr w:rsidR="00676CA4" w:rsidRPr="00D643E8" w14:paraId="1AE60D6E" w14:textId="77777777" w:rsidTr="00634E33">
        <w:trPr>
          <w:tblHeader/>
        </w:trPr>
        <w:tc>
          <w:tcPr>
            <w:tcW w:w="3625" w:type="dxa"/>
            <w:tcBorders>
              <w:top w:val="single" w:sz="4" w:space="0" w:color="auto"/>
              <w:bottom w:val="single" w:sz="12" w:space="0" w:color="auto"/>
            </w:tcBorders>
            <w:shd w:val="clear" w:color="auto" w:fill="auto"/>
            <w:vAlign w:val="bottom"/>
          </w:tcPr>
          <w:p w14:paraId="77C46B3D" w14:textId="77777777" w:rsidR="00676CA4" w:rsidRPr="00D643E8" w:rsidRDefault="00676CA4" w:rsidP="00634E33">
            <w:pPr>
              <w:spacing w:before="80" w:after="80" w:line="200" w:lineRule="exact"/>
              <w:ind w:right="113"/>
              <w:rPr>
                <w:rFonts w:ascii="Time New Roman" w:eastAsia="楷体" w:hAnsi="Time New Roman"/>
                <w:sz w:val="18"/>
                <w:szCs w:val="18"/>
                <w:cs/>
              </w:rPr>
            </w:pPr>
            <w:r w:rsidRPr="00D643E8">
              <w:rPr>
                <w:rFonts w:ascii="Time New Roman" w:eastAsia="楷体" w:hAnsi="Time New Roman"/>
                <w:sz w:val="18"/>
                <w:szCs w:val="18"/>
                <w:lang w:val="zh-CN"/>
              </w:rPr>
              <w:t>警察</w:t>
            </w:r>
            <w:r w:rsidRPr="00D643E8">
              <w:rPr>
                <w:rFonts w:ascii="Time New Roman" w:eastAsia="楷体" w:hAnsi="Time New Roman"/>
                <w:sz w:val="18"/>
                <w:szCs w:val="18"/>
                <w:lang w:val="zh-CN"/>
              </w:rPr>
              <w:t>/</w:t>
            </w:r>
            <w:r w:rsidRPr="00D643E8">
              <w:rPr>
                <w:rFonts w:ascii="Time New Roman" w:eastAsia="楷体" w:hAnsi="Time New Roman"/>
                <w:sz w:val="18"/>
                <w:szCs w:val="18"/>
                <w:lang w:val="zh-CN"/>
              </w:rPr>
              <w:t>保安和司法部门公共支出所占比重（百万泰铢）</w:t>
            </w:r>
          </w:p>
        </w:tc>
        <w:tc>
          <w:tcPr>
            <w:tcW w:w="3745" w:type="dxa"/>
            <w:tcBorders>
              <w:top w:val="single" w:sz="4" w:space="0" w:color="auto"/>
              <w:bottom w:val="single" w:sz="12" w:space="0" w:color="auto"/>
            </w:tcBorders>
            <w:shd w:val="clear" w:color="auto" w:fill="auto"/>
            <w:vAlign w:val="bottom"/>
          </w:tcPr>
          <w:p w14:paraId="4552F74D" w14:textId="45FE5553" w:rsidR="00676CA4" w:rsidRPr="00D643E8" w:rsidRDefault="00676CA4" w:rsidP="00634E33">
            <w:pPr>
              <w:spacing w:before="80" w:after="80" w:line="200" w:lineRule="exact"/>
              <w:ind w:right="113"/>
              <w:jc w:val="right"/>
              <w:rPr>
                <w:rFonts w:ascii="Time New Roman" w:eastAsia="楷体" w:hAnsi="Time New Roman"/>
                <w:sz w:val="18"/>
                <w:szCs w:val="18"/>
              </w:rPr>
            </w:pPr>
            <w:r w:rsidRPr="00D643E8">
              <w:rPr>
                <w:rFonts w:ascii="Time New Roman" w:eastAsia="楷体" w:hAnsi="Time New Roman"/>
                <w:sz w:val="18"/>
                <w:szCs w:val="18"/>
                <w:lang w:val="zh-CN"/>
              </w:rPr>
              <w:t>408</w:t>
            </w:r>
            <w:r w:rsidR="00C748E7" w:rsidRPr="00D643E8">
              <w:rPr>
                <w:rFonts w:ascii="Time New Roman" w:eastAsia="楷体" w:hAnsi="Time New Roman"/>
                <w:sz w:val="18"/>
                <w:szCs w:val="18"/>
                <w:lang w:val="zh-CN"/>
              </w:rPr>
              <w:t>,</w:t>
            </w:r>
            <w:r w:rsidRPr="00D643E8">
              <w:rPr>
                <w:rFonts w:ascii="Time New Roman" w:eastAsia="楷体" w:hAnsi="Time New Roman"/>
                <w:sz w:val="18"/>
                <w:szCs w:val="18"/>
                <w:lang w:val="zh-CN"/>
              </w:rPr>
              <w:t>569.7(</w:t>
            </w:r>
            <w:r w:rsidRPr="00D643E8">
              <w:rPr>
                <w:rFonts w:ascii="Time New Roman" w:eastAsia="楷体" w:hAnsi="Time New Roman"/>
                <w:sz w:val="18"/>
                <w:szCs w:val="18"/>
                <w:lang w:val="zh-CN"/>
              </w:rPr>
              <w:t>约占总预算的</w:t>
            </w:r>
            <w:r w:rsidRPr="00D643E8">
              <w:rPr>
                <w:rFonts w:ascii="Time New Roman" w:eastAsia="楷体" w:hAnsi="Time New Roman"/>
                <w:sz w:val="18"/>
                <w:szCs w:val="18"/>
                <w:lang w:val="zh-CN"/>
              </w:rPr>
              <w:t>14%)</w:t>
            </w:r>
          </w:p>
        </w:tc>
      </w:tr>
      <w:tr w:rsidR="00676CA4" w:rsidRPr="00337391" w14:paraId="4D05A69F" w14:textId="77777777" w:rsidTr="00634E33">
        <w:trPr>
          <w:trHeight w:hRule="exact" w:val="113"/>
          <w:tblHeader/>
        </w:trPr>
        <w:tc>
          <w:tcPr>
            <w:tcW w:w="3625" w:type="dxa"/>
            <w:tcBorders>
              <w:top w:val="single" w:sz="12" w:space="0" w:color="auto"/>
              <w:bottom w:val="nil"/>
            </w:tcBorders>
            <w:shd w:val="clear" w:color="auto" w:fill="auto"/>
          </w:tcPr>
          <w:p w14:paraId="069E013E" w14:textId="77777777" w:rsidR="00676CA4" w:rsidRPr="00337391" w:rsidRDefault="00676CA4" w:rsidP="00634E33">
            <w:pPr>
              <w:spacing w:before="40" w:after="40" w:line="220" w:lineRule="exact"/>
              <w:ind w:right="113"/>
              <w:rPr>
                <w:sz w:val="18"/>
              </w:rPr>
            </w:pPr>
          </w:p>
        </w:tc>
        <w:tc>
          <w:tcPr>
            <w:tcW w:w="3745" w:type="dxa"/>
            <w:tcBorders>
              <w:top w:val="single" w:sz="12" w:space="0" w:color="auto"/>
              <w:bottom w:val="nil"/>
            </w:tcBorders>
            <w:shd w:val="clear" w:color="auto" w:fill="auto"/>
          </w:tcPr>
          <w:p w14:paraId="76A2578D" w14:textId="77777777" w:rsidR="00676CA4" w:rsidRPr="00337391" w:rsidRDefault="00676CA4" w:rsidP="00634E33">
            <w:pPr>
              <w:spacing w:before="40" w:after="40" w:line="220" w:lineRule="exact"/>
              <w:ind w:right="113"/>
              <w:rPr>
                <w:sz w:val="18"/>
                <w:szCs w:val="18"/>
              </w:rPr>
            </w:pPr>
          </w:p>
        </w:tc>
      </w:tr>
      <w:tr w:rsidR="00676CA4" w:rsidRPr="00337391" w14:paraId="4423EE0D" w14:textId="77777777" w:rsidTr="00634E33">
        <w:tc>
          <w:tcPr>
            <w:tcW w:w="3625" w:type="dxa"/>
            <w:tcBorders>
              <w:top w:val="nil"/>
              <w:bottom w:val="nil"/>
            </w:tcBorders>
            <w:shd w:val="clear" w:color="auto" w:fill="auto"/>
          </w:tcPr>
          <w:p w14:paraId="6CD5F8E7" w14:textId="77777777" w:rsidR="00676CA4" w:rsidRPr="00337391" w:rsidRDefault="00676CA4" w:rsidP="00634E33">
            <w:pPr>
              <w:spacing w:before="40" w:after="40" w:line="220" w:lineRule="exact"/>
              <w:ind w:right="113"/>
              <w:rPr>
                <w:sz w:val="18"/>
                <w:szCs w:val="18"/>
              </w:rPr>
            </w:pPr>
            <w:r w:rsidRPr="00337391">
              <w:rPr>
                <w:sz w:val="18"/>
                <w:szCs w:val="18"/>
                <w:lang w:val="zh-CN"/>
              </w:rPr>
              <w:t>按罪行和法院裁决分列的已定罪囚犯</w:t>
            </w:r>
          </w:p>
          <w:p w14:paraId="67BA9945" w14:textId="77777777" w:rsidR="00676CA4" w:rsidRPr="00337391" w:rsidRDefault="00676CA4" w:rsidP="00634E33">
            <w:pPr>
              <w:spacing w:before="40" w:after="40" w:line="220" w:lineRule="exact"/>
              <w:ind w:right="113"/>
              <w:rPr>
                <w:sz w:val="18"/>
                <w:szCs w:val="18"/>
              </w:rPr>
            </w:pPr>
            <w:r w:rsidRPr="00337391">
              <w:rPr>
                <w:sz w:val="18"/>
                <w:szCs w:val="18"/>
                <w:lang w:val="zh-CN"/>
              </w:rPr>
              <w:t>(</w:t>
            </w:r>
            <w:r w:rsidRPr="00337391">
              <w:rPr>
                <w:sz w:val="18"/>
                <w:szCs w:val="18"/>
                <w:lang w:val="zh-CN"/>
              </w:rPr>
              <w:t>截至</w:t>
            </w:r>
            <w:r w:rsidRPr="00337391">
              <w:rPr>
                <w:sz w:val="18"/>
                <w:szCs w:val="18"/>
                <w:lang w:val="zh-CN"/>
              </w:rPr>
              <w:t>2019</w:t>
            </w:r>
            <w:r w:rsidRPr="00337391">
              <w:rPr>
                <w:sz w:val="18"/>
                <w:szCs w:val="18"/>
                <w:lang w:val="zh-CN"/>
              </w:rPr>
              <w:t>年</w:t>
            </w:r>
            <w:r w:rsidRPr="00337391">
              <w:rPr>
                <w:sz w:val="18"/>
                <w:szCs w:val="18"/>
                <w:lang w:val="zh-CN"/>
              </w:rPr>
              <w:t>4</w:t>
            </w:r>
            <w:r w:rsidRPr="00337391">
              <w:rPr>
                <w:sz w:val="18"/>
                <w:szCs w:val="18"/>
                <w:lang w:val="zh-CN"/>
              </w:rPr>
              <w:t>月</w:t>
            </w:r>
            <w:r w:rsidRPr="00337391">
              <w:rPr>
                <w:sz w:val="18"/>
                <w:szCs w:val="18"/>
                <w:lang w:val="zh-CN"/>
              </w:rPr>
              <w:t>3</w:t>
            </w:r>
            <w:r w:rsidRPr="00337391">
              <w:rPr>
                <w:sz w:val="18"/>
                <w:szCs w:val="18"/>
                <w:lang w:val="zh-CN"/>
              </w:rPr>
              <w:t>日</w:t>
            </w:r>
            <w:r w:rsidRPr="00337391">
              <w:rPr>
                <w:sz w:val="18"/>
                <w:szCs w:val="18"/>
                <w:lang w:val="zh-CN"/>
              </w:rPr>
              <w:t>)</w:t>
            </w:r>
          </w:p>
        </w:tc>
        <w:tc>
          <w:tcPr>
            <w:tcW w:w="3745" w:type="dxa"/>
            <w:tcBorders>
              <w:top w:val="nil"/>
              <w:bottom w:val="nil"/>
            </w:tcBorders>
            <w:shd w:val="clear" w:color="auto" w:fill="auto"/>
          </w:tcPr>
          <w:p w14:paraId="7C96E6DF" w14:textId="77777777" w:rsidR="00676CA4" w:rsidRPr="00337391" w:rsidRDefault="00676CA4" w:rsidP="00634E33">
            <w:pPr>
              <w:spacing w:before="40" w:after="40" w:line="220" w:lineRule="exact"/>
              <w:ind w:right="113"/>
              <w:rPr>
                <w:sz w:val="18"/>
                <w:szCs w:val="18"/>
                <w:cs/>
              </w:rPr>
            </w:pPr>
            <w:r w:rsidRPr="00337391">
              <w:rPr>
                <w:sz w:val="18"/>
                <w:szCs w:val="18"/>
                <w:lang w:val="zh-CN"/>
              </w:rPr>
              <w:t>请参阅附表。</w:t>
            </w:r>
          </w:p>
        </w:tc>
      </w:tr>
      <w:tr w:rsidR="00676CA4" w:rsidRPr="00337391" w14:paraId="7F10754A" w14:textId="77777777" w:rsidTr="00634E33">
        <w:tc>
          <w:tcPr>
            <w:tcW w:w="3625" w:type="dxa"/>
            <w:tcBorders>
              <w:top w:val="nil"/>
              <w:bottom w:val="nil"/>
            </w:tcBorders>
            <w:shd w:val="clear" w:color="auto" w:fill="auto"/>
          </w:tcPr>
          <w:p w14:paraId="31703813" w14:textId="77777777" w:rsidR="00676CA4" w:rsidRPr="00337391" w:rsidRDefault="00676CA4" w:rsidP="00634E33">
            <w:pPr>
              <w:spacing w:before="40" w:after="40" w:line="220" w:lineRule="exact"/>
              <w:ind w:right="113"/>
              <w:rPr>
                <w:sz w:val="18"/>
                <w:szCs w:val="18"/>
              </w:rPr>
            </w:pPr>
            <w:r w:rsidRPr="00337391">
              <w:rPr>
                <w:sz w:val="18"/>
                <w:szCs w:val="18"/>
                <w:lang w:val="zh-CN"/>
              </w:rPr>
              <w:t>申请免费法律援助的被告和被拘留者</w:t>
            </w:r>
          </w:p>
        </w:tc>
        <w:tc>
          <w:tcPr>
            <w:tcW w:w="3745" w:type="dxa"/>
            <w:tcBorders>
              <w:top w:val="nil"/>
              <w:bottom w:val="nil"/>
            </w:tcBorders>
            <w:shd w:val="clear" w:color="auto" w:fill="auto"/>
            <w:vAlign w:val="bottom"/>
          </w:tcPr>
          <w:p w14:paraId="3923F217" w14:textId="77777777" w:rsidR="00676CA4" w:rsidRPr="00337391" w:rsidRDefault="00676CA4" w:rsidP="00634E33">
            <w:pPr>
              <w:spacing w:before="40" w:after="40" w:line="220" w:lineRule="exact"/>
              <w:ind w:right="113"/>
              <w:rPr>
                <w:sz w:val="18"/>
                <w:szCs w:val="18"/>
                <w:cs/>
              </w:rPr>
            </w:pPr>
            <w:r w:rsidRPr="00337391">
              <w:rPr>
                <w:sz w:val="18"/>
                <w:szCs w:val="18"/>
              </w:rPr>
              <w:t>2015</w:t>
            </w:r>
            <w:r w:rsidRPr="00337391">
              <w:rPr>
                <w:sz w:val="18"/>
                <w:szCs w:val="18"/>
                <w:lang w:val="zh-CN"/>
              </w:rPr>
              <w:t>年</w:t>
            </w:r>
            <w:r w:rsidRPr="00337391">
              <w:rPr>
                <w:sz w:val="18"/>
                <w:szCs w:val="18"/>
              </w:rPr>
              <w:t>744</w:t>
            </w:r>
            <w:r w:rsidRPr="00337391">
              <w:rPr>
                <w:sz w:val="18"/>
                <w:szCs w:val="18"/>
                <w:lang w:val="zh-CN"/>
              </w:rPr>
              <w:t>起案件</w:t>
            </w:r>
          </w:p>
          <w:p w14:paraId="330B373F" w14:textId="77777777" w:rsidR="00676CA4" w:rsidRPr="00337391" w:rsidRDefault="00676CA4" w:rsidP="00634E33">
            <w:pPr>
              <w:spacing w:before="40" w:after="40" w:line="220" w:lineRule="exact"/>
              <w:ind w:right="113"/>
              <w:rPr>
                <w:sz w:val="18"/>
                <w:szCs w:val="18"/>
                <w:cs/>
              </w:rPr>
            </w:pPr>
            <w:r w:rsidRPr="00337391">
              <w:rPr>
                <w:sz w:val="18"/>
                <w:szCs w:val="18"/>
              </w:rPr>
              <w:t>2016</w:t>
            </w:r>
            <w:r w:rsidRPr="00337391">
              <w:rPr>
                <w:sz w:val="18"/>
                <w:szCs w:val="18"/>
                <w:lang w:val="zh-CN"/>
              </w:rPr>
              <w:t>年</w:t>
            </w:r>
            <w:r w:rsidRPr="00337391">
              <w:rPr>
                <w:sz w:val="18"/>
                <w:szCs w:val="18"/>
              </w:rPr>
              <w:t>757</w:t>
            </w:r>
            <w:r w:rsidRPr="00337391">
              <w:rPr>
                <w:sz w:val="18"/>
                <w:szCs w:val="18"/>
                <w:lang w:val="zh-CN"/>
              </w:rPr>
              <w:t>起案件</w:t>
            </w:r>
          </w:p>
          <w:p w14:paraId="50532C06" w14:textId="77777777" w:rsidR="00676CA4" w:rsidRPr="00337391" w:rsidRDefault="00676CA4" w:rsidP="00634E33">
            <w:pPr>
              <w:spacing w:before="40" w:after="40" w:line="220" w:lineRule="exact"/>
              <w:ind w:right="113"/>
              <w:rPr>
                <w:sz w:val="18"/>
                <w:szCs w:val="18"/>
                <w:cs/>
              </w:rPr>
            </w:pPr>
            <w:r w:rsidRPr="00337391">
              <w:rPr>
                <w:sz w:val="18"/>
                <w:szCs w:val="18"/>
              </w:rPr>
              <w:t>2017</w:t>
            </w:r>
            <w:r w:rsidRPr="00337391">
              <w:rPr>
                <w:sz w:val="18"/>
                <w:szCs w:val="18"/>
                <w:lang w:val="zh-CN"/>
              </w:rPr>
              <w:t>年</w:t>
            </w:r>
            <w:r w:rsidRPr="00337391">
              <w:rPr>
                <w:sz w:val="18"/>
                <w:szCs w:val="18"/>
              </w:rPr>
              <w:t>624</w:t>
            </w:r>
            <w:r w:rsidRPr="00337391">
              <w:rPr>
                <w:sz w:val="18"/>
                <w:szCs w:val="18"/>
                <w:lang w:val="zh-CN"/>
              </w:rPr>
              <w:t>起案件</w:t>
            </w:r>
          </w:p>
          <w:p w14:paraId="21CCCE9A" w14:textId="77777777" w:rsidR="00676CA4" w:rsidRPr="00337391" w:rsidRDefault="00676CA4" w:rsidP="00634E33">
            <w:pPr>
              <w:spacing w:before="40" w:after="40" w:line="220" w:lineRule="exact"/>
              <w:ind w:right="113"/>
              <w:rPr>
                <w:sz w:val="18"/>
                <w:szCs w:val="18"/>
                <w:cs/>
              </w:rPr>
            </w:pPr>
            <w:r w:rsidRPr="00337391">
              <w:rPr>
                <w:sz w:val="18"/>
                <w:szCs w:val="18"/>
                <w:lang w:val="zh-CN"/>
              </w:rPr>
              <w:t>2018</w:t>
            </w:r>
            <w:r w:rsidRPr="00337391">
              <w:rPr>
                <w:sz w:val="18"/>
                <w:szCs w:val="18"/>
                <w:lang w:val="zh-CN"/>
              </w:rPr>
              <w:t>年</w:t>
            </w:r>
            <w:r w:rsidRPr="00337391">
              <w:rPr>
                <w:sz w:val="18"/>
                <w:szCs w:val="18"/>
                <w:lang w:val="zh-CN"/>
              </w:rPr>
              <w:t>595</w:t>
            </w:r>
            <w:r w:rsidRPr="00337391">
              <w:rPr>
                <w:sz w:val="18"/>
                <w:szCs w:val="18"/>
                <w:lang w:val="zh-CN"/>
              </w:rPr>
              <w:t>起案件</w:t>
            </w:r>
          </w:p>
          <w:p w14:paraId="491EBD6A" w14:textId="77777777" w:rsidR="00676CA4" w:rsidRPr="00337391" w:rsidRDefault="00676CA4" w:rsidP="00634E33">
            <w:pPr>
              <w:spacing w:before="40" w:after="40" w:line="220" w:lineRule="exact"/>
              <w:ind w:right="113"/>
              <w:rPr>
                <w:sz w:val="18"/>
                <w:szCs w:val="18"/>
                <w:cs/>
              </w:rPr>
            </w:pPr>
            <w:r w:rsidRPr="00337391">
              <w:rPr>
                <w:sz w:val="18"/>
                <w:szCs w:val="18"/>
                <w:lang w:val="zh-CN"/>
              </w:rPr>
              <w:t>2019</w:t>
            </w:r>
            <w:r w:rsidRPr="00337391">
              <w:rPr>
                <w:sz w:val="18"/>
                <w:szCs w:val="18"/>
                <w:lang w:val="zh-CN"/>
              </w:rPr>
              <w:t>年</w:t>
            </w:r>
            <w:r w:rsidRPr="00337391">
              <w:rPr>
                <w:sz w:val="18"/>
                <w:szCs w:val="18"/>
                <w:lang w:val="zh-CN"/>
              </w:rPr>
              <w:t>576</w:t>
            </w:r>
            <w:r w:rsidRPr="00337391">
              <w:rPr>
                <w:sz w:val="18"/>
                <w:szCs w:val="18"/>
                <w:lang w:val="zh-CN"/>
              </w:rPr>
              <w:t>起案件</w:t>
            </w:r>
          </w:p>
          <w:p w14:paraId="3B5572AF" w14:textId="77777777" w:rsidR="00676CA4" w:rsidRPr="00337391" w:rsidRDefault="00676CA4" w:rsidP="00634E33">
            <w:pPr>
              <w:spacing w:before="40" w:after="40" w:line="220" w:lineRule="exact"/>
              <w:ind w:right="113"/>
              <w:rPr>
                <w:sz w:val="18"/>
                <w:szCs w:val="18"/>
                <w:cs/>
              </w:rPr>
            </w:pPr>
            <w:r w:rsidRPr="00337391">
              <w:rPr>
                <w:sz w:val="18"/>
                <w:szCs w:val="18"/>
                <w:lang w:val="zh-CN"/>
              </w:rPr>
              <w:t>2020</w:t>
            </w:r>
            <w:r w:rsidRPr="00337391">
              <w:rPr>
                <w:sz w:val="18"/>
                <w:szCs w:val="18"/>
                <w:lang w:val="zh-CN"/>
              </w:rPr>
              <w:t>年</w:t>
            </w:r>
            <w:r w:rsidRPr="00337391">
              <w:rPr>
                <w:sz w:val="18"/>
                <w:szCs w:val="18"/>
                <w:lang w:val="zh-CN"/>
              </w:rPr>
              <w:t>275</w:t>
            </w:r>
            <w:r w:rsidRPr="00337391">
              <w:rPr>
                <w:sz w:val="18"/>
                <w:szCs w:val="18"/>
                <w:lang w:val="zh-CN"/>
              </w:rPr>
              <w:t>起案件</w:t>
            </w:r>
          </w:p>
          <w:p w14:paraId="581D81FC" w14:textId="56A1DB5A" w:rsidR="00676CA4" w:rsidRPr="00D643E8" w:rsidRDefault="00676CA4" w:rsidP="00634E33">
            <w:pPr>
              <w:spacing w:before="40" w:after="40" w:line="220" w:lineRule="exact"/>
              <w:ind w:right="113"/>
              <w:rPr>
                <w:rFonts w:ascii="Time New Roman" w:eastAsia="黑体" w:hAnsi="Time New Roman"/>
                <w:sz w:val="18"/>
                <w:szCs w:val="18"/>
                <w:cs/>
              </w:rPr>
            </w:pPr>
            <w:r w:rsidRPr="00D643E8">
              <w:rPr>
                <w:rFonts w:ascii="Time New Roman" w:eastAsia="黑体" w:hAnsi="Time New Roman"/>
                <w:sz w:val="18"/>
                <w:szCs w:val="18"/>
                <w:lang w:val="zh-CN"/>
              </w:rPr>
              <w:t>共计</w:t>
            </w:r>
            <w:r w:rsidRPr="00D643E8">
              <w:rPr>
                <w:rFonts w:ascii="Time New Roman" w:eastAsia="黑体" w:hAnsi="Time New Roman"/>
                <w:sz w:val="18"/>
                <w:szCs w:val="18"/>
                <w:lang w:val="zh-CN"/>
              </w:rPr>
              <w:t>3</w:t>
            </w:r>
            <w:r w:rsidR="00C748E7" w:rsidRPr="00D643E8">
              <w:rPr>
                <w:rFonts w:ascii="Time New Roman" w:eastAsia="黑体" w:hAnsi="Time New Roman"/>
                <w:sz w:val="18"/>
                <w:szCs w:val="18"/>
                <w:lang w:val="zh-CN"/>
              </w:rPr>
              <w:t>,</w:t>
            </w:r>
            <w:r w:rsidRPr="00D643E8">
              <w:rPr>
                <w:rFonts w:ascii="Time New Roman" w:eastAsia="黑体" w:hAnsi="Time New Roman"/>
                <w:sz w:val="18"/>
                <w:szCs w:val="18"/>
                <w:lang w:val="zh-CN"/>
              </w:rPr>
              <w:t>571</w:t>
            </w:r>
            <w:r w:rsidRPr="00D643E8">
              <w:rPr>
                <w:rFonts w:ascii="Time New Roman" w:eastAsia="黑体" w:hAnsi="Time New Roman"/>
                <w:sz w:val="18"/>
                <w:szCs w:val="18"/>
                <w:lang w:val="zh-CN"/>
              </w:rPr>
              <w:t>起案件</w:t>
            </w:r>
          </w:p>
        </w:tc>
      </w:tr>
      <w:tr w:rsidR="00676CA4" w:rsidRPr="00337391" w14:paraId="5476697C" w14:textId="77777777" w:rsidTr="00634E33">
        <w:tc>
          <w:tcPr>
            <w:tcW w:w="3625" w:type="dxa"/>
            <w:tcBorders>
              <w:top w:val="nil"/>
            </w:tcBorders>
            <w:shd w:val="clear" w:color="auto" w:fill="auto"/>
          </w:tcPr>
          <w:p w14:paraId="3570826F" w14:textId="77777777" w:rsidR="00676CA4" w:rsidRPr="00337391" w:rsidRDefault="00676CA4" w:rsidP="00634E33">
            <w:pPr>
              <w:spacing w:before="40" w:after="40" w:line="220" w:lineRule="exact"/>
              <w:ind w:right="113"/>
              <w:rPr>
                <w:sz w:val="18"/>
                <w:szCs w:val="18"/>
              </w:rPr>
            </w:pPr>
            <w:r w:rsidRPr="00337391">
              <w:rPr>
                <w:sz w:val="18"/>
                <w:szCs w:val="18"/>
                <w:lang w:val="zh-CN"/>
              </w:rPr>
              <w:t>根据《刑事案件被告人赔偿和费用法》</w:t>
            </w:r>
            <w:r w:rsidRPr="00337391">
              <w:rPr>
                <w:sz w:val="18"/>
                <w:szCs w:val="18"/>
                <w:lang w:val="zh-CN"/>
              </w:rPr>
              <w:t>B.E. 2544 (2001)</w:t>
            </w:r>
            <w:r w:rsidRPr="00337391">
              <w:rPr>
                <w:sz w:val="18"/>
                <w:szCs w:val="18"/>
                <w:lang w:val="zh-CN"/>
              </w:rPr>
              <w:t>和</w:t>
            </w:r>
            <w:r w:rsidRPr="00337391">
              <w:rPr>
                <w:sz w:val="18"/>
                <w:szCs w:val="18"/>
                <w:lang w:val="zh-CN"/>
              </w:rPr>
              <w:t>2016</w:t>
            </w:r>
            <w:r w:rsidRPr="00337391">
              <w:rPr>
                <w:sz w:val="18"/>
                <w:szCs w:val="18"/>
                <w:lang w:val="zh-CN"/>
              </w:rPr>
              <w:t>年修订版获得赔偿的受害者和被告</w:t>
            </w:r>
          </w:p>
        </w:tc>
        <w:tc>
          <w:tcPr>
            <w:tcW w:w="3745" w:type="dxa"/>
            <w:tcBorders>
              <w:top w:val="nil"/>
            </w:tcBorders>
            <w:shd w:val="clear" w:color="auto" w:fill="auto"/>
            <w:vAlign w:val="bottom"/>
          </w:tcPr>
          <w:p w14:paraId="38489B31" w14:textId="2E43512D" w:rsidR="00676CA4" w:rsidRPr="00337391" w:rsidRDefault="00676CA4" w:rsidP="00634E33">
            <w:pPr>
              <w:spacing w:before="40" w:after="40" w:line="220" w:lineRule="exact"/>
              <w:ind w:right="113"/>
              <w:rPr>
                <w:sz w:val="18"/>
                <w:szCs w:val="18"/>
                <w:cs/>
              </w:rPr>
            </w:pPr>
            <w:r w:rsidRPr="00337391">
              <w:rPr>
                <w:sz w:val="18"/>
                <w:szCs w:val="18"/>
                <w:lang w:val="zh-CN"/>
              </w:rPr>
              <w:t>向</w:t>
            </w:r>
            <w:r w:rsidRPr="00337391">
              <w:rPr>
                <w:sz w:val="18"/>
                <w:szCs w:val="18"/>
                <w:lang w:val="zh-CN"/>
              </w:rPr>
              <w:t>57</w:t>
            </w:r>
            <w:r w:rsidR="00C748E7">
              <w:rPr>
                <w:sz w:val="18"/>
                <w:szCs w:val="18"/>
                <w:lang w:val="zh-CN"/>
              </w:rPr>
              <w:t>,</w:t>
            </w:r>
            <w:r w:rsidRPr="00337391">
              <w:rPr>
                <w:sz w:val="18"/>
                <w:szCs w:val="18"/>
                <w:lang w:val="zh-CN"/>
              </w:rPr>
              <w:t>948</w:t>
            </w:r>
            <w:r w:rsidRPr="00337391">
              <w:rPr>
                <w:sz w:val="18"/>
                <w:szCs w:val="18"/>
                <w:lang w:val="zh-CN"/>
              </w:rPr>
              <w:t>名受害者支付了</w:t>
            </w:r>
            <w:r w:rsidRPr="00337391">
              <w:rPr>
                <w:sz w:val="18"/>
                <w:szCs w:val="18"/>
                <w:lang w:val="zh-CN"/>
              </w:rPr>
              <w:t>2</w:t>
            </w:r>
            <w:r w:rsidR="00C748E7">
              <w:rPr>
                <w:sz w:val="18"/>
                <w:szCs w:val="18"/>
                <w:lang w:val="zh-CN"/>
              </w:rPr>
              <w:t>,</w:t>
            </w:r>
            <w:r w:rsidRPr="00337391">
              <w:rPr>
                <w:sz w:val="18"/>
                <w:szCs w:val="18"/>
                <w:lang w:val="zh-CN"/>
              </w:rPr>
              <w:t>827</w:t>
            </w:r>
            <w:r w:rsidR="00C748E7">
              <w:rPr>
                <w:sz w:val="18"/>
                <w:szCs w:val="18"/>
                <w:lang w:val="zh-CN"/>
              </w:rPr>
              <w:t>,</w:t>
            </w:r>
            <w:r w:rsidRPr="00337391">
              <w:rPr>
                <w:sz w:val="18"/>
                <w:szCs w:val="18"/>
                <w:lang w:val="zh-CN"/>
              </w:rPr>
              <w:t>160</w:t>
            </w:r>
            <w:r w:rsidR="00C748E7">
              <w:rPr>
                <w:sz w:val="18"/>
                <w:szCs w:val="18"/>
                <w:lang w:val="zh-CN"/>
              </w:rPr>
              <w:t>,</w:t>
            </w:r>
            <w:r w:rsidRPr="00337391">
              <w:rPr>
                <w:sz w:val="18"/>
                <w:szCs w:val="18"/>
                <w:lang w:val="zh-CN"/>
              </w:rPr>
              <w:t>938.28</w:t>
            </w:r>
            <w:r w:rsidRPr="00337391">
              <w:rPr>
                <w:sz w:val="18"/>
                <w:szCs w:val="18"/>
                <w:lang w:val="zh-CN"/>
              </w:rPr>
              <w:t>泰铢，向</w:t>
            </w:r>
            <w:r w:rsidRPr="00337391">
              <w:rPr>
                <w:sz w:val="18"/>
                <w:szCs w:val="18"/>
                <w:lang w:val="zh-CN"/>
              </w:rPr>
              <w:t>438</w:t>
            </w:r>
            <w:r w:rsidRPr="00337391">
              <w:rPr>
                <w:sz w:val="18"/>
                <w:szCs w:val="18"/>
                <w:lang w:val="zh-CN"/>
              </w:rPr>
              <w:t>名被告支付了</w:t>
            </w:r>
            <w:r w:rsidRPr="00337391">
              <w:rPr>
                <w:sz w:val="18"/>
                <w:szCs w:val="18"/>
                <w:lang w:val="zh-CN"/>
              </w:rPr>
              <w:t>77</w:t>
            </w:r>
            <w:r w:rsidR="00C748E7">
              <w:rPr>
                <w:sz w:val="18"/>
                <w:szCs w:val="18"/>
                <w:lang w:val="zh-CN"/>
              </w:rPr>
              <w:t>,</w:t>
            </w:r>
            <w:r w:rsidRPr="00337391">
              <w:rPr>
                <w:sz w:val="18"/>
                <w:szCs w:val="18"/>
                <w:lang w:val="zh-CN"/>
              </w:rPr>
              <w:t>473</w:t>
            </w:r>
            <w:r w:rsidR="00C748E7">
              <w:rPr>
                <w:sz w:val="18"/>
                <w:szCs w:val="18"/>
                <w:lang w:val="zh-CN"/>
              </w:rPr>
              <w:t>,</w:t>
            </w:r>
            <w:r w:rsidRPr="00337391">
              <w:rPr>
                <w:sz w:val="18"/>
                <w:szCs w:val="18"/>
                <w:lang w:val="zh-CN"/>
              </w:rPr>
              <w:t>528.00</w:t>
            </w:r>
            <w:r w:rsidRPr="00337391">
              <w:rPr>
                <w:sz w:val="18"/>
                <w:szCs w:val="18"/>
                <w:lang w:val="zh-CN"/>
              </w:rPr>
              <w:t>泰铢</w:t>
            </w:r>
            <w:r w:rsidRPr="00337391">
              <w:rPr>
                <w:sz w:val="18"/>
                <w:szCs w:val="18"/>
                <w:lang w:val="zh-CN"/>
              </w:rPr>
              <w:t>(2015</w:t>
            </w:r>
            <w:r w:rsidRPr="00337391">
              <w:rPr>
                <w:sz w:val="18"/>
                <w:szCs w:val="18"/>
                <w:lang w:val="zh-CN"/>
              </w:rPr>
              <w:t>年</w:t>
            </w:r>
            <w:r w:rsidRPr="00337391">
              <w:rPr>
                <w:sz w:val="18"/>
                <w:szCs w:val="18"/>
                <w:lang w:val="zh-CN"/>
              </w:rPr>
              <w:t>10</w:t>
            </w:r>
            <w:r w:rsidRPr="00337391">
              <w:rPr>
                <w:sz w:val="18"/>
                <w:szCs w:val="18"/>
                <w:lang w:val="zh-CN"/>
              </w:rPr>
              <w:t>月</w:t>
            </w:r>
            <w:r w:rsidRPr="00337391">
              <w:rPr>
                <w:sz w:val="18"/>
                <w:szCs w:val="18"/>
                <w:lang w:val="zh-CN"/>
              </w:rPr>
              <w:t>1</w:t>
            </w:r>
            <w:r w:rsidRPr="00337391">
              <w:rPr>
                <w:sz w:val="18"/>
                <w:szCs w:val="18"/>
                <w:lang w:val="zh-CN"/>
              </w:rPr>
              <w:t>日至</w:t>
            </w:r>
            <w:r w:rsidRPr="00337391">
              <w:rPr>
                <w:sz w:val="18"/>
                <w:szCs w:val="18"/>
                <w:lang w:val="zh-CN"/>
              </w:rPr>
              <w:t>2020</w:t>
            </w:r>
            <w:r w:rsidRPr="00337391">
              <w:rPr>
                <w:sz w:val="18"/>
                <w:szCs w:val="18"/>
                <w:lang w:val="zh-CN"/>
              </w:rPr>
              <w:t>年</w:t>
            </w:r>
            <w:r w:rsidRPr="00337391">
              <w:rPr>
                <w:sz w:val="18"/>
                <w:szCs w:val="18"/>
                <w:lang w:val="zh-CN"/>
              </w:rPr>
              <w:t>6</w:t>
            </w:r>
            <w:r w:rsidRPr="00337391">
              <w:rPr>
                <w:sz w:val="18"/>
                <w:szCs w:val="18"/>
                <w:lang w:val="zh-CN"/>
              </w:rPr>
              <w:t>月</w:t>
            </w:r>
            <w:r w:rsidRPr="00337391">
              <w:rPr>
                <w:sz w:val="18"/>
                <w:szCs w:val="18"/>
                <w:lang w:val="zh-CN"/>
              </w:rPr>
              <w:t>30</w:t>
            </w:r>
            <w:r w:rsidRPr="00337391">
              <w:rPr>
                <w:sz w:val="18"/>
                <w:szCs w:val="18"/>
                <w:lang w:val="zh-CN"/>
              </w:rPr>
              <w:t>日</w:t>
            </w:r>
            <w:r w:rsidRPr="00337391">
              <w:rPr>
                <w:sz w:val="18"/>
                <w:szCs w:val="18"/>
                <w:lang w:val="zh-CN"/>
              </w:rPr>
              <w:t>)</w:t>
            </w:r>
          </w:p>
        </w:tc>
      </w:tr>
    </w:tbl>
    <w:p w14:paraId="3449C3E6" w14:textId="77777777" w:rsidR="00676CA4" w:rsidRPr="00676CA4" w:rsidRDefault="00676CA4" w:rsidP="00522F93">
      <w:pPr>
        <w:pStyle w:val="SingleTxtGC"/>
      </w:pPr>
    </w:p>
    <w:p w14:paraId="67501ED7" w14:textId="2D20113C" w:rsidR="00522F93" w:rsidRDefault="00522F93" w:rsidP="00522F93">
      <w:pPr>
        <w:pStyle w:val="SingleTxtGC"/>
      </w:pPr>
      <w:r>
        <w:rPr>
          <w:rFonts w:hint="eastAsia"/>
        </w:rPr>
        <w:t>61.</w:t>
      </w:r>
      <w:r>
        <w:rPr>
          <w:rFonts w:hint="eastAsia"/>
        </w:rPr>
        <w:tab/>
        <w:t>2018</w:t>
      </w:r>
      <w:r>
        <w:rPr>
          <w:rFonts w:hint="eastAsia"/>
        </w:rPr>
        <w:t>年，泰国九年来首次执行了死刑。应当指出，涉及死刑的案件在经过正当程序时会得到认真考虑。尽管如此，每个案件都是独特的，情况各有不同。进一步的信息，可参见第</w:t>
      </w:r>
      <w:r>
        <w:rPr>
          <w:rFonts w:hint="eastAsia"/>
        </w:rPr>
        <w:t>100-101</w:t>
      </w:r>
      <w:r>
        <w:rPr>
          <w:rFonts w:hint="eastAsia"/>
        </w:rPr>
        <w:t>段。</w:t>
      </w:r>
    </w:p>
    <w:p w14:paraId="07BC0A3B" w14:textId="77777777" w:rsidR="00522F93" w:rsidRDefault="00522F93" w:rsidP="00676CA4">
      <w:pPr>
        <w:pStyle w:val="H23GC"/>
      </w:pPr>
      <w:r>
        <w:rPr>
          <w:rFonts w:hint="eastAsia"/>
        </w:rPr>
        <w:tab/>
      </w:r>
      <w:r>
        <w:rPr>
          <w:rFonts w:hint="eastAsia"/>
        </w:rPr>
        <w:tab/>
      </w:r>
      <w:r>
        <w:rPr>
          <w:rFonts w:hint="eastAsia"/>
        </w:rPr>
        <w:t>诉诸司法</w:t>
      </w:r>
    </w:p>
    <w:p w14:paraId="53E13108" w14:textId="79DB8414" w:rsidR="00522F93" w:rsidRDefault="00522F93" w:rsidP="00522F93">
      <w:pPr>
        <w:pStyle w:val="SingleTxtGC"/>
      </w:pPr>
      <w:r>
        <w:rPr>
          <w:rFonts w:hint="eastAsia"/>
        </w:rPr>
        <w:t>62.</w:t>
      </w:r>
      <w:r>
        <w:rPr>
          <w:rFonts w:hint="eastAsia"/>
        </w:rPr>
        <w:tab/>
      </w:r>
      <w:r>
        <w:rPr>
          <w:rFonts w:hint="eastAsia"/>
        </w:rPr>
        <w:t>受到侵犯人权行为不利影响的人和社区有各种各样的投诉或寻求补救的选择，包括通过热线、协调中心</w:t>
      </w:r>
      <w:r>
        <w:rPr>
          <w:rFonts w:hint="eastAsia"/>
        </w:rPr>
        <w:t>(</w:t>
      </w:r>
      <w:r>
        <w:rPr>
          <w:rFonts w:hint="eastAsia"/>
        </w:rPr>
        <w:t>包括达蒙达尔马中心和不同机构中心</w:t>
      </w:r>
      <w:r>
        <w:rPr>
          <w:rFonts w:hint="eastAsia"/>
        </w:rPr>
        <w:t>)</w:t>
      </w:r>
      <w:r>
        <w:rPr>
          <w:rFonts w:hint="eastAsia"/>
        </w:rPr>
        <w:t>、国家人权委员会，以及通过法院。</w:t>
      </w:r>
    </w:p>
    <w:p w14:paraId="0122D135" w14:textId="0A2F6D6A" w:rsidR="00522F93" w:rsidRDefault="00522F93" w:rsidP="00522F93">
      <w:pPr>
        <w:pStyle w:val="SingleTxtGC"/>
      </w:pPr>
      <w:r>
        <w:rPr>
          <w:rFonts w:hint="eastAsia"/>
        </w:rPr>
        <w:lastRenderedPageBreak/>
        <w:t>63.</w:t>
      </w:r>
      <w:r>
        <w:rPr>
          <w:rFonts w:hint="eastAsia"/>
        </w:rPr>
        <w:tab/>
      </w:r>
      <w:r>
        <w:rPr>
          <w:rFonts w:hint="eastAsia"/>
        </w:rPr>
        <w:t>泰国非常重视确保所有人都能诉诸司法，特别是那些经历极度法律困难的脆弱和弱势群体。这体现在将法律援助扩大到所有渠道，包括在线和视频电话以及在线申请，以及为法庭诉讼创建标准手语的举措和手语翻译的注册和培训等等。</w:t>
      </w:r>
    </w:p>
    <w:p w14:paraId="2FC094CE" w14:textId="0A1D3791" w:rsidR="00522F93" w:rsidRDefault="00522F93" w:rsidP="00522F93">
      <w:pPr>
        <w:pStyle w:val="SingleTxtGC"/>
      </w:pPr>
      <w:r>
        <w:rPr>
          <w:rFonts w:hint="eastAsia"/>
        </w:rPr>
        <w:t>64.</w:t>
      </w:r>
      <w:r>
        <w:rPr>
          <w:rFonts w:hint="eastAsia"/>
        </w:rPr>
        <w:tab/>
        <w:t>2015</w:t>
      </w:r>
      <w:r>
        <w:rPr>
          <w:rFonts w:hint="eastAsia"/>
        </w:rPr>
        <w:t>年《司法基金法》提供财政援助，以增加获得法律援助、律师和司法诉讼的机会。这包括证据和证据收集、法庭费用和保释、对侵犯人权行为受害者的赔偿，以及向公众传播基本法律知识。</w:t>
      </w:r>
    </w:p>
    <w:p w14:paraId="0A195F4F" w14:textId="73DDFB0C" w:rsidR="00522F93" w:rsidRDefault="00522F93" w:rsidP="00522F93">
      <w:pPr>
        <w:pStyle w:val="SingleTxtGC"/>
      </w:pPr>
      <w:r>
        <w:rPr>
          <w:rFonts w:hint="eastAsia"/>
        </w:rPr>
        <w:t>65.</w:t>
      </w:r>
      <w:r>
        <w:rPr>
          <w:rFonts w:hint="eastAsia"/>
        </w:rPr>
        <w:tab/>
      </w:r>
      <w:r>
        <w:rPr>
          <w:rFonts w:hint="eastAsia"/>
        </w:rPr>
        <w:t>司法部启动了一项名为</w:t>
      </w:r>
      <w:r w:rsidR="00224340">
        <w:rPr>
          <w:rFonts w:hint="eastAsia"/>
        </w:rPr>
        <w:t>“</w:t>
      </w:r>
      <w:r>
        <w:rPr>
          <w:rFonts w:hint="eastAsia"/>
        </w:rPr>
        <w:t>司法关怀</w:t>
      </w:r>
      <w:r w:rsidR="00224340">
        <w:rPr>
          <w:rFonts w:hint="eastAsia"/>
        </w:rPr>
        <w:t>”</w:t>
      </w:r>
      <w:r>
        <w:rPr>
          <w:rFonts w:hint="eastAsia"/>
        </w:rPr>
        <w:t>的外联方案，将现有的几种复杂的援助受伤害的人和犯罪受害者的手段整合到一个单一的平台上。该方案及时有效地处理投诉。这项服务不分种族或国籍，向所有人开放。人们可以通过这一渠道，根据相关立法，如</w:t>
      </w:r>
      <w:r>
        <w:rPr>
          <w:rFonts w:hint="eastAsia"/>
        </w:rPr>
        <w:t>2015</w:t>
      </w:r>
      <w:r>
        <w:rPr>
          <w:rFonts w:hint="eastAsia"/>
        </w:rPr>
        <w:t>年《司法基金法》、</w:t>
      </w:r>
      <w:r>
        <w:rPr>
          <w:rFonts w:hint="eastAsia"/>
        </w:rPr>
        <w:t>2001</w:t>
      </w:r>
      <w:r>
        <w:rPr>
          <w:rFonts w:hint="eastAsia"/>
        </w:rPr>
        <w:t>年《刑事案件中对受损害人的损害赔偿和对被告的赔偿和费用法》和《刑事诉讼法》</w:t>
      </w:r>
      <w:r>
        <w:rPr>
          <w:rFonts w:hint="eastAsia"/>
        </w:rPr>
        <w:t>(</w:t>
      </w:r>
      <w:r>
        <w:rPr>
          <w:rFonts w:hint="eastAsia"/>
        </w:rPr>
        <w:t>第</w:t>
      </w:r>
      <w:r>
        <w:rPr>
          <w:rFonts w:hint="eastAsia"/>
        </w:rPr>
        <w:t>44/1</w:t>
      </w:r>
      <w:r>
        <w:rPr>
          <w:rFonts w:hint="eastAsia"/>
        </w:rPr>
        <w:t>条</w:t>
      </w:r>
      <w:r>
        <w:rPr>
          <w:rFonts w:hint="eastAsia"/>
        </w:rPr>
        <w:t>)</w:t>
      </w:r>
      <w:r>
        <w:rPr>
          <w:rFonts w:hint="eastAsia"/>
        </w:rPr>
        <w:t>，请求法律咨询、法律援助、归还、国家赔偿、证人保护和其他形式的支持。</w:t>
      </w:r>
    </w:p>
    <w:p w14:paraId="0A6A08B8" w14:textId="23614DFD" w:rsidR="00522F93" w:rsidRDefault="00522F93" w:rsidP="00522F93">
      <w:pPr>
        <w:pStyle w:val="SingleTxtGC"/>
      </w:pPr>
      <w:r>
        <w:rPr>
          <w:rFonts w:hint="eastAsia"/>
        </w:rPr>
        <w:t>66.</w:t>
      </w:r>
      <w:r>
        <w:rPr>
          <w:rFonts w:hint="eastAsia"/>
        </w:rPr>
        <w:tab/>
      </w:r>
      <w:r>
        <w:rPr>
          <w:rFonts w:hint="eastAsia"/>
        </w:rPr>
        <w:t>为便利诉诸司法，各法院于</w:t>
      </w:r>
      <w:r>
        <w:rPr>
          <w:rFonts w:hint="eastAsia"/>
        </w:rPr>
        <w:t>2016</w:t>
      </w:r>
      <w:r>
        <w:rPr>
          <w:rFonts w:hint="eastAsia"/>
        </w:rPr>
        <w:t>年正式启动了电子司法会议中心。电子司法会议中心提供了另一种方法，通过视频会议系统补充传统的法庭证人和口译服务。这将有助于加快司法程序，减少需要出庭的人的旅行时间和费用，并保护未成年人和其他弱势证人免予与嫌疑人对质。法院还保留了一份外语翻译人员名单，供任何希望讯问难以用泰语沟通的证人的法院使用。</w:t>
      </w:r>
    </w:p>
    <w:p w14:paraId="20DD40B7" w14:textId="48AF19E5" w:rsidR="00522F93" w:rsidRDefault="00522F93" w:rsidP="00522F93">
      <w:pPr>
        <w:pStyle w:val="SingleTxtGC"/>
      </w:pPr>
      <w:r>
        <w:rPr>
          <w:rFonts w:hint="eastAsia"/>
        </w:rPr>
        <w:t>67.</w:t>
      </w:r>
      <w:r>
        <w:rPr>
          <w:rFonts w:hint="eastAsia"/>
        </w:rPr>
        <w:tab/>
        <w:t>2018</w:t>
      </w:r>
      <w:r>
        <w:rPr>
          <w:rFonts w:hint="eastAsia"/>
        </w:rPr>
        <w:t>年</w:t>
      </w:r>
      <w:r>
        <w:rPr>
          <w:rFonts w:hint="eastAsia"/>
        </w:rPr>
        <w:t>11</w:t>
      </w:r>
      <w:r>
        <w:rPr>
          <w:rFonts w:hint="eastAsia"/>
        </w:rPr>
        <w:t>月</w:t>
      </w:r>
      <w:r>
        <w:rPr>
          <w:rFonts w:hint="eastAsia"/>
        </w:rPr>
        <w:t>1</w:t>
      </w:r>
      <w:r>
        <w:rPr>
          <w:rFonts w:hint="eastAsia"/>
        </w:rPr>
        <w:t>日，法院推出了</w:t>
      </w:r>
      <w:r w:rsidR="00224340">
        <w:rPr>
          <w:rFonts w:hint="eastAsia"/>
        </w:rPr>
        <w:t>“</w:t>
      </w:r>
      <w:r>
        <w:rPr>
          <w:rFonts w:hint="eastAsia"/>
        </w:rPr>
        <w:t>电子通知系统</w:t>
      </w:r>
      <w:r w:rsidR="00224340">
        <w:rPr>
          <w:rFonts w:hint="eastAsia"/>
        </w:rPr>
        <w:t>”</w:t>
      </w:r>
      <w:r>
        <w:rPr>
          <w:rFonts w:hint="eastAsia"/>
        </w:rPr>
        <w:t>，允许在线提交书面诉状和通知等法院文件，并公布庭审时间表。这一举措旨在利用技术来节省时间，减少文件往来的财务负担。</w:t>
      </w:r>
    </w:p>
    <w:p w14:paraId="630881B6" w14:textId="2F284BC5" w:rsidR="00522F93" w:rsidRDefault="00522F93" w:rsidP="00522F93">
      <w:pPr>
        <w:pStyle w:val="SingleTxtGC"/>
      </w:pPr>
      <w:r>
        <w:rPr>
          <w:rFonts w:hint="eastAsia"/>
        </w:rPr>
        <w:t>68.</w:t>
      </w:r>
      <w:r>
        <w:rPr>
          <w:rFonts w:hint="eastAsia"/>
        </w:rPr>
        <w:tab/>
      </w:r>
      <w:r>
        <w:rPr>
          <w:rFonts w:hint="eastAsia"/>
        </w:rPr>
        <w:t>不加歧视地及时提供司法服务是泰国的另一个优势领域。由于在电子诉讼系统的支持下实行了严格的案件管理政策，并在非工作时间进行审判，因而加快了审判的进行，一审法院的大部分案件在一年内得到了判决。</w:t>
      </w:r>
    </w:p>
    <w:p w14:paraId="5865016A" w14:textId="77777777" w:rsidR="00522F93" w:rsidRDefault="00522F93" w:rsidP="00676CA4">
      <w:pPr>
        <w:pStyle w:val="H23GC"/>
      </w:pPr>
      <w:r>
        <w:rPr>
          <w:rFonts w:hint="eastAsia"/>
        </w:rPr>
        <w:tab/>
      </w:r>
      <w:r>
        <w:rPr>
          <w:rFonts w:hint="eastAsia"/>
        </w:rPr>
        <w:tab/>
      </w:r>
      <w:r>
        <w:rPr>
          <w:rFonts w:hint="eastAsia"/>
        </w:rPr>
        <w:t>有效补救措施</w:t>
      </w:r>
    </w:p>
    <w:p w14:paraId="35F41D05" w14:textId="75EEF0F7" w:rsidR="00522F93" w:rsidRDefault="00522F93" w:rsidP="00522F93">
      <w:pPr>
        <w:pStyle w:val="SingleTxtGC"/>
      </w:pPr>
      <w:r>
        <w:rPr>
          <w:rFonts w:hint="eastAsia"/>
        </w:rPr>
        <w:t>69.</w:t>
      </w:r>
      <w:r>
        <w:rPr>
          <w:rFonts w:hint="eastAsia"/>
        </w:rPr>
        <w:tab/>
      </w:r>
      <w:r>
        <w:rPr>
          <w:rFonts w:hint="eastAsia"/>
        </w:rPr>
        <w:t>侵犯人权行为的受害者有权通过</w:t>
      </w:r>
      <w:r>
        <w:rPr>
          <w:rFonts w:hint="eastAsia"/>
        </w:rPr>
        <w:t>2016</w:t>
      </w:r>
      <w:r>
        <w:rPr>
          <w:rFonts w:hint="eastAsia"/>
        </w:rPr>
        <w:t>年修正的《刑事案件中对受损害人的损害赔偿和对被告的赔偿和费用法》</w:t>
      </w:r>
      <w:r>
        <w:rPr>
          <w:rFonts w:hint="eastAsia"/>
        </w:rPr>
        <w:t>B.E. 2544 (2001)</w:t>
      </w:r>
      <w:r>
        <w:rPr>
          <w:rFonts w:hint="eastAsia"/>
        </w:rPr>
        <w:t>获得国家赔偿。该法旨在向犯罪受害者提供财政援助，如医药费、身心康复费、收入损失赔偿和死亡赔偿。那些在审判期间被拘留、后来因被认定无罪而被宣告无罪的被告，有资格通过上述法律获得国家赔偿。</w:t>
      </w:r>
    </w:p>
    <w:p w14:paraId="710A16AA" w14:textId="067407AA" w:rsidR="00522F93" w:rsidRDefault="00522F93" w:rsidP="00522F93">
      <w:pPr>
        <w:pStyle w:val="SingleTxtGC"/>
      </w:pPr>
      <w:r>
        <w:rPr>
          <w:rFonts w:hint="eastAsia"/>
        </w:rPr>
        <w:t>70.</w:t>
      </w:r>
      <w:r>
        <w:rPr>
          <w:rFonts w:hint="eastAsia"/>
        </w:rPr>
        <w:tab/>
        <w:t>2003</w:t>
      </w:r>
      <w:r>
        <w:rPr>
          <w:rFonts w:hint="eastAsia"/>
        </w:rPr>
        <w:t>年《证人保护法》涵盖那些有合理恐惧或处于危险之中的人，即使案件尚未接受警方调查。自该法生效以来，所有受该法保护的证人得到了</w:t>
      </w:r>
      <w:r>
        <w:rPr>
          <w:rFonts w:hint="eastAsia"/>
        </w:rPr>
        <w:t>100%</w:t>
      </w:r>
      <w:r>
        <w:rPr>
          <w:rFonts w:hint="eastAsia"/>
        </w:rPr>
        <w:t>的救助。</w:t>
      </w:r>
    </w:p>
    <w:p w14:paraId="2B146D66" w14:textId="78E5C627" w:rsidR="00522F93" w:rsidRDefault="00522F93" w:rsidP="00522F93">
      <w:pPr>
        <w:pStyle w:val="SingleTxtGC"/>
      </w:pPr>
      <w:r>
        <w:rPr>
          <w:rFonts w:hint="eastAsia"/>
        </w:rPr>
        <w:t>71.</w:t>
      </w:r>
      <w:r>
        <w:rPr>
          <w:rFonts w:hint="eastAsia"/>
        </w:rPr>
        <w:tab/>
        <w:t>2019</w:t>
      </w:r>
      <w:r>
        <w:rPr>
          <w:rFonts w:hint="eastAsia"/>
        </w:rPr>
        <w:t>年</w:t>
      </w:r>
      <w:r>
        <w:rPr>
          <w:rFonts w:hint="eastAsia"/>
        </w:rPr>
        <w:t>2</w:t>
      </w:r>
      <w:r>
        <w:rPr>
          <w:rFonts w:hint="eastAsia"/>
        </w:rPr>
        <w:t>月</w:t>
      </w:r>
      <w:r>
        <w:rPr>
          <w:rFonts w:hint="eastAsia"/>
        </w:rPr>
        <w:t>8</w:t>
      </w:r>
      <w:r>
        <w:rPr>
          <w:rFonts w:hint="eastAsia"/>
        </w:rPr>
        <w:t>日，国民议会批准了司法部提出的《调解法》草案。《调解法》一旦生效，将为金钱价值相对较低的民事索赔和某些刑事索赔提供替代性争端解决机制。这种替代方法将为争端各方节省时间和金钱，同时减少法院的案件量。</w:t>
      </w:r>
    </w:p>
    <w:p w14:paraId="49B59C6C" w14:textId="77777777" w:rsidR="00522F93" w:rsidRDefault="00522F93" w:rsidP="00676CA4">
      <w:pPr>
        <w:pStyle w:val="H23GC"/>
      </w:pPr>
      <w:r>
        <w:rPr>
          <w:rFonts w:hint="eastAsia"/>
        </w:rPr>
        <w:lastRenderedPageBreak/>
        <w:tab/>
      </w:r>
      <w:r>
        <w:rPr>
          <w:rFonts w:hint="eastAsia"/>
        </w:rPr>
        <w:tab/>
      </w:r>
      <w:r>
        <w:rPr>
          <w:rFonts w:hint="eastAsia"/>
        </w:rPr>
        <w:t>司法系统改革计划</w:t>
      </w:r>
    </w:p>
    <w:p w14:paraId="573EC82E" w14:textId="0C37DC84" w:rsidR="00522F93" w:rsidRDefault="00522F93" w:rsidP="00522F93">
      <w:pPr>
        <w:pStyle w:val="SingleTxtGC"/>
      </w:pPr>
      <w:r>
        <w:rPr>
          <w:rFonts w:hint="eastAsia"/>
        </w:rPr>
        <w:t>72.</w:t>
      </w:r>
      <w:r>
        <w:rPr>
          <w:rFonts w:hint="eastAsia"/>
        </w:rPr>
        <w:tab/>
        <w:t>2018</w:t>
      </w:r>
      <w:r>
        <w:rPr>
          <w:rFonts w:hint="eastAsia"/>
        </w:rPr>
        <w:t>年</w:t>
      </w:r>
      <w:r>
        <w:rPr>
          <w:rFonts w:hint="eastAsia"/>
        </w:rPr>
        <w:t>4</w:t>
      </w:r>
      <w:r>
        <w:rPr>
          <w:rFonts w:hint="eastAsia"/>
        </w:rPr>
        <w:t>月</w:t>
      </w:r>
      <w:r>
        <w:rPr>
          <w:rFonts w:hint="eastAsia"/>
        </w:rPr>
        <w:t>6</w:t>
      </w:r>
      <w:r>
        <w:rPr>
          <w:rFonts w:hint="eastAsia"/>
        </w:rPr>
        <w:t>日的司法系统改革计划创建了一个政策框架，以加强司法系统的各个方面，包括诉诸司法的机会、及时和充分的保护、改善身心康复、刑事案件受害者和证人获得补救的机会，以及改善全国各地监狱和拘留中心的条件。</w:t>
      </w:r>
    </w:p>
    <w:p w14:paraId="1E926A99" w14:textId="77777777" w:rsidR="00522F93" w:rsidRDefault="00522F93" w:rsidP="00676CA4">
      <w:pPr>
        <w:pStyle w:val="H23GC"/>
      </w:pPr>
      <w:r>
        <w:rPr>
          <w:rFonts w:hint="eastAsia"/>
        </w:rPr>
        <w:tab/>
      </w:r>
      <w:r>
        <w:rPr>
          <w:rFonts w:hint="eastAsia"/>
        </w:rPr>
        <w:tab/>
      </w:r>
      <w:r>
        <w:rPr>
          <w:rFonts w:hint="eastAsia"/>
        </w:rPr>
        <w:t>宗教法</w:t>
      </w:r>
    </w:p>
    <w:p w14:paraId="721039E8" w14:textId="11489D1A" w:rsidR="00522F93" w:rsidRDefault="00522F93" w:rsidP="00522F93">
      <w:pPr>
        <w:pStyle w:val="SingleTxtGC"/>
      </w:pPr>
      <w:r>
        <w:rPr>
          <w:rFonts w:hint="eastAsia"/>
        </w:rPr>
        <w:t>73.</w:t>
      </w:r>
      <w:r>
        <w:rPr>
          <w:rFonts w:hint="eastAsia"/>
        </w:rPr>
        <w:tab/>
      </w:r>
      <w:r>
        <w:rPr>
          <w:rFonts w:hint="eastAsia"/>
        </w:rPr>
        <w:t>原则上，在泰国，除了有关居住在北大年、亚拉、那拉提瓦和萨顿府的穆斯林的家庭和继承法的有限情况外，任何宗教法都不具有法律约束力。</w:t>
      </w:r>
    </w:p>
    <w:p w14:paraId="738A80AD" w14:textId="77777777" w:rsidR="00522F93" w:rsidRDefault="00522F93" w:rsidP="00676CA4">
      <w:pPr>
        <w:pStyle w:val="H23GC"/>
      </w:pPr>
      <w:r>
        <w:rPr>
          <w:rFonts w:hint="eastAsia"/>
        </w:rPr>
        <w:tab/>
      </w:r>
      <w:r>
        <w:rPr>
          <w:rFonts w:hint="eastAsia"/>
        </w:rPr>
        <w:tab/>
      </w:r>
      <w:r>
        <w:rPr>
          <w:rFonts w:hint="eastAsia"/>
        </w:rPr>
        <w:t>习惯法</w:t>
      </w:r>
    </w:p>
    <w:p w14:paraId="23774F61" w14:textId="36D9363C" w:rsidR="00522F93" w:rsidRDefault="00522F93" w:rsidP="00522F93">
      <w:pPr>
        <w:pStyle w:val="SingleTxtGC"/>
      </w:pPr>
      <w:r>
        <w:rPr>
          <w:rFonts w:hint="eastAsia"/>
        </w:rPr>
        <w:t>74.</w:t>
      </w:r>
      <w:r>
        <w:rPr>
          <w:rFonts w:hint="eastAsia"/>
        </w:rPr>
        <w:tab/>
      </w:r>
      <w:r>
        <w:rPr>
          <w:rFonts w:hint="eastAsia"/>
        </w:rPr>
        <w:t>就习惯法而言，它只涉及没有成文法适用于案件，并且没有可用的成文法类推来填补法律空白的民事纠纷事项。在刑法方面，泰国严格遵守成文法原则。</w:t>
      </w:r>
    </w:p>
    <w:p w14:paraId="332D10AF" w14:textId="5A221549" w:rsidR="00522F93" w:rsidRDefault="00676CA4" w:rsidP="00676CA4">
      <w:pPr>
        <w:pStyle w:val="HChGC"/>
      </w:pPr>
      <w:r>
        <w:tab/>
      </w:r>
      <w:r w:rsidR="00522F93">
        <w:rPr>
          <w:rFonts w:hint="eastAsia"/>
        </w:rPr>
        <w:t>二</w:t>
      </w:r>
      <w:r w:rsidR="00522F93">
        <w:rPr>
          <w:rFonts w:hint="eastAsia"/>
        </w:rPr>
        <w:t>.</w:t>
      </w:r>
      <w:r w:rsidR="00522F93">
        <w:rPr>
          <w:rFonts w:hint="eastAsia"/>
        </w:rPr>
        <w:tab/>
      </w:r>
      <w:r w:rsidR="00522F93">
        <w:rPr>
          <w:rFonts w:hint="eastAsia"/>
        </w:rPr>
        <w:t>保护和增进人权的一般框架</w:t>
      </w:r>
    </w:p>
    <w:p w14:paraId="62E5D83F" w14:textId="140FB952" w:rsidR="00522F93" w:rsidRDefault="00676CA4" w:rsidP="00676CA4">
      <w:pPr>
        <w:pStyle w:val="H1GC"/>
      </w:pPr>
      <w:r>
        <w:tab/>
      </w:r>
      <w:r w:rsidR="00522F93">
        <w:rPr>
          <w:rFonts w:hint="eastAsia"/>
        </w:rPr>
        <w:t>A.</w:t>
      </w:r>
      <w:r w:rsidR="00522F93">
        <w:rPr>
          <w:rFonts w:hint="eastAsia"/>
        </w:rPr>
        <w:tab/>
      </w:r>
      <w:r w:rsidR="00522F93">
        <w:rPr>
          <w:rFonts w:hint="eastAsia"/>
        </w:rPr>
        <w:t>接受国际人权标准的情况</w:t>
      </w:r>
    </w:p>
    <w:p w14:paraId="26A5DE73" w14:textId="037240AE" w:rsidR="00522F93" w:rsidRDefault="00522F93" w:rsidP="00522F93">
      <w:pPr>
        <w:pStyle w:val="SingleTxtGC"/>
      </w:pPr>
      <w:r>
        <w:rPr>
          <w:rFonts w:hint="eastAsia"/>
        </w:rPr>
        <w:t>75.</w:t>
      </w:r>
      <w:r>
        <w:rPr>
          <w:rFonts w:hint="eastAsia"/>
        </w:rPr>
        <w:tab/>
      </w:r>
      <w:r>
        <w:rPr>
          <w:rFonts w:hint="eastAsia"/>
        </w:rPr>
        <w:t>泰国是</w:t>
      </w:r>
      <w:r>
        <w:rPr>
          <w:rFonts w:hint="eastAsia"/>
        </w:rPr>
        <w:t>1948</w:t>
      </w:r>
      <w:r>
        <w:rPr>
          <w:rFonts w:hint="eastAsia"/>
        </w:rPr>
        <w:t>年</w:t>
      </w:r>
      <w:r>
        <w:rPr>
          <w:rFonts w:hint="eastAsia"/>
        </w:rPr>
        <w:t>12</w:t>
      </w:r>
      <w:r>
        <w:rPr>
          <w:rFonts w:hint="eastAsia"/>
        </w:rPr>
        <w:t>月</w:t>
      </w:r>
      <w:r>
        <w:rPr>
          <w:rFonts w:hint="eastAsia"/>
        </w:rPr>
        <w:t>10</w:t>
      </w:r>
      <w:r>
        <w:rPr>
          <w:rFonts w:hint="eastAsia"/>
        </w:rPr>
        <w:t>日首批通过《世界人权宣言》的</w:t>
      </w:r>
      <w:r>
        <w:rPr>
          <w:rFonts w:hint="eastAsia"/>
        </w:rPr>
        <w:t>48</w:t>
      </w:r>
      <w:r>
        <w:rPr>
          <w:rFonts w:hint="eastAsia"/>
        </w:rPr>
        <w:t>个国家之一。自那时以来，泰国一直是若干直接或间接与人权有关的国际文书的缔约国。</w:t>
      </w:r>
    </w:p>
    <w:p w14:paraId="4453BB64" w14:textId="04EC1E43" w:rsidR="00522F93" w:rsidRDefault="00522F93" w:rsidP="00522F93">
      <w:pPr>
        <w:pStyle w:val="SingleTxtGC"/>
      </w:pPr>
      <w:r>
        <w:rPr>
          <w:rFonts w:hint="eastAsia"/>
        </w:rPr>
        <w:t>76.</w:t>
      </w:r>
      <w:r>
        <w:rPr>
          <w:rFonts w:hint="eastAsia"/>
        </w:rPr>
        <w:tab/>
      </w:r>
      <w:r>
        <w:rPr>
          <w:rFonts w:hint="eastAsia"/>
        </w:rPr>
        <w:t>泰国致力于推动普遍定期审议进程，并于</w:t>
      </w:r>
      <w:r>
        <w:rPr>
          <w:rFonts w:hint="eastAsia"/>
        </w:rPr>
        <w:t>2011</w:t>
      </w:r>
      <w:r>
        <w:rPr>
          <w:rFonts w:hint="eastAsia"/>
        </w:rPr>
        <w:t>年和</w:t>
      </w:r>
      <w:r>
        <w:rPr>
          <w:rFonts w:hint="eastAsia"/>
        </w:rPr>
        <w:t>2016</w:t>
      </w:r>
      <w:r>
        <w:rPr>
          <w:rFonts w:hint="eastAsia"/>
        </w:rPr>
        <w:t>年两次接受审议。泰国还于</w:t>
      </w:r>
      <w:r>
        <w:rPr>
          <w:rFonts w:hint="eastAsia"/>
        </w:rPr>
        <w:t>2014</w:t>
      </w:r>
      <w:r>
        <w:rPr>
          <w:rFonts w:hint="eastAsia"/>
        </w:rPr>
        <w:t>年和</w:t>
      </w:r>
      <w:r>
        <w:rPr>
          <w:rFonts w:hint="eastAsia"/>
        </w:rPr>
        <w:t>2019</w:t>
      </w:r>
      <w:r>
        <w:rPr>
          <w:rFonts w:hint="eastAsia"/>
        </w:rPr>
        <w:t>年自愿提交了普遍定期审议中期报告。</w:t>
      </w:r>
    </w:p>
    <w:p w14:paraId="5B48CE75" w14:textId="77777777" w:rsidR="00522F93" w:rsidRDefault="00522F93" w:rsidP="00676CA4">
      <w:pPr>
        <w:pStyle w:val="H23GC"/>
      </w:pPr>
      <w:r>
        <w:rPr>
          <w:rFonts w:hint="eastAsia"/>
        </w:rPr>
        <w:tab/>
      </w:r>
      <w:r>
        <w:rPr>
          <w:rFonts w:hint="eastAsia"/>
        </w:rPr>
        <w:tab/>
      </w:r>
      <w:r>
        <w:rPr>
          <w:rFonts w:hint="eastAsia"/>
        </w:rPr>
        <w:t>联合国主要人权文书</w:t>
      </w:r>
    </w:p>
    <w:p w14:paraId="13254442" w14:textId="25B7D0C8" w:rsidR="00522F93" w:rsidRDefault="00522F93" w:rsidP="00522F93">
      <w:pPr>
        <w:pStyle w:val="SingleTxtGC"/>
      </w:pPr>
      <w:r>
        <w:rPr>
          <w:rFonts w:hint="eastAsia"/>
        </w:rPr>
        <w:t>77.</w:t>
      </w:r>
      <w:r>
        <w:rPr>
          <w:rFonts w:hint="eastAsia"/>
        </w:rPr>
        <w:tab/>
      </w:r>
      <w:r>
        <w:rPr>
          <w:rFonts w:hint="eastAsia"/>
        </w:rPr>
        <w:t>泰国目前是七项主要联合国人权条约的缔约国，也是《保护所有人免遭强迫失踪国际公约》的签署国。具体情况如下；</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907"/>
        <w:gridCol w:w="4463"/>
      </w:tblGrid>
      <w:tr w:rsidR="00696B4E" w:rsidRPr="006266C6" w14:paraId="6D063958" w14:textId="77777777" w:rsidTr="00634E33">
        <w:trPr>
          <w:tblHeader/>
        </w:trPr>
        <w:tc>
          <w:tcPr>
            <w:tcW w:w="2907" w:type="dxa"/>
            <w:tcBorders>
              <w:top w:val="single" w:sz="4" w:space="0" w:color="auto"/>
              <w:bottom w:val="single" w:sz="12" w:space="0" w:color="auto"/>
            </w:tcBorders>
            <w:shd w:val="clear" w:color="auto" w:fill="auto"/>
            <w:vAlign w:val="bottom"/>
          </w:tcPr>
          <w:p w14:paraId="7D531455" w14:textId="77777777" w:rsidR="00696B4E" w:rsidRPr="006266C6" w:rsidRDefault="00696B4E" w:rsidP="00634E33">
            <w:pPr>
              <w:pStyle w:val="a4"/>
            </w:pPr>
            <w:r w:rsidRPr="006266C6">
              <w:t>条约</w:t>
            </w:r>
          </w:p>
        </w:tc>
        <w:tc>
          <w:tcPr>
            <w:tcW w:w="4463" w:type="dxa"/>
            <w:tcBorders>
              <w:top w:val="single" w:sz="4" w:space="0" w:color="auto"/>
              <w:bottom w:val="single" w:sz="12" w:space="0" w:color="auto"/>
            </w:tcBorders>
            <w:shd w:val="clear" w:color="auto" w:fill="auto"/>
            <w:vAlign w:val="bottom"/>
          </w:tcPr>
          <w:p w14:paraId="773FFE28" w14:textId="77777777" w:rsidR="00696B4E" w:rsidRPr="006266C6" w:rsidRDefault="00696B4E" w:rsidP="00634E33">
            <w:pPr>
              <w:pStyle w:val="a4"/>
            </w:pPr>
            <w:r w:rsidRPr="006266C6">
              <w:t>状况</w:t>
            </w:r>
          </w:p>
        </w:tc>
      </w:tr>
      <w:tr w:rsidR="00696B4E" w:rsidRPr="006266C6" w14:paraId="4CED1E36" w14:textId="77777777" w:rsidTr="00634E33">
        <w:trPr>
          <w:trHeight w:hRule="exact" w:val="113"/>
          <w:tblHeader/>
        </w:trPr>
        <w:tc>
          <w:tcPr>
            <w:tcW w:w="2907" w:type="dxa"/>
            <w:tcBorders>
              <w:top w:val="single" w:sz="12" w:space="0" w:color="auto"/>
            </w:tcBorders>
            <w:shd w:val="clear" w:color="auto" w:fill="auto"/>
          </w:tcPr>
          <w:p w14:paraId="22D2C5B4" w14:textId="77777777" w:rsidR="00696B4E" w:rsidRPr="006266C6" w:rsidRDefault="00696B4E" w:rsidP="00634E33">
            <w:pPr>
              <w:pStyle w:val="a5"/>
              <w:overflowPunct/>
              <w:spacing w:after="120"/>
              <w:jc w:val="left"/>
            </w:pPr>
          </w:p>
        </w:tc>
        <w:tc>
          <w:tcPr>
            <w:tcW w:w="4463" w:type="dxa"/>
            <w:tcBorders>
              <w:top w:val="single" w:sz="12" w:space="0" w:color="auto"/>
            </w:tcBorders>
            <w:shd w:val="clear" w:color="auto" w:fill="auto"/>
          </w:tcPr>
          <w:p w14:paraId="0AF7510D" w14:textId="77777777" w:rsidR="00696B4E" w:rsidRPr="006266C6" w:rsidRDefault="00696B4E" w:rsidP="00634E33">
            <w:pPr>
              <w:pStyle w:val="a5"/>
              <w:overflowPunct/>
              <w:spacing w:after="120"/>
              <w:jc w:val="left"/>
            </w:pPr>
          </w:p>
        </w:tc>
      </w:tr>
      <w:tr w:rsidR="00696B4E" w:rsidRPr="006266C6" w14:paraId="29A98168" w14:textId="77777777" w:rsidTr="00634E33">
        <w:tc>
          <w:tcPr>
            <w:tcW w:w="2907" w:type="dxa"/>
            <w:shd w:val="clear" w:color="auto" w:fill="auto"/>
          </w:tcPr>
          <w:p w14:paraId="3FACEA30" w14:textId="77777777" w:rsidR="00696B4E" w:rsidRPr="006266C6" w:rsidRDefault="00696B4E" w:rsidP="00634E33">
            <w:pPr>
              <w:pStyle w:val="a5"/>
              <w:overflowPunct/>
              <w:spacing w:after="120"/>
              <w:jc w:val="left"/>
            </w:pPr>
            <w:r w:rsidRPr="006266C6">
              <w:t>《禁止酷刑公约》</w:t>
            </w:r>
          </w:p>
        </w:tc>
        <w:tc>
          <w:tcPr>
            <w:tcW w:w="4463" w:type="dxa"/>
            <w:shd w:val="clear" w:color="auto" w:fill="auto"/>
          </w:tcPr>
          <w:p w14:paraId="67A114D8" w14:textId="77777777" w:rsidR="00696B4E" w:rsidRPr="006266C6" w:rsidRDefault="00696B4E" w:rsidP="00634E33">
            <w:pPr>
              <w:pStyle w:val="a5"/>
              <w:overflowPunct/>
              <w:spacing w:after="120"/>
              <w:jc w:val="left"/>
            </w:pPr>
            <w:r w:rsidRPr="006266C6">
              <w:t>2007</w:t>
            </w:r>
            <w:r w:rsidRPr="006266C6">
              <w:t>年</w:t>
            </w:r>
            <w:r w:rsidRPr="006266C6">
              <w:t>10</w:t>
            </w:r>
            <w:r w:rsidRPr="006266C6">
              <w:t>月</w:t>
            </w:r>
            <w:r w:rsidRPr="006266C6">
              <w:t>2</w:t>
            </w:r>
            <w:r w:rsidRPr="006266C6">
              <w:t>日加入</w:t>
            </w:r>
          </w:p>
        </w:tc>
      </w:tr>
      <w:tr w:rsidR="00696B4E" w:rsidRPr="006266C6" w14:paraId="18FCAEEF" w14:textId="77777777" w:rsidTr="00634E33">
        <w:tc>
          <w:tcPr>
            <w:tcW w:w="2907" w:type="dxa"/>
            <w:shd w:val="clear" w:color="auto" w:fill="auto"/>
          </w:tcPr>
          <w:p w14:paraId="66D62B93" w14:textId="77777777" w:rsidR="00696B4E" w:rsidRPr="006266C6" w:rsidRDefault="00696B4E" w:rsidP="00634E33">
            <w:pPr>
              <w:pStyle w:val="a5"/>
              <w:overflowPunct/>
              <w:spacing w:after="120"/>
              <w:jc w:val="left"/>
            </w:pPr>
            <w:r w:rsidRPr="006266C6">
              <w:t>《公民及政治权利国际公约》</w:t>
            </w:r>
          </w:p>
        </w:tc>
        <w:tc>
          <w:tcPr>
            <w:tcW w:w="4463" w:type="dxa"/>
            <w:shd w:val="clear" w:color="auto" w:fill="auto"/>
          </w:tcPr>
          <w:p w14:paraId="41529A77" w14:textId="77777777" w:rsidR="00696B4E" w:rsidRPr="006266C6" w:rsidRDefault="00696B4E" w:rsidP="00634E33">
            <w:pPr>
              <w:pStyle w:val="a5"/>
              <w:overflowPunct/>
              <w:spacing w:after="120"/>
              <w:jc w:val="left"/>
            </w:pPr>
            <w:r w:rsidRPr="006266C6">
              <w:t>1996</w:t>
            </w:r>
            <w:r w:rsidRPr="006266C6">
              <w:t>年</w:t>
            </w:r>
            <w:r w:rsidRPr="006266C6">
              <w:t>10</w:t>
            </w:r>
            <w:r w:rsidRPr="006266C6">
              <w:t>月</w:t>
            </w:r>
            <w:r w:rsidRPr="006266C6">
              <w:t>29</w:t>
            </w:r>
            <w:r w:rsidRPr="006266C6">
              <w:t>日加入</w:t>
            </w:r>
          </w:p>
        </w:tc>
      </w:tr>
      <w:tr w:rsidR="00696B4E" w:rsidRPr="006266C6" w14:paraId="2CEE6677" w14:textId="77777777" w:rsidTr="00634E33">
        <w:tc>
          <w:tcPr>
            <w:tcW w:w="2907" w:type="dxa"/>
            <w:shd w:val="clear" w:color="auto" w:fill="auto"/>
          </w:tcPr>
          <w:p w14:paraId="30CFC949" w14:textId="77777777" w:rsidR="00696B4E" w:rsidRPr="006266C6" w:rsidRDefault="00696B4E" w:rsidP="00634E33">
            <w:pPr>
              <w:pStyle w:val="a5"/>
              <w:overflowPunct/>
              <w:spacing w:after="120"/>
              <w:jc w:val="left"/>
            </w:pPr>
            <w:r w:rsidRPr="006266C6">
              <w:t>《保护所有人免遭强迫失踪国际公约》</w:t>
            </w:r>
          </w:p>
        </w:tc>
        <w:tc>
          <w:tcPr>
            <w:tcW w:w="4463" w:type="dxa"/>
            <w:shd w:val="clear" w:color="auto" w:fill="auto"/>
          </w:tcPr>
          <w:p w14:paraId="2E69D3C8" w14:textId="77777777" w:rsidR="00696B4E" w:rsidRPr="006266C6" w:rsidRDefault="00696B4E" w:rsidP="00634E33">
            <w:pPr>
              <w:pStyle w:val="a5"/>
              <w:overflowPunct/>
              <w:spacing w:after="120"/>
              <w:jc w:val="left"/>
            </w:pPr>
            <w:r w:rsidRPr="006266C6">
              <w:t>2012</w:t>
            </w:r>
            <w:r w:rsidRPr="006266C6">
              <w:t>年</w:t>
            </w:r>
            <w:r w:rsidRPr="006266C6">
              <w:t>1</w:t>
            </w:r>
            <w:r w:rsidRPr="006266C6">
              <w:t>月</w:t>
            </w:r>
            <w:r w:rsidRPr="006266C6">
              <w:t>9</w:t>
            </w:r>
            <w:r w:rsidRPr="006266C6">
              <w:t>日签署</w:t>
            </w:r>
          </w:p>
        </w:tc>
      </w:tr>
      <w:tr w:rsidR="00696B4E" w:rsidRPr="006266C6" w14:paraId="57B63F94" w14:textId="77777777" w:rsidTr="00634E33">
        <w:tc>
          <w:tcPr>
            <w:tcW w:w="2907" w:type="dxa"/>
            <w:shd w:val="clear" w:color="auto" w:fill="auto"/>
          </w:tcPr>
          <w:p w14:paraId="50DDAFA8" w14:textId="77777777" w:rsidR="00696B4E" w:rsidRPr="006266C6" w:rsidRDefault="00696B4E" w:rsidP="00634E33">
            <w:pPr>
              <w:pStyle w:val="a5"/>
              <w:overflowPunct/>
              <w:spacing w:after="120"/>
              <w:jc w:val="left"/>
            </w:pPr>
            <w:r w:rsidRPr="006266C6">
              <w:t>《消除对妇女一切形式歧视公约》</w:t>
            </w:r>
          </w:p>
        </w:tc>
        <w:tc>
          <w:tcPr>
            <w:tcW w:w="4463" w:type="dxa"/>
            <w:shd w:val="clear" w:color="auto" w:fill="auto"/>
          </w:tcPr>
          <w:p w14:paraId="63A8A45C" w14:textId="77777777" w:rsidR="00696B4E" w:rsidRPr="006266C6" w:rsidRDefault="00696B4E" w:rsidP="00634E33">
            <w:pPr>
              <w:pStyle w:val="a5"/>
              <w:overflowPunct/>
              <w:spacing w:after="120"/>
              <w:jc w:val="left"/>
            </w:pPr>
            <w:r w:rsidRPr="006266C6">
              <w:t>1985</w:t>
            </w:r>
            <w:r w:rsidRPr="006266C6">
              <w:t>年</w:t>
            </w:r>
            <w:r w:rsidRPr="006266C6">
              <w:t>8</w:t>
            </w:r>
            <w:r w:rsidRPr="006266C6">
              <w:t>月</w:t>
            </w:r>
            <w:r w:rsidRPr="006266C6">
              <w:t>9</w:t>
            </w:r>
            <w:r w:rsidRPr="006266C6">
              <w:t>日加入</w:t>
            </w:r>
          </w:p>
        </w:tc>
      </w:tr>
      <w:tr w:rsidR="00696B4E" w:rsidRPr="006266C6" w14:paraId="06386E6B" w14:textId="77777777" w:rsidTr="00634E33">
        <w:tc>
          <w:tcPr>
            <w:tcW w:w="2907" w:type="dxa"/>
            <w:shd w:val="clear" w:color="auto" w:fill="auto"/>
          </w:tcPr>
          <w:p w14:paraId="05B1E8A9" w14:textId="77777777" w:rsidR="00696B4E" w:rsidRPr="006266C6" w:rsidRDefault="00696B4E" w:rsidP="00634E33">
            <w:pPr>
              <w:pStyle w:val="a5"/>
              <w:overflowPunct/>
              <w:spacing w:after="120"/>
              <w:jc w:val="left"/>
            </w:pPr>
            <w:r w:rsidRPr="006266C6">
              <w:t>《消除对妇女一切形式歧视公约任择议定书》</w:t>
            </w:r>
          </w:p>
        </w:tc>
        <w:tc>
          <w:tcPr>
            <w:tcW w:w="4463" w:type="dxa"/>
            <w:shd w:val="clear" w:color="auto" w:fill="auto"/>
          </w:tcPr>
          <w:p w14:paraId="15375159" w14:textId="77777777" w:rsidR="00696B4E" w:rsidRPr="006266C6" w:rsidRDefault="00696B4E" w:rsidP="00634E33">
            <w:pPr>
              <w:pStyle w:val="a5"/>
              <w:overflowPunct/>
              <w:spacing w:after="120"/>
              <w:jc w:val="left"/>
            </w:pPr>
            <w:r w:rsidRPr="006266C6">
              <w:t>2000</w:t>
            </w:r>
            <w:r w:rsidRPr="006266C6">
              <w:t>年</w:t>
            </w:r>
            <w:r w:rsidRPr="006266C6">
              <w:t>6</w:t>
            </w:r>
            <w:r w:rsidRPr="006266C6">
              <w:t>月</w:t>
            </w:r>
            <w:r w:rsidRPr="006266C6">
              <w:t>14</w:t>
            </w:r>
            <w:r w:rsidRPr="006266C6">
              <w:t>日批准</w:t>
            </w:r>
          </w:p>
        </w:tc>
      </w:tr>
      <w:tr w:rsidR="00696B4E" w:rsidRPr="006266C6" w14:paraId="41532EEF" w14:textId="77777777" w:rsidTr="00634E33">
        <w:tc>
          <w:tcPr>
            <w:tcW w:w="2907" w:type="dxa"/>
            <w:shd w:val="clear" w:color="auto" w:fill="auto"/>
          </w:tcPr>
          <w:p w14:paraId="3DF0C35B" w14:textId="77777777" w:rsidR="00696B4E" w:rsidRPr="006266C6" w:rsidRDefault="00696B4E" w:rsidP="00634E33">
            <w:pPr>
              <w:pStyle w:val="a5"/>
              <w:overflowPunct/>
              <w:spacing w:after="120"/>
              <w:jc w:val="left"/>
            </w:pPr>
            <w:r w:rsidRPr="006266C6">
              <w:t>《消除种族歧视公约》</w:t>
            </w:r>
          </w:p>
        </w:tc>
        <w:tc>
          <w:tcPr>
            <w:tcW w:w="4463" w:type="dxa"/>
            <w:shd w:val="clear" w:color="auto" w:fill="auto"/>
          </w:tcPr>
          <w:p w14:paraId="588354A5" w14:textId="77777777" w:rsidR="00696B4E" w:rsidRPr="006266C6" w:rsidRDefault="00696B4E" w:rsidP="00634E33">
            <w:pPr>
              <w:pStyle w:val="a5"/>
              <w:overflowPunct/>
              <w:spacing w:after="120"/>
              <w:jc w:val="left"/>
            </w:pPr>
            <w:r w:rsidRPr="006266C6">
              <w:t>2003</w:t>
            </w:r>
            <w:r w:rsidRPr="006266C6">
              <w:t>年</w:t>
            </w:r>
            <w:r w:rsidRPr="006266C6">
              <w:t>1</w:t>
            </w:r>
            <w:r w:rsidRPr="006266C6">
              <w:t>月</w:t>
            </w:r>
            <w:r w:rsidRPr="006266C6">
              <w:t>28</w:t>
            </w:r>
            <w:r w:rsidRPr="006266C6">
              <w:t>日加入</w:t>
            </w:r>
          </w:p>
        </w:tc>
      </w:tr>
      <w:tr w:rsidR="00696B4E" w:rsidRPr="006266C6" w14:paraId="7C55C128" w14:textId="77777777" w:rsidTr="00634E33">
        <w:tc>
          <w:tcPr>
            <w:tcW w:w="2907" w:type="dxa"/>
            <w:shd w:val="clear" w:color="auto" w:fill="auto"/>
          </w:tcPr>
          <w:p w14:paraId="2F3C5D5E" w14:textId="77777777" w:rsidR="00696B4E" w:rsidRPr="006266C6" w:rsidRDefault="00696B4E" w:rsidP="00634E33">
            <w:pPr>
              <w:pStyle w:val="a5"/>
              <w:overflowPunct/>
              <w:spacing w:after="120"/>
              <w:jc w:val="left"/>
            </w:pPr>
            <w:r w:rsidRPr="006266C6">
              <w:t>《经济社会文化权利国际公约》</w:t>
            </w:r>
          </w:p>
        </w:tc>
        <w:tc>
          <w:tcPr>
            <w:tcW w:w="4463" w:type="dxa"/>
            <w:shd w:val="clear" w:color="auto" w:fill="auto"/>
          </w:tcPr>
          <w:p w14:paraId="39D6B11F" w14:textId="77777777" w:rsidR="00696B4E" w:rsidRPr="006266C6" w:rsidRDefault="00696B4E" w:rsidP="00634E33">
            <w:pPr>
              <w:pStyle w:val="a5"/>
              <w:overflowPunct/>
              <w:spacing w:after="120"/>
              <w:jc w:val="left"/>
            </w:pPr>
            <w:r w:rsidRPr="006266C6">
              <w:t>1999</w:t>
            </w:r>
            <w:r w:rsidRPr="006266C6">
              <w:t>年</w:t>
            </w:r>
            <w:r w:rsidRPr="006266C6">
              <w:t>9</w:t>
            </w:r>
            <w:r w:rsidRPr="006266C6">
              <w:t>月</w:t>
            </w:r>
            <w:r w:rsidRPr="006266C6">
              <w:t>6</w:t>
            </w:r>
            <w:r w:rsidRPr="006266C6">
              <w:t>日加入</w:t>
            </w:r>
          </w:p>
        </w:tc>
      </w:tr>
      <w:tr w:rsidR="00696B4E" w:rsidRPr="006266C6" w14:paraId="5B36CA81" w14:textId="77777777" w:rsidTr="00634E33">
        <w:tc>
          <w:tcPr>
            <w:tcW w:w="2907" w:type="dxa"/>
            <w:shd w:val="clear" w:color="auto" w:fill="auto"/>
          </w:tcPr>
          <w:p w14:paraId="00E02601" w14:textId="77777777" w:rsidR="00696B4E" w:rsidRPr="006266C6" w:rsidRDefault="00696B4E" w:rsidP="00634E33">
            <w:pPr>
              <w:pStyle w:val="a5"/>
              <w:overflowPunct/>
              <w:spacing w:after="120"/>
              <w:jc w:val="left"/>
            </w:pPr>
            <w:r w:rsidRPr="006266C6">
              <w:t>《儿童权利公约》</w:t>
            </w:r>
          </w:p>
        </w:tc>
        <w:tc>
          <w:tcPr>
            <w:tcW w:w="4463" w:type="dxa"/>
            <w:shd w:val="clear" w:color="auto" w:fill="auto"/>
          </w:tcPr>
          <w:p w14:paraId="321E9B41" w14:textId="77777777" w:rsidR="00696B4E" w:rsidRPr="006266C6" w:rsidRDefault="00696B4E" w:rsidP="00634E33">
            <w:pPr>
              <w:pStyle w:val="a5"/>
              <w:overflowPunct/>
              <w:spacing w:after="120"/>
              <w:jc w:val="left"/>
            </w:pPr>
            <w:r w:rsidRPr="006266C6">
              <w:t>1992</w:t>
            </w:r>
            <w:r w:rsidRPr="006266C6">
              <w:t>年</w:t>
            </w:r>
            <w:r w:rsidRPr="006266C6">
              <w:t>5</w:t>
            </w:r>
            <w:r w:rsidRPr="006266C6">
              <w:t>月</w:t>
            </w:r>
            <w:r w:rsidRPr="006266C6">
              <w:t>27</w:t>
            </w:r>
            <w:r w:rsidRPr="006266C6">
              <w:t>日加入</w:t>
            </w:r>
          </w:p>
        </w:tc>
      </w:tr>
      <w:tr w:rsidR="00696B4E" w:rsidRPr="006266C6" w14:paraId="34EF6E63" w14:textId="77777777" w:rsidTr="00224340">
        <w:tc>
          <w:tcPr>
            <w:tcW w:w="2907" w:type="dxa"/>
            <w:tcBorders>
              <w:bottom w:val="nil"/>
            </w:tcBorders>
            <w:shd w:val="clear" w:color="auto" w:fill="auto"/>
          </w:tcPr>
          <w:p w14:paraId="60039D8D" w14:textId="77777777" w:rsidR="00696B4E" w:rsidRPr="006266C6" w:rsidRDefault="00696B4E" w:rsidP="00634E33">
            <w:pPr>
              <w:pStyle w:val="a5"/>
              <w:overflowPunct/>
              <w:spacing w:after="120"/>
              <w:jc w:val="left"/>
            </w:pPr>
            <w:r w:rsidRPr="006266C6">
              <w:t>《儿童权利公约关于儿童卷入武装冲突问题的任择议定书》</w:t>
            </w:r>
          </w:p>
        </w:tc>
        <w:tc>
          <w:tcPr>
            <w:tcW w:w="4463" w:type="dxa"/>
            <w:tcBorders>
              <w:bottom w:val="nil"/>
            </w:tcBorders>
            <w:shd w:val="clear" w:color="auto" w:fill="auto"/>
          </w:tcPr>
          <w:p w14:paraId="05C014ED" w14:textId="77777777" w:rsidR="00696B4E" w:rsidRPr="006266C6" w:rsidRDefault="00696B4E" w:rsidP="00634E33">
            <w:pPr>
              <w:pStyle w:val="a5"/>
              <w:overflowPunct/>
              <w:spacing w:after="120"/>
              <w:jc w:val="left"/>
            </w:pPr>
            <w:r w:rsidRPr="006266C6">
              <w:t>2006</w:t>
            </w:r>
            <w:r w:rsidRPr="006266C6">
              <w:t>年</w:t>
            </w:r>
            <w:r w:rsidRPr="006266C6">
              <w:t>2</w:t>
            </w:r>
            <w:r w:rsidRPr="006266C6">
              <w:t>月</w:t>
            </w:r>
            <w:r w:rsidRPr="006266C6">
              <w:t>27</w:t>
            </w:r>
            <w:r w:rsidRPr="006266C6">
              <w:t>日加入</w:t>
            </w:r>
          </w:p>
        </w:tc>
      </w:tr>
      <w:tr w:rsidR="00696B4E" w:rsidRPr="006266C6" w14:paraId="711759C8" w14:textId="77777777" w:rsidTr="00224340">
        <w:tc>
          <w:tcPr>
            <w:tcW w:w="2907" w:type="dxa"/>
            <w:tcBorders>
              <w:top w:val="nil"/>
              <w:bottom w:val="nil"/>
            </w:tcBorders>
            <w:shd w:val="clear" w:color="auto" w:fill="auto"/>
          </w:tcPr>
          <w:p w14:paraId="606A9ED5" w14:textId="77777777" w:rsidR="00696B4E" w:rsidRPr="006266C6" w:rsidRDefault="00696B4E" w:rsidP="00634E33">
            <w:pPr>
              <w:pStyle w:val="a5"/>
              <w:overflowPunct/>
              <w:spacing w:after="120"/>
              <w:jc w:val="left"/>
            </w:pPr>
            <w:r w:rsidRPr="006266C6">
              <w:t>《儿童权利公约关于设定来文程序的任择议定书》</w:t>
            </w:r>
          </w:p>
        </w:tc>
        <w:tc>
          <w:tcPr>
            <w:tcW w:w="4463" w:type="dxa"/>
            <w:tcBorders>
              <w:top w:val="nil"/>
              <w:bottom w:val="nil"/>
            </w:tcBorders>
            <w:shd w:val="clear" w:color="auto" w:fill="auto"/>
          </w:tcPr>
          <w:p w14:paraId="755C4D88" w14:textId="77777777" w:rsidR="00696B4E" w:rsidRPr="006266C6" w:rsidRDefault="00696B4E" w:rsidP="00634E33">
            <w:pPr>
              <w:pStyle w:val="a5"/>
              <w:overflowPunct/>
              <w:spacing w:after="120"/>
              <w:jc w:val="left"/>
            </w:pPr>
            <w:r w:rsidRPr="006266C6">
              <w:t>2012</w:t>
            </w:r>
            <w:r w:rsidRPr="006266C6">
              <w:t>年</w:t>
            </w:r>
            <w:r w:rsidRPr="006266C6">
              <w:t>9</w:t>
            </w:r>
            <w:r w:rsidRPr="006266C6">
              <w:t>月</w:t>
            </w:r>
            <w:r w:rsidRPr="006266C6">
              <w:t>25</w:t>
            </w:r>
            <w:r w:rsidRPr="006266C6">
              <w:t>日批准</w:t>
            </w:r>
          </w:p>
        </w:tc>
      </w:tr>
      <w:tr w:rsidR="00696B4E" w:rsidRPr="006266C6" w14:paraId="24BB4E4A" w14:textId="77777777" w:rsidTr="00224340">
        <w:tc>
          <w:tcPr>
            <w:tcW w:w="2907" w:type="dxa"/>
            <w:tcBorders>
              <w:top w:val="nil"/>
            </w:tcBorders>
            <w:shd w:val="clear" w:color="auto" w:fill="auto"/>
          </w:tcPr>
          <w:p w14:paraId="27DC45C5" w14:textId="77777777" w:rsidR="00696B4E" w:rsidRPr="006266C6" w:rsidRDefault="00696B4E" w:rsidP="00634E33">
            <w:pPr>
              <w:pStyle w:val="a5"/>
              <w:overflowPunct/>
              <w:spacing w:after="120"/>
              <w:jc w:val="left"/>
            </w:pPr>
            <w:r w:rsidRPr="006266C6">
              <w:lastRenderedPageBreak/>
              <w:t>《儿童权利公约关于买卖儿童、儿童卖淫和儿童色情制品问题的任择议定书》</w:t>
            </w:r>
          </w:p>
        </w:tc>
        <w:tc>
          <w:tcPr>
            <w:tcW w:w="4463" w:type="dxa"/>
            <w:tcBorders>
              <w:top w:val="nil"/>
            </w:tcBorders>
            <w:shd w:val="clear" w:color="auto" w:fill="auto"/>
          </w:tcPr>
          <w:p w14:paraId="486D50A3" w14:textId="77777777" w:rsidR="00696B4E" w:rsidRPr="006266C6" w:rsidRDefault="00696B4E" w:rsidP="00634E33">
            <w:pPr>
              <w:pStyle w:val="a5"/>
              <w:overflowPunct/>
              <w:spacing w:after="120"/>
              <w:jc w:val="left"/>
            </w:pPr>
            <w:r w:rsidRPr="006266C6">
              <w:t>2006</w:t>
            </w:r>
            <w:r w:rsidRPr="006266C6">
              <w:t>年</w:t>
            </w:r>
            <w:r w:rsidRPr="006266C6">
              <w:t>1</w:t>
            </w:r>
            <w:r w:rsidRPr="006266C6">
              <w:t>月</w:t>
            </w:r>
            <w:r w:rsidRPr="006266C6">
              <w:t>11</w:t>
            </w:r>
            <w:r w:rsidRPr="006266C6">
              <w:t>日加入</w:t>
            </w:r>
          </w:p>
        </w:tc>
      </w:tr>
      <w:tr w:rsidR="00696B4E" w:rsidRPr="006266C6" w14:paraId="50823726" w14:textId="77777777" w:rsidTr="00634E33">
        <w:tc>
          <w:tcPr>
            <w:tcW w:w="2907" w:type="dxa"/>
            <w:shd w:val="clear" w:color="auto" w:fill="auto"/>
          </w:tcPr>
          <w:p w14:paraId="40B734E4" w14:textId="77777777" w:rsidR="00696B4E" w:rsidRPr="006266C6" w:rsidRDefault="00696B4E" w:rsidP="00634E33">
            <w:pPr>
              <w:pStyle w:val="a5"/>
              <w:overflowPunct/>
              <w:spacing w:after="120"/>
              <w:jc w:val="left"/>
            </w:pPr>
            <w:r w:rsidRPr="006266C6">
              <w:t>《残疾人权利公约》</w:t>
            </w:r>
          </w:p>
        </w:tc>
        <w:tc>
          <w:tcPr>
            <w:tcW w:w="4463" w:type="dxa"/>
            <w:shd w:val="clear" w:color="auto" w:fill="auto"/>
          </w:tcPr>
          <w:p w14:paraId="4F74D7A8" w14:textId="77777777" w:rsidR="00696B4E" w:rsidRPr="006266C6" w:rsidRDefault="00696B4E" w:rsidP="00634E33">
            <w:pPr>
              <w:pStyle w:val="a5"/>
              <w:overflowPunct/>
              <w:spacing w:after="120"/>
              <w:jc w:val="left"/>
            </w:pPr>
            <w:r w:rsidRPr="006266C6">
              <w:t>2008</w:t>
            </w:r>
            <w:r w:rsidRPr="006266C6">
              <w:t>年</w:t>
            </w:r>
            <w:r w:rsidRPr="006266C6">
              <w:t>7</w:t>
            </w:r>
            <w:r w:rsidRPr="006266C6">
              <w:t>月</w:t>
            </w:r>
            <w:r w:rsidRPr="006266C6">
              <w:t>29</w:t>
            </w:r>
            <w:r w:rsidRPr="006266C6">
              <w:t>日批准</w:t>
            </w:r>
          </w:p>
        </w:tc>
      </w:tr>
      <w:tr w:rsidR="00696B4E" w:rsidRPr="006266C6" w14:paraId="1AA4168B" w14:textId="77777777" w:rsidTr="00634E33">
        <w:tc>
          <w:tcPr>
            <w:tcW w:w="2907" w:type="dxa"/>
            <w:shd w:val="clear" w:color="auto" w:fill="auto"/>
          </w:tcPr>
          <w:p w14:paraId="2E8A94F5" w14:textId="77777777" w:rsidR="00696B4E" w:rsidRPr="006266C6" w:rsidRDefault="00696B4E" w:rsidP="00634E33">
            <w:pPr>
              <w:pStyle w:val="a5"/>
              <w:overflowPunct/>
              <w:spacing w:after="120"/>
              <w:jc w:val="left"/>
            </w:pPr>
            <w:r w:rsidRPr="006266C6">
              <w:t>《残疾人权利公约任择议定书》</w:t>
            </w:r>
          </w:p>
        </w:tc>
        <w:tc>
          <w:tcPr>
            <w:tcW w:w="4463" w:type="dxa"/>
            <w:shd w:val="clear" w:color="auto" w:fill="auto"/>
          </w:tcPr>
          <w:p w14:paraId="158140EA" w14:textId="77777777" w:rsidR="00696B4E" w:rsidRPr="006266C6" w:rsidRDefault="00696B4E" w:rsidP="00634E33">
            <w:pPr>
              <w:pStyle w:val="a5"/>
              <w:overflowPunct/>
              <w:spacing w:after="120"/>
              <w:jc w:val="left"/>
            </w:pPr>
            <w:r w:rsidRPr="006266C6">
              <w:t>2016</w:t>
            </w:r>
            <w:r w:rsidRPr="006266C6">
              <w:t>年</w:t>
            </w:r>
            <w:r w:rsidRPr="006266C6">
              <w:t>9</w:t>
            </w:r>
            <w:r w:rsidRPr="006266C6">
              <w:t>月</w:t>
            </w:r>
            <w:r w:rsidRPr="006266C6">
              <w:t>2</w:t>
            </w:r>
            <w:r w:rsidRPr="006266C6">
              <w:t>日加入</w:t>
            </w:r>
          </w:p>
        </w:tc>
      </w:tr>
    </w:tbl>
    <w:p w14:paraId="54DB6D91" w14:textId="108A6759" w:rsidR="00696B4E" w:rsidRDefault="00AC145F" w:rsidP="00224340">
      <w:pPr>
        <w:pStyle w:val="SingleTxtGC"/>
        <w:spacing w:before="240" w:after="240"/>
      </w:pPr>
      <w:r w:rsidRPr="00AC145F">
        <w:rPr>
          <w:rFonts w:hint="eastAsia"/>
        </w:rPr>
        <w:t>78.</w:t>
      </w:r>
      <w:r w:rsidRPr="00AC145F">
        <w:rPr>
          <w:rFonts w:hint="eastAsia"/>
        </w:rPr>
        <w:tab/>
      </w:r>
      <w:r w:rsidRPr="00AC145F">
        <w:rPr>
          <w:rFonts w:hint="eastAsia"/>
        </w:rPr>
        <w:t>泰国目前作了如下的保留和声明：</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57"/>
        <w:gridCol w:w="5013"/>
      </w:tblGrid>
      <w:tr w:rsidR="00AC145F" w:rsidRPr="00AC145F" w14:paraId="396CFCD4" w14:textId="77777777" w:rsidTr="00085CF8">
        <w:trPr>
          <w:tblHeader/>
        </w:trPr>
        <w:tc>
          <w:tcPr>
            <w:tcW w:w="2357" w:type="dxa"/>
            <w:tcBorders>
              <w:top w:val="single" w:sz="4" w:space="0" w:color="auto"/>
              <w:bottom w:val="single" w:sz="12" w:space="0" w:color="auto"/>
            </w:tcBorders>
            <w:shd w:val="clear" w:color="auto" w:fill="auto"/>
            <w:vAlign w:val="bottom"/>
          </w:tcPr>
          <w:p w14:paraId="32D05EB3" w14:textId="77777777" w:rsidR="00AC145F" w:rsidRPr="00AC145F" w:rsidRDefault="00AC145F" w:rsidP="00634E33">
            <w:pPr>
              <w:pStyle w:val="a5"/>
              <w:rPr>
                <w:rFonts w:ascii="Time New Roman" w:eastAsia="楷体" w:hAnsi="Time New Roman" w:hint="eastAsia"/>
              </w:rPr>
            </w:pPr>
            <w:r w:rsidRPr="00AC145F">
              <w:rPr>
                <w:rFonts w:ascii="Time New Roman" w:eastAsia="楷体" w:hAnsi="Time New Roman"/>
              </w:rPr>
              <w:t>公约</w:t>
            </w:r>
          </w:p>
        </w:tc>
        <w:tc>
          <w:tcPr>
            <w:tcW w:w="5013" w:type="dxa"/>
            <w:tcBorders>
              <w:top w:val="single" w:sz="4" w:space="0" w:color="auto"/>
              <w:bottom w:val="single" w:sz="12" w:space="0" w:color="auto"/>
            </w:tcBorders>
            <w:shd w:val="clear" w:color="auto" w:fill="auto"/>
            <w:vAlign w:val="bottom"/>
          </w:tcPr>
          <w:p w14:paraId="7ECDD4E3" w14:textId="77777777" w:rsidR="00AC145F" w:rsidRPr="00AC145F" w:rsidRDefault="00AC145F" w:rsidP="00085CF8">
            <w:pPr>
              <w:pStyle w:val="a5"/>
              <w:ind w:right="0"/>
              <w:rPr>
                <w:rFonts w:ascii="Time New Roman" w:eastAsia="楷体" w:hAnsi="Time New Roman" w:hint="eastAsia"/>
              </w:rPr>
            </w:pPr>
            <w:r w:rsidRPr="00AC145F">
              <w:rPr>
                <w:rFonts w:ascii="Time New Roman" w:eastAsia="楷体" w:hAnsi="Time New Roman"/>
              </w:rPr>
              <w:t>保留和声明</w:t>
            </w:r>
          </w:p>
        </w:tc>
      </w:tr>
      <w:tr w:rsidR="00AC145F" w:rsidRPr="006266C6" w14:paraId="3231E8CB" w14:textId="77777777" w:rsidTr="00085CF8">
        <w:trPr>
          <w:trHeight w:hRule="exact" w:val="113"/>
          <w:tblHeader/>
        </w:trPr>
        <w:tc>
          <w:tcPr>
            <w:tcW w:w="2357" w:type="dxa"/>
            <w:tcBorders>
              <w:top w:val="single" w:sz="12" w:space="0" w:color="auto"/>
            </w:tcBorders>
            <w:shd w:val="clear" w:color="auto" w:fill="auto"/>
          </w:tcPr>
          <w:p w14:paraId="252C2E4E" w14:textId="77777777" w:rsidR="00AC145F" w:rsidRPr="006266C6" w:rsidRDefault="00AC145F" w:rsidP="00634E33">
            <w:pPr>
              <w:pStyle w:val="a5"/>
            </w:pPr>
          </w:p>
        </w:tc>
        <w:tc>
          <w:tcPr>
            <w:tcW w:w="5013" w:type="dxa"/>
            <w:tcBorders>
              <w:top w:val="single" w:sz="12" w:space="0" w:color="auto"/>
            </w:tcBorders>
            <w:shd w:val="clear" w:color="auto" w:fill="auto"/>
          </w:tcPr>
          <w:p w14:paraId="2AF91F48" w14:textId="77777777" w:rsidR="00AC145F" w:rsidRPr="006266C6" w:rsidRDefault="00AC145F" w:rsidP="00085CF8">
            <w:pPr>
              <w:pStyle w:val="a5"/>
              <w:ind w:right="0"/>
            </w:pPr>
          </w:p>
        </w:tc>
      </w:tr>
      <w:tr w:rsidR="00AC145F" w:rsidRPr="006266C6" w14:paraId="1576AEBE" w14:textId="77777777" w:rsidTr="00085CF8">
        <w:tc>
          <w:tcPr>
            <w:tcW w:w="2357" w:type="dxa"/>
            <w:vMerge w:val="restart"/>
            <w:shd w:val="clear" w:color="auto" w:fill="auto"/>
          </w:tcPr>
          <w:p w14:paraId="3FBC9335" w14:textId="77777777" w:rsidR="00AC145F" w:rsidRPr="006266C6" w:rsidRDefault="00AC145F" w:rsidP="00634E33">
            <w:pPr>
              <w:pStyle w:val="a5"/>
            </w:pPr>
            <w:r w:rsidRPr="006266C6">
              <w:t>《禁止酷刑公约》</w:t>
            </w:r>
          </w:p>
        </w:tc>
        <w:tc>
          <w:tcPr>
            <w:tcW w:w="5013" w:type="dxa"/>
            <w:shd w:val="clear" w:color="auto" w:fill="auto"/>
          </w:tcPr>
          <w:p w14:paraId="40681B77" w14:textId="77777777" w:rsidR="00AC145F" w:rsidRPr="006266C6" w:rsidRDefault="00AC145F" w:rsidP="00085CF8">
            <w:pPr>
              <w:pStyle w:val="a5"/>
              <w:ind w:right="0"/>
            </w:pPr>
            <w:r w:rsidRPr="006266C6">
              <w:t>解释性声明</w:t>
            </w:r>
          </w:p>
          <w:p w14:paraId="74F27B72" w14:textId="0AF80CC8" w:rsidR="00AC145F" w:rsidRPr="006266C6" w:rsidRDefault="00AC145F" w:rsidP="00085CF8">
            <w:pPr>
              <w:pStyle w:val="a5"/>
              <w:ind w:right="0"/>
            </w:pPr>
            <w:r w:rsidRPr="006266C6">
              <w:t xml:space="preserve">1. </w:t>
            </w:r>
            <w:r w:rsidRPr="006266C6">
              <w:t>关于《公约》第</w:t>
            </w:r>
            <w:r w:rsidRPr="006266C6">
              <w:t>1</w:t>
            </w:r>
            <w:r w:rsidRPr="006266C6">
              <w:t>条中的</w:t>
            </w:r>
            <w:r w:rsidR="00224340">
              <w:rPr>
                <w:rFonts w:hint="eastAsia"/>
              </w:rPr>
              <w:t>“</w:t>
            </w:r>
            <w:r w:rsidRPr="006266C6">
              <w:t>酷刑</w:t>
            </w:r>
            <w:r w:rsidR="00224340">
              <w:rPr>
                <w:rFonts w:hint="eastAsia"/>
              </w:rPr>
              <w:t>”</w:t>
            </w:r>
            <w:r w:rsidRPr="006266C6">
              <w:t>一词，尽管泰国现行《刑法典》中没有与该词相对应的具体定义或具体罪行，但上述泰国《刑法典》中有类似条款适用于《公约》第</w:t>
            </w:r>
            <w:r w:rsidRPr="006266C6">
              <w:t>1</w:t>
            </w:r>
            <w:r w:rsidRPr="006266C6">
              <w:t>条下的行为。因此，《公约》第</w:t>
            </w:r>
            <w:r w:rsidRPr="006266C6">
              <w:t>1</w:t>
            </w:r>
            <w:r w:rsidRPr="006266C6">
              <w:t>条下的</w:t>
            </w:r>
            <w:r w:rsidR="00224340">
              <w:rPr>
                <w:rFonts w:hint="eastAsia"/>
              </w:rPr>
              <w:t>“</w:t>
            </w:r>
            <w:r w:rsidR="00224340" w:rsidRPr="006266C6">
              <w:t>酷刑</w:t>
            </w:r>
            <w:r w:rsidR="00224340">
              <w:rPr>
                <w:rFonts w:hint="eastAsia"/>
              </w:rPr>
              <w:t>”</w:t>
            </w:r>
            <w:r w:rsidRPr="006266C6">
              <w:t>一词应根据泰国现行《刑法典》加以解释。泰王国应尽早修订其国内法，使之更加符合《公约》第</w:t>
            </w:r>
            <w:r w:rsidRPr="006266C6">
              <w:t>1</w:t>
            </w:r>
            <w:r w:rsidRPr="006266C6">
              <w:t>条。</w:t>
            </w:r>
          </w:p>
        </w:tc>
      </w:tr>
      <w:tr w:rsidR="00AC145F" w:rsidRPr="006266C6" w14:paraId="2C8F715F" w14:textId="77777777" w:rsidTr="00085CF8">
        <w:tc>
          <w:tcPr>
            <w:tcW w:w="2357" w:type="dxa"/>
            <w:vMerge/>
            <w:shd w:val="clear" w:color="auto" w:fill="auto"/>
          </w:tcPr>
          <w:p w14:paraId="051A58EA" w14:textId="77777777" w:rsidR="00AC145F" w:rsidRPr="006266C6" w:rsidRDefault="00AC145F" w:rsidP="00634E33">
            <w:pPr>
              <w:pStyle w:val="a5"/>
            </w:pPr>
          </w:p>
        </w:tc>
        <w:tc>
          <w:tcPr>
            <w:tcW w:w="5013" w:type="dxa"/>
            <w:shd w:val="clear" w:color="auto" w:fill="auto"/>
          </w:tcPr>
          <w:p w14:paraId="5ED1AAB9" w14:textId="4529839F" w:rsidR="00AC145F" w:rsidRPr="006266C6" w:rsidRDefault="00AC145F" w:rsidP="00085CF8">
            <w:pPr>
              <w:pStyle w:val="a5"/>
              <w:ind w:right="0"/>
            </w:pPr>
            <w:r w:rsidRPr="006266C6">
              <w:t xml:space="preserve">2. </w:t>
            </w:r>
            <w:r w:rsidRPr="006266C6">
              <w:t>出于与上一款规定的相同原因，《公约》第</w:t>
            </w:r>
            <w:r w:rsidRPr="006266C6">
              <w:t>4</w:t>
            </w:r>
            <w:r w:rsidRPr="006266C6">
              <w:t>条规定：</w:t>
            </w:r>
            <w:r w:rsidR="00224340">
              <w:rPr>
                <w:rFonts w:hint="eastAsia"/>
                <w:lang w:val="fr-CH"/>
              </w:rPr>
              <w:t>‘</w:t>
            </w:r>
            <w:r w:rsidRPr="006266C6">
              <w:t>每一缔约国应保证将一切酷刑行为定为刑事罪行。该项规定也应适用于施行酷刑的企图以及任何人合谋或参与酷刑的行为，</w:t>
            </w:r>
            <w:r w:rsidR="00224340">
              <w:rPr>
                <w:rFonts w:hint="eastAsia"/>
                <w:lang w:val="fr-CH"/>
              </w:rPr>
              <w:t>’</w:t>
            </w:r>
            <w:r w:rsidRPr="006266C6">
              <w:t>应根据泰国现行《刑法典》进行解释。泰王国应尽早修订其国内法，使之更加符合《公约》第</w:t>
            </w:r>
            <w:r w:rsidRPr="006266C6">
              <w:t>4</w:t>
            </w:r>
            <w:r w:rsidRPr="006266C6">
              <w:t>条。</w:t>
            </w:r>
          </w:p>
        </w:tc>
      </w:tr>
      <w:tr w:rsidR="00AC145F" w:rsidRPr="006266C6" w14:paraId="36FDB17B" w14:textId="77777777" w:rsidTr="00085CF8">
        <w:tc>
          <w:tcPr>
            <w:tcW w:w="2357" w:type="dxa"/>
            <w:vMerge/>
            <w:shd w:val="clear" w:color="auto" w:fill="auto"/>
          </w:tcPr>
          <w:p w14:paraId="15FD0E26" w14:textId="77777777" w:rsidR="00AC145F" w:rsidRPr="006266C6" w:rsidRDefault="00AC145F" w:rsidP="00634E33">
            <w:pPr>
              <w:pStyle w:val="a5"/>
            </w:pPr>
          </w:p>
        </w:tc>
        <w:tc>
          <w:tcPr>
            <w:tcW w:w="5013" w:type="dxa"/>
            <w:shd w:val="clear" w:color="auto" w:fill="auto"/>
          </w:tcPr>
          <w:p w14:paraId="281489F8" w14:textId="1FC5598B" w:rsidR="00AC145F" w:rsidRPr="006266C6" w:rsidRDefault="00AC145F" w:rsidP="00085CF8">
            <w:pPr>
              <w:pStyle w:val="a5"/>
              <w:ind w:right="0"/>
            </w:pPr>
            <w:r w:rsidRPr="006266C6">
              <w:t xml:space="preserve">3. </w:t>
            </w:r>
            <w:r w:rsidRPr="006266C6">
              <w:t>《公约》第</w:t>
            </w:r>
            <w:r w:rsidRPr="006266C6">
              <w:t>5</w:t>
            </w:r>
            <w:r w:rsidRPr="006266C6">
              <w:t>条规定：</w:t>
            </w:r>
            <w:r w:rsidR="00224340">
              <w:rPr>
                <w:rFonts w:hint="eastAsia"/>
                <w:lang w:val="fr-CH"/>
              </w:rPr>
              <w:t>‘</w:t>
            </w:r>
            <w:r w:rsidRPr="006266C6">
              <w:t>每一缔约国应采取各种必要措施，确定在下列情况下，该国对第</w:t>
            </w:r>
            <w:r w:rsidRPr="006266C6">
              <w:t>4</w:t>
            </w:r>
            <w:r w:rsidRPr="006266C6">
              <w:t>条所述的罪行有管辖权</w:t>
            </w:r>
            <w:r w:rsidR="00085CF8">
              <w:rPr>
                <w:rFonts w:hint="eastAsia"/>
                <w:lang w:val="fr-CH"/>
              </w:rPr>
              <w:t>……</w:t>
            </w:r>
            <w:r w:rsidR="00224340">
              <w:rPr>
                <w:rFonts w:hint="eastAsia"/>
                <w:lang w:val="fr-CH"/>
              </w:rPr>
              <w:t>’</w:t>
            </w:r>
            <w:r w:rsidRPr="006266C6">
              <w:t>泰王国将其解释为第</w:t>
            </w:r>
            <w:r w:rsidRPr="006266C6">
              <w:t>5</w:t>
            </w:r>
            <w:r w:rsidRPr="006266C6">
              <w:t>条所述的管辖权应根据泰国现行《刑法典》确立。泰王国应尽早修订其国内法，使之更加符合《公约》第</w:t>
            </w:r>
            <w:r w:rsidRPr="006266C6">
              <w:t>5</w:t>
            </w:r>
            <w:r w:rsidRPr="006266C6">
              <w:t>条。</w:t>
            </w:r>
          </w:p>
        </w:tc>
      </w:tr>
      <w:tr w:rsidR="00AC145F" w:rsidRPr="006266C6" w14:paraId="76CBD0CD" w14:textId="77777777" w:rsidTr="00085CF8">
        <w:tc>
          <w:tcPr>
            <w:tcW w:w="2357" w:type="dxa"/>
            <w:vMerge/>
            <w:shd w:val="clear" w:color="auto" w:fill="auto"/>
          </w:tcPr>
          <w:p w14:paraId="3D8E92FA" w14:textId="77777777" w:rsidR="00AC145F" w:rsidRPr="006266C6" w:rsidRDefault="00AC145F" w:rsidP="00634E33">
            <w:pPr>
              <w:pStyle w:val="a5"/>
            </w:pPr>
          </w:p>
        </w:tc>
        <w:tc>
          <w:tcPr>
            <w:tcW w:w="5013" w:type="dxa"/>
            <w:shd w:val="clear" w:color="auto" w:fill="auto"/>
          </w:tcPr>
          <w:p w14:paraId="21A94BC0" w14:textId="64C037A1" w:rsidR="00AC145F" w:rsidRPr="006266C6" w:rsidRDefault="00AC145F" w:rsidP="00085CF8">
            <w:pPr>
              <w:pStyle w:val="a5"/>
              <w:ind w:right="0"/>
            </w:pPr>
            <w:r w:rsidRPr="006266C6">
              <w:t>保留</w:t>
            </w:r>
            <w:r w:rsidR="00085CF8" w:rsidRPr="006266C6">
              <w:t>：</w:t>
            </w:r>
            <w:r w:rsidRPr="006266C6">
              <w:t>泰王国认为自己不受《公约》第</w:t>
            </w:r>
            <w:r w:rsidRPr="006266C6">
              <w:t>30</w:t>
            </w:r>
            <w:r w:rsidRPr="006266C6">
              <w:t>条第</w:t>
            </w:r>
            <w:r w:rsidRPr="006266C6">
              <w:t>1</w:t>
            </w:r>
            <w:r w:rsidRPr="006266C6">
              <w:t>款的约束。</w:t>
            </w:r>
          </w:p>
        </w:tc>
      </w:tr>
      <w:tr w:rsidR="00AC145F" w:rsidRPr="006266C6" w14:paraId="02A5D0DE" w14:textId="77777777" w:rsidTr="00085CF8">
        <w:tc>
          <w:tcPr>
            <w:tcW w:w="2357" w:type="dxa"/>
            <w:vMerge w:val="restart"/>
            <w:shd w:val="clear" w:color="auto" w:fill="auto"/>
          </w:tcPr>
          <w:p w14:paraId="04163054" w14:textId="60678C64" w:rsidR="00AC145F" w:rsidRPr="006266C6" w:rsidRDefault="00AC145F" w:rsidP="00634E33">
            <w:pPr>
              <w:pStyle w:val="a5"/>
            </w:pPr>
            <w:r w:rsidRPr="006266C6">
              <w:t>《公民及政治权利</w:t>
            </w:r>
            <w:r w:rsidR="00085CF8">
              <w:br/>
            </w:r>
            <w:r w:rsidRPr="006266C6">
              <w:t>国际公约》</w:t>
            </w:r>
          </w:p>
        </w:tc>
        <w:tc>
          <w:tcPr>
            <w:tcW w:w="5013" w:type="dxa"/>
            <w:shd w:val="clear" w:color="auto" w:fill="auto"/>
          </w:tcPr>
          <w:p w14:paraId="6248B0B3" w14:textId="77777777" w:rsidR="00AC145F" w:rsidRPr="006266C6" w:rsidRDefault="00AC145F" w:rsidP="00085CF8">
            <w:pPr>
              <w:pStyle w:val="a5"/>
              <w:ind w:right="0"/>
            </w:pPr>
            <w:r w:rsidRPr="006266C6">
              <w:t>解释性声明：泰国政府声明：</w:t>
            </w:r>
          </w:p>
          <w:p w14:paraId="19AFA6FC" w14:textId="34A9C192" w:rsidR="00AC145F" w:rsidRPr="006266C6" w:rsidRDefault="00AC145F" w:rsidP="00085CF8">
            <w:pPr>
              <w:pStyle w:val="a5"/>
              <w:ind w:right="0"/>
            </w:pPr>
            <w:r w:rsidRPr="006266C6">
              <w:t xml:space="preserve">1. </w:t>
            </w:r>
            <w:r w:rsidRPr="006266C6">
              <w:t>《公约》第一条第一款中</w:t>
            </w:r>
            <w:r w:rsidR="00224340">
              <w:rPr>
                <w:rFonts w:hint="eastAsia"/>
              </w:rPr>
              <w:t>“</w:t>
            </w:r>
            <w:r w:rsidRPr="006266C6">
              <w:t>自决</w:t>
            </w:r>
            <w:r w:rsidR="00224340">
              <w:rPr>
                <w:rFonts w:hint="eastAsia"/>
              </w:rPr>
              <w:t>”</w:t>
            </w:r>
            <w:r w:rsidRPr="006266C6">
              <w:t>一词应解释为符合</w:t>
            </w:r>
            <w:r w:rsidRPr="006266C6">
              <w:t>1993</w:t>
            </w:r>
            <w:r w:rsidRPr="006266C6">
              <w:t>年</w:t>
            </w:r>
            <w:r w:rsidRPr="006266C6">
              <w:t>6</w:t>
            </w:r>
            <w:r w:rsidRPr="006266C6">
              <w:t>月</w:t>
            </w:r>
            <w:r w:rsidRPr="006266C6">
              <w:t>25</w:t>
            </w:r>
            <w:r w:rsidRPr="006266C6">
              <w:t>日世界人权会议通过的《维也纳宣言和行动纲领》中所表达的意思。</w:t>
            </w:r>
          </w:p>
        </w:tc>
      </w:tr>
      <w:tr w:rsidR="00AC145F" w:rsidRPr="006266C6" w14:paraId="1A625BC3" w14:textId="77777777" w:rsidTr="00085CF8">
        <w:tc>
          <w:tcPr>
            <w:tcW w:w="2357" w:type="dxa"/>
            <w:vMerge/>
            <w:shd w:val="clear" w:color="auto" w:fill="auto"/>
          </w:tcPr>
          <w:p w14:paraId="2E4A746B" w14:textId="77777777" w:rsidR="00AC145F" w:rsidRPr="006266C6" w:rsidRDefault="00AC145F" w:rsidP="00634E33">
            <w:pPr>
              <w:pStyle w:val="a5"/>
            </w:pPr>
          </w:p>
        </w:tc>
        <w:tc>
          <w:tcPr>
            <w:tcW w:w="5013" w:type="dxa"/>
            <w:shd w:val="clear" w:color="auto" w:fill="auto"/>
          </w:tcPr>
          <w:p w14:paraId="7961074F" w14:textId="21E1F32E" w:rsidR="00AC145F" w:rsidRPr="006266C6" w:rsidRDefault="00AC145F" w:rsidP="00085CF8">
            <w:pPr>
              <w:pStyle w:val="a5"/>
              <w:ind w:right="0"/>
              <w:rPr>
                <w:cs/>
              </w:rPr>
            </w:pPr>
            <w:r w:rsidRPr="006266C6">
              <w:t>2.</w:t>
            </w:r>
            <w:r w:rsidR="00085CF8">
              <w:t xml:space="preserve"> </w:t>
            </w:r>
            <w:r w:rsidRPr="006266C6">
              <w:t>关于《公约》第二十条，泰国认为第一款中的</w:t>
            </w:r>
            <w:r w:rsidR="00085CF8">
              <w:rPr>
                <w:rFonts w:hint="eastAsia"/>
              </w:rPr>
              <w:t>“</w:t>
            </w:r>
            <w:r w:rsidRPr="006266C6">
              <w:t>战争</w:t>
            </w:r>
            <w:r w:rsidR="00085CF8">
              <w:rPr>
                <w:rFonts w:hint="eastAsia"/>
              </w:rPr>
              <w:t>”</w:t>
            </w:r>
            <w:r w:rsidRPr="006266C6">
              <w:t>一词是指违反国际法的战争。</w:t>
            </w:r>
          </w:p>
        </w:tc>
      </w:tr>
      <w:tr w:rsidR="00AC145F" w:rsidRPr="006266C6" w14:paraId="1BCF5661" w14:textId="77777777" w:rsidTr="00085CF8">
        <w:tc>
          <w:tcPr>
            <w:tcW w:w="2357" w:type="dxa"/>
            <w:vMerge w:val="restart"/>
            <w:shd w:val="clear" w:color="auto" w:fill="auto"/>
          </w:tcPr>
          <w:p w14:paraId="4A66F745" w14:textId="7F81BE60" w:rsidR="00AC145F" w:rsidRPr="006266C6" w:rsidRDefault="00AC145F" w:rsidP="00634E33">
            <w:pPr>
              <w:pStyle w:val="a5"/>
            </w:pPr>
            <w:r w:rsidRPr="006266C6">
              <w:t>《消除对妇女一切形式</w:t>
            </w:r>
            <w:r w:rsidR="00085CF8">
              <w:br/>
            </w:r>
            <w:r w:rsidRPr="006266C6">
              <w:t>歧视公约》</w:t>
            </w:r>
          </w:p>
        </w:tc>
        <w:tc>
          <w:tcPr>
            <w:tcW w:w="5013" w:type="dxa"/>
            <w:shd w:val="clear" w:color="auto" w:fill="auto"/>
          </w:tcPr>
          <w:p w14:paraId="6B28EB14" w14:textId="77777777" w:rsidR="00AC145F" w:rsidRPr="006266C6" w:rsidRDefault="00AC145F" w:rsidP="00085CF8">
            <w:pPr>
              <w:pStyle w:val="a5"/>
              <w:ind w:right="0"/>
            </w:pPr>
            <w:r w:rsidRPr="006266C6">
              <w:t>声明：泰王国政府谨表示它认为，《公约》的宗旨是消除对妇女的歧视，使每个人，无论男女，在法律面前一律平等，并符合泰王国《宪法》规定的原则。</w:t>
            </w:r>
          </w:p>
        </w:tc>
      </w:tr>
      <w:tr w:rsidR="00AC145F" w:rsidRPr="006266C6" w14:paraId="6A046815" w14:textId="77777777" w:rsidTr="00085CF8">
        <w:tc>
          <w:tcPr>
            <w:tcW w:w="2357" w:type="dxa"/>
            <w:vMerge/>
            <w:shd w:val="clear" w:color="auto" w:fill="auto"/>
          </w:tcPr>
          <w:p w14:paraId="7C31814E" w14:textId="77777777" w:rsidR="00AC145F" w:rsidRPr="006266C6" w:rsidRDefault="00AC145F" w:rsidP="00634E33">
            <w:pPr>
              <w:pStyle w:val="a5"/>
            </w:pPr>
          </w:p>
        </w:tc>
        <w:tc>
          <w:tcPr>
            <w:tcW w:w="5013" w:type="dxa"/>
            <w:shd w:val="clear" w:color="auto" w:fill="auto"/>
          </w:tcPr>
          <w:p w14:paraId="123A84C6" w14:textId="77777777" w:rsidR="00AC145F" w:rsidRPr="006266C6" w:rsidRDefault="00AC145F" w:rsidP="00085CF8">
            <w:pPr>
              <w:pStyle w:val="a5"/>
              <w:ind w:right="0"/>
              <w:rPr>
                <w:cs/>
              </w:rPr>
            </w:pPr>
            <w:r w:rsidRPr="006266C6">
              <w:t>保留：泰王国政府认为自己不受《公约》第二十九条第</w:t>
            </w:r>
            <w:r w:rsidRPr="006266C6">
              <w:t>1</w:t>
            </w:r>
            <w:r w:rsidRPr="006266C6">
              <w:t>款规定的约束。</w:t>
            </w:r>
          </w:p>
        </w:tc>
      </w:tr>
      <w:tr w:rsidR="00AC145F" w:rsidRPr="006266C6" w14:paraId="766A9498" w14:textId="77777777" w:rsidTr="00085CF8">
        <w:tc>
          <w:tcPr>
            <w:tcW w:w="2357" w:type="dxa"/>
            <w:vMerge w:val="restart"/>
            <w:shd w:val="clear" w:color="auto" w:fill="auto"/>
          </w:tcPr>
          <w:p w14:paraId="4619EAC2" w14:textId="77777777" w:rsidR="00AC145F" w:rsidRPr="006266C6" w:rsidRDefault="00AC145F" w:rsidP="00634E33">
            <w:pPr>
              <w:pStyle w:val="a5"/>
            </w:pPr>
            <w:r w:rsidRPr="006266C6">
              <w:t>《消除种族歧视公约》</w:t>
            </w:r>
          </w:p>
        </w:tc>
        <w:tc>
          <w:tcPr>
            <w:tcW w:w="5013" w:type="dxa"/>
            <w:shd w:val="clear" w:color="auto" w:fill="auto"/>
          </w:tcPr>
          <w:p w14:paraId="6B4FFB5A" w14:textId="268E208A" w:rsidR="00AC145F" w:rsidRPr="006266C6" w:rsidRDefault="00AC145F" w:rsidP="00085CF8">
            <w:pPr>
              <w:pStyle w:val="a5"/>
              <w:ind w:right="0"/>
            </w:pPr>
            <w:r w:rsidRPr="006266C6">
              <w:t>解释性声明</w:t>
            </w:r>
            <w:r w:rsidR="00085CF8" w:rsidRPr="006266C6">
              <w:t>：</w:t>
            </w:r>
            <w:r w:rsidRPr="006266C6">
              <w:t>泰王国不将本公约的条款解释和适用为强加给泰王国任何超出泰王国《宪法》和法律范围的义务。此外，这种解释和适用应限于或符合泰王国加入的其他国际人权文书规定的义务。</w:t>
            </w:r>
          </w:p>
        </w:tc>
      </w:tr>
      <w:tr w:rsidR="00AC145F" w:rsidRPr="006266C6" w14:paraId="716DB7FA" w14:textId="77777777" w:rsidTr="00085CF8">
        <w:tc>
          <w:tcPr>
            <w:tcW w:w="2357" w:type="dxa"/>
            <w:vMerge/>
            <w:shd w:val="clear" w:color="auto" w:fill="auto"/>
          </w:tcPr>
          <w:p w14:paraId="71D37072" w14:textId="77777777" w:rsidR="00AC145F" w:rsidRPr="006266C6" w:rsidRDefault="00AC145F" w:rsidP="00634E33">
            <w:pPr>
              <w:pStyle w:val="a5"/>
            </w:pPr>
          </w:p>
        </w:tc>
        <w:tc>
          <w:tcPr>
            <w:tcW w:w="5013" w:type="dxa"/>
            <w:shd w:val="clear" w:color="auto" w:fill="auto"/>
          </w:tcPr>
          <w:p w14:paraId="578DAE8A" w14:textId="6C1EB016" w:rsidR="00AC145F" w:rsidRPr="006266C6" w:rsidRDefault="00AC145F" w:rsidP="00085CF8">
            <w:pPr>
              <w:pStyle w:val="a5"/>
              <w:ind w:right="0"/>
            </w:pPr>
            <w:r w:rsidRPr="006266C6">
              <w:t>保留</w:t>
            </w:r>
            <w:r w:rsidR="00085CF8" w:rsidRPr="006266C6">
              <w:t>：</w:t>
            </w:r>
            <w:r w:rsidRPr="006266C6">
              <w:t>泰王国认为自己不受《公约》第二十二条规定的约束。</w:t>
            </w:r>
          </w:p>
        </w:tc>
      </w:tr>
      <w:tr w:rsidR="00AC145F" w:rsidRPr="006266C6" w14:paraId="022428FD" w14:textId="77777777" w:rsidTr="00085CF8">
        <w:tc>
          <w:tcPr>
            <w:tcW w:w="2357" w:type="dxa"/>
            <w:shd w:val="clear" w:color="auto" w:fill="auto"/>
          </w:tcPr>
          <w:p w14:paraId="1937D57A" w14:textId="396E8F24" w:rsidR="00AC145F" w:rsidRPr="006266C6" w:rsidRDefault="00AC145F" w:rsidP="00634E33">
            <w:pPr>
              <w:pStyle w:val="a5"/>
            </w:pPr>
            <w:r w:rsidRPr="006266C6">
              <w:t>《经济社会文化权利</w:t>
            </w:r>
            <w:r w:rsidR="00085CF8">
              <w:br/>
            </w:r>
            <w:r w:rsidRPr="006266C6">
              <w:t>国际公约》</w:t>
            </w:r>
          </w:p>
        </w:tc>
        <w:tc>
          <w:tcPr>
            <w:tcW w:w="5013" w:type="dxa"/>
            <w:shd w:val="clear" w:color="auto" w:fill="auto"/>
          </w:tcPr>
          <w:p w14:paraId="0E057347" w14:textId="36646684" w:rsidR="00AC145F" w:rsidRPr="006266C6" w:rsidRDefault="00AC145F" w:rsidP="00085CF8">
            <w:pPr>
              <w:pStyle w:val="a5"/>
              <w:ind w:right="0"/>
            </w:pPr>
            <w:r w:rsidRPr="006266C6">
              <w:t>解释性声明</w:t>
            </w:r>
            <w:r w:rsidR="00085CF8" w:rsidRPr="006266C6">
              <w:t>：</w:t>
            </w:r>
            <w:r w:rsidRPr="006266C6">
              <w:t>泰王国政府声明，《公约》第一条第一款中</w:t>
            </w:r>
            <w:r w:rsidR="00224340">
              <w:rPr>
                <w:rFonts w:hint="eastAsia"/>
              </w:rPr>
              <w:t>“</w:t>
            </w:r>
            <w:r w:rsidR="00224340" w:rsidRPr="006266C6">
              <w:t>自决</w:t>
            </w:r>
            <w:r w:rsidR="00224340">
              <w:rPr>
                <w:rFonts w:hint="eastAsia"/>
              </w:rPr>
              <w:t>”</w:t>
            </w:r>
            <w:r w:rsidRPr="006266C6">
              <w:t>一词应被解释为符合</w:t>
            </w:r>
            <w:r w:rsidRPr="006266C6">
              <w:t>1993</w:t>
            </w:r>
            <w:r w:rsidRPr="006266C6">
              <w:t>年</w:t>
            </w:r>
            <w:r w:rsidRPr="006266C6">
              <w:t>6</w:t>
            </w:r>
            <w:r w:rsidRPr="006266C6">
              <w:t>月</w:t>
            </w:r>
            <w:r w:rsidRPr="006266C6">
              <w:t>25</w:t>
            </w:r>
            <w:r w:rsidRPr="006266C6">
              <w:t>日世界人权会议通过的《维也纳宣言和行动纲领》中所表达的意思。</w:t>
            </w:r>
          </w:p>
        </w:tc>
      </w:tr>
      <w:tr w:rsidR="00AC145F" w:rsidRPr="006266C6" w14:paraId="1F079EF3" w14:textId="77777777" w:rsidTr="00085CF8">
        <w:tc>
          <w:tcPr>
            <w:tcW w:w="2357" w:type="dxa"/>
            <w:shd w:val="clear" w:color="auto" w:fill="auto"/>
          </w:tcPr>
          <w:p w14:paraId="40451C3F" w14:textId="77777777" w:rsidR="00AC145F" w:rsidRPr="006266C6" w:rsidRDefault="00AC145F" w:rsidP="00634E33">
            <w:pPr>
              <w:pStyle w:val="a5"/>
            </w:pPr>
            <w:r w:rsidRPr="006266C6">
              <w:t>《儿童权利公约》</w:t>
            </w:r>
          </w:p>
        </w:tc>
        <w:tc>
          <w:tcPr>
            <w:tcW w:w="5013" w:type="dxa"/>
            <w:shd w:val="clear" w:color="auto" w:fill="auto"/>
          </w:tcPr>
          <w:p w14:paraId="3659686B" w14:textId="3BF111B6" w:rsidR="00AC145F" w:rsidRPr="006266C6" w:rsidRDefault="00AC145F" w:rsidP="00085CF8">
            <w:pPr>
              <w:pStyle w:val="a5"/>
              <w:ind w:right="0"/>
            </w:pPr>
            <w:r w:rsidRPr="006266C6">
              <w:t>保留</w:t>
            </w:r>
            <w:r w:rsidR="00085CF8" w:rsidRPr="006266C6">
              <w:t>：</w:t>
            </w:r>
            <w:r w:rsidRPr="006266C6">
              <w:t>《儿童权利公约》第</w:t>
            </w:r>
            <w:r w:rsidRPr="006266C6">
              <w:t>22</w:t>
            </w:r>
            <w:r w:rsidRPr="006266C6">
              <w:t>条的适用应遵循泰国的国家法律、法规和通行做法。</w:t>
            </w:r>
          </w:p>
        </w:tc>
      </w:tr>
      <w:tr w:rsidR="00AC145F" w:rsidRPr="006266C6" w14:paraId="24E69153" w14:textId="77777777" w:rsidTr="00085CF8">
        <w:tc>
          <w:tcPr>
            <w:tcW w:w="2357" w:type="dxa"/>
            <w:vMerge w:val="restart"/>
            <w:shd w:val="clear" w:color="auto" w:fill="auto"/>
          </w:tcPr>
          <w:p w14:paraId="02698E19" w14:textId="1B36A285" w:rsidR="00AC145F" w:rsidRPr="006266C6" w:rsidRDefault="00AC145F" w:rsidP="00085CF8">
            <w:pPr>
              <w:pStyle w:val="a5"/>
              <w:pageBreakBefore/>
            </w:pPr>
            <w:r w:rsidRPr="006266C6">
              <w:lastRenderedPageBreak/>
              <w:t>《儿童权利公约关于儿童</w:t>
            </w:r>
            <w:r w:rsidR="00085CF8">
              <w:br/>
            </w:r>
            <w:r w:rsidRPr="006266C6">
              <w:t>卷入武装冲突问题的任择</w:t>
            </w:r>
            <w:r w:rsidR="00085CF8">
              <w:br/>
            </w:r>
            <w:r w:rsidRPr="006266C6">
              <w:t>议定书》</w:t>
            </w:r>
          </w:p>
        </w:tc>
        <w:tc>
          <w:tcPr>
            <w:tcW w:w="5013" w:type="dxa"/>
            <w:shd w:val="clear" w:color="auto" w:fill="auto"/>
          </w:tcPr>
          <w:p w14:paraId="267D02F1" w14:textId="77777777" w:rsidR="00AC145F" w:rsidRPr="006266C6" w:rsidRDefault="00AC145F" w:rsidP="00085CF8">
            <w:pPr>
              <w:pStyle w:val="a5"/>
              <w:ind w:right="0"/>
            </w:pPr>
            <w:r w:rsidRPr="006266C6">
              <w:t>声明：</w:t>
            </w:r>
            <w:r w:rsidRPr="006266C6">
              <w:t>1</w:t>
            </w:r>
            <w:r w:rsidRPr="006266C6">
              <w:t>法律规定服兵役是强制性的。年满</w:t>
            </w:r>
            <w:r w:rsidRPr="006266C6">
              <w:t>18</w:t>
            </w:r>
            <w:r w:rsidRPr="006266C6">
              <w:t>岁的泰国男子有义务在非现役军事人员名单上登记。年满</w:t>
            </w:r>
            <w:r w:rsidRPr="006266C6">
              <w:t>21</w:t>
            </w:r>
            <w:r w:rsidRPr="006266C6">
              <w:t>岁时，被选定的非现役军人将成为现役军人。非现役军人也可自愿申请成为现役军人，在国家武装部队服役。无论是在和平时期还是在战争时期，妇女都免于服义务兵役，但必须承担法律赋予的其他职责。</w:t>
            </w:r>
          </w:p>
        </w:tc>
      </w:tr>
      <w:tr w:rsidR="00AC145F" w:rsidRPr="006266C6" w14:paraId="698BB833" w14:textId="77777777" w:rsidTr="00085CF8">
        <w:tc>
          <w:tcPr>
            <w:tcW w:w="2357" w:type="dxa"/>
            <w:vMerge/>
            <w:shd w:val="clear" w:color="auto" w:fill="auto"/>
          </w:tcPr>
          <w:p w14:paraId="3C61E95B" w14:textId="77777777" w:rsidR="00AC145F" w:rsidRPr="006266C6" w:rsidRDefault="00AC145F" w:rsidP="00634E33">
            <w:pPr>
              <w:pStyle w:val="a5"/>
            </w:pPr>
          </w:p>
        </w:tc>
        <w:tc>
          <w:tcPr>
            <w:tcW w:w="5013" w:type="dxa"/>
            <w:shd w:val="clear" w:color="auto" w:fill="auto"/>
          </w:tcPr>
          <w:p w14:paraId="1342177C" w14:textId="77777777" w:rsidR="00AC145F" w:rsidRPr="006266C6" w:rsidRDefault="00AC145F" w:rsidP="00085CF8">
            <w:pPr>
              <w:pStyle w:val="a5"/>
              <w:ind w:right="0"/>
              <w:rPr>
                <w:cs/>
              </w:rPr>
            </w:pPr>
            <w:r w:rsidRPr="006266C6">
              <w:t xml:space="preserve">2. </w:t>
            </w:r>
            <w:r w:rsidRPr="006266C6">
              <w:t>在战争或国家危机时期，可以招募非现役军人</w:t>
            </w:r>
            <w:r w:rsidRPr="006266C6">
              <w:t>(18</w:t>
            </w:r>
            <w:r w:rsidRPr="006266C6">
              <w:t>岁以上的男子</w:t>
            </w:r>
            <w:r w:rsidRPr="006266C6">
              <w:t>)</w:t>
            </w:r>
            <w:r w:rsidRPr="006266C6">
              <w:t>参加武装部队。</w:t>
            </w:r>
          </w:p>
        </w:tc>
      </w:tr>
      <w:tr w:rsidR="00AC145F" w:rsidRPr="006266C6" w14:paraId="1B60952F" w14:textId="77777777" w:rsidTr="00085CF8">
        <w:tc>
          <w:tcPr>
            <w:tcW w:w="2357" w:type="dxa"/>
            <w:vMerge/>
            <w:shd w:val="clear" w:color="auto" w:fill="auto"/>
          </w:tcPr>
          <w:p w14:paraId="302679A9" w14:textId="77777777" w:rsidR="00AC145F" w:rsidRPr="006266C6" w:rsidRDefault="00AC145F" w:rsidP="00634E33">
            <w:pPr>
              <w:pStyle w:val="a5"/>
            </w:pPr>
          </w:p>
        </w:tc>
        <w:tc>
          <w:tcPr>
            <w:tcW w:w="5013" w:type="dxa"/>
            <w:shd w:val="clear" w:color="auto" w:fill="auto"/>
          </w:tcPr>
          <w:p w14:paraId="4F1608E8" w14:textId="77777777" w:rsidR="00AC145F" w:rsidRPr="006266C6" w:rsidRDefault="00AC145F" w:rsidP="00085CF8">
            <w:pPr>
              <w:pStyle w:val="a5"/>
              <w:ind w:right="0"/>
            </w:pPr>
            <w:r w:rsidRPr="006266C6">
              <w:t xml:space="preserve">3. </w:t>
            </w:r>
            <w:r w:rsidRPr="006266C6">
              <w:t>陆军士官学校、航空技术培训学校、海军士官学校、武装部队院校预备学校和陆、海、空军院校等军事学校的入学是自愿的，根据入学考试成绩录取，并需征得父母或法定监护人的同意。</w:t>
            </w:r>
          </w:p>
        </w:tc>
      </w:tr>
      <w:tr w:rsidR="00AC145F" w:rsidRPr="006266C6" w14:paraId="5E500AF6" w14:textId="77777777" w:rsidTr="00085CF8">
        <w:tc>
          <w:tcPr>
            <w:tcW w:w="2357" w:type="dxa"/>
            <w:vMerge/>
            <w:shd w:val="clear" w:color="auto" w:fill="auto"/>
          </w:tcPr>
          <w:p w14:paraId="6347EAF0" w14:textId="77777777" w:rsidR="00AC145F" w:rsidRPr="006266C6" w:rsidRDefault="00AC145F" w:rsidP="00634E33">
            <w:pPr>
              <w:pStyle w:val="a5"/>
            </w:pPr>
          </w:p>
        </w:tc>
        <w:tc>
          <w:tcPr>
            <w:tcW w:w="5013" w:type="dxa"/>
            <w:shd w:val="clear" w:color="auto" w:fill="auto"/>
          </w:tcPr>
          <w:p w14:paraId="590CE23C" w14:textId="77777777" w:rsidR="00AC145F" w:rsidRPr="006266C6" w:rsidRDefault="00AC145F" w:rsidP="00085CF8">
            <w:pPr>
              <w:pStyle w:val="a5"/>
              <w:ind w:right="0"/>
            </w:pPr>
            <w:r w:rsidRPr="006266C6">
              <w:t xml:space="preserve">4. </w:t>
            </w:r>
            <w:r w:rsidRPr="006266C6">
              <w:t>高中生和大学生不分性别，经父母或法定监护人同意，均可无一例外地自愿申请接受陆军预备役司令部的军事训练。完成</w:t>
            </w:r>
            <w:r w:rsidRPr="006266C6">
              <w:t>3</w:t>
            </w:r>
            <w:r w:rsidRPr="006266C6">
              <w:t>年训练的学生，年满</w:t>
            </w:r>
            <w:r w:rsidRPr="006266C6">
              <w:t>21</w:t>
            </w:r>
            <w:r w:rsidRPr="006266C6">
              <w:t>周岁时免服兵役</w:t>
            </w:r>
            <w:r w:rsidRPr="006266C6">
              <w:t>(</w:t>
            </w:r>
            <w:r w:rsidRPr="006266C6">
              <w:t>作为现役军人</w:t>
            </w:r>
            <w:r w:rsidRPr="006266C6">
              <w:t>)</w:t>
            </w:r>
            <w:r w:rsidRPr="006266C6">
              <w:t>。</w:t>
            </w:r>
          </w:p>
        </w:tc>
      </w:tr>
      <w:tr w:rsidR="00AC145F" w:rsidRPr="006266C6" w14:paraId="4A9F3052" w14:textId="77777777" w:rsidTr="00085CF8">
        <w:tc>
          <w:tcPr>
            <w:tcW w:w="2357" w:type="dxa"/>
            <w:vMerge/>
            <w:shd w:val="clear" w:color="auto" w:fill="auto"/>
          </w:tcPr>
          <w:p w14:paraId="3FC1602D" w14:textId="77777777" w:rsidR="00AC145F" w:rsidRPr="006266C6" w:rsidRDefault="00AC145F" w:rsidP="00634E33">
            <w:pPr>
              <w:pStyle w:val="a5"/>
            </w:pPr>
          </w:p>
        </w:tc>
        <w:tc>
          <w:tcPr>
            <w:tcW w:w="5013" w:type="dxa"/>
            <w:shd w:val="clear" w:color="auto" w:fill="auto"/>
          </w:tcPr>
          <w:p w14:paraId="78936BE5" w14:textId="77777777" w:rsidR="00AC145F" w:rsidRPr="006266C6" w:rsidRDefault="00AC145F" w:rsidP="00085CF8">
            <w:pPr>
              <w:pStyle w:val="a5"/>
              <w:ind w:right="0"/>
            </w:pPr>
            <w:r w:rsidRPr="006266C6">
              <w:t xml:space="preserve">5. </w:t>
            </w:r>
            <w:r w:rsidRPr="006266C6">
              <w:t>法律禁止非政府民兵，无论有关人员的年龄如何。</w:t>
            </w:r>
          </w:p>
        </w:tc>
      </w:tr>
    </w:tbl>
    <w:p w14:paraId="5581D128" w14:textId="28AB6D51" w:rsidR="00522F93" w:rsidRDefault="00522F93" w:rsidP="00224340">
      <w:pPr>
        <w:pStyle w:val="SingleTxtGC"/>
        <w:spacing w:before="240"/>
      </w:pPr>
      <w:r>
        <w:rPr>
          <w:rFonts w:hint="eastAsia"/>
        </w:rPr>
        <w:t>79.</w:t>
      </w:r>
      <w:r>
        <w:rPr>
          <w:rFonts w:hint="eastAsia"/>
        </w:rPr>
        <w:tab/>
      </w:r>
      <w:r>
        <w:rPr>
          <w:rFonts w:hint="eastAsia"/>
        </w:rPr>
        <w:t>泰国也是其他联合国人权公约和相关公约的缔约国：</w:t>
      </w:r>
    </w:p>
    <w:p w14:paraId="7041E13E" w14:textId="1425EA1E" w:rsidR="00522F93" w:rsidRDefault="00522F93" w:rsidP="005225D2">
      <w:pPr>
        <w:pStyle w:val="SingleTxtGC"/>
        <w:numPr>
          <w:ilvl w:val="0"/>
          <w:numId w:val="7"/>
        </w:numPr>
      </w:pPr>
      <w:r>
        <w:rPr>
          <w:rFonts w:hint="eastAsia"/>
        </w:rPr>
        <w:t>2002</w:t>
      </w:r>
      <w:r>
        <w:rPr>
          <w:rFonts w:hint="eastAsia"/>
        </w:rPr>
        <w:t>年</w:t>
      </w:r>
      <w:r>
        <w:rPr>
          <w:rFonts w:hint="eastAsia"/>
        </w:rPr>
        <w:t>11</w:t>
      </w:r>
      <w:r>
        <w:rPr>
          <w:rFonts w:hint="eastAsia"/>
        </w:rPr>
        <w:t>月</w:t>
      </w:r>
      <w:r>
        <w:rPr>
          <w:rFonts w:hint="eastAsia"/>
        </w:rPr>
        <w:t>1</w:t>
      </w:r>
      <w:r>
        <w:rPr>
          <w:rFonts w:hint="eastAsia"/>
        </w:rPr>
        <w:t>日加入《国际诱拐儿童民事方面的海牙公约》；</w:t>
      </w:r>
    </w:p>
    <w:p w14:paraId="2A6AEF13" w14:textId="150463DE" w:rsidR="00522F93" w:rsidRDefault="00522F93" w:rsidP="005225D2">
      <w:pPr>
        <w:pStyle w:val="SingleTxtGC"/>
        <w:numPr>
          <w:ilvl w:val="0"/>
          <w:numId w:val="7"/>
        </w:numPr>
      </w:pPr>
      <w:r>
        <w:rPr>
          <w:rFonts w:hint="eastAsia"/>
        </w:rPr>
        <w:t>2004</w:t>
      </w:r>
      <w:r>
        <w:rPr>
          <w:rFonts w:hint="eastAsia"/>
        </w:rPr>
        <w:t>年</w:t>
      </w:r>
      <w:r>
        <w:rPr>
          <w:rFonts w:hint="eastAsia"/>
        </w:rPr>
        <w:t>8</w:t>
      </w:r>
      <w:r>
        <w:rPr>
          <w:rFonts w:hint="eastAsia"/>
        </w:rPr>
        <w:t>月</w:t>
      </w:r>
      <w:r>
        <w:rPr>
          <w:rFonts w:hint="eastAsia"/>
        </w:rPr>
        <w:t>1</w:t>
      </w:r>
      <w:r>
        <w:rPr>
          <w:rFonts w:hint="eastAsia"/>
        </w:rPr>
        <w:t>日加入《跨国收养方面保护儿童及合作海牙公约》</w:t>
      </w:r>
    </w:p>
    <w:p w14:paraId="636286F0" w14:textId="563D2666" w:rsidR="00522F93" w:rsidRDefault="00522F93" w:rsidP="005225D2">
      <w:pPr>
        <w:pStyle w:val="SingleTxtGC"/>
        <w:numPr>
          <w:ilvl w:val="0"/>
          <w:numId w:val="7"/>
        </w:numPr>
      </w:pPr>
      <w:r>
        <w:rPr>
          <w:rFonts w:hint="eastAsia"/>
        </w:rPr>
        <w:t>劳工组织第</w:t>
      </w:r>
      <w:r>
        <w:rPr>
          <w:rFonts w:hint="eastAsia"/>
        </w:rPr>
        <w:t>14</w:t>
      </w:r>
      <w:r>
        <w:rPr>
          <w:rFonts w:hint="eastAsia"/>
        </w:rPr>
        <w:t>、</w:t>
      </w:r>
      <w:r>
        <w:rPr>
          <w:rFonts w:hint="eastAsia"/>
        </w:rPr>
        <w:t>19</w:t>
      </w:r>
      <w:r>
        <w:rPr>
          <w:rFonts w:hint="eastAsia"/>
        </w:rPr>
        <w:t>、</w:t>
      </w:r>
      <w:r>
        <w:rPr>
          <w:rFonts w:hint="eastAsia"/>
        </w:rPr>
        <w:t>29</w:t>
      </w:r>
      <w:r>
        <w:rPr>
          <w:rFonts w:hint="eastAsia"/>
        </w:rPr>
        <w:t>、</w:t>
      </w:r>
      <w:r>
        <w:rPr>
          <w:rFonts w:hint="eastAsia"/>
        </w:rPr>
        <w:t>80</w:t>
      </w:r>
      <w:r>
        <w:rPr>
          <w:rFonts w:hint="eastAsia"/>
        </w:rPr>
        <w:t>、</w:t>
      </w:r>
      <w:r>
        <w:rPr>
          <w:rFonts w:hint="eastAsia"/>
        </w:rPr>
        <w:t>88</w:t>
      </w:r>
      <w:r>
        <w:rPr>
          <w:rFonts w:hint="eastAsia"/>
        </w:rPr>
        <w:t>、</w:t>
      </w:r>
      <w:r>
        <w:rPr>
          <w:rFonts w:hint="eastAsia"/>
        </w:rPr>
        <w:t>100</w:t>
      </w:r>
      <w:r>
        <w:rPr>
          <w:rFonts w:hint="eastAsia"/>
        </w:rPr>
        <w:t>、</w:t>
      </w:r>
      <w:r>
        <w:rPr>
          <w:rFonts w:hint="eastAsia"/>
        </w:rPr>
        <w:t>105</w:t>
      </w:r>
      <w:r>
        <w:rPr>
          <w:rFonts w:hint="eastAsia"/>
        </w:rPr>
        <w:t>、</w:t>
      </w:r>
      <w:r>
        <w:rPr>
          <w:rFonts w:hint="eastAsia"/>
        </w:rPr>
        <w:t>111</w:t>
      </w:r>
      <w:r>
        <w:rPr>
          <w:rFonts w:hint="eastAsia"/>
        </w:rPr>
        <w:t>、</w:t>
      </w:r>
      <w:r>
        <w:rPr>
          <w:rFonts w:hint="eastAsia"/>
        </w:rPr>
        <w:t>122</w:t>
      </w:r>
      <w:r>
        <w:rPr>
          <w:rFonts w:hint="eastAsia"/>
        </w:rPr>
        <w:t>、</w:t>
      </w:r>
      <w:r>
        <w:rPr>
          <w:rFonts w:hint="eastAsia"/>
        </w:rPr>
        <w:t>127</w:t>
      </w:r>
      <w:r>
        <w:rPr>
          <w:rFonts w:hint="eastAsia"/>
        </w:rPr>
        <w:t>、</w:t>
      </w:r>
      <w:r>
        <w:rPr>
          <w:rFonts w:hint="eastAsia"/>
        </w:rPr>
        <w:t>138</w:t>
      </w:r>
      <w:r>
        <w:rPr>
          <w:rFonts w:hint="eastAsia"/>
        </w:rPr>
        <w:t>、</w:t>
      </w:r>
      <w:r>
        <w:rPr>
          <w:rFonts w:hint="eastAsia"/>
        </w:rPr>
        <w:t>159</w:t>
      </w:r>
      <w:r>
        <w:rPr>
          <w:rFonts w:hint="eastAsia"/>
        </w:rPr>
        <w:t>、</w:t>
      </w:r>
      <w:r>
        <w:rPr>
          <w:rFonts w:hint="eastAsia"/>
        </w:rPr>
        <w:t>182</w:t>
      </w:r>
      <w:r>
        <w:rPr>
          <w:rFonts w:hint="eastAsia"/>
        </w:rPr>
        <w:t>、</w:t>
      </w:r>
      <w:r>
        <w:rPr>
          <w:rFonts w:hint="eastAsia"/>
        </w:rPr>
        <w:t>187</w:t>
      </w:r>
      <w:r>
        <w:rPr>
          <w:rFonts w:hint="eastAsia"/>
        </w:rPr>
        <w:t>、</w:t>
      </w:r>
      <w:r>
        <w:rPr>
          <w:rFonts w:hint="eastAsia"/>
        </w:rPr>
        <w:t>188</w:t>
      </w:r>
      <w:r>
        <w:rPr>
          <w:rFonts w:hint="eastAsia"/>
        </w:rPr>
        <w:t>号公约、</w:t>
      </w:r>
      <w:r>
        <w:rPr>
          <w:rFonts w:hint="eastAsia"/>
        </w:rPr>
        <w:t>2006</w:t>
      </w:r>
      <w:r>
        <w:rPr>
          <w:rFonts w:hint="eastAsia"/>
        </w:rPr>
        <w:t>年《海事劳工公约》和劳工组织《</w:t>
      </w:r>
      <w:r w:rsidR="00682F12" w:rsidRPr="00682F12">
        <w:rPr>
          <w:rStyle w:val="af5"/>
          <w:rFonts w:hint="eastAsia"/>
          <w:color w:val="auto"/>
          <w:u w:val="none"/>
        </w:rPr>
        <w:t>〈</w:t>
      </w:r>
      <w:r w:rsidRPr="00682F12">
        <w:rPr>
          <w:rFonts w:hint="eastAsia"/>
        </w:rPr>
        <w:t>1930</w:t>
      </w:r>
      <w:r w:rsidRPr="00682F12">
        <w:rPr>
          <w:rFonts w:hint="eastAsia"/>
        </w:rPr>
        <w:t>年强迫劳动公约</w:t>
      </w:r>
      <w:r w:rsidR="00682F12" w:rsidRPr="00682F12">
        <w:rPr>
          <w:rStyle w:val="af5"/>
          <w:rFonts w:hint="eastAsia"/>
          <w:color w:val="auto"/>
          <w:u w:val="none"/>
        </w:rPr>
        <w:t>〉</w:t>
      </w:r>
      <w:r>
        <w:rPr>
          <w:rFonts w:hint="eastAsia"/>
        </w:rPr>
        <w:t>2014</w:t>
      </w:r>
      <w:r>
        <w:rPr>
          <w:rFonts w:hint="eastAsia"/>
        </w:rPr>
        <w:t>年议定书》；</w:t>
      </w:r>
    </w:p>
    <w:p w14:paraId="55DF99A0" w14:textId="4F6E2000" w:rsidR="00522F93" w:rsidRDefault="00522F93" w:rsidP="005225D2">
      <w:pPr>
        <w:pStyle w:val="SingleTxtGC"/>
        <w:numPr>
          <w:ilvl w:val="0"/>
          <w:numId w:val="7"/>
        </w:numPr>
      </w:pPr>
      <w:r>
        <w:rPr>
          <w:rFonts w:hint="eastAsia"/>
        </w:rPr>
        <w:t>201</w:t>
      </w:r>
      <w:r w:rsidR="00682F12">
        <w:t>9</w:t>
      </w:r>
      <w:r>
        <w:rPr>
          <w:rFonts w:hint="eastAsia"/>
        </w:rPr>
        <w:t>年</w:t>
      </w:r>
      <w:r w:rsidR="00682F12">
        <w:t>4</w:t>
      </w:r>
      <w:r>
        <w:rPr>
          <w:rFonts w:hint="eastAsia"/>
        </w:rPr>
        <w:t>月</w:t>
      </w:r>
      <w:r w:rsidR="00682F12">
        <w:t>28</w:t>
      </w:r>
      <w:r>
        <w:rPr>
          <w:rFonts w:hint="eastAsia"/>
        </w:rPr>
        <w:t>日加入《关于为盲人、视力障碍者或其他印刷品阅读障碍者获得已出版作品提供便利的马拉喀什条约》；</w:t>
      </w:r>
    </w:p>
    <w:p w14:paraId="7E15734D" w14:textId="77777777" w:rsidR="00522F93" w:rsidRDefault="00522F93" w:rsidP="005225D2">
      <w:pPr>
        <w:pStyle w:val="H23GC"/>
      </w:pPr>
      <w:r>
        <w:rPr>
          <w:rFonts w:hint="eastAsia"/>
        </w:rPr>
        <w:tab/>
      </w:r>
      <w:r>
        <w:rPr>
          <w:rFonts w:hint="eastAsia"/>
        </w:rPr>
        <w:tab/>
      </w:r>
      <w:r>
        <w:rPr>
          <w:rFonts w:hint="eastAsia"/>
        </w:rPr>
        <w:t>克减、约束或限制</w:t>
      </w:r>
    </w:p>
    <w:p w14:paraId="17F54B8F" w14:textId="167A8E15" w:rsidR="00522F93" w:rsidRDefault="00522F93" w:rsidP="00522F93">
      <w:pPr>
        <w:pStyle w:val="SingleTxtGC"/>
      </w:pPr>
      <w:r>
        <w:rPr>
          <w:rFonts w:hint="eastAsia"/>
        </w:rPr>
        <w:t>80.</w:t>
      </w:r>
      <w:r>
        <w:rPr>
          <w:rFonts w:hint="eastAsia"/>
        </w:rPr>
        <w:tab/>
        <w:t>2020</w:t>
      </w:r>
      <w:r>
        <w:rPr>
          <w:rFonts w:hint="eastAsia"/>
        </w:rPr>
        <w:t>年</w:t>
      </w:r>
      <w:r>
        <w:rPr>
          <w:rFonts w:hint="eastAsia"/>
        </w:rPr>
        <w:t>6</w:t>
      </w:r>
      <w:r>
        <w:rPr>
          <w:rFonts w:hint="eastAsia"/>
        </w:rPr>
        <w:t>月</w:t>
      </w:r>
      <w:r>
        <w:rPr>
          <w:rFonts w:hint="eastAsia"/>
        </w:rPr>
        <w:t>4</w:t>
      </w:r>
      <w:r>
        <w:rPr>
          <w:rFonts w:hint="eastAsia"/>
        </w:rPr>
        <w:t>日，泰国通过联合国秘书长通知《公民及政治权利国际公约》其他缔约国，根据《紧急情况下公共管理紧急法令》</w:t>
      </w:r>
      <w:r>
        <w:rPr>
          <w:rFonts w:hint="eastAsia"/>
        </w:rPr>
        <w:t>B.E. 2548 (2005)</w:t>
      </w:r>
      <w:r>
        <w:rPr>
          <w:rFonts w:hint="eastAsia"/>
        </w:rPr>
        <w:t>第</w:t>
      </w:r>
      <w:r>
        <w:rPr>
          <w:rFonts w:hint="eastAsia"/>
        </w:rPr>
        <w:t>5</w:t>
      </w:r>
      <w:r>
        <w:rPr>
          <w:rFonts w:hint="eastAsia"/>
        </w:rPr>
        <w:t>条宣布泰国所有地区进入紧急状态，直至</w:t>
      </w:r>
      <w:r>
        <w:rPr>
          <w:rFonts w:hint="eastAsia"/>
        </w:rPr>
        <w:t>2020</w:t>
      </w:r>
      <w:r>
        <w:rPr>
          <w:rFonts w:hint="eastAsia"/>
        </w:rPr>
        <w:t>年</w:t>
      </w:r>
      <w:r>
        <w:rPr>
          <w:rFonts w:hint="eastAsia"/>
        </w:rPr>
        <w:t>6</w:t>
      </w:r>
      <w:r>
        <w:rPr>
          <w:rFonts w:hint="eastAsia"/>
        </w:rPr>
        <w:t>月</w:t>
      </w:r>
      <w:r>
        <w:rPr>
          <w:rFonts w:hint="eastAsia"/>
        </w:rPr>
        <w:t>30</w:t>
      </w:r>
      <w:r>
        <w:rPr>
          <w:rFonts w:hint="eastAsia"/>
        </w:rPr>
        <w:t>日，以应对</w:t>
      </w:r>
      <w:r>
        <w:rPr>
          <w:rFonts w:hint="eastAsia"/>
        </w:rPr>
        <w:t>2019</w:t>
      </w:r>
      <w:r>
        <w:rPr>
          <w:rFonts w:hint="eastAsia"/>
        </w:rPr>
        <w:t>年冠状病毒的爆发，从而行使《公民及政治权利国际公约》第四条第一款规定的克减权利。</w:t>
      </w:r>
    </w:p>
    <w:p w14:paraId="386066B8" w14:textId="5F59F67C" w:rsidR="00522F93" w:rsidRDefault="00522F93" w:rsidP="00522F93">
      <w:pPr>
        <w:pStyle w:val="SingleTxtGC"/>
      </w:pPr>
      <w:r>
        <w:rPr>
          <w:rFonts w:hint="eastAsia"/>
        </w:rPr>
        <w:t>81.</w:t>
      </w:r>
      <w:r>
        <w:rPr>
          <w:rFonts w:hint="eastAsia"/>
        </w:rPr>
        <w:tab/>
      </w:r>
      <w:r>
        <w:rPr>
          <w:rFonts w:hint="eastAsia"/>
        </w:rPr>
        <w:t>泰国认为有必要采取临时紧急措施，以保护公众健康、安全与人民的和平生活，并制止</w:t>
      </w:r>
      <w:r>
        <w:rPr>
          <w:rFonts w:hint="eastAsia"/>
        </w:rPr>
        <w:t>COVID-19</w:t>
      </w:r>
      <w:r>
        <w:rPr>
          <w:rFonts w:hint="eastAsia"/>
        </w:rPr>
        <w:t>的蔓延。其中一些临时紧急措施可能涉及克减《公民及政治权利国际公约》，特别是第十二条规定的一些义务。《公约》第六、第七、第八</w:t>
      </w:r>
      <w:r>
        <w:rPr>
          <w:rFonts w:hint="eastAsia"/>
        </w:rPr>
        <w:t>(</w:t>
      </w:r>
      <w:r>
        <w:rPr>
          <w:rFonts w:hint="eastAsia"/>
        </w:rPr>
        <w:t>第一和第二款</w:t>
      </w:r>
      <w:r>
        <w:rPr>
          <w:rFonts w:hint="eastAsia"/>
        </w:rPr>
        <w:t>)</w:t>
      </w:r>
      <w:r>
        <w:rPr>
          <w:rFonts w:hint="eastAsia"/>
        </w:rPr>
        <w:t>、第十一、第十五、第十六和第十八条规定的不可克减的权利没有受到上述临时紧急措施的影响。本通知自</w:t>
      </w:r>
      <w:r>
        <w:rPr>
          <w:rFonts w:hint="eastAsia"/>
        </w:rPr>
        <w:t>2020</w:t>
      </w:r>
      <w:r>
        <w:rPr>
          <w:rFonts w:hint="eastAsia"/>
        </w:rPr>
        <w:t>年</w:t>
      </w:r>
      <w:r>
        <w:rPr>
          <w:rFonts w:hint="eastAsia"/>
        </w:rPr>
        <w:t>6</w:t>
      </w:r>
      <w:r>
        <w:rPr>
          <w:rFonts w:hint="eastAsia"/>
        </w:rPr>
        <w:t>月</w:t>
      </w:r>
      <w:r>
        <w:rPr>
          <w:rFonts w:hint="eastAsia"/>
        </w:rPr>
        <w:t>5</w:t>
      </w:r>
      <w:r>
        <w:rPr>
          <w:rFonts w:hint="eastAsia"/>
        </w:rPr>
        <w:t>日起生效。</w:t>
      </w:r>
    </w:p>
    <w:p w14:paraId="65517C67" w14:textId="1E94D793" w:rsidR="00522F93" w:rsidRDefault="005225D2" w:rsidP="005225D2">
      <w:pPr>
        <w:pStyle w:val="H1GC"/>
      </w:pPr>
      <w:r>
        <w:tab/>
      </w:r>
      <w:r w:rsidR="00522F93">
        <w:rPr>
          <w:rFonts w:hint="eastAsia"/>
        </w:rPr>
        <w:t>B.</w:t>
      </w:r>
      <w:r w:rsidR="00522F93">
        <w:rPr>
          <w:rFonts w:hint="eastAsia"/>
        </w:rPr>
        <w:tab/>
      </w:r>
      <w:r w:rsidR="00522F93">
        <w:rPr>
          <w:rFonts w:hint="eastAsia"/>
        </w:rPr>
        <w:t>国家一级保护人权的法律框架</w:t>
      </w:r>
    </w:p>
    <w:p w14:paraId="021E7A47" w14:textId="062154AE" w:rsidR="00522F93" w:rsidRDefault="00522F93" w:rsidP="005225D2">
      <w:pPr>
        <w:pStyle w:val="H23GC"/>
      </w:pPr>
      <w:r>
        <w:rPr>
          <w:rFonts w:hint="eastAsia"/>
        </w:rPr>
        <w:tab/>
      </w:r>
      <w:r>
        <w:rPr>
          <w:rFonts w:hint="eastAsia"/>
        </w:rPr>
        <w:tab/>
        <w:t>2017</w:t>
      </w:r>
      <w:r>
        <w:rPr>
          <w:rFonts w:hint="eastAsia"/>
        </w:rPr>
        <w:t>年《宪法》</w:t>
      </w:r>
    </w:p>
    <w:p w14:paraId="664596C2" w14:textId="494DD985" w:rsidR="00522F93" w:rsidRDefault="00522F93" w:rsidP="00522F93">
      <w:pPr>
        <w:pStyle w:val="SingleTxtGC"/>
      </w:pPr>
      <w:r>
        <w:rPr>
          <w:rFonts w:hint="eastAsia"/>
        </w:rPr>
        <w:t>82.</w:t>
      </w:r>
      <w:r>
        <w:rPr>
          <w:rFonts w:hint="eastAsia"/>
        </w:rPr>
        <w:tab/>
      </w:r>
      <w:r>
        <w:rPr>
          <w:rFonts w:hint="eastAsia"/>
        </w:rPr>
        <w:t>与其前身一样，《世界人权宣言》和泰国加入的国际人权条约所承认的基本权利已载入</w:t>
      </w:r>
      <w:r>
        <w:rPr>
          <w:rFonts w:hint="eastAsia"/>
        </w:rPr>
        <w:t>2017</w:t>
      </w:r>
      <w:r>
        <w:rPr>
          <w:rFonts w:hint="eastAsia"/>
        </w:rPr>
        <w:t>年《宪法》。《宪法》保障人民的权利和自由，注重法律面前人人平等，禁止基于任何理由的歧视。《宪法》进一步保障个人权利和自由的行使，即使《宪法》没有明确列出，只要这些权利和自由不受《宪法》或法律的禁</w:t>
      </w:r>
      <w:r>
        <w:rPr>
          <w:rFonts w:hint="eastAsia"/>
        </w:rPr>
        <w:lastRenderedPageBreak/>
        <w:t>止或限制，只要这种权利和自由的行使不影响国家安全、公共秩序或良好道德，也不侵犯他人的权利和自由。</w:t>
      </w:r>
    </w:p>
    <w:p w14:paraId="16B58DB0" w14:textId="4476CCDB" w:rsidR="00522F93" w:rsidRDefault="00522F93" w:rsidP="00522F93">
      <w:pPr>
        <w:pStyle w:val="SingleTxtGC"/>
      </w:pPr>
      <w:r>
        <w:rPr>
          <w:rFonts w:hint="eastAsia"/>
        </w:rPr>
        <w:t>83.</w:t>
      </w:r>
      <w:r>
        <w:rPr>
          <w:rFonts w:hint="eastAsia"/>
        </w:rPr>
        <w:tab/>
        <w:t>2017</w:t>
      </w:r>
      <w:r>
        <w:rPr>
          <w:rFonts w:hint="eastAsia"/>
        </w:rPr>
        <w:t>年《宪法》采纳了促进性别平等的预算编制原则。根据第</w:t>
      </w:r>
      <w:r>
        <w:rPr>
          <w:rFonts w:hint="eastAsia"/>
        </w:rPr>
        <w:t>71</w:t>
      </w:r>
      <w:r>
        <w:rPr>
          <w:rFonts w:hint="eastAsia"/>
        </w:rPr>
        <w:t>条，国家在分配预算时应考虑到性别、年龄和个人条件方面的不同需要和需求。</w:t>
      </w:r>
    </w:p>
    <w:p w14:paraId="4E09510F" w14:textId="6F69B07F" w:rsidR="00522F93" w:rsidRDefault="00522F93" w:rsidP="00522F93">
      <w:pPr>
        <w:pStyle w:val="SingleTxtGC"/>
      </w:pPr>
      <w:r>
        <w:rPr>
          <w:rFonts w:hint="eastAsia"/>
        </w:rPr>
        <w:t>84.</w:t>
      </w:r>
      <w:r>
        <w:rPr>
          <w:rFonts w:hint="eastAsia"/>
        </w:rPr>
        <w:tab/>
      </w:r>
      <w:r>
        <w:rPr>
          <w:rFonts w:hint="eastAsia"/>
        </w:rPr>
        <w:t>在创新要素中，</w:t>
      </w:r>
      <w:r>
        <w:rPr>
          <w:rFonts w:hint="eastAsia"/>
        </w:rPr>
        <w:t>2017</w:t>
      </w:r>
      <w:r>
        <w:rPr>
          <w:rFonts w:hint="eastAsia"/>
        </w:rPr>
        <w:t>年《宪法》第</w:t>
      </w:r>
      <w:r>
        <w:rPr>
          <w:rFonts w:hint="eastAsia"/>
        </w:rPr>
        <w:t>77</w:t>
      </w:r>
      <w:r>
        <w:rPr>
          <w:rFonts w:hint="eastAsia"/>
        </w:rPr>
        <w:t>条要求，在颁布每项法律之前，国家应</w:t>
      </w:r>
      <w:r>
        <w:rPr>
          <w:rFonts w:hint="eastAsia"/>
        </w:rPr>
        <w:t>(</w:t>
      </w:r>
      <w:r>
        <w:rPr>
          <w:rFonts w:hint="eastAsia"/>
        </w:rPr>
        <w:t>一</w:t>
      </w:r>
      <w:r>
        <w:rPr>
          <w:rFonts w:hint="eastAsia"/>
        </w:rPr>
        <w:t>)</w:t>
      </w:r>
      <w:r w:rsidR="00682F12">
        <w:t xml:space="preserve"> </w:t>
      </w:r>
      <w:r>
        <w:rPr>
          <w:rFonts w:hint="eastAsia"/>
        </w:rPr>
        <w:t>与利益攸关方进行协商，</w:t>
      </w:r>
      <w:r>
        <w:rPr>
          <w:rFonts w:hint="eastAsia"/>
        </w:rPr>
        <w:t>(</w:t>
      </w:r>
      <w:r>
        <w:rPr>
          <w:rFonts w:hint="eastAsia"/>
        </w:rPr>
        <w:t>二</w:t>
      </w:r>
      <w:r>
        <w:rPr>
          <w:rFonts w:hint="eastAsia"/>
        </w:rPr>
        <w:t>)</w:t>
      </w:r>
      <w:r w:rsidR="00682F12">
        <w:t xml:space="preserve"> </w:t>
      </w:r>
      <w:r>
        <w:rPr>
          <w:rFonts w:hint="eastAsia"/>
        </w:rPr>
        <w:t>彻底和系统地分析法律可能产生的任何影响，</w:t>
      </w:r>
      <w:r>
        <w:rPr>
          <w:rFonts w:hint="eastAsia"/>
        </w:rPr>
        <w:t>(</w:t>
      </w:r>
      <w:r>
        <w:rPr>
          <w:rFonts w:hint="eastAsia"/>
        </w:rPr>
        <w:t>三</w:t>
      </w:r>
      <w:r>
        <w:rPr>
          <w:rFonts w:hint="eastAsia"/>
        </w:rPr>
        <w:t>)</w:t>
      </w:r>
      <w:r w:rsidR="00682F12">
        <w:t xml:space="preserve"> </w:t>
      </w:r>
      <w:r>
        <w:rPr>
          <w:rFonts w:hint="eastAsia"/>
        </w:rPr>
        <w:t>向公众披露协商和分析的结果，并在立法进程的每个阶段考虑到这些问题。它要求在法律生效后，国家在每个特定时期对法律的执行情况进行全面评估，为此应与利益攸关方进行协商，以确保所有法律适合并适应不断变化的环境。</w:t>
      </w:r>
    </w:p>
    <w:p w14:paraId="56778829" w14:textId="77777777" w:rsidR="00522F93" w:rsidRDefault="00522F93" w:rsidP="005225D2">
      <w:pPr>
        <w:pStyle w:val="H23GC"/>
      </w:pPr>
      <w:r>
        <w:rPr>
          <w:rFonts w:hint="eastAsia"/>
        </w:rPr>
        <w:tab/>
      </w:r>
      <w:r>
        <w:rPr>
          <w:rFonts w:hint="eastAsia"/>
        </w:rPr>
        <w:tab/>
      </w:r>
      <w:r>
        <w:rPr>
          <w:rFonts w:hint="eastAsia"/>
        </w:rPr>
        <w:t>国家战略</w:t>
      </w:r>
    </w:p>
    <w:p w14:paraId="42AF7352" w14:textId="0D934443" w:rsidR="00522F93" w:rsidRDefault="00522F93" w:rsidP="00522F93">
      <w:pPr>
        <w:pStyle w:val="SingleTxtGC"/>
      </w:pPr>
      <w:r>
        <w:rPr>
          <w:rFonts w:hint="eastAsia"/>
        </w:rPr>
        <w:t>85.</w:t>
      </w:r>
      <w:r>
        <w:rPr>
          <w:rFonts w:hint="eastAsia"/>
        </w:rPr>
        <w:tab/>
        <w:t>20</w:t>
      </w:r>
      <w:r>
        <w:rPr>
          <w:rFonts w:hint="eastAsia"/>
        </w:rPr>
        <w:t>年国家战略</w:t>
      </w:r>
      <w:r>
        <w:rPr>
          <w:rFonts w:hint="eastAsia"/>
        </w:rPr>
        <w:t>(2018-2037</w:t>
      </w:r>
      <w:r>
        <w:rPr>
          <w:rFonts w:hint="eastAsia"/>
        </w:rPr>
        <w:t>年</w:t>
      </w:r>
      <w:r>
        <w:rPr>
          <w:rFonts w:hint="eastAsia"/>
        </w:rPr>
        <w:t>)</w:t>
      </w:r>
      <w:r>
        <w:rPr>
          <w:rFonts w:hint="eastAsia"/>
        </w:rPr>
        <w:t>是该国根据</w:t>
      </w:r>
      <w:r>
        <w:rPr>
          <w:rFonts w:hint="eastAsia"/>
        </w:rPr>
        <w:t>2017</w:t>
      </w:r>
      <w:r>
        <w:rPr>
          <w:rFonts w:hint="eastAsia"/>
        </w:rPr>
        <w:t>年《宪法》第</w:t>
      </w:r>
      <w:r>
        <w:rPr>
          <w:rFonts w:hint="eastAsia"/>
        </w:rPr>
        <w:t>65</w:t>
      </w:r>
      <w:r>
        <w:rPr>
          <w:rFonts w:hint="eastAsia"/>
        </w:rPr>
        <w:t>条制定的第一个国家长期战略。应努力确保该国实现其愿景，成为“一个符合适足经济理念的安全、繁荣和可持续的发达国家”。泰国人民的幸福安康是国家战略的主要和最终目标。</w:t>
      </w:r>
    </w:p>
    <w:p w14:paraId="5FE7F63E" w14:textId="17ED33A9" w:rsidR="00522F93" w:rsidRDefault="00522F93" w:rsidP="00522F93">
      <w:pPr>
        <w:pStyle w:val="SingleTxtGC"/>
      </w:pPr>
      <w:r>
        <w:rPr>
          <w:rFonts w:hint="eastAsia"/>
        </w:rPr>
        <w:t>86.</w:t>
      </w:r>
      <w:r>
        <w:rPr>
          <w:rFonts w:hint="eastAsia"/>
        </w:rPr>
        <w:tab/>
      </w:r>
      <w:r>
        <w:rPr>
          <w:rFonts w:hint="eastAsia"/>
        </w:rPr>
        <w:t>将使用六组指标来评价国家战略成功与否。其中包括：</w:t>
      </w:r>
      <w:r>
        <w:rPr>
          <w:rFonts w:hint="eastAsia"/>
        </w:rPr>
        <w:t>(1)</w:t>
      </w:r>
      <w:r w:rsidR="00682F12">
        <w:t xml:space="preserve"> </w:t>
      </w:r>
      <w:r>
        <w:rPr>
          <w:rFonts w:hint="eastAsia"/>
        </w:rPr>
        <w:t>泰国人民和社会的福祉；</w:t>
      </w:r>
      <w:r>
        <w:rPr>
          <w:rFonts w:hint="eastAsia"/>
        </w:rPr>
        <w:t>(2)</w:t>
      </w:r>
      <w:r w:rsidR="00682F12">
        <w:t xml:space="preserve"> </w:t>
      </w:r>
      <w:r>
        <w:rPr>
          <w:rFonts w:hint="eastAsia"/>
        </w:rPr>
        <w:t>国家竞争力、经济增长和收入分配；</w:t>
      </w:r>
      <w:r>
        <w:rPr>
          <w:rFonts w:hint="eastAsia"/>
        </w:rPr>
        <w:t>(3)</w:t>
      </w:r>
      <w:r w:rsidR="00682F12">
        <w:t xml:space="preserve"> </w:t>
      </w:r>
      <w:r>
        <w:rPr>
          <w:rFonts w:hint="eastAsia"/>
        </w:rPr>
        <w:t>人力资本的发展；</w:t>
      </w:r>
      <w:r>
        <w:rPr>
          <w:rFonts w:hint="eastAsia"/>
        </w:rPr>
        <w:t>(4)</w:t>
      </w:r>
      <w:r w:rsidR="00682F12">
        <w:t xml:space="preserve"> </w:t>
      </w:r>
      <w:r>
        <w:rPr>
          <w:rFonts w:hint="eastAsia"/>
        </w:rPr>
        <w:t>社会平等和公平；</w:t>
      </w:r>
      <w:r>
        <w:rPr>
          <w:rFonts w:hint="eastAsia"/>
        </w:rPr>
        <w:t>(5)</w:t>
      </w:r>
      <w:r w:rsidR="00682F12">
        <w:t xml:space="preserve"> </w:t>
      </w:r>
      <w:r>
        <w:rPr>
          <w:rFonts w:hint="eastAsia"/>
        </w:rPr>
        <w:t>国家生物多样性、环境质量和自然资源的可持续性；</w:t>
      </w:r>
      <w:r>
        <w:rPr>
          <w:rFonts w:hint="eastAsia"/>
        </w:rPr>
        <w:t>(6)</w:t>
      </w:r>
      <w:r w:rsidR="00682F12">
        <w:t xml:space="preserve"> </w:t>
      </w:r>
      <w:r>
        <w:rPr>
          <w:rFonts w:hint="eastAsia"/>
        </w:rPr>
        <w:t>政府效率和更好地获得公共服务。</w:t>
      </w:r>
    </w:p>
    <w:p w14:paraId="60DE801D" w14:textId="556383FE" w:rsidR="00522F93" w:rsidRDefault="00522F93" w:rsidP="00522F93">
      <w:pPr>
        <w:pStyle w:val="SingleTxtGC"/>
      </w:pPr>
      <w:r>
        <w:rPr>
          <w:rFonts w:hint="eastAsia"/>
        </w:rPr>
        <w:t>87.</w:t>
      </w:r>
      <w:r>
        <w:rPr>
          <w:rFonts w:hint="eastAsia"/>
        </w:rPr>
        <w:tab/>
      </w:r>
      <w:r>
        <w:rPr>
          <w:rFonts w:hint="eastAsia"/>
        </w:rPr>
        <w:t>《战略》时限内的国家发展应侧重于社会和经济发展与环境管理之间的适当平衡。六项关键战略是：</w:t>
      </w:r>
      <w:r>
        <w:rPr>
          <w:rFonts w:hint="eastAsia"/>
        </w:rPr>
        <w:t>(1)</w:t>
      </w:r>
      <w:r w:rsidR="00682F12">
        <w:t xml:space="preserve"> </w:t>
      </w:r>
      <w:r>
        <w:rPr>
          <w:rFonts w:hint="eastAsia"/>
        </w:rPr>
        <w:t>国家安全；</w:t>
      </w:r>
      <w:r>
        <w:rPr>
          <w:rFonts w:hint="eastAsia"/>
        </w:rPr>
        <w:t>(2)</w:t>
      </w:r>
      <w:r w:rsidR="00682F12">
        <w:t xml:space="preserve"> </w:t>
      </w:r>
      <w:r>
        <w:rPr>
          <w:rFonts w:hint="eastAsia"/>
        </w:rPr>
        <w:t>国家竞争力提升；</w:t>
      </w:r>
      <w:r>
        <w:rPr>
          <w:rFonts w:hint="eastAsia"/>
        </w:rPr>
        <w:t>(3)</w:t>
      </w:r>
      <w:r w:rsidR="00682F12">
        <w:t xml:space="preserve"> </w:t>
      </w:r>
      <w:r>
        <w:rPr>
          <w:rFonts w:hint="eastAsia"/>
        </w:rPr>
        <w:t>人力资本发展和加强；</w:t>
      </w:r>
      <w:r>
        <w:rPr>
          <w:rFonts w:hint="eastAsia"/>
        </w:rPr>
        <w:t>(4)</w:t>
      </w:r>
      <w:r w:rsidR="00682F12">
        <w:t xml:space="preserve"> </w:t>
      </w:r>
      <w:r>
        <w:rPr>
          <w:rFonts w:hint="eastAsia"/>
        </w:rPr>
        <w:t>社会凝聚力和公正社会；</w:t>
      </w:r>
      <w:r>
        <w:rPr>
          <w:rFonts w:hint="eastAsia"/>
        </w:rPr>
        <w:t>(5)</w:t>
      </w:r>
      <w:r w:rsidR="00682F12">
        <w:t xml:space="preserve"> </w:t>
      </w:r>
      <w:r>
        <w:rPr>
          <w:rFonts w:hint="eastAsia"/>
        </w:rPr>
        <w:t>生态友好型发展和增长；</w:t>
      </w:r>
      <w:r>
        <w:rPr>
          <w:rFonts w:hint="eastAsia"/>
        </w:rPr>
        <w:t>(6)</w:t>
      </w:r>
      <w:r w:rsidR="00682F12">
        <w:t xml:space="preserve"> </w:t>
      </w:r>
      <w:r>
        <w:rPr>
          <w:rFonts w:hint="eastAsia"/>
        </w:rPr>
        <w:t>公共部门再平衡和发展。</w:t>
      </w:r>
    </w:p>
    <w:p w14:paraId="52E5BF56" w14:textId="77777777" w:rsidR="00522F93" w:rsidRDefault="00522F93" w:rsidP="005225D2">
      <w:pPr>
        <w:pStyle w:val="H23GC"/>
      </w:pPr>
      <w:r>
        <w:rPr>
          <w:rFonts w:hint="eastAsia"/>
        </w:rPr>
        <w:tab/>
      </w:r>
      <w:r>
        <w:rPr>
          <w:rFonts w:hint="eastAsia"/>
        </w:rPr>
        <w:tab/>
      </w:r>
      <w:r>
        <w:rPr>
          <w:rFonts w:hint="eastAsia"/>
        </w:rPr>
        <w:t>国家改革计划</w:t>
      </w:r>
    </w:p>
    <w:p w14:paraId="52EA282C" w14:textId="07843478" w:rsidR="00522F93" w:rsidRDefault="00522F93" w:rsidP="00522F93">
      <w:pPr>
        <w:pStyle w:val="SingleTxtGC"/>
      </w:pPr>
      <w:r>
        <w:rPr>
          <w:rFonts w:hint="eastAsia"/>
        </w:rPr>
        <w:t>88.</w:t>
      </w:r>
      <w:r>
        <w:rPr>
          <w:rFonts w:hint="eastAsia"/>
        </w:rPr>
        <w:tab/>
        <w:t>2017</w:t>
      </w:r>
      <w:r>
        <w:rPr>
          <w:rFonts w:hint="eastAsia"/>
        </w:rPr>
        <w:t>年《宪法》促使颁布了涵盖</w:t>
      </w:r>
      <w:r>
        <w:rPr>
          <w:rFonts w:hint="eastAsia"/>
        </w:rPr>
        <w:t>11</w:t>
      </w:r>
      <w:r>
        <w:rPr>
          <w:rFonts w:hint="eastAsia"/>
        </w:rPr>
        <w:t>个领域的国家改革计划，包括政治、公共行政、法律、司法系统、经济、自然资源和环境、公共卫生、大众媒体和信息技术、社会问题、能源和反腐败。这些计划为该国根据创新驱动的“泰国</w:t>
      </w:r>
      <w:r>
        <w:rPr>
          <w:rFonts w:hint="eastAsia"/>
        </w:rPr>
        <w:t>4.0</w:t>
      </w:r>
      <w:r>
        <w:rPr>
          <w:rFonts w:hint="eastAsia"/>
        </w:rPr>
        <w:t>”议程和《</w:t>
      </w:r>
      <w:r>
        <w:rPr>
          <w:rFonts w:hint="eastAsia"/>
        </w:rPr>
        <w:t>2030</w:t>
      </w:r>
      <w:r>
        <w:rPr>
          <w:rFonts w:hint="eastAsia"/>
        </w:rPr>
        <w:t>年可持续发展议程》向前迈进提供了指导方针。这些计划对政府机构的实施工作具有法律约束力。</w:t>
      </w:r>
    </w:p>
    <w:p w14:paraId="7C140955" w14:textId="747857C0" w:rsidR="00522F93" w:rsidRDefault="00522F93" w:rsidP="00522F93">
      <w:pPr>
        <w:pStyle w:val="SingleTxtGC"/>
      </w:pPr>
      <w:r>
        <w:rPr>
          <w:rFonts w:hint="eastAsia"/>
        </w:rPr>
        <w:t>89.</w:t>
      </w:r>
      <w:r>
        <w:rPr>
          <w:rFonts w:hint="eastAsia"/>
        </w:rPr>
        <w:tab/>
      </w:r>
      <w:r>
        <w:rPr>
          <w:rFonts w:hint="eastAsia"/>
        </w:rPr>
        <w:t>国家改革计划涉及广泛的人权问题。例如，国家社会问题改革计划侧重于消除弱势群体在各个方面面临的壁垒和障碍，以实现社会包容。目标群体包括儿童、妇女、残疾人、老年人、低收入者、无行为能力者和根据民事登记法没有国籍或法律地位的人、前囚犯和艾滋病毒</w:t>
      </w:r>
      <w:r>
        <w:rPr>
          <w:rFonts w:hint="eastAsia"/>
        </w:rPr>
        <w:t>/</w:t>
      </w:r>
      <w:r>
        <w:rPr>
          <w:rFonts w:hint="eastAsia"/>
        </w:rPr>
        <w:t>艾滋病感染者。</w:t>
      </w:r>
    </w:p>
    <w:p w14:paraId="27B6EA8E" w14:textId="77777777" w:rsidR="00522F93" w:rsidRDefault="00522F93" w:rsidP="005225D2">
      <w:pPr>
        <w:pStyle w:val="H23GC"/>
      </w:pPr>
      <w:r>
        <w:rPr>
          <w:rFonts w:hint="eastAsia"/>
        </w:rPr>
        <w:tab/>
      </w:r>
      <w:r>
        <w:rPr>
          <w:rFonts w:hint="eastAsia"/>
        </w:rPr>
        <w:tab/>
      </w:r>
      <w:r>
        <w:rPr>
          <w:rFonts w:hint="eastAsia"/>
        </w:rPr>
        <w:t>国家经济和社会发展计划</w:t>
      </w:r>
    </w:p>
    <w:p w14:paraId="2F5119FC" w14:textId="659B11F6" w:rsidR="00522F93" w:rsidRDefault="00522F93" w:rsidP="00522F93">
      <w:pPr>
        <w:pStyle w:val="SingleTxtGC"/>
      </w:pPr>
      <w:r>
        <w:rPr>
          <w:rFonts w:hint="eastAsia"/>
        </w:rPr>
        <w:t>90.</w:t>
      </w:r>
      <w:r>
        <w:rPr>
          <w:rFonts w:hint="eastAsia"/>
        </w:rPr>
        <w:tab/>
      </w:r>
      <w:r>
        <w:rPr>
          <w:rFonts w:hint="eastAsia"/>
        </w:rPr>
        <w:t>该国的发展主要以</w:t>
      </w:r>
      <w:r>
        <w:rPr>
          <w:rFonts w:hint="eastAsia"/>
        </w:rPr>
        <w:t>1961</w:t>
      </w:r>
      <w:r>
        <w:rPr>
          <w:rFonts w:hint="eastAsia"/>
        </w:rPr>
        <w:t>年首次通过的一系列五年国民经济和社会发展计划为指导。目前的计划是第十二个国家经济和社会发展计划</w:t>
      </w:r>
      <w:r>
        <w:rPr>
          <w:rFonts w:hint="eastAsia"/>
        </w:rPr>
        <w:t>(2017-2021</w:t>
      </w:r>
      <w:r>
        <w:rPr>
          <w:rFonts w:hint="eastAsia"/>
        </w:rPr>
        <w:t>年</w:t>
      </w:r>
      <w:r>
        <w:rPr>
          <w:rFonts w:hint="eastAsia"/>
        </w:rPr>
        <w:t>)</w:t>
      </w:r>
      <w:r>
        <w:rPr>
          <w:rFonts w:hint="eastAsia"/>
        </w:rPr>
        <w:t>。</w:t>
      </w:r>
    </w:p>
    <w:p w14:paraId="555EAE90" w14:textId="4F7EACB5" w:rsidR="00522F93" w:rsidRDefault="00522F93" w:rsidP="00522F93">
      <w:pPr>
        <w:pStyle w:val="SingleTxtGC"/>
      </w:pPr>
      <w:r>
        <w:rPr>
          <w:rFonts w:hint="eastAsia"/>
        </w:rPr>
        <w:t>91.</w:t>
      </w:r>
      <w:r>
        <w:rPr>
          <w:rFonts w:hint="eastAsia"/>
        </w:rPr>
        <w:tab/>
      </w:r>
      <w:r>
        <w:rPr>
          <w:rFonts w:hint="eastAsia"/>
        </w:rPr>
        <w:t>该计划今后五年的发展目标渐进地与</w:t>
      </w:r>
      <w:r>
        <w:rPr>
          <w:rFonts w:hint="eastAsia"/>
        </w:rPr>
        <w:t>20</w:t>
      </w:r>
      <w:r>
        <w:rPr>
          <w:rFonts w:hint="eastAsia"/>
        </w:rPr>
        <w:t>年国家战略联系起来</w:t>
      </w:r>
      <w:r>
        <w:rPr>
          <w:rFonts w:hint="eastAsia"/>
        </w:rPr>
        <w:t>(</w:t>
      </w:r>
      <w:r>
        <w:rPr>
          <w:rFonts w:hint="eastAsia"/>
        </w:rPr>
        <w:t>见第</w:t>
      </w:r>
      <w:r>
        <w:rPr>
          <w:rFonts w:hint="eastAsia"/>
        </w:rPr>
        <w:t>85</w:t>
      </w:r>
      <w:r>
        <w:rPr>
          <w:rFonts w:hint="eastAsia"/>
        </w:rPr>
        <w:t>至</w:t>
      </w:r>
      <w:r>
        <w:rPr>
          <w:rFonts w:hint="eastAsia"/>
        </w:rPr>
        <w:t>87</w:t>
      </w:r>
      <w:r>
        <w:rPr>
          <w:rFonts w:hint="eastAsia"/>
        </w:rPr>
        <w:t>段</w:t>
      </w:r>
      <w:r>
        <w:rPr>
          <w:rFonts w:hint="eastAsia"/>
        </w:rPr>
        <w:t>)</w:t>
      </w:r>
      <w:r>
        <w:rPr>
          <w:rFonts w:hint="eastAsia"/>
        </w:rPr>
        <w:t>，采用了以下核心原则</w:t>
      </w:r>
      <w:r>
        <w:rPr>
          <w:rFonts w:hint="eastAsia"/>
        </w:rPr>
        <w:t>/</w:t>
      </w:r>
      <w:r>
        <w:rPr>
          <w:rFonts w:hint="eastAsia"/>
        </w:rPr>
        <w:t>方向：</w:t>
      </w:r>
    </w:p>
    <w:p w14:paraId="2C5BB83C" w14:textId="24174851" w:rsidR="00522F93" w:rsidRDefault="00522F93" w:rsidP="005225D2">
      <w:pPr>
        <w:pStyle w:val="SingleTxtGC"/>
        <w:numPr>
          <w:ilvl w:val="0"/>
          <w:numId w:val="9"/>
        </w:numPr>
      </w:pPr>
      <w:r>
        <w:rPr>
          <w:rFonts w:hint="eastAsia"/>
        </w:rPr>
        <w:lastRenderedPageBreak/>
        <w:t>“第十二个计划”基于“适足经济理念”的原则，这是自第九个计划以来至关重要的基础。这一理念通过接受适度、合理和复原力或风险管理的概念来促进均衡发展；</w:t>
      </w:r>
    </w:p>
    <w:p w14:paraId="55B79B2E" w14:textId="326C957A" w:rsidR="00522F93" w:rsidRDefault="00522F93" w:rsidP="005225D2">
      <w:pPr>
        <w:pStyle w:val="SingleTxtGC"/>
        <w:numPr>
          <w:ilvl w:val="0"/>
          <w:numId w:val="9"/>
        </w:numPr>
      </w:pPr>
      <w:r>
        <w:rPr>
          <w:rFonts w:hint="eastAsia"/>
        </w:rPr>
        <w:t>“以人为本的发展”寻求为泰国人创造可持续的生活质量和健康条件。它旨在培养遵纪守法、乐于学习、知识渊博、技能娴熟和富有创造力的高素质公民。他们还应该有良好的态度、社会责任、道德和伦理。所有年龄段的人都已经发展成熟，并为老龄化社会做好了充分准备。他们能够与环境和谐共处并利用环境，并保护和恢复自然资源；</w:t>
      </w:r>
    </w:p>
    <w:p w14:paraId="7FC91530" w14:textId="0AAF3A9F" w:rsidR="00522F93" w:rsidRDefault="00522F93" w:rsidP="005225D2">
      <w:pPr>
        <w:pStyle w:val="SingleTxtGC"/>
        <w:numPr>
          <w:ilvl w:val="0"/>
          <w:numId w:val="9"/>
        </w:numPr>
      </w:pPr>
      <w:r>
        <w:rPr>
          <w:rFonts w:hint="eastAsia"/>
        </w:rPr>
        <w:t>20</w:t>
      </w:r>
      <w:r>
        <w:rPr>
          <w:rFonts w:hint="eastAsia"/>
        </w:rPr>
        <w:t>年国家战略的愿景是“根据适足经济理念的原则，使泰国成为一个安全、繁荣和可持续的发达国家”。这些原则连同“安全、繁荣和可持续性”的国家口号，是支撑“第十二个计划”的框架；</w:t>
      </w:r>
    </w:p>
    <w:p w14:paraId="603EDEB4" w14:textId="7F689C4E" w:rsidR="00522F93" w:rsidRDefault="00522F93" w:rsidP="005225D2">
      <w:pPr>
        <w:pStyle w:val="SingleTxtGC"/>
        <w:numPr>
          <w:ilvl w:val="0"/>
          <w:numId w:val="9"/>
        </w:numPr>
      </w:pPr>
      <w:r>
        <w:rPr>
          <w:rFonts w:hint="eastAsia"/>
        </w:rPr>
        <w:t>“泰国</w:t>
      </w:r>
      <w:r>
        <w:rPr>
          <w:rFonts w:hint="eastAsia"/>
        </w:rPr>
        <w:t>2036</w:t>
      </w:r>
      <w:r>
        <w:rPr>
          <w:rFonts w:hint="eastAsia"/>
        </w:rPr>
        <w:t>年目标”是</w:t>
      </w:r>
      <w:r>
        <w:rPr>
          <w:rFonts w:hint="eastAsia"/>
        </w:rPr>
        <w:t>20</w:t>
      </w:r>
      <w:r>
        <w:rPr>
          <w:rFonts w:hint="eastAsia"/>
        </w:rPr>
        <w:t>年国家战略的目标，被用作制定前五年主要和次要目标的基准。每一项目标和指标都符合《</w:t>
      </w:r>
      <w:r>
        <w:rPr>
          <w:rFonts w:hint="eastAsia"/>
        </w:rPr>
        <w:t>2030</w:t>
      </w:r>
      <w:r>
        <w:rPr>
          <w:rFonts w:hint="eastAsia"/>
        </w:rPr>
        <w:t>年可持续发展议程》，是根据对泰国发展中发现的主要问题、发展模式以及主要生产和服务部门的性质和趋势的评估制定的；</w:t>
      </w:r>
    </w:p>
    <w:p w14:paraId="66F27A6D" w14:textId="6B416587" w:rsidR="00522F93" w:rsidRDefault="00522F93" w:rsidP="005225D2">
      <w:pPr>
        <w:pStyle w:val="SingleTxtGC"/>
        <w:numPr>
          <w:ilvl w:val="0"/>
          <w:numId w:val="9"/>
        </w:numPr>
      </w:pPr>
      <w:r>
        <w:rPr>
          <w:rFonts w:hint="eastAsia"/>
        </w:rPr>
        <w:t>“第十二个计划”鼓励“一种有助于减少不平等并基于当地智慧和创新提高生产力水平的经济增长形式。”该计划侧重于包容性增长，以扩大中产阶级人口群体。它设定的一个目标是，增加收入最低的底层</w:t>
      </w:r>
      <w:r>
        <w:rPr>
          <w:rFonts w:hint="eastAsia"/>
        </w:rPr>
        <w:t>40%</w:t>
      </w:r>
      <w:r>
        <w:rPr>
          <w:rFonts w:hint="eastAsia"/>
        </w:rPr>
        <w:t>人口的经济机会、社会机会和收入；</w:t>
      </w:r>
    </w:p>
    <w:p w14:paraId="7F4F9C08" w14:textId="46E0DC5C" w:rsidR="00522F93" w:rsidRDefault="00522F93" w:rsidP="005225D2">
      <w:pPr>
        <w:pStyle w:val="SingleTxtGC"/>
        <w:numPr>
          <w:ilvl w:val="0"/>
          <w:numId w:val="9"/>
        </w:numPr>
      </w:pPr>
      <w:r>
        <w:rPr>
          <w:rFonts w:hint="eastAsia"/>
        </w:rPr>
        <w:t>“第十二个计划”将“付诸实施，以实现长期发展目标”。该计划是一种机制，和谐地连接、监督和落实</w:t>
      </w:r>
      <w:r>
        <w:rPr>
          <w:rFonts w:hint="eastAsia"/>
        </w:rPr>
        <w:t>20</w:t>
      </w:r>
      <w:r>
        <w:rPr>
          <w:rFonts w:hint="eastAsia"/>
        </w:rPr>
        <w:t>年国家战略的发展方向和目标，并在各级和各个方面付诸实施；</w:t>
      </w:r>
    </w:p>
    <w:p w14:paraId="2C21E973" w14:textId="3B729A0D" w:rsidR="00522F93" w:rsidRDefault="00522F93" w:rsidP="005225D2">
      <w:pPr>
        <w:pStyle w:val="SingleTxtGC"/>
        <w:numPr>
          <w:ilvl w:val="0"/>
          <w:numId w:val="9"/>
        </w:numPr>
      </w:pPr>
      <w:r>
        <w:rPr>
          <w:rFonts w:hint="eastAsia"/>
        </w:rPr>
        <w:t>“第十二个计划”还确定了需要综合实施的高度优先发展问题，制定了与发展目标有效对应的方案和项目，还制定了涵盖以往国民经济和社会发展计划以外更广泛的目标和指标。制定目标需要考虑许多因素，包括与</w:t>
      </w:r>
      <w:r>
        <w:rPr>
          <w:rFonts w:hint="eastAsia"/>
        </w:rPr>
        <w:t>20</w:t>
      </w:r>
      <w:r>
        <w:rPr>
          <w:rFonts w:hint="eastAsia"/>
        </w:rPr>
        <w:t>年长期国家战略的目标保持一致，该战略为制定将在预算框架内实现的次要目标和指标提供了框架。以及监测和评估公共部门的支出、绩效和发展，这些方面应该相互一致和相辅相成。</w:t>
      </w:r>
    </w:p>
    <w:p w14:paraId="2C05B513" w14:textId="77777777" w:rsidR="00522F93" w:rsidRDefault="00522F93" w:rsidP="005225D2">
      <w:pPr>
        <w:pStyle w:val="H23GC"/>
      </w:pPr>
      <w:r>
        <w:rPr>
          <w:rFonts w:hint="eastAsia"/>
        </w:rPr>
        <w:tab/>
      </w:r>
      <w:r>
        <w:rPr>
          <w:rFonts w:hint="eastAsia"/>
        </w:rPr>
        <w:tab/>
      </w:r>
      <w:r>
        <w:rPr>
          <w:rFonts w:hint="eastAsia"/>
        </w:rPr>
        <w:t>国家人权议程</w:t>
      </w:r>
    </w:p>
    <w:p w14:paraId="72005AA3" w14:textId="1E76CBAF" w:rsidR="00522F93" w:rsidRDefault="00522F93" w:rsidP="00522F93">
      <w:pPr>
        <w:pStyle w:val="SingleTxtGC"/>
      </w:pPr>
      <w:r>
        <w:rPr>
          <w:rFonts w:hint="eastAsia"/>
        </w:rPr>
        <w:t>92.</w:t>
      </w:r>
      <w:r>
        <w:rPr>
          <w:rFonts w:hint="eastAsia"/>
        </w:rPr>
        <w:tab/>
      </w:r>
      <w:r>
        <w:rPr>
          <w:rFonts w:hint="eastAsia"/>
        </w:rPr>
        <w:t>为了将人权纳入所有政策的主流，政府首次将人权定为</w:t>
      </w:r>
      <w:r>
        <w:rPr>
          <w:rFonts w:hint="eastAsia"/>
        </w:rPr>
        <w:t>2018-2019</w:t>
      </w:r>
      <w:r>
        <w:rPr>
          <w:rFonts w:hint="eastAsia"/>
        </w:rPr>
        <w:t>年的国家议程，从而将其与创新驱动的“泰国</w:t>
      </w:r>
      <w:r>
        <w:rPr>
          <w:rFonts w:hint="eastAsia"/>
        </w:rPr>
        <w:t>4.0</w:t>
      </w:r>
      <w:r>
        <w:rPr>
          <w:rFonts w:hint="eastAsia"/>
        </w:rPr>
        <w:t>”政策及其实现可持续发展的努力联系起来。</w:t>
      </w:r>
    </w:p>
    <w:p w14:paraId="12A21D06" w14:textId="02948344" w:rsidR="00522F93" w:rsidRDefault="00522F93" w:rsidP="00522F93">
      <w:pPr>
        <w:pStyle w:val="SingleTxtGC"/>
      </w:pPr>
      <w:r>
        <w:rPr>
          <w:rFonts w:hint="eastAsia"/>
        </w:rPr>
        <w:t>93.</w:t>
      </w:r>
      <w:r>
        <w:rPr>
          <w:rFonts w:hint="eastAsia"/>
        </w:rPr>
        <w:tab/>
      </w:r>
      <w:r>
        <w:rPr>
          <w:rFonts w:hint="eastAsia"/>
        </w:rPr>
        <w:t>该议程解读了</w:t>
      </w:r>
      <w:r w:rsidR="00682F12">
        <w:rPr>
          <w:rFonts w:hint="eastAsia"/>
        </w:rPr>
        <w:t>“</w:t>
      </w:r>
      <w:r>
        <w:rPr>
          <w:rFonts w:hint="eastAsia"/>
        </w:rPr>
        <w:t>4+3+2+1=</w:t>
      </w:r>
      <w:r>
        <w:rPr>
          <w:rFonts w:hint="eastAsia"/>
        </w:rPr>
        <w:t>目标</w:t>
      </w:r>
      <w:r w:rsidR="00682F12">
        <w:rPr>
          <w:rFonts w:hint="eastAsia"/>
          <w:lang w:val="fr-CH"/>
        </w:rPr>
        <w:t>”</w:t>
      </w:r>
      <w:r>
        <w:rPr>
          <w:rFonts w:hint="eastAsia"/>
        </w:rPr>
        <w:t>的政策框架，即</w:t>
      </w:r>
      <w:r w:rsidR="00682F12">
        <w:rPr>
          <w:rFonts w:hint="eastAsia"/>
        </w:rPr>
        <w:t>“</w:t>
      </w:r>
      <w:r>
        <w:rPr>
          <w:rFonts w:hint="eastAsia"/>
        </w:rPr>
        <w:t>四项</w:t>
      </w:r>
      <w:r w:rsidR="00682F12">
        <w:rPr>
          <w:rFonts w:hint="eastAsia"/>
          <w:lang w:val="fr-CH"/>
        </w:rPr>
        <w:t>”</w:t>
      </w:r>
      <w:r>
        <w:rPr>
          <w:rFonts w:hint="eastAsia"/>
        </w:rPr>
        <w:t>政策创造有利环境，</w:t>
      </w:r>
      <w:r w:rsidR="00682F12">
        <w:rPr>
          <w:rFonts w:hint="eastAsia"/>
        </w:rPr>
        <w:t>“</w:t>
      </w:r>
      <w:r>
        <w:rPr>
          <w:rFonts w:hint="eastAsia"/>
        </w:rPr>
        <w:t>三项</w:t>
      </w:r>
      <w:r w:rsidR="00682F12">
        <w:rPr>
          <w:rFonts w:hint="eastAsia"/>
          <w:lang w:val="fr-CH"/>
        </w:rPr>
        <w:t>”</w:t>
      </w:r>
      <w:r>
        <w:rPr>
          <w:rFonts w:hint="eastAsia"/>
        </w:rPr>
        <w:t>政策完善国家现有人权体系，</w:t>
      </w:r>
      <w:r w:rsidR="00682F12">
        <w:rPr>
          <w:rFonts w:hint="eastAsia"/>
        </w:rPr>
        <w:t>“</w:t>
      </w:r>
      <w:r>
        <w:rPr>
          <w:rFonts w:hint="eastAsia"/>
        </w:rPr>
        <w:t>两项</w:t>
      </w:r>
      <w:r w:rsidR="00682F12">
        <w:rPr>
          <w:rFonts w:hint="eastAsia"/>
          <w:lang w:val="fr-CH"/>
        </w:rPr>
        <w:t>”</w:t>
      </w:r>
      <w:r>
        <w:rPr>
          <w:rFonts w:hint="eastAsia"/>
        </w:rPr>
        <w:t>政策推动促进人权工作的机构和计划，</w:t>
      </w:r>
      <w:r w:rsidR="00682F12">
        <w:rPr>
          <w:rFonts w:hint="eastAsia"/>
        </w:rPr>
        <w:t>“</w:t>
      </w:r>
      <w:r>
        <w:rPr>
          <w:rFonts w:hint="eastAsia"/>
        </w:rPr>
        <w:t>一项</w:t>
      </w:r>
      <w:r w:rsidR="00682F12">
        <w:rPr>
          <w:rFonts w:hint="eastAsia"/>
          <w:lang w:val="fr-CH"/>
        </w:rPr>
        <w:t>”</w:t>
      </w:r>
      <w:r>
        <w:rPr>
          <w:rFonts w:hint="eastAsia"/>
        </w:rPr>
        <w:t>政策减少人权侵犯问题，</w:t>
      </w:r>
      <w:r w:rsidR="00682F12">
        <w:rPr>
          <w:rFonts w:hint="eastAsia"/>
        </w:rPr>
        <w:t>“</w:t>
      </w:r>
      <w:r>
        <w:rPr>
          <w:rFonts w:hint="eastAsia"/>
        </w:rPr>
        <w:t>目标</w:t>
      </w:r>
      <w:r w:rsidR="00682F12">
        <w:rPr>
          <w:rFonts w:hint="eastAsia"/>
          <w:lang w:val="fr-CH"/>
        </w:rPr>
        <w:t>”</w:t>
      </w:r>
      <w:r>
        <w:rPr>
          <w:rFonts w:hint="eastAsia"/>
        </w:rPr>
        <w:t>是建立和平社会的关键。</w:t>
      </w:r>
    </w:p>
    <w:p w14:paraId="704021C1" w14:textId="14C4541D" w:rsidR="00522F93" w:rsidRDefault="00522F93" w:rsidP="00522F93">
      <w:pPr>
        <w:pStyle w:val="SingleTxtGC"/>
      </w:pPr>
      <w:r>
        <w:rPr>
          <w:rFonts w:hint="eastAsia"/>
        </w:rPr>
        <w:t>94.</w:t>
      </w:r>
      <w:r>
        <w:rPr>
          <w:rFonts w:hint="eastAsia"/>
        </w:rPr>
        <w:tab/>
      </w:r>
      <w:r>
        <w:rPr>
          <w:rFonts w:hint="eastAsia"/>
        </w:rPr>
        <w:t>政府自</w:t>
      </w:r>
      <w:r>
        <w:rPr>
          <w:rFonts w:hint="eastAsia"/>
        </w:rPr>
        <w:t>2018</w:t>
      </w:r>
      <w:r>
        <w:rPr>
          <w:rFonts w:hint="eastAsia"/>
        </w:rPr>
        <w:t>年</w:t>
      </w:r>
      <w:r>
        <w:rPr>
          <w:rFonts w:hint="eastAsia"/>
        </w:rPr>
        <w:t>12</w:t>
      </w:r>
      <w:r>
        <w:rPr>
          <w:rFonts w:hint="eastAsia"/>
        </w:rPr>
        <w:t>月起成立了国家人权委员会。该委员会由副总理兼司法部长担任主席，委员会成员包括政府机构和民间社会代表，其任务是以贯穿和综合的方式推进国家人权议程、国家人权计划和其他相关事项。</w:t>
      </w:r>
    </w:p>
    <w:p w14:paraId="675BDA41" w14:textId="683E4613" w:rsidR="00522F93" w:rsidRDefault="00522F93" w:rsidP="00522F93">
      <w:pPr>
        <w:pStyle w:val="SingleTxtGC"/>
      </w:pPr>
      <w:r>
        <w:rPr>
          <w:rFonts w:hint="eastAsia"/>
        </w:rPr>
        <w:lastRenderedPageBreak/>
        <w:t>95.</w:t>
      </w:r>
      <w:r>
        <w:rPr>
          <w:rFonts w:hint="eastAsia"/>
        </w:rPr>
        <w:tab/>
      </w:r>
      <w:r>
        <w:rPr>
          <w:rFonts w:hint="eastAsia"/>
        </w:rPr>
        <w:t>根据上述国家议程，泰国认为，人权是实现可持续发展目标的关键，确保不让任何一个人掉队，特别是最弱势群体。泰国强调人权与可持续发展目标之间双向的互补性和相辅相成的联系。</w:t>
      </w:r>
    </w:p>
    <w:p w14:paraId="49D0D43E" w14:textId="520F7CDB" w:rsidR="00522F93" w:rsidRDefault="00522F93" w:rsidP="00522F93">
      <w:pPr>
        <w:pStyle w:val="SingleTxtGC"/>
      </w:pPr>
      <w:r>
        <w:rPr>
          <w:rFonts w:hint="eastAsia"/>
        </w:rPr>
        <w:t>96.</w:t>
      </w:r>
      <w:r>
        <w:rPr>
          <w:rFonts w:hint="eastAsia"/>
        </w:rPr>
        <w:tab/>
      </w:r>
      <w:r>
        <w:rPr>
          <w:rFonts w:hint="eastAsia"/>
        </w:rPr>
        <w:t>司法部目前正在着手更新国家人权议程，暂定更新</w:t>
      </w:r>
      <w:r>
        <w:rPr>
          <w:rFonts w:hint="eastAsia"/>
        </w:rPr>
        <w:t>2021-2022</w:t>
      </w:r>
      <w:r>
        <w:rPr>
          <w:rFonts w:hint="eastAsia"/>
        </w:rPr>
        <w:t>年国家人权议程。</w:t>
      </w:r>
    </w:p>
    <w:p w14:paraId="6B6B2630" w14:textId="77777777" w:rsidR="00522F93" w:rsidRDefault="00522F93" w:rsidP="005225D2">
      <w:pPr>
        <w:pStyle w:val="H23GC"/>
      </w:pPr>
      <w:r>
        <w:rPr>
          <w:rFonts w:hint="eastAsia"/>
        </w:rPr>
        <w:tab/>
      </w:r>
      <w:r>
        <w:rPr>
          <w:rFonts w:hint="eastAsia"/>
        </w:rPr>
        <w:tab/>
      </w:r>
      <w:r>
        <w:rPr>
          <w:rFonts w:hint="eastAsia"/>
        </w:rPr>
        <w:t>国家人权计划</w:t>
      </w:r>
    </w:p>
    <w:p w14:paraId="08A4ED36" w14:textId="14FEC3E5" w:rsidR="00522F93" w:rsidRDefault="00522F93" w:rsidP="00522F93">
      <w:pPr>
        <w:pStyle w:val="SingleTxtGC"/>
      </w:pPr>
      <w:r>
        <w:rPr>
          <w:rFonts w:hint="eastAsia"/>
        </w:rPr>
        <w:t>97.</w:t>
      </w:r>
      <w:r>
        <w:rPr>
          <w:rFonts w:hint="eastAsia"/>
        </w:rPr>
        <w:tab/>
      </w:r>
      <w:r>
        <w:rPr>
          <w:rFonts w:hint="eastAsia"/>
        </w:rPr>
        <w:t>随着第三个国家人权计划</w:t>
      </w:r>
      <w:r>
        <w:rPr>
          <w:rFonts w:hint="eastAsia"/>
        </w:rPr>
        <w:t>(2014-2018</w:t>
      </w:r>
      <w:r>
        <w:rPr>
          <w:rFonts w:hint="eastAsia"/>
        </w:rPr>
        <w:t>年</w:t>
      </w:r>
      <w:r>
        <w:rPr>
          <w:rFonts w:hint="eastAsia"/>
        </w:rPr>
        <w:t>)</w:t>
      </w:r>
      <w:r>
        <w:rPr>
          <w:rFonts w:hint="eastAsia"/>
        </w:rPr>
        <w:t>的完成，司法部作为协调中心，对该计划的执行情况进行了评估，并致力于制定第四个国家人权计划</w:t>
      </w:r>
      <w:r>
        <w:rPr>
          <w:rFonts w:hint="eastAsia"/>
        </w:rPr>
        <w:t>(2019-2023</w:t>
      </w:r>
      <w:r>
        <w:rPr>
          <w:rFonts w:hint="eastAsia"/>
        </w:rPr>
        <w:t>年</w:t>
      </w:r>
      <w:r>
        <w:rPr>
          <w:rFonts w:hint="eastAsia"/>
        </w:rPr>
        <w:t>)</w:t>
      </w:r>
      <w:r>
        <w:rPr>
          <w:rFonts w:hint="eastAsia"/>
        </w:rPr>
        <w:t>。第四个计划经过了一系列的公众咨询，由相关机构进行了修订和审议，并于</w:t>
      </w:r>
      <w:r>
        <w:rPr>
          <w:rFonts w:hint="eastAsia"/>
        </w:rPr>
        <w:t>2020</w:t>
      </w:r>
      <w:r>
        <w:rPr>
          <w:rFonts w:hint="eastAsia"/>
        </w:rPr>
        <w:t>年</w:t>
      </w:r>
      <w:r>
        <w:rPr>
          <w:rFonts w:hint="eastAsia"/>
        </w:rPr>
        <w:t>6</w:t>
      </w:r>
      <w:r>
        <w:rPr>
          <w:rFonts w:hint="eastAsia"/>
        </w:rPr>
        <w:t>月</w:t>
      </w:r>
      <w:r>
        <w:rPr>
          <w:rFonts w:hint="eastAsia"/>
        </w:rPr>
        <w:t>30</w:t>
      </w:r>
      <w:r>
        <w:rPr>
          <w:rFonts w:hint="eastAsia"/>
        </w:rPr>
        <w:t>日由内阁批准。</w:t>
      </w:r>
    </w:p>
    <w:p w14:paraId="3A2CE824" w14:textId="0729C5C5" w:rsidR="00522F93" w:rsidRDefault="00522F93" w:rsidP="00522F93">
      <w:pPr>
        <w:pStyle w:val="SingleTxtGC"/>
      </w:pPr>
      <w:r>
        <w:rPr>
          <w:rFonts w:hint="eastAsia"/>
        </w:rPr>
        <w:t>98.</w:t>
      </w:r>
      <w:r>
        <w:rPr>
          <w:rFonts w:hint="eastAsia"/>
        </w:rPr>
        <w:tab/>
      </w:r>
      <w:r>
        <w:rPr>
          <w:rFonts w:hint="eastAsia"/>
        </w:rPr>
        <w:t>第四个计划的关键内容涉及催生拟议行动框架的当前问题，该框架根据</w:t>
      </w:r>
      <w:r>
        <w:rPr>
          <w:rFonts w:hint="eastAsia"/>
        </w:rPr>
        <w:t>10</w:t>
      </w:r>
      <w:r>
        <w:rPr>
          <w:rFonts w:hint="eastAsia"/>
        </w:rPr>
        <w:t>个专题和</w:t>
      </w:r>
      <w:r>
        <w:rPr>
          <w:rFonts w:hint="eastAsia"/>
        </w:rPr>
        <w:t>12</w:t>
      </w:r>
      <w:r>
        <w:rPr>
          <w:rFonts w:hint="eastAsia"/>
        </w:rPr>
        <w:t>个弱势群体分为</w:t>
      </w:r>
      <w:r>
        <w:rPr>
          <w:rFonts w:hint="eastAsia"/>
        </w:rPr>
        <w:t>22</w:t>
      </w:r>
      <w:r>
        <w:rPr>
          <w:rFonts w:hint="eastAsia"/>
        </w:rPr>
        <w:t>个次级计划：</w:t>
      </w:r>
    </w:p>
    <w:p w14:paraId="67D27768" w14:textId="722880E5" w:rsidR="00522F93" w:rsidRDefault="00522F93" w:rsidP="005225D2">
      <w:pPr>
        <w:pStyle w:val="Bullet1GC"/>
      </w:pPr>
      <w:r>
        <w:rPr>
          <w:rFonts w:hint="eastAsia"/>
        </w:rPr>
        <w:t>这</w:t>
      </w:r>
      <w:r>
        <w:rPr>
          <w:rFonts w:hint="eastAsia"/>
        </w:rPr>
        <w:t>10</w:t>
      </w:r>
      <w:r>
        <w:rPr>
          <w:rFonts w:hint="eastAsia"/>
        </w:rPr>
        <w:t>项基于问题的计划包括以下方面的计划：</w:t>
      </w:r>
      <w:r>
        <w:rPr>
          <w:rFonts w:hint="eastAsia"/>
        </w:rPr>
        <w:t>(1)</w:t>
      </w:r>
      <w:r w:rsidR="00C45D05">
        <w:t xml:space="preserve"> </w:t>
      </w:r>
      <w:r>
        <w:rPr>
          <w:rFonts w:hint="eastAsia"/>
        </w:rPr>
        <w:t>公共卫生；</w:t>
      </w:r>
      <w:r>
        <w:rPr>
          <w:rFonts w:hint="eastAsia"/>
        </w:rPr>
        <w:t>(2)</w:t>
      </w:r>
      <w:r w:rsidR="00C45D05">
        <w:t xml:space="preserve"> </w:t>
      </w:r>
      <w:r>
        <w:rPr>
          <w:rFonts w:hint="eastAsia"/>
        </w:rPr>
        <w:t>教育；</w:t>
      </w:r>
      <w:r>
        <w:rPr>
          <w:rFonts w:hint="eastAsia"/>
        </w:rPr>
        <w:t>(3)</w:t>
      </w:r>
      <w:r w:rsidR="00C45D05">
        <w:t xml:space="preserve"> </w:t>
      </w:r>
      <w:r>
        <w:rPr>
          <w:rFonts w:hint="eastAsia"/>
        </w:rPr>
        <w:t>自然资源和环境；</w:t>
      </w:r>
      <w:r>
        <w:rPr>
          <w:rFonts w:hint="eastAsia"/>
        </w:rPr>
        <w:t>(4)</w:t>
      </w:r>
      <w:r w:rsidR="00C45D05">
        <w:t xml:space="preserve"> </w:t>
      </w:r>
      <w:r>
        <w:rPr>
          <w:rFonts w:hint="eastAsia"/>
        </w:rPr>
        <w:t>住房；</w:t>
      </w:r>
      <w:r>
        <w:rPr>
          <w:rFonts w:hint="eastAsia"/>
        </w:rPr>
        <w:t>(5)</w:t>
      </w:r>
      <w:r w:rsidR="00C45D05">
        <w:t xml:space="preserve"> </w:t>
      </w:r>
      <w:r>
        <w:rPr>
          <w:rFonts w:hint="eastAsia"/>
        </w:rPr>
        <w:t>交通；</w:t>
      </w:r>
      <w:r>
        <w:rPr>
          <w:rFonts w:hint="eastAsia"/>
        </w:rPr>
        <w:t>(6)</w:t>
      </w:r>
      <w:r w:rsidR="00C45D05">
        <w:t xml:space="preserve"> </w:t>
      </w:r>
      <w:r>
        <w:rPr>
          <w:rFonts w:hint="eastAsia"/>
        </w:rPr>
        <w:t>经济和商业相关权利；</w:t>
      </w:r>
      <w:r>
        <w:rPr>
          <w:rFonts w:hint="eastAsia"/>
        </w:rPr>
        <w:t>(7)</w:t>
      </w:r>
      <w:r w:rsidR="00C45D05">
        <w:t xml:space="preserve"> </w:t>
      </w:r>
      <w:r>
        <w:rPr>
          <w:rFonts w:hint="eastAsia"/>
        </w:rPr>
        <w:t>公民、政治和安全相关权利；</w:t>
      </w:r>
      <w:r>
        <w:rPr>
          <w:rFonts w:hint="eastAsia"/>
        </w:rPr>
        <w:t>(8)</w:t>
      </w:r>
      <w:r w:rsidR="00C45D05">
        <w:t xml:space="preserve"> </w:t>
      </w:r>
      <w:r>
        <w:rPr>
          <w:rFonts w:hint="eastAsia"/>
        </w:rPr>
        <w:t>社区权利、文化权利和宗教权利；</w:t>
      </w:r>
      <w:r>
        <w:rPr>
          <w:rFonts w:hint="eastAsia"/>
        </w:rPr>
        <w:t>(9)</w:t>
      </w:r>
      <w:r w:rsidR="00C45D05">
        <w:t xml:space="preserve"> </w:t>
      </w:r>
      <w:r>
        <w:rPr>
          <w:rFonts w:hint="eastAsia"/>
        </w:rPr>
        <w:t>数据、信息和信息技术以及</w:t>
      </w:r>
      <w:r>
        <w:rPr>
          <w:rFonts w:hint="eastAsia"/>
        </w:rPr>
        <w:t>(10)</w:t>
      </w:r>
      <w:r>
        <w:rPr>
          <w:rFonts w:hint="eastAsia"/>
        </w:rPr>
        <w:t>司法程序；</w:t>
      </w:r>
    </w:p>
    <w:p w14:paraId="103BB1D1" w14:textId="35415FC3" w:rsidR="00522F93" w:rsidRDefault="00522F93" w:rsidP="005225D2">
      <w:pPr>
        <w:pStyle w:val="Bullet1GC"/>
      </w:pPr>
      <w:r>
        <w:rPr>
          <w:rFonts w:hint="eastAsia"/>
        </w:rPr>
        <w:t>12</w:t>
      </w:r>
      <w:r>
        <w:rPr>
          <w:rFonts w:hint="eastAsia"/>
        </w:rPr>
        <w:t>个基于群体的计划包括关于以下方面的计划：</w:t>
      </w:r>
      <w:r>
        <w:rPr>
          <w:rFonts w:hint="eastAsia"/>
        </w:rPr>
        <w:t>(1)</w:t>
      </w:r>
      <w:r w:rsidR="00C45D05">
        <w:t xml:space="preserve"> </w:t>
      </w:r>
      <w:r>
        <w:rPr>
          <w:rFonts w:hint="eastAsia"/>
        </w:rPr>
        <w:t>儿童和青年；</w:t>
      </w:r>
      <w:r>
        <w:rPr>
          <w:rFonts w:hint="eastAsia"/>
        </w:rPr>
        <w:t>(2)</w:t>
      </w:r>
      <w:r w:rsidR="00C45D05">
        <w:t xml:space="preserve"> </w:t>
      </w:r>
      <w:r>
        <w:rPr>
          <w:rFonts w:hint="eastAsia"/>
        </w:rPr>
        <w:t>老年人；</w:t>
      </w:r>
      <w:r>
        <w:rPr>
          <w:rFonts w:hint="eastAsia"/>
        </w:rPr>
        <w:t>(3)</w:t>
      </w:r>
      <w:r w:rsidR="00C45D05">
        <w:t xml:space="preserve"> </w:t>
      </w:r>
      <w:r>
        <w:rPr>
          <w:rFonts w:hint="eastAsia"/>
        </w:rPr>
        <w:t>妇女；</w:t>
      </w:r>
      <w:r>
        <w:rPr>
          <w:rFonts w:hint="eastAsia"/>
        </w:rPr>
        <w:t>(4)</w:t>
      </w:r>
      <w:r w:rsidR="00C45D05">
        <w:t xml:space="preserve"> </w:t>
      </w:r>
      <w:r>
        <w:rPr>
          <w:rFonts w:hint="eastAsia"/>
        </w:rPr>
        <w:t>残疾人；</w:t>
      </w:r>
      <w:r>
        <w:rPr>
          <w:rFonts w:hint="eastAsia"/>
        </w:rPr>
        <w:t>(5)</w:t>
      </w:r>
      <w:r w:rsidR="00C45D05">
        <w:t xml:space="preserve"> </w:t>
      </w:r>
      <w:r>
        <w:rPr>
          <w:rFonts w:hint="eastAsia"/>
        </w:rPr>
        <w:t>农民和工人；</w:t>
      </w:r>
      <w:r>
        <w:rPr>
          <w:rFonts w:hint="eastAsia"/>
        </w:rPr>
        <w:t>(6)</w:t>
      </w:r>
      <w:r w:rsidR="00C45D05">
        <w:t xml:space="preserve"> </w:t>
      </w:r>
      <w:r>
        <w:rPr>
          <w:rFonts w:hint="eastAsia"/>
        </w:rPr>
        <w:t>患者，包括艾滋病毒</w:t>
      </w:r>
      <w:r>
        <w:rPr>
          <w:rFonts w:hint="eastAsia"/>
        </w:rPr>
        <w:t>/</w:t>
      </w:r>
      <w:r>
        <w:rPr>
          <w:rFonts w:hint="eastAsia"/>
        </w:rPr>
        <w:t>艾滋病患者和吸毒者；</w:t>
      </w:r>
      <w:r>
        <w:rPr>
          <w:rFonts w:hint="eastAsia"/>
        </w:rPr>
        <w:t>(7)</w:t>
      </w:r>
      <w:r w:rsidR="00C45D05">
        <w:t xml:space="preserve"> </w:t>
      </w:r>
      <w:r>
        <w:rPr>
          <w:rFonts w:hint="eastAsia"/>
        </w:rPr>
        <w:t>族裔群体、无国籍人和寻求庇护者；</w:t>
      </w:r>
      <w:r>
        <w:rPr>
          <w:rFonts w:hint="eastAsia"/>
        </w:rPr>
        <w:t>(8)</w:t>
      </w:r>
      <w:r w:rsidR="00C45D05">
        <w:t xml:space="preserve"> </w:t>
      </w:r>
      <w:r>
        <w:rPr>
          <w:rFonts w:hint="eastAsia"/>
        </w:rPr>
        <w:t>男女同性恋、双性恋和跨性别者；</w:t>
      </w:r>
      <w:r>
        <w:rPr>
          <w:rFonts w:hint="eastAsia"/>
        </w:rPr>
        <w:t>(9)</w:t>
      </w:r>
      <w:r w:rsidR="00C45D05">
        <w:t xml:space="preserve"> </w:t>
      </w:r>
      <w:r>
        <w:rPr>
          <w:rFonts w:hint="eastAsia"/>
        </w:rPr>
        <w:t>人权维护者；</w:t>
      </w:r>
      <w:r>
        <w:rPr>
          <w:rFonts w:hint="eastAsia"/>
        </w:rPr>
        <w:t>(10)</w:t>
      </w:r>
      <w:r w:rsidR="00C45D05">
        <w:t xml:space="preserve"> </w:t>
      </w:r>
      <w:r>
        <w:rPr>
          <w:rFonts w:hint="eastAsia"/>
        </w:rPr>
        <w:t>囚犯，包括被告、被指控的罪犯和囚犯，</w:t>
      </w:r>
      <w:r>
        <w:rPr>
          <w:rFonts w:hint="eastAsia"/>
        </w:rPr>
        <w:t>(11)</w:t>
      </w:r>
      <w:r w:rsidR="00C45D05">
        <w:t xml:space="preserve"> </w:t>
      </w:r>
      <w:r>
        <w:rPr>
          <w:rFonts w:hint="eastAsia"/>
        </w:rPr>
        <w:t>前囚犯和服刑人员，</w:t>
      </w:r>
      <w:r>
        <w:rPr>
          <w:rFonts w:hint="eastAsia"/>
        </w:rPr>
        <w:t>(12)</w:t>
      </w:r>
      <w:r w:rsidR="00C45D05">
        <w:t xml:space="preserve"> </w:t>
      </w:r>
      <w:r>
        <w:rPr>
          <w:rFonts w:hint="eastAsia"/>
        </w:rPr>
        <w:t>受伤害的人和受害者，包括犯罪受害者、人口贩运受害者、侵犯人权行为受害者、家庭暴力受害者等以及证人。</w:t>
      </w:r>
    </w:p>
    <w:p w14:paraId="5D215B04" w14:textId="77777777" w:rsidR="00522F93" w:rsidRDefault="00522F93" w:rsidP="005225D2">
      <w:pPr>
        <w:pStyle w:val="H23GC"/>
      </w:pPr>
      <w:r>
        <w:rPr>
          <w:rFonts w:hint="eastAsia"/>
        </w:rPr>
        <w:tab/>
      </w:r>
      <w:r>
        <w:rPr>
          <w:rFonts w:hint="eastAsia"/>
        </w:rPr>
        <w:tab/>
      </w:r>
      <w:r>
        <w:rPr>
          <w:rFonts w:hint="eastAsia"/>
        </w:rPr>
        <w:t>生命权</w:t>
      </w:r>
    </w:p>
    <w:p w14:paraId="63AD9C37" w14:textId="418B4FD5" w:rsidR="00522F93" w:rsidRDefault="00522F93" w:rsidP="00522F93">
      <w:pPr>
        <w:pStyle w:val="SingleTxtGC"/>
      </w:pPr>
      <w:r>
        <w:rPr>
          <w:rFonts w:hint="eastAsia"/>
        </w:rPr>
        <w:t>99.</w:t>
      </w:r>
      <w:r>
        <w:rPr>
          <w:rFonts w:hint="eastAsia"/>
        </w:rPr>
        <w:tab/>
      </w:r>
      <w:r>
        <w:rPr>
          <w:rFonts w:hint="eastAsia"/>
        </w:rPr>
        <w:t>泰国法律将任意剥夺生命的行为定为犯罪，如《刑法典》第</w:t>
      </w:r>
      <w:r>
        <w:rPr>
          <w:rFonts w:hint="eastAsia"/>
        </w:rPr>
        <w:t>288</w:t>
      </w:r>
      <w:r>
        <w:rPr>
          <w:rFonts w:hint="eastAsia"/>
        </w:rPr>
        <w:t>条</w:t>
      </w:r>
      <w:r>
        <w:rPr>
          <w:rFonts w:hint="eastAsia"/>
        </w:rPr>
        <w:t>(</w:t>
      </w:r>
      <w:r>
        <w:rPr>
          <w:rFonts w:hint="eastAsia"/>
        </w:rPr>
        <w:t>谋杀</w:t>
      </w:r>
      <w:r>
        <w:rPr>
          <w:rFonts w:hint="eastAsia"/>
        </w:rPr>
        <w:t>)</w:t>
      </w:r>
      <w:r>
        <w:rPr>
          <w:rFonts w:hint="eastAsia"/>
        </w:rPr>
        <w:t>、</w:t>
      </w:r>
      <w:r>
        <w:rPr>
          <w:rFonts w:hint="eastAsia"/>
        </w:rPr>
        <w:t>289</w:t>
      </w:r>
      <w:r>
        <w:rPr>
          <w:rFonts w:hint="eastAsia"/>
        </w:rPr>
        <w:t>条</w:t>
      </w:r>
      <w:r>
        <w:rPr>
          <w:rFonts w:hint="eastAsia"/>
        </w:rPr>
        <w:t>(</w:t>
      </w:r>
      <w:r>
        <w:rPr>
          <w:rFonts w:hint="eastAsia"/>
        </w:rPr>
        <w:t>严重谋杀</w:t>
      </w:r>
      <w:r>
        <w:rPr>
          <w:rFonts w:hint="eastAsia"/>
        </w:rPr>
        <w:t>)</w:t>
      </w:r>
      <w:r>
        <w:rPr>
          <w:rFonts w:hint="eastAsia"/>
        </w:rPr>
        <w:t>、</w:t>
      </w:r>
      <w:r>
        <w:rPr>
          <w:rFonts w:hint="eastAsia"/>
        </w:rPr>
        <w:t>290</w:t>
      </w:r>
      <w:r>
        <w:rPr>
          <w:rFonts w:hint="eastAsia"/>
        </w:rPr>
        <w:t>条</w:t>
      </w:r>
      <w:r>
        <w:rPr>
          <w:rFonts w:hint="eastAsia"/>
        </w:rPr>
        <w:t>(</w:t>
      </w:r>
      <w:r>
        <w:rPr>
          <w:rFonts w:hint="eastAsia"/>
        </w:rPr>
        <w:t>殴打致死</w:t>
      </w:r>
      <w:r>
        <w:rPr>
          <w:rFonts w:hint="eastAsia"/>
        </w:rPr>
        <w:t>)</w:t>
      </w:r>
      <w:r>
        <w:rPr>
          <w:rFonts w:hint="eastAsia"/>
        </w:rPr>
        <w:t>和</w:t>
      </w:r>
      <w:r>
        <w:rPr>
          <w:rFonts w:hint="eastAsia"/>
        </w:rPr>
        <w:t>291</w:t>
      </w:r>
      <w:r>
        <w:rPr>
          <w:rFonts w:hint="eastAsia"/>
        </w:rPr>
        <w:t>条</w:t>
      </w:r>
      <w:r>
        <w:rPr>
          <w:rFonts w:hint="eastAsia"/>
        </w:rPr>
        <w:t>(</w:t>
      </w:r>
      <w:r>
        <w:rPr>
          <w:rFonts w:hint="eastAsia"/>
        </w:rPr>
        <w:t>过失杀人</w:t>
      </w:r>
      <w:r>
        <w:rPr>
          <w:rFonts w:hint="eastAsia"/>
        </w:rPr>
        <w:t>)</w:t>
      </w:r>
      <w:r>
        <w:rPr>
          <w:rFonts w:hint="eastAsia"/>
        </w:rPr>
        <w:t>。</w:t>
      </w:r>
    </w:p>
    <w:p w14:paraId="164EDC2D" w14:textId="33E2606E" w:rsidR="00522F93" w:rsidRDefault="00522F93" w:rsidP="00C45D05">
      <w:pPr>
        <w:pStyle w:val="SingleTxtGC"/>
        <w:tabs>
          <w:tab w:val="clear" w:pos="1565"/>
          <w:tab w:val="left" w:pos="1701"/>
        </w:tabs>
      </w:pPr>
      <w:r>
        <w:rPr>
          <w:rFonts w:hint="eastAsia"/>
        </w:rPr>
        <w:t>100.</w:t>
      </w:r>
      <w:r>
        <w:rPr>
          <w:rFonts w:hint="eastAsia"/>
        </w:rPr>
        <w:tab/>
      </w:r>
      <w:r>
        <w:rPr>
          <w:rFonts w:hint="eastAsia"/>
        </w:rPr>
        <w:t>根据《刑法典》第</w:t>
      </w:r>
      <w:r>
        <w:rPr>
          <w:rFonts w:hint="eastAsia"/>
        </w:rPr>
        <w:t>18</w:t>
      </w:r>
      <w:r>
        <w:rPr>
          <w:rFonts w:hint="eastAsia"/>
        </w:rPr>
        <w:t>条第</w:t>
      </w:r>
      <w:r>
        <w:rPr>
          <w:rFonts w:hint="eastAsia"/>
        </w:rPr>
        <w:t>2</w:t>
      </w:r>
      <w:r>
        <w:rPr>
          <w:rFonts w:hint="eastAsia"/>
        </w:rPr>
        <w:t>款和《刑事诉讼法》第</w:t>
      </w:r>
      <w:r>
        <w:rPr>
          <w:rFonts w:hint="eastAsia"/>
        </w:rPr>
        <w:t>247</w:t>
      </w:r>
      <w:r>
        <w:rPr>
          <w:rFonts w:hint="eastAsia"/>
        </w:rPr>
        <w:t>条和第</w:t>
      </w:r>
      <w:r>
        <w:rPr>
          <w:rFonts w:hint="eastAsia"/>
        </w:rPr>
        <w:t>248</w:t>
      </w:r>
      <w:r>
        <w:rPr>
          <w:rFonts w:hint="eastAsia"/>
        </w:rPr>
        <w:t>条的规定，不得将涉事时未满</w:t>
      </w:r>
      <w:r>
        <w:rPr>
          <w:rFonts w:hint="eastAsia"/>
        </w:rPr>
        <w:t>18</w:t>
      </w:r>
      <w:r>
        <w:rPr>
          <w:rFonts w:hint="eastAsia"/>
        </w:rPr>
        <w:t>岁的罪犯和怀孕或精神不稳定的被定罪人分别判处死刑。</w:t>
      </w:r>
    </w:p>
    <w:p w14:paraId="6A6156ED" w14:textId="62199931" w:rsidR="00522F93" w:rsidRDefault="00522F93" w:rsidP="00C45D05">
      <w:pPr>
        <w:pStyle w:val="SingleTxtGC"/>
        <w:tabs>
          <w:tab w:val="clear" w:pos="1565"/>
          <w:tab w:val="left" w:pos="1701"/>
        </w:tabs>
      </w:pPr>
      <w:r>
        <w:rPr>
          <w:rFonts w:hint="eastAsia"/>
        </w:rPr>
        <w:t>101.</w:t>
      </w:r>
      <w:r>
        <w:rPr>
          <w:rFonts w:hint="eastAsia"/>
        </w:rPr>
        <w:tab/>
      </w:r>
      <w:r>
        <w:rPr>
          <w:rFonts w:hint="eastAsia"/>
        </w:rPr>
        <w:t>泰国有关机构已采取逐步办法，根据人权原则改革关于死刑的法律。这种承诺体现在</w:t>
      </w:r>
      <w:r>
        <w:rPr>
          <w:rFonts w:hint="eastAsia"/>
        </w:rPr>
        <w:t>2009</w:t>
      </w:r>
      <w:r>
        <w:rPr>
          <w:rFonts w:hint="eastAsia"/>
        </w:rPr>
        <w:t>年以来的历次国家人权计划中。由于公众情绪强烈支持死刑，政府正在努力提高公众对当前死刑辩论的认识和理解。</w:t>
      </w:r>
    </w:p>
    <w:p w14:paraId="3350C539" w14:textId="77777777" w:rsidR="00522F93" w:rsidRDefault="00522F93" w:rsidP="005225D2">
      <w:pPr>
        <w:pStyle w:val="H23GC"/>
      </w:pPr>
      <w:r>
        <w:rPr>
          <w:rFonts w:hint="eastAsia"/>
        </w:rPr>
        <w:tab/>
      </w:r>
      <w:r>
        <w:rPr>
          <w:rFonts w:hint="eastAsia"/>
        </w:rPr>
        <w:tab/>
      </w:r>
      <w:r>
        <w:rPr>
          <w:rFonts w:hint="eastAsia"/>
        </w:rPr>
        <w:t>免受酷刑和虐待的权利</w:t>
      </w:r>
    </w:p>
    <w:p w14:paraId="3CAAF09A" w14:textId="77EECC76" w:rsidR="00522F93" w:rsidRDefault="00522F93" w:rsidP="00C45D05">
      <w:pPr>
        <w:pStyle w:val="SingleTxtGC"/>
        <w:tabs>
          <w:tab w:val="clear" w:pos="1565"/>
          <w:tab w:val="left" w:pos="1701"/>
        </w:tabs>
      </w:pPr>
      <w:r>
        <w:rPr>
          <w:rFonts w:hint="eastAsia"/>
        </w:rPr>
        <w:t>102.</w:t>
      </w:r>
      <w:r>
        <w:rPr>
          <w:rFonts w:hint="eastAsia"/>
        </w:rPr>
        <w:tab/>
      </w:r>
      <w:r>
        <w:rPr>
          <w:rFonts w:hint="eastAsia"/>
        </w:rPr>
        <w:t>《宪法》</w:t>
      </w:r>
      <w:r>
        <w:rPr>
          <w:rFonts w:hint="eastAsia"/>
        </w:rPr>
        <w:t>(</w:t>
      </w:r>
      <w:r>
        <w:rPr>
          <w:rFonts w:hint="eastAsia"/>
        </w:rPr>
        <w:t>第</w:t>
      </w:r>
      <w:r>
        <w:rPr>
          <w:rFonts w:hint="eastAsia"/>
        </w:rPr>
        <w:t>29</w:t>
      </w:r>
      <w:r>
        <w:rPr>
          <w:rFonts w:hint="eastAsia"/>
        </w:rPr>
        <w:t>条</w:t>
      </w:r>
      <w:r>
        <w:rPr>
          <w:rFonts w:hint="eastAsia"/>
        </w:rPr>
        <w:t>)</w:t>
      </w:r>
      <w:r>
        <w:rPr>
          <w:rFonts w:hint="eastAsia"/>
        </w:rPr>
        <w:t>和《刑法典》若干条款，如第</w:t>
      </w:r>
      <w:r>
        <w:rPr>
          <w:rFonts w:hint="eastAsia"/>
        </w:rPr>
        <w:t>157</w:t>
      </w:r>
      <w:r>
        <w:rPr>
          <w:rFonts w:hint="eastAsia"/>
        </w:rPr>
        <w:t>、</w:t>
      </w:r>
      <w:r>
        <w:rPr>
          <w:rFonts w:hint="eastAsia"/>
        </w:rPr>
        <w:t>200</w:t>
      </w:r>
      <w:r>
        <w:rPr>
          <w:rFonts w:hint="eastAsia"/>
        </w:rPr>
        <w:t>、</w:t>
      </w:r>
      <w:r>
        <w:rPr>
          <w:rFonts w:hint="eastAsia"/>
        </w:rPr>
        <w:t>295</w:t>
      </w:r>
      <w:r>
        <w:rPr>
          <w:rFonts w:hint="eastAsia"/>
        </w:rPr>
        <w:t>、</w:t>
      </w:r>
      <w:r>
        <w:rPr>
          <w:rFonts w:hint="eastAsia"/>
        </w:rPr>
        <w:t>296</w:t>
      </w:r>
      <w:r>
        <w:rPr>
          <w:rFonts w:hint="eastAsia"/>
        </w:rPr>
        <w:t>、</w:t>
      </w:r>
      <w:r>
        <w:rPr>
          <w:rFonts w:hint="eastAsia"/>
        </w:rPr>
        <w:t>297</w:t>
      </w:r>
      <w:r>
        <w:rPr>
          <w:rFonts w:hint="eastAsia"/>
        </w:rPr>
        <w:t>、</w:t>
      </w:r>
      <w:r>
        <w:rPr>
          <w:rFonts w:hint="eastAsia"/>
        </w:rPr>
        <w:t>298</w:t>
      </w:r>
      <w:r>
        <w:rPr>
          <w:rFonts w:hint="eastAsia"/>
        </w:rPr>
        <w:t>、</w:t>
      </w:r>
      <w:r>
        <w:rPr>
          <w:rFonts w:hint="eastAsia"/>
        </w:rPr>
        <w:t>288</w:t>
      </w:r>
      <w:r>
        <w:rPr>
          <w:rFonts w:hint="eastAsia"/>
        </w:rPr>
        <w:t>、</w:t>
      </w:r>
      <w:r>
        <w:rPr>
          <w:rFonts w:hint="eastAsia"/>
        </w:rPr>
        <w:t>289</w:t>
      </w:r>
      <w:r>
        <w:rPr>
          <w:rFonts w:hint="eastAsia"/>
        </w:rPr>
        <w:t>条等，都绝对禁止酷刑或虐待行为。</w:t>
      </w:r>
    </w:p>
    <w:p w14:paraId="04DD1612" w14:textId="71BB0FB3" w:rsidR="00522F93" w:rsidRDefault="00522F93" w:rsidP="00C45D05">
      <w:pPr>
        <w:pStyle w:val="SingleTxtGC"/>
        <w:tabs>
          <w:tab w:val="clear" w:pos="1565"/>
          <w:tab w:val="left" w:pos="1701"/>
        </w:tabs>
      </w:pPr>
      <w:r>
        <w:rPr>
          <w:rFonts w:hint="eastAsia"/>
        </w:rPr>
        <w:t>103.</w:t>
      </w:r>
      <w:r>
        <w:rPr>
          <w:rFonts w:hint="eastAsia"/>
        </w:rPr>
        <w:tab/>
      </w:r>
      <w:r>
        <w:rPr>
          <w:rFonts w:hint="eastAsia"/>
        </w:rPr>
        <w:t>《防止和禁止酷刑和强迫失踪法》草案已于</w:t>
      </w:r>
      <w:r>
        <w:rPr>
          <w:rFonts w:hint="eastAsia"/>
        </w:rPr>
        <w:t>2016</w:t>
      </w:r>
      <w:r>
        <w:rPr>
          <w:rFonts w:hint="eastAsia"/>
        </w:rPr>
        <w:t>年</w:t>
      </w:r>
      <w:r>
        <w:rPr>
          <w:rFonts w:hint="eastAsia"/>
        </w:rPr>
        <w:t>5</w:t>
      </w:r>
      <w:r>
        <w:rPr>
          <w:rFonts w:hint="eastAsia"/>
        </w:rPr>
        <w:t>月获得内阁的原则批准，并于</w:t>
      </w:r>
      <w:r>
        <w:rPr>
          <w:rFonts w:hint="eastAsia"/>
        </w:rPr>
        <w:t>2017</w:t>
      </w:r>
      <w:r>
        <w:rPr>
          <w:rFonts w:hint="eastAsia"/>
        </w:rPr>
        <w:t>年</w:t>
      </w:r>
      <w:r>
        <w:rPr>
          <w:rFonts w:hint="eastAsia"/>
        </w:rPr>
        <w:t>3</w:t>
      </w:r>
      <w:r>
        <w:rPr>
          <w:rFonts w:hint="eastAsia"/>
        </w:rPr>
        <w:t>月由国家议会进行了审议。由于技术困难，国家议会在解散</w:t>
      </w:r>
      <w:r>
        <w:rPr>
          <w:rFonts w:hint="eastAsia"/>
        </w:rPr>
        <w:lastRenderedPageBreak/>
        <w:t>前尚未完成审议，司法部撤回了该法草案，并根据《宪法》第</w:t>
      </w:r>
      <w:r>
        <w:rPr>
          <w:rFonts w:hint="eastAsia"/>
        </w:rPr>
        <w:t>77</w:t>
      </w:r>
      <w:r>
        <w:rPr>
          <w:rFonts w:hint="eastAsia"/>
        </w:rPr>
        <w:t>条重新进行了公开协商。修订草案随后于</w:t>
      </w:r>
      <w:r>
        <w:rPr>
          <w:rFonts w:hint="eastAsia"/>
        </w:rPr>
        <w:t>2020</w:t>
      </w:r>
      <w:r>
        <w:rPr>
          <w:rFonts w:hint="eastAsia"/>
        </w:rPr>
        <w:t>年</w:t>
      </w:r>
      <w:r>
        <w:rPr>
          <w:rFonts w:hint="eastAsia"/>
        </w:rPr>
        <w:t>4</w:t>
      </w:r>
      <w:r>
        <w:rPr>
          <w:rFonts w:hint="eastAsia"/>
        </w:rPr>
        <w:t>月重新提交内阁审议。</w:t>
      </w:r>
    </w:p>
    <w:p w14:paraId="30A46703" w14:textId="19CD1258" w:rsidR="00522F93" w:rsidRDefault="00522F93" w:rsidP="00C45D05">
      <w:pPr>
        <w:pStyle w:val="SingleTxtGC"/>
        <w:tabs>
          <w:tab w:val="clear" w:pos="1565"/>
          <w:tab w:val="left" w:pos="1701"/>
        </w:tabs>
      </w:pPr>
      <w:r>
        <w:rPr>
          <w:rFonts w:hint="eastAsia"/>
        </w:rPr>
        <w:t>104.</w:t>
      </w:r>
      <w:r>
        <w:rPr>
          <w:rFonts w:hint="eastAsia"/>
        </w:rPr>
        <w:tab/>
      </w:r>
      <w:r>
        <w:rPr>
          <w:rFonts w:hint="eastAsia"/>
        </w:rPr>
        <w:t>在审议《防止和禁止酷刑和强迫失踪法》草案期间，总理发布了</w:t>
      </w:r>
      <w:r>
        <w:rPr>
          <w:rFonts w:hint="eastAsia"/>
        </w:rPr>
        <w:t>2017</w:t>
      </w:r>
      <w:r>
        <w:rPr>
          <w:rFonts w:hint="eastAsia"/>
        </w:rPr>
        <w:t>年</w:t>
      </w:r>
      <w:r>
        <w:rPr>
          <w:rFonts w:hint="eastAsia"/>
        </w:rPr>
        <w:t>5</w:t>
      </w:r>
      <w:r>
        <w:rPr>
          <w:rFonts w:hint="eastAsia"/>
        </w:rPr>
        <w:t>月</w:t>
      </w:r>
      <w:r>
        <w:rPr>
          <w:rFonts w:hint="eastAsia"/>
        </w:rPr>
        <w:t>23</w:t>
      </w:r>
      <w:r>
        <w:rPr>
          <w:rFonts w:hint="eastAsia"/>
        </w:rPr>
        <w:t>日第</w:t>
      </w:r>
      <w:r>
        <w:rPr>
          <w:rFonts w:hint="eastAsia"/>
        </w:rPr>
        <w:t>131/2560</w:t>
      </w:r>
      <w:r>
        <w:rPr>
          <w:rFonts w:hint="eastAsia"/>
        </w:rPr>
        <w:t>号命令、</w:t>
      </w:r>
      <w:r>
        <w:rPr>
          <w:rFonts w:hint="eastAsia"/>
        </w:rPr>
        <w:t>2017</w:t>
      </w:r>
      <w:r>
        <w:rPr>
          <w:rFonts w:hint="eastAsia"/>
        </w:rPr>
        <w:t>年</w:t>
      </w:r>
      <w:r>
        <w:rPr>
          <w:rFonts w:hint="eastAsia"/>
        </w:rPr>
        <w:t>8</w:t>
      </w:r>
      <w:r>
        <w:rPr>
          <w:rFonts w:hint="eastAsia"/>
        </w:rPr>
        <w:t>月</w:t>
      </w:r>
      <w:r>
        <w:rPr>
          <w:rFonts w:hint="eastAsia"/>
        </w:rPr>
        <w:t>18</w:t>
      </w:r>
      <w:r>
        <w:rPr>
          <w:rFonts w:hint="eastAsia"/>
        </w:rPr>
        <w:t>日第</w:t>
      </w:r>
      <w:r>
        <w:rPr>
          <w:rFonts w:hint="eastAsia"/>
        </w:rPr>
        <w:t>198/2560</w:t>
      </w:r>
      <w:r>
        <w:rPr>
          <w:rFonts w:hint="eastAsia"/>
        </w:rPr>
        <w:t>号命令</w:t>
      </w:r>
      <w:r>
        <w:rPr>
          <w:rFonts w:hint="eastAsia"/>
        </w:rPr>
        <w:t>(</w:t>
      </w:r>
      <w:r>
        <w:rPr>
          <w:rFonts w:hint="eastAsia"/>
        </w:rPr>
        <w:t>新增成员</w:t>
      </w:r>
      <w:r>
        <w:rPr>
          <w:rFonts w:hint="eastAsia"/>
        </w:rPr>
        <w:t>)</w:t>
      </w:r>
      <w:r>
        <w:rPr>
          <w:rFonts w:hint="eastAsia"/>
        </w:rPr>
        <w:t>和</w:t>
      </w:r>
      <w:r>
        <w:rPr>
          <w:rFonts w:hint="eastAsia"/>
        </w:rPr>
        <w:t>2019</w:t>
      </w:r>
      <w:r>
        <w:rPr>
          <w:rFonts w:hint="eastAsia"/>
        </w:rPr>
        <w:t>年</w:t>
      </w:r>
      <w:r>
        <w:rPr>
          <w:rFonts w:hint="eastAsia"/>
        </w:rPr>
        <w:t>11</w:t>
      </w:r>
      <w:r>
        <w:rPr>
          <w:rFonts w:hint="eastAsia"/>
        </w:rPr>
        <w:t>月</w:t>
      </w:r>
      <w:r>
        <w:rPr>
          <w:rFonts w:hint="eastAsia"/>
        </w:rPr>
        <w:t>15</w:t>
      </w:r>
      <w:r>
        <w:rPr>
          <w:rFonts w:hint="eastAsia"/>
        </w:rPr>
        <w:t>日第</w:t>
      </w:r>
      <w:r>
        <w:rPr>
          <w:rFonts w:hint="eastAsia"/>
        </w:rPr>
        <w:t>338/2562</w:t>
      </w:r>
      <w:r>
        <w:rPr>
          <w:rFonts w:hint="eastAsia"/>
        </w:rPr>
        <w:t>号</w:t>
      </w:r>
      <w:r>
        <w:rPr>
          <w:rFonts w:hint="eastAsia"/>
        </w:rPr>
        <w:t>(</w:t>
      </w:r>
      <w:r>
        <w:rPr>
          <w:rFonts w:hint="eastAsia"/>
        </w:rPr>
        <w:t>延长</w:t>
      </w:r>
      <w:r>
        <w:rPr>
          <w:rFonts w:hint="eastAsia"/>
        </w:rPr>
        <w:t>)</w:t>
      </w:r>
      <w:r>
        <w:rPr>
          <w:rFonts w:hint="eastAsia"/>
        </w:rPr>
        <w:t>，以建立酷刑和强迫失踪案件管理国家委员会，由司法部长担任主席，并由相关机构的代表担任委员会成员，以处理指控的酷刑和强迫失踪案件，并防止今后发生此类案件。委员会得到以下四个小组委员会的支持：</w:t>
      </w:r>
      <w:r>
        <w:rPr>
          <w:rFonts w:hint="eastAsia"/>
        </w:rPr>
        <w:t>(1)</w:t>
      </w:r>
      <w:r w:rsidR="00C45D05">
        <w:t xml:space="preserve"> </w:t>
      </w:r>
      <w:r>
        <w:rPr>
          <w:rFonts w:hint="eastAsia"/>
        </w:rPr>
        <w:t>后续行动和监测；</w:t>
      </w:r>
      <w:r>
        <w:rPr>
          <w:rFonts w:hint="eastAsia"/>
        </w:rPr>
        <w:t>(2)</w:t>
      </w:r>
      <w:r w:rsidR="00C45D05">
        <w:t xml:space="preserve"> </w:t>
      </w:r>
      <w:r>
        <w:rPr>
          <w:rFonts w:hint="eastAsia"/>
        </w:rPr>
        <w:t>援助和补救；</w:t>
      </w:r>
      <w:r>
        <w:rPr>
          <w:rFonts w:hint="eastAsia"/>
        </w:rPr>
        <w:t>(3)</w:t>
      </w:r>
      <w:r w:rsidR="00C45D05">
        <w:t xml:space="preserve"> </w:t>
      </w:r>
      <w:r>
        <w:rPr>
          <w:rFonts w:hint="eastAsia"/>
        </w:rPr>
        <w:t>预防和培训；</w:t>
      </w:r>
      <w:r>
        <w:rPr>
          <w:rFonts w:hint="eastAsia"/>
        </w:rPr>
        <w:t>(4)</w:t>
      </w:r>
      <w:r w:rsidR="00C45D05">
        <w:t xml:space="preserve"> </w:t>
      </w:r>
      <w:r>
        <w:rPr>
          <w:rFonts w:hint="eastAsia"/>
        </w:rPr>
        <w:t>案件筛选。任何被认定参与酷刑和</w:t>
      </w:r>
      <w:r>
        <w:rPr>
          <w:rFonts w:hint="eastAsia"/>
        </w:rPr>
        <w:t>/</w:t>
      </w:r>
      <w:r>
        <w:rPr>
          <w:rFonts w:hint="eastAsia"/>
        </w:rPr>
        <w:t>或强迫失踪的公职人员将依法受到起诉。</w:t>
      </w:r>
    </w:p>
    <w:p w14:paraId="2E10B9F4" w14:textId="77777777" w:rsidR="00522F93" w:rsidRDefault="00522F93" w:rsidP="005225D2">
      <w:pPr>
        <w:pStyle w:val="H23GC"/>
      </w:pPr>
      <w:r>
        <w:rPr>
          <w:rFonts w:hint="eastAsia"/>
        </w:rPr>
        <w:tab/>
      </w:r>
      <w:r>
        <w:rPr>
          <w:rFonts w:hint="eastAsia"/>
        </w:rPr>
        <w:tab/>
      </w:r>
      <w:r>
        <w:rPr>
          <w:rFonts w:hint="eastAsia"/>
        </w:rPr>
        <w:t>表达自由权</w:t>
      </w:r>
    </w:p>
    <w:p w14:paraId="52BA93A4" w14:textId="0B831E00" w:rsidR="00522F93" w:rsidRDefault="00522F93" w:rsidP="00C45D05">
      <w:pPr>
        <w:pStyle w:val="SingleTxtGC"/>
        <w:tabs>
          <w:tab w:val="clear" w:pos="1565"/>
          <w:tab w:val="left" w:pos="1701"/>
        </w:tabs>
      </w:pPr>
      <w:r>
        <w:rPr>
          <w:rFonts w:hint="eastAsia"/>
        </w:rPr>
        <w:t>105.</w:t>
      </w:r>
      <w:r>
        <w:rPr>
          <w:rFonts w:hint="eastAsia"/>
        </w:rPr>
        <w:tab/>
      </w:r>
      <w:r>
        <w:rPr>
          <w:rFonts w:hint="eastAsia"/>
        </w:rPr>
        <w:t>泰国《宪法》根据国际法，特别是《公民及政治权利国际公约》第十九条，保障表达自由权。泰国承认这些自由是所有其他人权的助推器，也是我国民主的基础。</w:t>
      </w:r>
    </w:p>
    <w:p w14:paraId="5ABED7CA" w14:textId="04D5D69A" w:rsidR="00522F93" w:rsidRDefault="00522F93" w:rsidP="00C45D05">
      <w:pPr>
        <w:pStyle w:val="SingleTxtGC"/>
        <w:tabs>
          <w:tab w:val="clear" w:pos="1565"/>
          <w:tab w:val="left" w:pos="1701"/>
        </w:tabs>
      </w:pPr>
      <w:r>
        <w:rPr>
          <w:rFonts w:hint="eastAsia"/>
        </w:rPr>
        <w:t>106.</w:t>
      </w:r>
      <w:r>
        <w:rPr>
          <w:rFonts w:hint="eastAsia"/>
        </w:rPr>
        <w:tab/>
        <w:t>2017</w:t>
      </w:r>
      <w:r>
        <w:rPr>
          <w:rFonts w:hint="eastAsia"/>
        </w:rPr>
        <w:t>年《宪法》第</w:t>
      </w:r>
      <w:r>
        <w:rPr>
          <w:rFonts w:hint="eastAsia"/>
        </w:rPr>
        <w:t>35</w:t>
      </w:r>
      <w:r>
        <w:rPr>
          <w:rFonts w:hint="eastAsia"/>
        </w:rPr>
        <w:t>条规定了对新闻和媒体自由的保障，包括以下内容：</w:t>
      </w:r>
    </w:p>
    <w:p w14:paraId="666938B9" w14:textId="1E9BD015" w:rsidR="00522F93" w:rsidRDefault="00522F93" w:rsidP="00230C0F">
      <w:pPr>
        <w:pStyle w:val="SingleTxtGC"/>
        <w:numPr>
          <w:ilvl w:val="0"/>
          <w:numId w:val="12"/>
        </w:numPr>
      </w:pPr>
      <w:r>
        <w:rPr>
          <w:rFonts w:hint="eastAsia"/>
        </w:rPr>
        <w:t>媒体专业人员应享有按照职业道德介绍新闻或表达意见的自由；</w:t>
      </w:r>
    </w:p>
    <w:p w14:paraId="6DB1F0F7" w14:textId="667B1948" w:rsidR="00522F93" w:rsidRDefault="00522F93" w:rsidP="00230C0F">
      <w:pPr>
        <w:pStyle w:val="SingleTxtGC"/>
        <w:numPr>
          <w:ilvl w:val="0"/>
          <w:numId w:val="12"/>
        </w:numPr>
      </w:pPr>
      <w:r>
        <w:rPr>
          <w:rFonts w:hint="eastAsia"/>
        </w:rPr>
        <w:t>不得根据第一款剥夺自由而关闭报纸或其他大众媒体。主管官员不得在报纸或其他媒体发表之前审查媒体专业人员所写的任何新闻或报道，但国家处于战争状态期间除外；</w:t>
      </w:r>
    </w:p>
    <w:p w14:paraId="5E7612D0" w14:textId="1B85BCBF" w:rsidR="00522F93" w:rsidRDefault="00522F93" w:rsidP="00230C0F">
      <w:pPr>
        <w:pStyle w:val="SingleTxtGC"/>
        <w:numPr>
          <w:ilvl w:val="0"/>
          <w:numId w:val="12"/>
        </w:numPr>
      </w:pPr>
      <w:r>
        <w:rPr>
          <w:rFonts w:hint="eastAsia"/>
        </w:rPr>
        <w:t>国家不得向私营报纸或其他私营大众媒体提供资金或其他财产作为补贴。</w:t>
      </w:r>
    </w:p>
    <w:p w14:paraId="72BCA2BB" w14:textId="77777777" w:rsidR="00522F93" w:rsidRDefault="00522F93" w:rsidP="00230C0F">
      <w:pPr>
        <w:pStyle w:val="H23GC"/>
      </w:pPr>
      <w:r>
        <w:rPr>
          <w:rFonts w:hint="eastAsia"/>
        </w:rPr>
        <w:tab/>
      </w:r>
      <w:r>
        <w:rPr>
          <w:rFonts w:hint="eastAsia"/>
        </w:rPr>
        <w:tab/>
      </w:r>
      <w:r>
        <w:rPr>
          <w:rFonts w:hint="eastAsia"/>
        </w:rPr>
        <w:t>免受奴役的权利</w:t>
      </w:r>
    </w:p>
    <w:p w14:paraId="49BBD2B9" w14:textId="6ECC40D6" w:rsidR="00522F93" w:rsidRDefault="00522F93" w:rsidP="00C45D05">
      <w:pPr>
        <w:pStyle w:val="SingleTxtGC"/>
        <w:tabs>
          <w:tab w:val="clear" w:pos="1565"/>
          <w:tab w:val="left" w:pos="1701"/>
        </w:tabs>
      </w:pPr>
      <w:r>
        <w:rPr>
          <w:rFonts w:hint="eastAsia"/>
        </w:rPr>
        <w:t>107.</w:t>
      </w:r>
      <w:r>
        <w:rPr>
          <w:rFonts w:hint="eastAsia"/>
        </w:rPr>
        <w:tab/>
      </w:r>
      <w:r>
        <w:rPr>
          <w:rFonts w:hint="eastAsia"/>
        </w:rPr>
        <w:t>奴隶制违反了《刑法典》第</w:t>
      </w:r>
      <w:r>
        <w:rPr>
          <w:rFonts w:hint="eastAsia"/>
        </w:rPr>
        <w:t>312</w:t>
      </w:r>
      <w:r>
        <w:rPr>
          <w:rFonts w:hint="eastAsia"/>
        </w:rPr>
        <w:t>条和《反人口贩运法》</w:t>
      </w:r>
      <w:r>
        <w:rPr>
          <w:rFonts w:hint="eastAsia"/>
        </w:rPr>
        <w:t>B.E. 2551(2008)</w:t>
      </w:r>
      <w:r>
        <w:rPr>
          <w:rFonts w:hint="eastAsia"/>
        </w:rPr>
        <w:t>。最近在</w:t>
      </w:r>
      <w:r>
        <w:rPr>
          <w:rFonts w:hint="eastAsia"/>
        </w:rPr>
        <w:t>2015</w:t>
      </w:r>
      <w:r>
        <w:rPr>
          <w:rFonts w:hint="eastAsia"/>
        </w:rPr>
        <w:t>年对后一项立法进行了修订，以进一步加强该国打击人口贩运的努力，赋予当局暂时关闭商业机构或工厂的权力，并保护善意向官员举报该法所规定犯罪的人，使其免于承担民事和刑事责任。</w:t>
      </w:r>
      <w:r>
        <w:rPr>
          <w:rFonts w:hint="eastAsia"/>
        </w:rPr>
        <w:t>2017</w:t>
      </w:r>
      <w:r>
        <w:rPr>
          <w:rFonts w:hint="eastAsia"/>
        </w:rPr>
        <w:t>年和</w:t>
      </w:r>
      <w:r>
        <w:rPr>
          <w:rFonts w:hint="eastAsia"/>
        </w:rPr>
        <w:t>2019</w:t>
      </w:r>
      <w:r>
        <w:rPr>
          <w:rFonts w:hint="eastAsia"/>
        </w:rPr>
        <w:t>年还对该法进行了进一步修订，以更有效地处理这一问题，对“贩运人口”作出了更明确的定义，并分别侧重于预防和制止强迫劳动以及对受害者的保护和补救。</w:t>
      </w:r>
    </w:p>
    <w:p w14:paraId="458FE789" w14:textId="2887789F" w:rsidR="00522F93" w:rsidRDefault="00522F93" w:rsidP="00C45D05">
      <w:pPr>
        <w:pStyle w:val="SingleTxtGC"/>
        <w:tabs>
          <w:tab w:val="clear" w:pos="1565"/>
          <w:tab w:val="left" w:pos="1701"/>
        </w:tabs>
      </w:pPr>
      <w:r>
        <w:rPr>
          <w:rFonts w:hint="eastAsia"/>
        </w:rPr>
        <w:t>108.</w:t>
      </w:r>
      <w:r>
        <w:rPr>
          <w:rFonts w:hint="eastAsia"/>
        </w:rPr>
        <w:tab/>
      </w:r>
      <w:r>
        <w:rPr>
          <w:rFonts w:hint="eastAsia"/>
        </w:rPr>
        <w:t>作为原籍国、过境国和目的地国，泰国吸引了许多移民，特别是来自邻国的移民，其中一些人面临遭受剥削和贩运的风险。泰国已经做出巨大努力，打击人口贩运，并帮助那些受害者，无论是泰国国民还是移民。在相关法律程序期间，将允许所有人口贩运受害者暂时居住在泰国。他们可以选择住在社会发展和人类安全部的收容所或非政府组织经营的收容所，并将有机会赚取收入。泰国继续重视与原籍国和其他国际伙伴合作，为受害者提供保护，促进他们重新融入社会。泰国一直与各国大使馆和国际组织密切合作，安全遣返人口贩运受害者。泰国还利用与邻国举行的关于受害者遣返和重返社会的双边会议，作为一种机制，通过交流信息和协调起诉来有效保护受害者。泰国还与私营部门、国际组织和非政府组织合作，加强对人口贩运受害者的保护。</w:t>
      </w:r>
    </w:p>
    <w:p w14:paraId="3CB254ED" w14:textId="77777777" w:rsidR="00522F93" w:rsidRDefault="00522F93" w:rsidP="00230C0F">
      <w:pPr>
        <w:pStyle w:val="H23GC"/>
      </w:pPr>
      <w:r>
        <w:rPr>
          <w:rFonts w:hint="eastAsia"/>
        </w:rPr>
        <w:lastRenderedPageBreak/>
        <w:tab/>
      </w:r>
      <w:r>
        <w:rPr>
          <w:rFonts w:hint="eastAsia"/>
        </w:rPr>
        <w:tab/>
      </w:r>
      <w:r>
        <w:rPr>
          <w:rFonts w:hint="eastAsia"/>
        </w:rPr>
        <w:t>工商企业与人权</w:t>
      </w:r>
    </w:p>
    <w:p w14:paraId="2070DFFE" w14:textId="3341B36B" w:rsidR="00522F93" w:rsidRDefault="00522F93" w:rsidP="00C45D05">
      <w:pPr>
        <w:pStyle w:val="SingleTxtGC"/>
        <w:tabs>
          <w:tab w:val="clear" w:pos="1565"/>
          <w:tab w:val="left" w:pos="1701"/>
        </w:tabs>
      </w:pPr>
      <w:r>
        <w:rPr>
          <w:rFonts w:hint="eastAsia"/>
        </w:rPr>
        <w:t>109.</w:t>
      </w:r>
      <w:r>
        <w:rPr>
          <w:rFonts w:hint="eastAsia"/>
        </w:rPr>
        <w:tab/>
        <w:t>2017</w:t>
      </w:r>
      <w:r>
        <w:rPr>
          <w:rFonts w:hint="eastAsia"/>
        </w:rPr>
        <w:t>年</w:t>
      </w:r>
      <w:r>
        <w:rPr>
          <w:rFonts w:hint="eastAsia"/>
        </w:rPr>
        <w:t>5</w:t>
      </w:r>
      <w:r>
        <w:rPr>
          <w:rFonts w:hint="eastAsia"/>
        </w:rPr>
        <w:t>月</w:t>
      </w:r>
      <w:r>
        <w:rPr>
          <w:rFonts w:hint="eastAsia"/>
        </w:rPr>
        <w:t>31</w:t>
      </w:r>
      <w:r>
        <w:rPr>
          <w:rFonts w:hint="eastAsia"/>
        </w:rPr>
        <w:t>日，相关部委、商会、国家人权委员会和联合国全球契约泰国网络签署了《合作促进联合国工商业与人权指导原则宣言》。</w:t>
      </w:r>
    </w:p>
    <w:p w14:paraId="254DC939" w14:textId="74BF08B7" w:rsidR="00522F93" w:rsidRDefault="00522F93" w:rsidP="00C45D05">
      <w:pPr>
        <w:pStyle w:val="SingleTxtGC"/>
        <w:tabs>
          <w:tab w:val="clear" w:pos="1565"/>
          <w:tab w:val="left" w:pos="1701"/>
        </w:tabs>
      </w:pPr>
      <w:r>
        <w:rPr>
          <w:rFonts w:hint="eastAsia"/>
        </w:rPr>
        <w:t>110.</w:t>
      </w:r>
      <w:r>
        <w:rPr>
          <w:rFonts w:hint="eastAsia"/>
        </w:rPr>
        <w:tab/>
      </w:r>
      <w:r>
        <w:rPr>
          <w:rFonts w:hint="eastAsia"/>
        </w:rPr>
        <w:t>泰国作为亚洲第一个国家，于</w:t>
      </w:r>
      <w:r>
        <w:rPr>
          <w:rFonts w:hint="eastAsia"/>
        </w:rPr>
        <w:t>2019</w:t>
      </w:r>
      <w:r>
        <w:rPr>
          <w:rFonts w:hint="eastAsia"/>
        </w:rPr>
        <w:t>年</w:t>
      </w:r>
      <w:r>
        <w:rPr>
          <w:rFonts w:hint="eastAsia"/>
        </w:rPr>
        <w:t>10</w:t>
      </w:r>
      <w:r>
        <w:rPr>
          <w:rFonts w:hint="eastAsia"/>
        </w:rPr>
        <w:t>月</w:t>
      </w:r>
      <w:r>
        <w:rPr>
          <w:rFonts w:hint="eastAsia"/>
        </w:rPr>
        <w:t>29</w:t>
      </w:r>
      <w:r>
        <w:rPr>
          <w:rFonts w:hint="eastAsia"/>
        </w:rPr>
        <w:t>日通过了《工商业与人权国家行动计划》。该计划有</w:t>
      </w:r>
      <w:r>
        <w:rPr>
          <w:rFonts w:hint="eastAsia"/>
        </w:rPr>
        <w:t>4</w:t>
      </w:r>
      <w:r>
        <w:rPr>
          <w:rFonts w:hint="eastAsia"/>
        </w:rPr>
        <w:t>个优先领域：</w:t>
      </w:r>
      <w:r>
        <w:rPr>
          <w:rFonts w:hint="eastAsia"/>
        </w:rPr>
        <w:t>(1)</w:t>
      </w:r>
      <w:r w:rsidR="00045C32">
        <w:t xml:space="preserve"> </w:t>
      </w:r>
      <w:r>
        <w:rPr>
          <w:rFonts w:hint="eastAsia"/>
        </w:rPr>
        <w:t>劳工，</w:t>
      </w:r>
      <w:r>
        <w:rPr>
          <w:rFonts w:hint="eastAsia"/>
        </w:rPr>
        <w:t>(2)</w:t>
      </w:r>
      <w:r w:rsidR="00045C32">
        <w:t xml:space="preserve"> </w:t>
      </w:r>
      <w:r>
        <w:rPr>
          <w:rFonts w:hint="eastAsia"/>
        </w:rPr>
        <w:t>土地、环境和自然资源，</w:t>
      </w:r>
      <w:r>
        <w:rPr>
          <w:rFonts w:hint="eastAsia"/>
        </w:rPr>
        <w:t>(3)</w:t>
      </w:r>
      <w:r w:rsidR="00045C32">
        <w:t xml:space="preserve"> </w:t>
      </w:r>
      <w:r>
        <w:rPr>
          <w:rFonts w:hint="eastAsia"/>
        </w:rPr>
        <w:t>人权维护者，</w:t>
      </w:r>
      <w:r>
        <w:rPr>
          <w:rFonts w:hint="eastAsia"/>
        </w:rPr>
        <w:t>(4)</w:t>
      </w:r>
      <w:r w:rsidR="00045C32">
        <w:t xml:space="preserve"> </w:t>
      </w:r>
      <w:r>
        <w:rPr>
          <w:rFonts w:hint="eastAsia"/>
        </w:rPr>
        <w:t>跨界投资和多国企业。已经设立了一个多利益攸关方委员会，以规定、编制、监测和分析国家行动计划的执行情况。</w:t>
      </w:r>
    </w:p>
    <w:p w14:paraId="342D6128" w14:textId="6050F76B" w:rsidR="00522F93" w:rsidRDefault="00522F93" w:rsidP="00C45D05">
      <w:pPr>
        <w:pStyle w:val="SingleTxtGC"/>
        <w:tabs>
          <w:tab w:val="clear" w:pos="1565"/>
          <w:tab w:val="left" w:pos="1701"/>
        </w:tabs>
      </w:pPr>
      <w:r>
        <w:rPr>
          <w:rFonts w:hint="eastAsia"/>
        </w:rPr>
        <w:t>111.</w:t>
      </w:r>
      <w:r>
        <w:rPr>
          <w:rFonts w:hint="eastAsia"/>
        </w:rPr>
        <w:tab/>
      </w:r>
      <w:r>
        <w:rPr>
          <w:rFonts w:hint="eastAsia"/>
        </w:rPr>
        <w:t>此外，除其他外，泰国和经合组织促进和扶持负责任的商业行为合作方案将支持国家行动计划的实施，并正在制定一项两年期的</w:t>
      </w:r>
      <w:r>
        <w:rPr>
          <w:rFonts w:hint="eastAsia"/>
        </w:rPr>
        <w:t>RBC</w:t>
      </w:r>
      <w:r>
        <w:rPr>
          <w:rFonts w:hint="eastAsia"/>
        </w:rPr>
        <w:t>银行合作工作计划。</w:t>
      </w:r>
    </w:p>
    <w:p w14:paraId="4BF50004" w14:textId="77777777" w:rsidR="00522F93" w:rsidRDefault="00522F93" w:rsidP="00230C0F">
      <w:pPr>
        <w:pStyle w:val="H23GC"/>
      </w:pPr>
      <w:r>
        <w:rPr>
          <w:rFonts w:hint="eastAsia"/>
        </w:rPr>
        <w:tab/>
      </w:r>
      <w:r>
        <w:rPr>
          <w:rFonts w:hint="eastAsia"/>
        </w:rPr>
        <w:tab/>
      </w:r>
      <w:r>
        <w:rPr>
          <w:rFonts w:hint="eastAsia"/>
        </w:rPr>
        <w:t>特定群体的权利</w:t>
      </w:r>
    </w:p>
    <w:p w14:paraId="110E740B" w14:textId="77777777" w:rsidR="00522F93" w:rsidRDefault="00522F93" w:rsidP="00230C0F">
      <w:pPr>
        <w:pStyle w:val="H4GC"/>
      </w:pPr>
      <w:r>
        <w:rPr>
          <w:rFonts w:hint="eastAsia"/>
        </w:rPr>
        <w:tab/>
      </w:r>
      <w:r>
        <w:rPr>
          <w:rFonts w:hint="eastAsia"/>
        </w:rPr>
        <w:tab/>
      </w:r>
      <w:r>
        <w:rPr>
          <w:rFonts w:hint="eastAsia"/>
        </w:rPr>
        <w:t>儿童</w:t>
      </w:r>
    </w:p>
    <w:p w14:paraId="7286949F" w14:textId="16A436F6" w:rsidR="00522F93" w:rsidRDefault="00522F93" w:rsidP="00C45D05">
      <w:pPr>
        <w:pStyle w:val="SingleTxtGC"/>
        <w:tabs>
          <w:tab w:val="clear" w:pos="1565"/>
          <w:tab w:val="left" w:pos="1701"/>
        </w:tabs>
      </w:pPr>
      <w:r>
        <w:rPr>
          <w:rFonts w:hint="eastAsia"/>
        </w:rPr>
        <w:t>112.</w:t>
      </w:r>
      <w:r>
        <w:rPr>
          <w:rFonts w:hint="eastAsia"/>
        </w:rPr>
        <w:tab/>
      </w:r>
      <w:r>
        <w:rPr>
          <w:rFonts w:hint="eastAsia"/>
        </w:rPr>
        <w:t>《国家儿童和青年发展促进法》</w:t>
      </w:r>
      <w:r>
        <w:rPr>
          <w:rFonts w:hint="eastAsia"/>
        </w:rPr>
        <w:t>B.E. 2550 (2007</w:t>
      </w:r>
      <w:r>
        <w:rPr>
          <w:rFonts w:hint="eastAsia"/>
        </w:rPr>
        <w:t>年</w:t>
      </w:r>
      <w:r>
        <w:rPr>
          <w:rFonts w:hint="eastAsia"/>
        </w:rPr>
        <w:t>)</w:t>
      </w:r>
      <w:r>
        <w:rPr>
          <w:rFonts w:hint="eastAsia"/>
        </w:rPr>
        <w:t>促进儿童的最大利益，保障儿童不受歧视的基本权利。该法还向儿童宣传和灌输道德和价值观，例如家庭纽带、民族自豪感和民主价值观、表达自由和参与公共生活。它还重申了儿童享有最高标准保健的权利以及玩耍和参与文化和社会事务的权利。</w:t>
      </w:r>
    </w:p>
    <w:p w14:paraId="300094AB" w14:textId="7D7FA363" w:rsidR="00522F93" w:rsidRDefault="00522F93" w:rsidP="00C45D05">
      <w:pPr>
        <w:pStyle w:val="SingleTxtGC"/>
        <w:tabs>
          <w:tab w:val="clear" w:pos="1565"/>
          <w:tab w:val="left" w:pos="1701"/>
        </w:tabs>
      </w:pPr>
      <w:r>
        <w:rPr>
          <w:rFonts w:hint="eastAsia"/>
        </w:rPr>
        <w:t>113.</w:t>
      </w:r>
      <w:r>
        <w:rPr>
          <w:rFonts w:hint="eastAsia"/>
        </w:rPr>
        <w:tab/>
      </w:r>
      <w:r>
        <w:rPr>
          <w:rFonts w:hint="eastAsia"/>
        </w:rPr>
        <w:t>《国家儿童和青年发展计划》</w:t>
      </w:r>
      <w:r>
        <w:rPr>
          <w:rFonts w:hint="eastAsia"/>
        </w:rPr>
        <w:t>B.E. 2560</w:t>
      </w:r>
      <w:r w:rsidR="00045C32">
        <w:rPr>
          <w:rFonts w:hint="eastAsia"/>
        </w:rPr>
        <w:t>-</w:t>
      </w:r>
      <w:r>
        <w:rPr>
          <w:rFonts w:hint="eastAsia"/>
        </w:rPr>
        <w:t>2564 (2017</w:t>
      </w:r>
      <w:r w:rsidR="00045C32">
        <w:rPr>
          <w:rFonts w:hint="eastAsia"/>
        </w:rPr>
        <w:t>-</w:t>
      </w:r>
      <w:r>
        <w:rPr>
          <w:rFonts w:hint="eastAsia"/>
        </w:rPr>
        <w:t>2021)</w:t>
      </w:r>
      <w:r>
        <w:rPr>
          <w:rFonts w:hint="eastAsia"/>
        </w:rPr>
        <w:t>为制定符合《第十二个国家经济和社会发展计划》的儿童和青年方案和活动提供了框架。该计划的主要目标是确保儿童和青年过上安全和有保障的生活；身心健康；具有良好的道德规范和公民责任感；能够创造性地表达自己；过上基本幸福的生活。</w:t>
      </w:r>
    </w:p>
    <w:p w14:paraId="2154362B" w14:textId="49845463" w:rsidR="00522F93" w:rsidRDefault="00522F93" w:rsidP="00C45D05">
      <w:pPr>
        <w:pStyle w:val="SingleTxtGC"/>
        <w:tabs>
          <w:tab w:val="clear" w:pos="1565"/>
          <w:tab w:val="left" w:pos="1701"/>
        </w:tabs>
      </w:pPr>
      <w:r>
        <w:rPr>
          <w:rFonts w:hint="eastAsia"/>
        </w:rPr>
        <w:t>114.</w:t>
      </w:r>
      <w:r>
        <w:rPr>
          <w:rFonts w:hint="eastAsia"/>
        </w:rPr>
        <w:tab/>
        <w:t>2005</w:t>
      </w:r>
      <w:r>
        <w:rPr>
          <w:rFonts w:hint="eastAsia"/>
        </w:rPr>
        <w:t>年的一项内阁决议规定，根据“全民教育”政策，所有儿童都应不受歧视地接受</w:t>
      </w:r>
      <w:r>
        <w:rPr>
          <w:rFonts w:hint="eastAsia"/>
        </w:rPr>
        <w:t>15</w:t>
      </w:r>
      <w:r>
        <w:rPr>
          <w:rFonts w:hint="eastAsia"/>
        </w:rPr>
        <w:t>年基础教育，无论其国籍如何，也无论其是否有能够出示官方文件确认任何其他类型的身份。国家应向有关教育机构提供人均支出补贴，以促进这种行动。</w:t>
      </w:r>
    </w:p>
    <w:p w14:paraId="36AEE57D" w14:textId="2F842496" w:rsidR="00522F93" w:rsidRDefault="00522F93" w:rsidP="00C45D05">
      <w:pPr>
        <w:pStyle w:val="SingleTxtGC"/>
        <w:tabs>
          <w:tab w:val="clear" w:pos="1565"/>
          <w:tab w:val="left" w:pos="1701"/>
        </w:tabs>
      </w:pPr>
      <w:r>
        <w:rPr>
          <w:rFonts w:hint="eastAsia"/>
        </w:rPr>
        <w:t>115.</w:t>
      </w:r>
      <w:r>
        <w:rPr>
          <w:rFonts w:hint="eastAsia"/>
        </w:rPr>
        <w:tab/>
      </w:r>
      <w:r>
        <w:rPr>
          <w:rFonts w:hint="eastAsia"/>
        </w:rPr>
        <w:t>公平教育基金根据</w:t>
      </w:r>
      <w:r>
        <w:rPr>
          <w:rFonts w:hint="eastAsia"/>
        </w:rPr>
        <w:t>2018</w:t>
      </w:r>
      <w:r>
        <w:rPr>
          <w:rFonts w:hint="eastAsia"/>
        </w:rPr>
        <w:t>年《教育平等基金法》设立，自</w:t>
      </w:r>
      <w:r>
        <w:rPr>
          <w:rFonts w:hint="eastAsia"/>
        </w:rPr>
        <w:t>2018</w:t>
      </w:r>
      <w:r>
        <w:rPr>
          <w:rFonts w:hint="eastAsia"/>
        </w:rPr>
        <w:t>年</w:t>
      </w:r>
      <w:r>
        <w:rPr>
          <w:rFonts w:hint="eastAsia"/>
        </w:rPr>
        <w:t>5</w:t>
      </w:r>
      <w:r>
        <w:rPr>
          <w:rFonts w:hint="eastAsia"/>
        </w:rPr>
        <w:t>月</w:t>
      </w:r>
      <w:r>
        <w:rPr>
          <w:rFonts w:hint="eastAsia"/>
        </w:rPr>
        <w:t>14</w:t>
      </w:r>
      <w:r>
        <w:rPr>
          <w:rFonts w:hint="eastAsia"/>
        </w:rPr>
        <w:t>日起生效。该基金是减少不平等和增加教育机会的重要工具。它回应了弱势群体共同接受教育的需求，以及提高和改善教师质量和效率的需求。此外，公平教育基金还为发展职业技能和生活技能的活动提供补贴。</w:t>
      </w:r>
    </w:p>
    <w:p w14:paraId="6EA6CC64" w14:textId="6C3D3342" w:rsidR="00522F93" w:rsidRDefault="00522F93" w:rsidP="00C45D05">
      <w:pPr>
        <w:pStyle w:val="SingleTxtGC"/>
        <w:tabs>
          <w:tab w:val="clear" w:pos="1565"/>
          <w:tab w:val="left" w:pos="1701"/>
        </w:tabs>
      </w:pPr>
      <w:r>
        <w:rPr>
          <w:rFonts w:hint="eastAsia"/>
        </w:rPr>
        <w:t>116.</w:t>
      </w:r>
      <w:r>
        <w:rPr>
          <w:rFonts w:hint="eastAsia"/>
        </w:rPr>
        <w:tab/>
      </w:r>
      <w:r>
        <w:rPr>
          <w:rFonts w:hint="eastAsia"/>
        </w:rPr>
        <w:t>根据《刑法典》第</w:t>
      </w:r>
      <w:r>
        <w:rPr>
          <w:rFonts w:hint="eastAsia"/>
        </w:rPr>
        <w:t>287/1</w:t>
      </w:r>
      <w:r>
        <w:rPr>
          <w:rFonts w:hint="eastAsia"/>
        </w:rPr>
        <w:t>条，儿童色情制品是泰国法律规定的一项具体罪行，任何人拥有儿童色情制品都会受到惩罚。</w:t>
      </w:r>
    </w:p>
    <w:p w14:paraId="0FFC0C52" w14:textId="233041B1" w:rsidR="00522F93" w:rsidRDefault="00522F93" w:rsidP="00C45D05">
      <w:pPr>
        <w:pStyle w:val="SingleTxtGC"/>
        <w:tabs>
          <w:tab w:val="clear" w:pos="1565"/>
          <w:tab w:val="left" w:pos="1701"/>
        </w:tabs>
      </w:pPr>
      <w:r>
        <w:rPr>
          <w:rFonts w:hint="eastAsia"/>
        </w:rPr>
        <w:t>117.</w:t>
      </w:r>
      <w:r>
        <w:rPr>
          <w:rFonts w:hint="eastAsia"/>
        </w:rPr>
        <w:tab/>
        <w:t>2019</w:t>
      </w:r>
      <w:r>
        <w:rPr>
          <w:rFonts w:hint="eastAsia"/>
        </w:rPr>
        <w:t>年</w:t>
      </w:r>
      <w:r>
        <w:rPr>
          <w:rFonts w:hint="eastAsia"/>
        </w:rPr>
        <w:t>1</w:t>
      </w:r>
      <w:r>
        <w:rPr>
          <w:rFonts w:hint="eastAsia"/>
        </w:rPr>
        <w:t>月</w:t>
      </w:r>
      <w:r>
        <w:rPr>
          <w:rFonts w:hint="eastAsia"/>
        </w:rPr>
        <w:t>21</w:t>
      </w:r>
      <w:r>
        <w:rPr>
          <w:rFonts w:hint="eastAsia"/>
        </w:rPr>
        <w:t>日，</w:t>
      </w:r>
      <w:r>
        <w:rPr>
          <w:rFonts w:hint="eastAsia"/>
        </w:rPr>
        <w:t>7</w:t>
      </w:r>
      <w:r>
        <w:rPr>
          <w:rFonts w:hint="eastAsia"/>
        </w:rPr>
        <w:t>个泰国有关机构签署了一项关于确定移民拘留中心拘留儿童的替代措施和办法的谅解备忘录。该谅解备忘录旨在确定责任，并规定共同准则，以纳入关于不拘留</w:t>
      </w:r>
      <w:r>
        <w:rPr>
          <w:rFonts w:hint="eastAsia"/>
        </w:rPr>
        <w:t>18</w:t>
      </w:r>
      <w:r>
        <w:rPr>
          <w:rFonts w:hint="eastAsia"/>
        </w:rPr>
        <w:t>岁以下移徙儿童的程序。儿童及其母亲或监护人将不是留在移民拘留中心，而是由社会发展和人类安全部、私营组织或民间社会组织照顾，同时等待长期解决办法。</w:t>
      </w:r>
    </w:p>
    <w:p w14:paraId="53716028" w14:textId="77777777" w:rsidR="00522F93" w:rsidRDefault="00522F93" w:rsidP="00230C0F">
      <w:pPr>
        <w:pStyle w:val="H4GC"/>
      </w:pPr>
      <w:r>
        <w:rPr>
          <w:rFonts w:hint="eastAsia"/>
        </w:rPr>
        <w:tab/>
      </w:r>
      <w:r>
        <w:rPr>
          <w:rFonts w:hint="eastAsia"/>
        </w:rPr>
        <w:tab/>
      </w:r>
      <w:r>
        <w:rPr>
          <w:rFonts w:hint="eastAsia"/>
        </w:rPr>
        <w:t>妇女</w:t>
      </w:r>
    </w:p>
    <w:p w14:paraId="3F82CB7A" w14:textId="50F0A656" w:rsidR="00522F93" w:rsidRDefault="00522F93" w:rsidP="00C45D05">
      <w:pPr>
        <w:pStyle w:val="SingleTxtGC"/>
        <w:tabs>
          <w:tab w:val="clear" w:pos="1565"/>
          <w:tab w:val="left" w:pos="1701"/>
        </w:tabs>
      </w:pPr>
      <w:r>
        <w:rPr>
          <w:rFonts w:hint="eastAsia"/>
        </w:rPr>
        <w:t>118.</w:t>
      </w:r>
      <w:r>
        <w:rPr>
          <w:rFonts w:hint="eastAsia"/>
        </w:rPr>
        <w:tab/>
      </w:r>
      <w:r>
        <w:rPr>
          <w:rFonts w:hint="eastAsia"/>
        </w:rPr>
        <w:t>政府加强了促进平等经济权利和机会的相关立法和政策，如《性别平等法》</w:t>
      </w:r>
      <w:r>
        <w:rPr>
          <w:rFonts w:hint="eastAsia"/>
        </w:rPr>
        <w:t>(2015</w:t>
      </w:r>
      <w:r>
        <w:rPr>
          <w:rFonts w:hint="eastAsia"/>
        </w:rPr>
        <w:t>年</w:t>
      </w:r>
      <w:r>
        <w:rPr>
          <w:rFonts w:hint="eastAsia"/>
        </w:rPr>
        <w:t>)</w:t>
      </w:r>
      <w:r>
        <w:rPr>
          <w:rFonts w:hint="eastAsia"/>
        </w:rPr>
        <w:t>、《社会保障法》</w:t>
      </w:r>
      <w:r>
        <w:rPr>
          <w:rFonts w:hint="eastAsia"/>
        </w:rPr>
        <w:t>(1990</w:t>
      </w:r>
      <w:r>
        <w:rPr>
          <w:rFonts w:hint="eastAsia"/>
        </w:rPr>
        <w:t>年</w:t>
      </w:r>
      <w:r>
        <w:rPr>
          <w:rFonts w:hint="eastAsia"/>
        </w:rPr>
        <w:t>)</w:t>
      </w:r>
      <w:r>
        <w:rPr>
          <w:rFonts w:hint="eastAsia"/>
        </w:rPr>
        <w:t>和《劳动保护法》修正案</w:t>
      </w:r>
      <w:r>
        <w:rPr>
          <w:rFonts w:hint="eastAsia"/>
        </w:rPr>
        <w:t>(2008</w:t>
      </w:r>
      <w:r>
        <w:rPr>
          <w:rFonts w:hint="eastAsia"/>
        </w:rPr>
        <w:t>年</w:t>
      </w:r>
      <w:r>
        <w:rPr>
          <w:rFonts w:hint="eastAsia"/>
        </w:rPr>
        <w:t>)</w:t>
      </w:r>
      <w:r>
        <w:rPr>
          <w:rFonts w:hint="eastAsia"/>
        </w:rPr>
        <w:t>，以</w:t>
      </w:r>
      <w:r>
        <w:rPr>
          <w:rFonts w:hint="eastAsia"/>
        </w:rPr>
        <w:lastRenderedPageBreak/>
        <w:t>确保同工同酬。此外，泰国还设立了泰国妇女赋权基金，并在全国各地设立了</w:t>
      </w:r>
      <w:r>
        <w:rPr>
          <w:rFonts w:hint="eastAsia"/>
        </w:rPr>
        <w:t>8</w:t>
      </w:r>
      <w:r>
        <w:rPr>
          <w:rFonts w:hint="eastAsia"/>
        </w:rPr>
        <w:t>个妇女和家庭发展学习中心。</w:t>
      </w:r>
    </w:p>
    <w:p w14:paraId="17C4E535" w14:textId="34DD3DAE" w:rsidR="00522F93" w:rsidRDefault="00522F93" w:rsidP="00C45D05">
      <w:pPr>
        <w:pStyle w:val="SingleTxtGC"/>
        <w:tabs>
          <w:tab w:val="clear" w:pos="1565"/>
          <w:tab w:val="left" w:pos="1701"/>
        </w:tabs>
      </w:pPr>
      <w:r>
        <w:rPr>
          <w:rFonts w:hint="eastAsia"/>
        </w:rPr>
        <w:t>119.</w:t>
      </w:r>
      <w:r>
        <w:rPr>
          <w:rFonts w:hint="eastAsia"/>
        </w:rPr>
        <w:tab/>
      </w:r>
      <w:r>
        <w:rPr>
          <w:rFonts w:hint="eastAsia"/>
        </w:rPr>
        <w:t>所有国家人权计划都将妇女和女孩确定为目标群体，并制定了促进和保护其权利的战略和义务。《国家妇女发展战略》</w:t>
      </w:r>
      <w:r>
        <w:rPr>
          <w:rFonts w:hint="eastAsia"/>
        </w:rPr>
        <w:t>(2017-2021</w:t>
      </w:r>
      <w:r>
        <w:rPr>
          <w:rFonts w:hint="eastAsia"/>
        </w:rPr>
        <w:t>年</w:t>
      </w:r>
      <w:r>
        <w:rPr>
          <w:rFonts w:hint="eastAsia"/>
        </w:rPr>
        <w:t>)</w:t>
      </w:r>
      <w:r>
        <w:rPr>
          <w:rFonts w:hint="eastAsia"/>
        </w:rPr>
        <w:t>制定了促进性别平等和增强妇女权能路线图，纳入了《消除对妇女一切形式歧视公约》、《北京宣言》和《行动纲要》以及《</w:t>
      </w:r>
      <w:r>
        <w:rPr>
          <w:rFonts w:hint="eastAsia"/>
        </w:rPr>
        <w:t>2030</w:t>
      </w:r>
      <w:r>
        <w:rPr>
          <w:rFonts w:hint="eastAsia"/>
        </w:rPr>
        <w:t>年可持续发展议程》的原则和标准。</w:t>
      </w:r>
    </w:p>
    <w:p w14:paraId="7799EC94" w14:textId="77777777" w:rsidR="00522F93" w:rsidRDefault="00522F93" w:rsidP="00230C0F">
      <w:pPr>
        <w:pStyle w:val="H4GC"/>
      </w:pPr>
      <w:r>
        <w:rPr>
          <w:rFonts w:hint="eastAsia"/>
        </w:rPr>
        <w:tab/>
      </w:r>
      <w:r>
        <w:rPr>
          <w:rFonts w:hint="eastAsia"/>
        </w:rPr>
        <w:tab/>
      </w:r>
      <w:r>
        <w:rPr>
          <w:rFonts w:hint="eastAsia"/>
        </w:rPr>
        <w:t>男女同性恋、双性恋和跨性别者</w:t>
      </w:r>
    </w:p>
    <w:p w14:paraId="6715F129" w14:textId="6B8556B4" w:rsidR="00522F93" w:rsidRDefault="00522F93" w:rsidP="00C45D05">
      <w:pPr>
        <w:pStyle w:val="SingleTxtGC"/>
        <w:tabs>
          <w:tab w:val="clear" w:pos="1565"/>
          <w:tab w:val="left" w:pos="1701"/>
        </w:tabs>
      </w:pPr>
      <w:r>
        <w:rPr>
          <w:rFonts w:hint="eastAsia"/>
        </w:rPr>
        <w:t>120.</w:t>
      </w:r>
      <w:r>
        <w:rPr>
          <w:rFonts w:hint="eastAsia"/>
        </w:rPr>
        <w:tab/>
        <w:t>2015</w:t>
      </w:r>
      <w:r>
        <w:rPr>
          <w:rFonts w:hint="eastAsia"/>
        </w:rPr>
        <w:t>年《性别平等法》是一部里程碑式的立法，旨在解决性别歧视问题，无论此类人是男性、女性还是以不同于其天生性别的方式表达自己。该法还创建了国家机制，以精简相关政策，监督请愿，并为因性别而受到歧视的人提供补救。</w:t>
      </w:r>
    </w:p>
    <w:p w14:paraId="4FD1946D" w14:textId="6298A245" w:rsidR="00522F93" w:rsidRDefault="00522F93" w:rsidP="00C45D05">
      <w:pPr>
        <w:pStyle w:val="SingleTxtGC"/>
        <w:tabs>
          <w:tab w:val="clear" w:pos="1565"/>
          <w:tab w:val="left" w:pos="1701"/>
        </w:tabs>
      </w:pPr>
      <w:r>
        <w:rPr>
          <w:rFonts w:hint="eastAsia"/>
        </w:rPr>
        <w:t>121.</w:t>
      </w:r>
      <w:r>
        <w:rPr>
          <w:rFonts w:hint="eastAsia"/>
        </w:rPr>
        <w:tab/>
      </w:r>
      <w:r>
        <w:rPr>
          <w:rFonts w:hint="eastAsia"/>
        </w:rPr>
        <w:t>第四个国家人权计划</w:t>
      </w:r>
      <w:r>
        <w:rPr>
          <w:rFonts w:hint="eastAsia"/>
        </w:rPr>
        <w:t>(2019-2023</w:t>
      </w:r>
      <w:r>
        <w:rPr>
          <w:rFonts w:hint="eastAsia"/>
        </w:rPr>
        <w:t>年</w:t>
      </w:r>
      <w:r>
        <w:rPr>
          <w:rFonts w:hint="eastAsia"/>
        </w:rPr>
        <w:t>)</w:t>
      </w:r>
      <w:r>
        <w:rPr>
          <w:rFonts w:hint="eastAsia"/>
        </w:rPr>
        <w:t>确保所有行为者致力于促进人权和性别平等，这对实现可持续发展至关重要。</w:t>
      </w:r>
    </w:p>
    <w:p w14:paraId="3637EDF8" w14:textId="156E90FC" w:rsidR="00522F93" w:rsidRDefault="00522F93" w:rsidP="00C45D05">
      <w:pPr>
        <w:pStyle w:val="SingleTxtGC"/>
        <w:tabs>
          <w:tab w:val="clear" w:pos="1565"/>
          <w:tab w:val="left" w:pos="1701"/>
        </w:tabs>
      </w:pPr>
      <w:r>
        <w:rPr>
          <w:rFonts w:hint="eastAsia"/>
        </w:rPr>
        <w:t>122.</w:t>
      </w:r>
      <w:r>
        <w:rPr>
          <w:rFonts w:hint="eastAsia"/>
        </w:rPr>
        <w:tab/>
      </w:r>
      <w:r>
        <w:rPr>
          <w:rFonts w:hint="eastAsia"/>
        </w:rPr>
        <w:t>泰国目前正在起草《民事伴侣关系法》，以保障希望缔结民事伴侣关系的男女同性恋、双性恋和跨性别者的合法权利，其中涉及法律关系、财产权和继承等问题。</w:t>
      </w:r>
    </w:p>
    <w:p w14:paraId="1AB10ACD" w14:textId="77777777" w:rsidR="00522F93" w:rsidRDefault="00522F93" w:rsidP="00230C0F">
      <w:pPr>
        <w:pStyle w:val="H4GC"/>
      </w:pPr>
      <w:r>
        <w:rPr>
          <w:rFonts w:hint="eastAsia"/>
        </w:rPr>
        <w:tab/>
      </w:r>
      <w:r>
        <w:rPr>
          <w:rFonts w:hint="eastAsia"/>
        </w:rPr>
        <w:tab/>
      </w:r>
      <w:r>
        <w:rPr>
          <w:rFonts w:hint="eastAsia"/>
        </w:rPr>
        <w:t>残疾人</w:t>
      </w:r>
    </w:p>
    <w:p w14:paraId="14F82DCC" w14:textId="5460D90A" w:rsidR="00522F93" w:rsidRDefault="00522F93" w:rsidP="00C45D05">
      <w:pPr>
        <w:pStyle w:val="SingleTxtGC"/>
        <w:tabs>
          <w:tab w:val="clear" w:pos="1565"/>
          <w:tab w:val="left" w:pos="1701"/>
        </w:tabs>
      </w:pPr>
      <w:r>
        <w:rPr>
          <w:rFonts w:hint="eastAsia"/>
        </w:rPr>
        <w:t>123.</w:t>
      </w:r>
      <w:r>
        <w:rPr>
          <w:rFonts w:hint="eastAsia"/>
        </w:rPr>
        <w:tab/>
      </w:r>
      <w:r>
        <w:rPr>
          <w:rFonts w:hint="eastAsia"/>
        </w:rPr>
        <w:t>《残疾人赋权法》</w:t>
      </w:r>
      <w:r>
        <w:rPr>
          <w:rFonts w:hint="eastAsia"/>
        </w:rPr>
        <w:t>B.E. 2550 (2007)</w:t>
      </w:r>
      <w:r>
        <w:rPr>
          <w:rFonts w:hint="eastAsia"/>
        </w:rPr>
        <w:t>及其</w:t>
      </w:r>
      <w:r>
        <w:rPr>
          <w:rFonts w:hint="eastAsia"/>
        </w:rPr>
        <w:t>2013</w:t>
      </w:r>
      <w:r>
        <w:rPr>
          <w:rFonts w:hint="eastAsia"/>
        </w:rPr>
        <w:t>年修正案确保残疾人充分享有平等的基本人权和自由。它还保护残疾人免受一切形式的不公平歧视。。它还保障残疾人有权获得和利用公共设施和服务，包括医疗、教育、就业、残疾津贴、手语翻译、个人助理、住屋改造、信息无障碍和辅助技术。</w:t>
      </w:r>
    </w:p>
    <w:p w14:paraId="10019DFD" w14:textId="371E3164" w:rsidR="00522F93" w:rsidRDefault="00522F93" w:rsidP="00C45D05">
      <w:pPr>
        <w:pStyle w:val="SingleTxtGC"/>
        <w:tabs>
          <w:tab w:val="clear" w:pos="1565"/>
          <w:tab w:val="left" w:pos="1701"/>
        </w:tabs>
      </w:pPr>
      <w:r>
        <w:rPr>
          <w:rFonts w:hint="eastAsia"/>
        </w:rPr>
        <w:t>124.</w:t>
      </w:r>
      <w:r>
        <w:rPr>
          <w:rFonts w:hint="eastAsia"/>
        </w:rPr>
        <w:tab/>
      </w:r>
      <w:r>
        <w:rPr>
          <w:rFonts w:hint="eastAsia"/>
        </w:rPr>
        <w:t>现行《第五个残疾人赋权国家计划》</w:t>
      </w:r>
      <w:r>
        <w:rPr>
          <w:rFonts w:hint="eastAsia"/>
        </w:rPr>
        <w:t>(2017-2020</w:t>
      </w:r>
      <w:r>
        <w:rPr>
          <w:rFonts w:hint="eastAsia"/>
        </w:rPr>
        <w:t>年</w:t>
      </w:r>
      <w:r>
        <w:rPr>
          <w:rFonts w:hint="eastAsia"/>
        </w:rPr>
        <w:t>)</w:t>
      </w:r>
      <w:r>
        <w:rPr>
          <w:rFonts w:hint="eastAsia"/>
        </w:rPr>
        <w:t>是所有相关政府机构促进和保护残疾人权利的综合框架。它强调了残疾人及其组织的可持续能力建设，以充分和公平地获得自己的权利，并利用农村和偏远地区无障碍环境、技术和发展残疾服务中心。</w:t>
      </w:r>
    </w:p>
    <w:p w14:paraId="2916B333" w14:textId="60E4376B" w:rsidR="00522F93" w:rsidRDefault="00522F93" w:rsidP="00C45D05">
      <w:pPr>
        <w:pStyle w:val="SingleTxtGC"/>
        <w:tabs>
          <w:tab w:val="clear" w:pos="1565"/>
          <w:tab w:val="left" w:pos="1701"/>
        </w:tabs>
      </w:pPr>
      <w:r>
        <w:rPr>
          <w:rFonts w:hint="eastAsia"/>
        </w:rPr>
        <w:t>125.</w:t>
      </w:r>
      <w:r>
        <w:rPr>
          <w:rFonts w:hint="eastAsia"/>
        </w:rPr>
        <w:tab/>
      </w:r>
      <w:r>
        <w:rPr>
          <w:rFonts w:hint="eastAsia"/>
        </w:rPr>
        <w:t>在就业领域，</w:t>
      </w:r>
      <w:r>
        <w:rPr>
          <w:rFonts w:hint="eastAsia"/>
        </w:rPr>
        <w:t>10</w:t>
      </w:r>
      <w:r>
        <w:rPr>
          <w:rFonts w:hint="eastAsia"/>
        </w:rPr>
        <w:t>月</w:t>
      </w:r>
      <w:r>
        <w:rPr>
          <w:rFonts w:hint="eastAsia"/>
        </w:rPr>
        <w:t>27</w:t>
      </w:r>
      <w:r>
        <w:rPr>
          <w:rFonts w:hint="eastAsia"/>
        </w:rPr>
        <w:t>日内阁决议</w:t>
      </w:r>
      <w:r>
        <w:rPr>
          <w:rFonts w:hint="eastAsia"/>
        </w:rPr>
        <w:t>B.E. 2558(2015)</w:t>
      </w:r>
      <w:r>
        <w:rPr>
          <w:rFonts w:hint="eastAsia"/>
        </w:rPr>
        <w:t>要求拥有</w:t>
      </w:r>
      <w:r>
        <w:rPr>
          <w:rFonts w:hint="eastAsia"/>
        </w:rPr>
        <w:t>100</w:t>
      </w:r>
      <w:r>
        <w:rPr>
          <w:rFonts w:hint="eastAsia"/>
        </w:rPr>
        <w:t>名或以上雇员的政府机构按照法律规定的比例雇用残疾人。</w:t>
      </w:r>
    </w:p>
    <w:p w14:paraId="66E57F85" w14:textId="77777777" w:rsidR="00522F93" w:rsidRDefault="00522F93" w:rsidP="00230C0F">
      <w:pPr>
        <w:pStyle w:val="H4GC"/>
      </w:pPr>
      <w:r>
        <w:rPr>
          <w:rFonts w:hint="eastAsia"/>
        </w:rPr>
        <w:tab/>
      </w:r>
      <w:r>
        <w:rPr>
          <w:rFonts w:hint="eastAsia"/>
        </w:rPr>
        <w:tab/>
      </w:r>
      <w:r>
        <w:rPr>
          <w:rFonts w:hint="eastAsia"/>
        </w:rPr>
        <w:t>囚犯和羁押犯</w:t>
      </w:r>
    </w:p>
    <w:p w14:paraId="0D5A02E9" w14:textId="3E938CB0" w:rsidR="00522F93" w:rsidRDefault="00522F93" w:rsidP="00C45D05">
      <w:pPr>
        <w:pStyle w:val="SingleTxtGC"/>
        <w:tabs>
          <w:tab w:val="clear" w:pos="1565"/>
          <w:tab w:val="left" w:pos="1701"/>
        </w:tabs>
      </w:pPr>
      <w:r>
        <w:rPr>
          <w:rFonts w:hint="eastAsia"/>
        </w:rPr>
        <w:t>126.</w:t>
      </w:r>
      <w:r>
        <w:rPr>
          <w:rFonts w:hint="eastAsia"/>
        </w:rPr>
        <w:tab/>
        <w:t>2017</w:t>
      </w:r>
      <w:r>
        <w:rPr>
          <w:rFonts w:hint="eastAsia"/>
        </w:rPr>
        <w:t>年新的《惩教法》除其他外，确保根据《联合国囚犯待遇最低限度标准规则》</w:t>
      </w:r>
      <w:r>
        <w:rPr>
          <w:rFonts w:hint="eastAsia"/>
        </w:rPr>
        <w:t>(</w:t>
      </w:r>
      <w:r>
        <w:rPr>
          <w:rFonts w:hint="eastAsia"/>
        </w:rPr>
        <w:t>“曼德拉规则”</w:t>
      </w:r>
      <w:r>
        <w:rPr>
          <w:rFonts w:hint="eastAsia"/>
        </w:rPr>
        <w:t>)</w:t>
      </w:r>
      <w:r>
        <w:rPr>
          <w:rFonts w:hint="eastAsia"/>
        </w:rPr>
        <w:t>和相关国际标准保护被拘留者的权利。</w:t>
      </w:r>
      <w:r>
        <w:rPr>
          <w:rFonts w:hint="eastAsia"/>
        </w:rPr>
        <w:t>2016</w:t>
      </w:r>
      <w:r>
        <w:rPr>
          <w:rFonts w:hint="eastAsia"/>
        </w:rPr>
        <w:t>年</w:t>
      </w:r>
      <w:r>
        <w:rPr>
          <w:rFonts w:hint="eastAsia"/>
        </w:rPr>
        <w:t>7</w:t>
      </w:r>
      <w:r>
        <w:rPr>
          <w:rFonts w:hint="eastAsia"/>
        </w:rPr>
        <w:t>月，在</w:t>
      </w:r>
      <w:r>
        <w:rPr>
          <w:rFonts w:hint="eastAsia"/>
        </w:rPr>
        <w:t>Thonburi</w:t>
      </w:r>
      <w:r>
        <w:rPr>
          <w:rFonts w:hint="eastAsia"/>
        </w:rPr>
        <w:t>还押监狱启动了执行《曼德拉规则》的试点项目，并正在扩大到泰国各地的其他监狱和惩教设施。</w:t>
      </w:r>
    </w:p>
    <w:p w14:paraId="512E6635" w14:textId="4DFB91A3" w:rsidR="00522F93" w:rsidRDefault="00522F93" w:rsidP="00C45D05">
      <w:pPr>
        <w:pStyle w:val="SingleTxtGC"/>
        <w:tabs>
          <w:tab w:val="clear" w:pos="1565"/>
          <w:tab w:val="left" w:pos="1701"/>
        </w:tabs>
      </w:pPr>
      <w:r>
        <w:rPr>
          <w:rFonts w:hint="eastAsia"/>
        </w:rPr>
        <w:t>127.</w:t>
      </w:r>
      <w:r>
        <w:rPr>
          <w:rFonts w:hint="eastAsia"/>
        </w:rPr>
        <w:tab/>
      </w:r>
      <w:r>
        <w:rPr>
          <w:rFonts w:hint="eastAsia"/>
        </w:rPr>
        <w:t>泰国在制定《联合国女性囚犯待遇和女性罪犯非拘禁措施规则》</w:t>
      </w:r>
      <w:r>
        <w:rPr>
          <w:rFonts w:hint="eastAsia"/>
        </w:rPr>
        <w:t>(</w:t>
      </w:r>
      <w:r>
        <w:rPr>
          <w:rFonts w:hint="eastAsia"/>
        </w:rPr>
        <w:t>《曼谷规则》</w:t>
      </w:r>
      <w:r>
        <w:rPr>
          <w:rFonts w:hint="eastAsia"/>
        </w:rPr>
        <w:t>)</w:t>
      </w:r>
      <w:r>
        <w:rPr>
          <w:rFonts w:hint="eastAsia"/>
        </w:rPr>
        <w:t>方面发挥了重要作用。该规则源于由巴杰拉基蒂亚巴·纳兰迪拉·德比亚瓦蒂公主殿下发起并于</w:t>
      </w:r>
      <w:r>
        <w:rPr>
          <w:rFonts w:hint="eastAsia"/>
        </w:rPr>
        <w:t>2010</w:t>
      </w:r>
      <w:r>
        <w:rPr>
          <w:rFonts w:hint="eastAsia"/>
        </w:rPr>
        <w:t>年</w:t>
      </w:r>
      <w:r>
        <w:rPr>
          <w:rFonts w:hint="eastAsia"/>
        </w:rPr>
        <w:t>12</w:t>
      </w:r>
      <w:r>
        <w:rPr>
          <w:rFonts w:hint="eastAsia"/>
        </w:rPr>
        <w:t>月</w:t>
      </w:r>
      <w:r>
        <w:rPr>
          <w:rFonts w:hint="eastAsia"/>
        </w:rPr>
        <w:t>21</w:t>
      </w:r>
      <w:r>
        <w:rPr>
          <w:rFonts w:hint="eastAsia"/>
        </w:rPr>
        <w:t>日在联合国大会第六十五届会议上获得核可的泰国改善女性囚犯生活概念项目。这是关于各国监狱女囚犯待遇的准则，考虑到性别差异和妇女的具体需求。</w:t>
      </w:r>
    </w:p>
    <w:p w14:paraId="7C13D69E" w14:textId="57A8D907" w:rsidR="00522F93" w:rsidRDefault="00522F93" w:rsidP="00C45D05">
      <w:pPr>
        <w:pStyle w:val="SingleTxtGC"/>
        <w:tabs>
          <w:tab w:val="clear" w:pos="1565"/>
          <w:tab w:val="left" w:pos="1701"/>
        </w:tabs>
      </w:pPr>
      <w:r>
        <w:rPr>
          <w:rFonts w:hint="eastAsia"/>
        </w:rPr>
        <w:lastRenderedPageBreak/>
        <w:t>128.</w:t>
      </w:r>
      <w:r>
        <w:rPr>
          <w:rFonts w:hint="eastAsia"/>
        </w:rPr>
        <w:tab/>
      </w:r>
      <w:r>
        <w:rPr>
          <w:rFonts w:hint="eastAsia"/>
        </w:rPr>
        <w:t>惩教署和泰国司法研究所一直在合作执行《曼谷规则》。自</w:t>
      </w:r>
      <w:r>
        <w:rPr>
          <w:rFonts w:hint="eastAsia"/>
        </w:rPr>
        <w:t>2015</w:t>
      </w:r>
      <w:r>
        <w:rPr>
          <w:rFonts w:hint="eastAsia"/>
        </w:rPr>
        <w:t>年以来，泰国各地已有</w:t>
      </w:r>
      <w:r>
        <w:rPr>
          <w:rFonts w:hint="eastAsia"/>
        </w:rPr>
        <w:t>6</w:t>
      </w:r>
      <w:r>
        <w:rPr>
          <w:rFonts w:hint="eastAsia"/>
        </w:rPr>
        <w:t>所示范监狱采用了《曼谷规则》。</w:t>
      </w:r>
    </w:p>
    <w:p w14:paraId="201D63A9" w14:textId="7AAC1771" w:rsidR="00522F93" w:rsidRDefault="00522F93" w:rsidP="00C45D05">
      <w:pPr>
        <w:pStyle w:val="SingleTxtGC"/>
        <w:tabs>
          <w:tab w:val="clear" w:pos="1565"/>
          <w:tab w:val="left" w:pos="1701"/>
        </w:tabs>
      </w:pPr>
      <w:r>
        <w:rPr>
          <w:rFonts w:hint="eastAsia"/>
        </w:rPr>
        <w:t>129.</w:t>
      </w:r>
      <w:r>
        <w:rPr>
          <w:rFonts w:hint="eastAsia"/>
        </w:rPr>
        <w:tab/>
      </w:r>
      <w:r>
        <w:rPr>
          <w:rFonts w:hint="eastAsia"/>
        </w:rPr>
        <w:t>司法部认识到惩教署监督下的拘留场所过度拥挤的问题，目前正在根据</w:t>
      </w:r>
      <w:r>
        <w:rPr>
          <w:rFonts w:hint="eastAsia"/>
        </w:rPr>
        <w:t>2017</w:t>
      </w:r>
      <w:r>
        <w:rPr>
          <w:rFonts w:hint="eastAsia"/>
        </w:rPr>
        <w:t>年《惩教法》起草一项部级条例，具体规定六种替代监禁的刑事制裁，包括</w:t>
      </w:r>
      <w:r w:rsidR="00045C32">
        <w:rPr>
          <w:rFonts w:hint="eastAsia"/>
        </w:rPr>
        <w:t>(</w:t>
      </w:r>
      <w:r w:rsidR="00045C32">
        <w:rPr>
          <w:rFonts w:hint="eastAsia"/>
        </w:rPr>
        <w:t>一</w:t>
      </w:r>
      <w:r w:rsidR="00045C32">
        <w:rPr>
          <w:rFonts w:hint="eastAsia"/>
        </w:rPr>
        <w:t>)</w:t>
      </w:r>
      <w:r w:rsidR="00045C32">
        <w:t xml:space="preserve"> </w:t>
      </w:r>
      <w:r>
        <w:rPr>
          <w:rFonts w:hint="eastAsia"/>
        </w:rPr>
        <w:t>间歇性拘留，</w:t>
      </w:r>
      <w:r w:rsidR="00045C32">
        <w:rPr>
          <w:rFonts w:hint="eastAsia"/>
        </w:rPr>
        <w:t>(</w:t>
      </w:r>
      <w:r w:rsidR="00045C32">
        <w:rPr>
          <w:rFonts w:hint="eastAsia"/>
        </w:rPr>
        <w:t>二</w:t>
      </w:r>
      <w:r w:rsidR="00045C32">
        <w:rPr>
          <w:rFonts w:hint="eastAsia"/>
        </w:rPr>
        <w:t>)</w:t>
      </w:r>
      <w:r w:rsidR="00045C32">
        <w:t xml:space="preserve"> </w:t>
      </w:r>
      <w:r>
        <w:rPr>
          <w:rFonts w:hint="eastAsia"/>
        </w:rPr>
        <w:t>在规定时间内拘留，</w:t>
      </w:r>
      <w:r w:rsidR="00045C32">
        <w:rPr>
          <w:rFonts w:hint="eastAsia"/>
        </w:rPr>
        <w:t>(</w:t>
      </w:r>
      <w:r w:rsidR="00045C32">
        <w:rPr>
          <w:rFonts w:hint="eastAsia"/>
        </w:rPr>
        <w:t>三</w:t>
      </w:r>
      <w:r w:rsidR="00045C32">
        <w:rPr>
          <w:rFonts w:hint="eastAsia"/>
        </w:rPr>
        <w:t>)</w:t>
      </w:r>
      <w:r w:rsidR="00045C32">
        <w:t xml:space="preserve"> </w:t>
      </w:r>
      <w:r>
        <w:rPr>
          <w:rFonts w:hint="eastAsia"/>
        </w:rPr>
        <w:t>在特定拘留地点拘留，</w:t>
      </w:r>
      <w:r w:rsidR="00045C32">
        <w:rPr>
          <w:rFonts w:hint="eastAsia"/>
        </w:rPr>
        <w:t>(</w:t>
      </w:r>
      <w:r w:rsidR="00045C32">
        <w:rPr>
          <w:rFonts w:hint="eastAsia"/>
        </w:rPr>
        <w:t>四</w:t>
      </w:r>
      <w:r w:rsidR="00045C32">
        <w:rPr>
          <w:rFonts w:hint="eastAsia"/>
        </w:rPr>
        <w:t>)</w:t>
      </w:r>
      <w:r w:rsidR="00045C32">
        <w:t xml:space="preserve"> </w:t>
      </w:r>
      <w:r>
        <w:rPr>
          <w:rFonts w:hint="eastAsia"/>
        </w:rPr>
        <w:t>社区服务，</w:t>
      </w:r>
      <w:r w:rsidR="00045C32">
        <w:rPr>
          <w:rFonts w:hint="eastAsia"/>
        </w:rPr>
        <w:t>(</w:t>
      </w:r>
      <w:r w:rsidR="00045C32">
        <w:rPr>
          <w:rFonts w:hint="eastAsia"/>
        </w:rPr>
        <w:t>五</w:t>
      </w:r>
      <w:r w:rsidR="00045C32">
        <w:rPr>
          <w:rFonts w:hint="eastAsia"/>
        </w:rPr>
        <w:t>)</w:t>
      </w:r>
      <w:r w:rsidR="00045C32">
        <w:t xml:space="preserve"> </w:t>
      </w:r>
      <w:r>
        <w:rPr>
          <w:rFonts w:hint="eastAsia"/>
        </w:rPr>
        <w:t>根据《刑事诉讼法》第</w:t>
      </w:r>
      <w:r>
        <w:rPr>
          <w:rFonts w:hint="eastAsia"/>
        </w:rPr>
        <w:t>89/2</w:t>
      </w:r>
      <w:r>
        <w:rPr>
          <w:rFonts w:hint="eastAsia"/>
        </w:rPr>
        <w:t>条限制旅行，㈥惩教署规定的任何其他制裁。</w:t>
      </w:r>
    </w:p>
    <w:p w14:paraId="22851267" w14:textId="78EE49BD" w:rsidR="00522F93" w:rsidRDefault="00522F93" w:rsidP="00C45D05">
      <w:pPr>
        <w:pStyle w:val="SingleTxtGC"/>
        <w:tabs>
          <w:tab w:val="clear" w:pos="1565"/>
          <w:tab w:val="left" w:pos="1701"/>
        </w:tabs>
      </w:pPr>
      <w:r>
        <w:rPr>
          <w:rFonts w:hint="eastAsia"/>
        </w:rPr>
        <w:t>130.</w:t>
      </w:r>
      <w:r>
        <w:rPr>
          <w:rFonts w:hint="eastAsia"/>
        </w:rPr>
        <w:tab/>
        <w:t>2018</w:t>
      </w:r>
      <w:r>
        <w:rPr>
          <w:rFonts w:hint="eastAsia"/>
        </w:rPr>
        <w:t>年</w:t>
      </w:r>
      <w:r>
        <w:rPr>
          <w:rFonts w:hint="eastAsia"/>
        </w:rPr>
        <w:t>3</w:t>
      </w:r>
      <w:r>
        <w:rPr>
          <w:rFonts w:hint="eastAsia"/>
        </w:rPr>
        <w:t>月</w:t>
      </w:r>
      <w:r>
        <w:rPr>
          <w:rFonts w:hint="eastAsia"/>
        </w:rPr>
        <w:t>1</w:t>
      </w:r>
      <w:r>
        <w:rPr>
          <w:rFonts w:hint="eastAsia"/>
        </w:rPr>
        <w:t>日，法院和缓刑署推出了电子监控系统，作为对获得临时释放而不是缴纳保释金的囚犯的拘留的替代办法。</w:t>
      </w:r>
      <w:r>
        <w:rPr>
          <w:rFonts w:hint="eastAsia"/>
        </w:rPr>
        <w:t>2017</w:t>
      </w:r>
      <w:r>
        <w:rPr>
          <w:rFonts w:hint="eastAsia"/>
        </w:rPr>
        <w:t>年</w:t>
      </w:r>
      <w:r>
        <w:rPr>
          <w:rFonts w:hint="eastAsia"/>
        </w:rPr>
        <w:t>9</w:t>
      </w:r>
      <w:r>
        <w:rPr>
          <w:rFonts w:hint="eastAsia"/>
        </w:rPr>
        <w:t>月启动的电子监控中心使无力支付保释金的被告得以获释。这将减少囚犯人数，更重要的是，减少社会不平等和审前拘留中穷人比例过高的现象。为了确保刑事案件中被告的自由仅仅受到必要的影响，并尽可能地减少影响，法院现在的做法是，必须在拘留开始之日起</w:t>
      </w:r>
      <w:r>
        <w:rPr>
          <w:rFonts w:hint="eastAsia"/>
        </w:rPr>
        <w:t>6</w:t>
      </w:r>
      <w:r>
        <w:rPr>
          <w:rFonts w:hint="eastAsia"/>
        </w:rPr>
        <w:t>个月内完成被告被拘留的刑事案件。</w:t>
      </w:r>
    </w:p>
    <w:p w14:paraId="661FC23F" w14:textId="71D78557" w:rsidR="00522F93" w:rsidRDefault="00522F93" w:rsidP="00C45D05">
      <w:pPr>
        <w:pStyle w:val="SingleTxtGC"/>
        <w:tabs>
          <w:tab w:val="clear" w:pos="1565"/>
          <w:tab w:val="left" w:pos="1701"/>
        </w:tabs>
      </w:pPr>
      <w:r>
        <w:rPr>
          <w:rFonts w:hint="eastAsia"/>
        </w:rPr>
        <w:t>131.</w:t>
      </w:r>
      <w:r>
        <w:rPr>
          <w:rFonts w:hint="eastAsia"/>
        </w:rPr>
        <w:tab/>
        <w:t>2019</w:t>
      </w:r>
      <w:r>
        <w:rPr>
          <w:rFonts w:hint="eastAsia"/>
        </w:rPr>
        <w:t>年</w:t>
      </w:r>
      <w:r>
        <w:rPr>
          <w:rFonts w:hint="eastAsia"/>
        </w:rPr>
        <w:t>1</w:t>
      </w:r>
      <w:r>
        <w:rPr>
          <w:rFonts w:hint="eastAsia"/>
        </w:rPr>
        <w:t>月</w:t>
      </w:r>
      <w:r>
        <w:rPr>
          <w:rFonts w:hint="eastAsia"/>
        </w:rPr>
        <w:t>22</w:t>
      </w:r>
      <w:r>
        <w:rPr>
          <w:rFonts w:hint="eastAsia"/>
        </w:rPr>
        <w:t>日，卫生部、惩教署和国家卫生安全办公室缔结了一份谅解备忘录，以改善囚犯的保健服务体系。这符合</w:t>
      </w:r>
      <w:r>
        <w:rPr>
          <w:rFonts w:hint="eastAsia"/>
        </w:rPr>
        <w:t>2015</w:t>
      </w:r>
      <w:r>
        <w:rPr>
          <w:rFonts w:hint="eastAsia"/>
        </w:rPr>
        <w:t>年</w:t>
      </w:r>
      <w:r>
        <w:rPr>
          <w:rFonts w:hint="eastAsia"/>
        </w:rPr>
        <w:t>11</w:t>
      </w:r>
      <w:r>
        <w:rPr>
          <w:rFonts w:hint="eastAsia"/>
        </w:rPr>
        <w:t>月</w:t>
      </w:r>
      <w:r>
        <w:rPr>
          <w:rFonts w:hint="eastAsia"/>
        </w:rPr>
        <w:t>17</w:t>
      </w:r>
      <w:r>
        <w:rPr>
          <w:rFonts w:hint="eastAsia"/>
        </w:rPr>
        <w:t>日的内阁决议，该决议要求有关当局从当地医院指派保健人员在监狱提供服务，为需要在监狱外治疗的囚犯设立一个特别病房，并改善囚犯的总体保健服务系统。</w:t>
      </w:r>
    </w:p>
    <w:p w14:paraId="6B6BDA01" w14:textId="77777777" w:rsidR="00522F93" w:rsidRDefault="00522F93" w:rsidP="00230C0F">
      <w:pPr>
        <w:pStyle w:val="H4GC"/>
      </w:pPr>
      <w:r>
        <w:rPr>
          <w:rFonts w:hint="eastAsia"/>
        </w:rPr>
        <w:tab/>
      </w:r>
      <w:r>
        <w:rPr>
          <w:rFonts w:hint="eastAsia"/>
        </w:rPr>
        <w:tab/>
      </w:r>
      <w:r>
        <w:rPr>
          <w:rFonts w:hint="eastAsia"/>
        </w:rPr>
        <w:t>无国籍人</w:t>
      </w:r>
    </w:p>
    <w:p w14:paraId="23974084" w14:textId="662C638C" w:rsidR="00522F93" w:rsidRDefault="00522F93" w:rsidP="00C45D05">
      <w:pPr>
        <w:pStyle w:val="SingleTxtGC"/>
        <w:tabs>
          <w:tab w:val="clear" w:pos="1565"/>
          <w:tab w:val="left" w:pos="1701"/>
        </w:tabs>
      </w:pPr>
      <w:r>
        <w:rPr>
          <w:rFonts w:hint="eastAsia"/>
        </w:rPr>
        <w:t>132.</w:t>
      </w:r>
      <w:r>
        <w:rPr>
          <w:rFonts w:hint="eastAsia"/>
        </w:rPr>
        <w:tab/>
      </w:r>
      <w:r>
        <w:rPr>
          <w:rFonts w:hint="eastAsia"/>
        </w:rPr>
        <w:t>《民事登记法》</w:t>
      </w:r>
      <w:r>
        <w:rPr>
          <w:rFonts w:hint="eastAsia"/>
        </w:rPr>
        <w:t>(</w:t>
      </w:r>
      <w:r>
        <w:rPr>
          <w:rFonts w:hint="eastAsia"/>
        </w:rPr>
        <w:t>第</w:t>
      </w:r>
      <w:r>
        <w:rPr>
          <w:rFonts w:hint="eastAsia"/>
        </w:rPr>
        <w:t>2</w:t>
      </w:r>
      <w:r>
        <w:rPr>
          <w:rFonts w:hint="eastAsia"/>
        </w:rPr>
        <w:t>号</w:t>
      </w:r>
      <w:r>
        <w:rPr>
          <w:rFonts w:hint="eastAsia"/>
        </w:rPr>
        <w:t>)B.E. 2551(2008)</w:t>
      </w:r>
      <w:r>
        <w:rPr>
          <w:rFonts w:hint="eastAsia"/>
        </w:rPr>
        <w:t>规定对所有在泰国出生的无国籍人进行登记。《国籍法》修正案，通过《国籍法》</w:t>
      </w:r>
      <w:r>
        <w:rPr>
          <w:rFonts w:hint="eastAsia"/>
        </w:rPr>
        <w:t>(</w:t>
      </w:r>
      <w:r>
        <w:rPr>
          <w:rFonts w:hint="eastAsia"/>
        </w:rPr>
        <w:t>第</w:t>
      </w:r>
      <w:r>
        <w:rPr>
          <w:rFonts w:hint="eastAsia"/>
        </w:rPr>
        <w:t>4</w:t>
      </w:r>
      <w:r>
        <w:rPr>
          <w:rFonts w:hint="eastAsia"/>
        </w:rPr>
        <w:t>号</w:t>
      </w:r>
      <w:r>
        <w:rPr>
          <w:rFonts w:hint="eastAsia"/>
        </w:rPr>
        <w:t>)B.E. 2551 (2008)</w:t>
      </w:r>
      <w:r>
        <w:rPr>
          <w:rFonts w:hint="eastAsia"/>
        </w:rPr>
        <w:t>，使在泰国出生的无国籍人能够按照内阁指定的条件申请泰国国籍。此外，为了防止父母为外国人或无国籍人的子女成为没有合法身份的人或非法移民，内阁于</w:t>
      </w:r>
      <w:r>
        <w:rPr>
          <w:rFonts w:hint="eastAsia"/>
        </w:rPr>
        <w:t>2016</w:t>
      </w:r>
      <w:r>
        <w:rPr>
          <w:rFonts w:hint="eastAsia"/>
        </w:rPr>
        <w:t>年</w:t>
      </w:r>
      <w:r>
        <w:rPr>
          <w:rFonts w:hint="eastAsia"/>
        </w:rPr>
        <w:t>12</w:t>
      </w:r>
      <w:r>
        <w:rPr>
          <w:rFonts w:hint="eastAsia"/>
        </w:rPr>
        <w:t>月</w:t>
      </w:r>
      <w:r>
        <w:rPr>
          <w:rFonts w:hint="eastAsia"/>
        </w:rPr>
        <w:t>7</w:t>
      </w:r>
      <w:r>
        <w:rPr>
          <w:rFonts w:hint="eastAsia"/>
        </w:rPr>
        <w:t>日批准了两项决议，以</w:t>
      </w:r>
      <w:r>
        <w:rPr>
          <w:rFonts w:hint="eastAsia"/>
        </w:rPr>
        <w:t>(1)</w:t>
      </w:r>
      <w:r w:rsidR="002257C9">
        <w:t xml:space="preserve"> </w:t>
      </w:r>
      <w:r>
        <w:rPr>
          <w:rFonts w:hint="eastAsia"/>
        </w:rPr>
        <w:t>赋予在泰国出生的外国儿童在泰国合法居留的权利，防止他们被定为非法移民；</w:t>
      </w:r>
      <w:r>
        <w:rPr>
          <w:rFonts w:hint="eastAsia"/>
        </w:rPr>
        <w:t>(2)</w:t>
      </w:r>
      <w:r w:rsidR="002257C9">
        <w:t xml:space="preserve"> </w:t>
      </w:r>
      <w:r>
        <w:rPr>
          <w:rFonts w:hint="eastAsia"/>
        </w:rPr>
        <w:t>为在泰国出生的外国儿童申请泰国国籍提供法律途径。</w:t>
      </w:r>
    </w:p>
    <w:p w14:paraId="7C92CE02" w14:textId="7425EDF7" w:rsidR="00522F93" w:rsidRDefault="00522F93" w:rsidP="00C45D05">
      <w:pPr>
        <w:pStyle w:val="SingleTxtGC"/>
        <w:tabs>
          <w:tab w:val="clear" w:pos="1565"/>
          <w:tab w:val="left" w:pos="1701"/>
        </w:tabs>
      </w:pPr>
      <w:r>
        <w:rPr>
          <w:rFonts w:hint="eastAsia"/>
        </w:rPr>
        <w:t>133.</w:t>
      </w:r>
      <w:r>
        <w:rPr>
          <w:rFonts w:hint="eastAsia"/>
        </w:rPr>
        <w:tab/>
        <w:t>30</w:t>
      </w:r>
      <w:r>
        <w:rPr>
          <w:rFonts w:hint="eastAsia"/>
        </w:rPr>
        <w:t>多年来，泰国一直通过采取循序渐进的办法来解决该国的无国籍问题。第一步是对所有在泰国出生的无国籍人进行登记，目的是在他们居住在泰国并正在申请泰国国籍的过程中府赋予他们合法身份和权利。作为下一步，《国籍法》修正案</w:t>
      </w:r>
      <w:r>
        <w:rPr>
          <w:rFonts w:hint="eastAsia"/>
        </w:rPr>
        <w:t>B.E. 2551(2008)</w:t>
      </w:r>
      <w:r>
        <w:rPr>
          <w:rFonts w:hint="eastAsia"/>
        </w:rPr>
        <w:t>为特定的非泰国公民群体，如逃到泰国并长期居住在该国的移民、无法返回原籍国的人、无国籍人和背井离乡的人，提供了入籍的途径。政府还向上述群体发放身份证，使他们能够工作和获得保健和教育等公共服务，使他们能够在泰国社会中过上正常生活，并参与国家的发展。</w:t>
      </w:r>
    </w:p>
    <w:p w14:paraId="26F61C90" w14:textId="77777777" w:rsidR="00522F93" w:rsidRDefault="00522F93" w:rsidP="00230C0F">
      <w:pPr>
        <w:pStyle w:val="H4GC"/>
      </w:pPr>
      <w:r>
        <w:rPr>
          <w:rFonts w:hint="eastAsia"/>
        </w:rPr>
        <w:tab/>
      </w:r>
      <w:r>
        <w:rPr>
          <w:rFonts w:hint="eastAsia"/>
        </w:rPr>
        <w:tab/>
      </w:r>
      <w:r>
        <w:rPr>
          <w:rFonts w:hint="eastAsia"/>
        </w:rPr>
        <w:t>人权维护者</w:t>
      </w:r>
    </w:p>
    <w:p w14:paraId="4AB28146" w14:textId="082C4DE2" w:rsidR="00522F93" w:rsidRDefault="00522F93" w:rsidP="00C45D05">
      <w:pPr>
        <w:pStyle w:val="SingleTxtGC"/>
        <w:tabs>
          <w:tab w:val="clear" w:pos="1565"/>
          <w:tab w:val="left" w:pos="1701"/>
        </w:tabs>
      </w:pPr>
      <w:r>
        <w:rPr>
          <w:rFonts w:hint="eastAsia"/>
        </w:rPr>
        <w:t>134.</w:t>
      </w:r>
      <w:r>
        <w:rPr>
          <w:rFonts w:hint="eastAsia"/>
        </w:rPr>
        <w:tab/>
      </w:r>
      <w:r>
        <w:rPr>
          <w:rFonts w:hint="eastAsia"/>
        </w:rPr>
        <w:t>泰国承认人权维护者的作用，并尊重他们根据《联合国人权维护者宣言》享有的权利。《第四个国家人权计划》</w:t>
      </w:r>
      <w:r>
        <w:rPr>
          <w:rFonts w:hint="eastAsia"/>
        </w:rPr>
        <w:t>(2019-2023</w:t>
      </w:r>
      <w:r>
        <w:rPr>
          <w:rFonts w:hint="eastAsia"/>
        </w:rPr>
        <w:t>年</w:t>
      </w:r>
      <w:r>
        <w:rPr>
          <w:rFonts w:hint="eastAsia"/>
        </w:rPr>
        <w:t>)</w:t>
      </w:r>
      <w:r>
        <w:rPr>
          <w:rFonts w:hint="eastAsia"/>
        </w:rPr>
        <w:t>将人权维护者列为目标群体，并制定了保护和促进其权利的具体措施。</w:t>
      </w:r>
    </w:p>
    <w:p w14:paraId="3D1646C7" w14:textId="32D7A61C" w:rsidR="00522F93" w:rsidRDefault="00522F93" w:rsidP="00C45D05">
      <w:pPr>
        <w:pStyle w:val="SingleTxtGC"/>
        <w:tabs>
          <w:tab w:val="clear" w:pos="1565"/>
          <w:tab w:val="left" w:pos="1701"/>
        </w:tabs>
      </w:pPr>
      <w:r>
        <w:rPr>
          <w:rFonts w:hint="eastAsia"/>
        </w:rPr>
        <w:t>135.</w:t>
      </w:r>
      <w:r>
        <w:rPr>
          <w:rFonts w:hint="eastAsia"/>
        </w:rPr>
        <w:tab/>
      </w:r>
      <w:r>
        <w:rPr>
          <w:rFonts w:hint="eastAsia"/>
        </w:rPr>
        <w:t>司法部实施了一系列有关人权维护者的措施，包括与联合国人权事务高级专员办事处东南亚区域办事处联合编写人权维护者手册。</w:t>
      </w:r>
    </w:p>
    <w:p w14:paraId="1AA60CCC" w14:textId="00FAB245" w:rsidR="00522F93" w:rsidRDefault="00522F93" w:rsidP="00C45D05">
      <w:pPr>
        <w:pStyle w:val="SingleTxtGC"/>
        <w:tabs>
          <w:tab w:val="clear" w:pos="1565"/>
          <w:tab w:val="left" w:pos="1701"/>
        </w:tabs>
      </w:pPr>
      <w:r>
        <w:rPr>
          <w:rFonts w:hint="eastAsia"/>
        </w:rPr>
        <w:t>136.</w:t>
      </w:r>
      <w:r>
        <w:rPr>
          <w:rFonts w:hint="eastAsia"/>
        </w:rPr>
        <w:tab/>
      </w:r>
      <w:r>
        <w:rPr>
          <w:rFonts w:hint="eastAsia"/>
        </w:rPr>
        <w:t>为了建立一个保护表达自由权的总体工具，防止援引</w:t>
      </w:r>
      <w:r w:rsidR="002257C9">
        <w:rPr>
          <w:rFonts w:hint="eastAsia"/>
        </w:rPr>
        <w:t>“</w:t>
      </w:r>
      <w:r>
        <w:rPr>
          <w:rFonts w:hint="eastAsia"/>
        </w:rPr>
        <w:t>反对公众参与的战略诉讼</w:t>
      </w:r>
      <w:r w:rsidR="002257C9">
        <w:rPr>
          <w:rFonts w:hint="eastAsia"/>
          <w:lang w:val="fr-CH"/>
        </w:rPr>
        <w:t>”</w:t>
      </w:r>
      <w:r>
        <w:rPr>
          <w:rFonts w:hint="eastAsia"/>
        </w:rPr>
        <w:t>，法院在《刑事诉讼法》中增加了两个新条款。第</w:t>
      </w:r>
      <w:r>
        <w:rPr>
          <w:rFonts w:hint="eastAsia"/>
        </w:rPr>
        <w:t>161/1</w:t>
      </w:r>
      <w:r>
        <w:rPr>
          <w:rFonts w:hint="eastAsia"/>
        </w:rPr>
        <w:t>条规定，如果</w:t>
      </w:r>
      <w:r>
        <w:rPr>
          <w:rFonts w:hint="eastAsia"/>
        </w:rPr>
        <w:lastRenderedPageBreak/>
        <w:t>法院认为法律诉讼的原因是出于骚扰或利用他人的恶意，法院有权在诉讼的立案阶段驳回任何刑事案件。第</w:t>
      </w:r>
      <w:r>
        <w:rPr>
          <w:rFonts w:hint="eastAsia"/>
        </w:rPr>
        <w:t>165/2</w:t>
      </w:r>
      <w:r>
        <w:rPr>
          <w:rFonts w:hint="eastAsia"/>
        </w:rPr>
        <w:t>条允许法院发挥更积极的作用，有权传唤被告提出的证人和证据作为法院的证人。</w:t>
      </w:r>
    </w:p>
    <w:p w14:paraId="6F45B30A" w14:textId="250D236F" w:rsidR="00522F93" w:rsidRDefault="00522F93" w:rsidP="00230C0F">
      <w:pPr>
        <w:pStyle w:val="H23GC"/>
      </w:pPr>
      <w:r>
        <w:rPr>
          <w:rFonts w:hint="eastAsia"/>
        </w:rPr>
        <w:tab/>
      </w:r>
      <w:r>
        <w:rPr>
          <w:rFonts w:hint="eastAsia"/>
        </w:rPr>
        <w:tab/>
      </w:r>
      <w:r>
        <w:rPr>
          <w:rFonts w:hint="eastAsia"/>
        </w:rPr>
        <w:t>法院</w:t>
      </w:r>
      <w:r>
        <w:rPr>
          <w:rFonts w:hint="eastAsia"/>
        </w:rPr>
        <w:t>/</w:t>
      </w:r>
      <w:r>
        <w:rPr>
          <w:rFonts w:hint="eastAsia"/>
        </w:rPr>
        <w:t>行政当局直接援引</w:t>
      </w:r>
      <w:r>
        <w:rPr>
          <w:rFonts w:hint="eastAsia"/>
        </w:rPr>
        <w:t>/</w:t>
      </w:r>
      <w:r>
        <w:rPr>
          <w:rFonts w:hint="eastAsia"/>
        </w:rPr>
        <w:t>执行的人权文书</w:t>
      </w:r>
    </w:p>
    <w:p w14:paraId="5FF28B08" w14:textId="6118AD18" w:rsidR="00522F93" w:rsidRDefault="00522F93" w:rsidP="00C45D05">
      <w:pPr>
        <w:pStyle w:val="SingleTxtGC"/>
        <w:tabs>
          <w:tab w:val="clear" w:pos="1565"/>
          <w:tab w:val="left" w:pos="1701"/>
        </w:tabs>
      </w:pPr>
      <w:r>
        <w:rPr>
          <w:rFonts w:hint="eastAsia"/>
        </w:rPr>
        <w:t>137.</w:t>
      </w:r>
      <w:r>
        <w:rPr>
          <w:rFonts w:hint="eastAsia"/>
        </w:rPr>
        <w:tab/>
      </w:r>
      <w:r>
        <w:rPr>
          <w:rFonts w:hint="eastAsia"/>
        </w:rPr>
        <w:t>作为一个二元制国家，泰国通过制定适当的立法和行政措施来履行其国际人权义务，因为国际文书不直接适用于泰国国内法。</w:t>
      </w:r>
    </w:p>
    <w:p w14:paraId="76CC8A3E" w14:textId="03C9DCB8" w:rsidR="00522F93" w:rsidRDefault="00522F93" w:rsidP="00C45D05">
      <w:pPr>
        <w:pStyle w:val="SingleTxtGC"/>
        <w:tabs>
          <w:tab w:val="clear" w:pos="1565"/>
          <w:tab w:val="left" w:pos="1701"/>
        </w:tabs>
      </w:pPr>
      <w:r>
        <w:rPr>
          <w:rFonts w:hint="eastAsia"/>
        </w:rPr>
        <w:t>138.</w:t>
      </w:r>
      <w:r>
        <w:rPr>
          <w:rFonts w:hint="eastAsia"/>
        </w:rPr>
        <w:tab/>
      </w:r>
      <w:r>
        <w:rPr>
          <w:rFonts w:hint="eastAsia"/>
        </w:rPr>
        <w:t>泰国已加入的核心国际人权条约所载的权利受到《宪法》或法规的保护。关于哪一项立法保障哪些权利的具体情况，已在相关的具体条约定期报告中强调。</w:t>
      </w:r>
    </w:p>
    <w:p w14:paraId="1FE072A6" w14:textId="172E8D53" w:rsidR="00522F93" w:rsidRDefault="00522F93" w:rsidP="00C45D05">
      <w:pPr>
        <w:pStyle w:val="SingleTxtGC"/>
        <w:tabs>
          <w:tab w:val="clear" w:pos="1565"/>
          <w:tab w:val="left" w:pos="1701"/>
        </w:tabs>
      </w:pPr>
      <w:r>
        <w:rPr>
          <w:rFonts w:hint="eastAsia"/>
        </w:rPr>
        <w:t>139.</w:t>
      </w:r>
      <w:r>
        <w:rPr>
          <w:rFonts w:hint="eastAsia"/>
        </w:rPr>
        <w:tab/>
      </w:r>
      <w:r>
        <w:rPr>
          <w:rFonts w:hint="eastAsia"/>
        </w:rPr>
        <w:t>在一些案件中，法院和行政当局直接援引或执行人权文书。在决定总理办公室是否需要向某一官员所实施酷刑的受害者支付赔偿时，最高行政法院在第</w:t>
      </w:r>
      <w:r>
        <w:rPr>
          <w:rFonts w:hint="eastAsia"/>
        </w:rPr>
        <w:t>1350/2559</w:t>
      </w:r>
      <w:r>
        <w:rPr>
          <w:rFonts w:hint="eastAsia"/>
        </w:rPr>
        <w:t>号裁决中指出，“由于泰国自</w:t>
      </w:r>
      <w:r>
        <w:rPr>
          <w:rFonts w:hint="eastAsia"/>
        </w:rPr>
        <w:t>2007</w:t>
      </w:r>
      <w:r>
        <w:rPr>
          <w:rFonts w:hint="eastAsia"/>
        </w:rPr>
        <w:t>年</w:t>
      </w:r>
      <w:r>
        <w:rPr>
          <w:rFonts w:hint="eastAsia"/>
        </w:rPr>
        <w:t>10</w:t>
      </w:r>
      <w:r>
        <w:rPr>
          <w:rFonts w:hint="eastAsia"/>
        </w:rPr>
        <w:t>月</w:t>
      </w:r>
      <w:r>
        <w:rPr>
          <w:rFonts w:hint="eastAsia"/>
        </w:rPr>
        <w:t>2</w:t>
      </w:r>
      <w:r>
        <w:rPr>
          <w:rFonts w:hint="eastAsia"/>
        </w:rPr>
        <w:t>日加入《禁止酷刑和其他残忍、不人道或有辱人格的待遇或处罚公约》，泰国有义务遵守该公约</w:t>
      </w:r>
      <w:r>
        <w:rPr>
          <w:rFonts w:hint="eastAsia"/>
        </w:rPr>
        <w:t>[</w:t>
      </w:r>
      <w:r>
        <w:rPr>
          <w:rFonts w:hint="eastAsia"/>
        </w:rPr>
        <w:t>……</w:t>
      </w:r>
      <w:r>
        <w:rPr>
          <w:rFonts w:hint="eastAsia"/>
        </w:rPr>
        <w:t>]</w:t>
      </w:r>
      <w:r>
        <w:rPr>
          <w:rFonts w:hint="eastAsia"/>
        </w:rPr>
        <w:t>”</w:t>
      </w:r>
    </w:p>
    <w:p w14:paraId="009B032E" w14:textId="6A6EB285" w:rsidR="00522F93" w:rsidRDefault="00522F93" w:rsidP="00C45D05">
      <w:pPr>
        <w:pStyle w:val="SingleTxtGC"/>
        <w:tabs>
          <w:tab w:val="clear" w:pos="1565"/>
          <w:tab w:val="left" w:pos="1701"/>
        </w:tabs>
      </w:pPr>
      <w:r>
        <w:rPr>
          <w:rFonts w:hint="eastAsia"/>
        </w:rPr>
        <w:t>140.</w:t>
      </w:r>
      <w:r>
        <w:rPr>
          <w:rFonts w:hint="eastAsia"/>
        </w:rPr>
        <w:tab/>
      </w:r>
      <w:r>
        <w:rPr>
          <w:rFonts w:hint="eastAsia"/>
        </w:rPr>
        <w:t>另一个例子见于</w:t>
      </w:r>
      <w:r>
        <w:rPr>
          <w:rFonts w:hint="eastAsia"/>
        </w:rPr>
        <w:t>2019</w:t>
      </w:r>
      <w:r>
        <w:rPr>
          <w:rFonts w:hint="eastAsia"/>
        </w:rPr>
        <w:t>年的一个案件，上诉法院</w:t>
      </w:r>
      <w:r>
        <w:rPr>
          <w:rFonts w:hint="eastAsia"/>
        </w:rPr>
        <w:t>(18776/2561)</w:t>
      </w:r>
      <w:r>
        <w:rPr>
          <w:rFonts w:hint="eastAsia"/>
        </w:rPr>
        <w:t>裁定，即使死者和原告</w:t>
      </w:r>
      <w:r>
        <w:rPr>
          <w:rFonts w:hint="eastAsia"/>
        </w:rPr>
        <w:t>(</w:t>
      </w:r>
      <w:r>
        <w:rPr>
          <w:rFonts w:hint="eastAsia"/>
        </w:rPr>
        <w:t>要求被法院指定为死者的遗产执行人</w:t>
      </w:r>
      <w:r>
        <w:rPr>
          <w:rFonts w:hint="eastAsia"/>
        </w:rPr>
        <w:t>)</w:t>
      </w:r>
      <w:r>
        <w:rPr>
          <w:rFonts w:hint="eastAsia"/>
        </w:rPr>
        <w:t>在联合王国登记的民事伴侣关系尚未得到泰国法律的承认，该协议本身并不违反维护泰国公共秩序或良好道德的原则。其部分原因是泰国根据《世界人权宣言》尊重法律面前平等和禁止性别歧视的原则。</w:t>
      </w:r>
    </w:p>
    <w:p w14:paraId="55D5AA04" w14:textId="7132A350" w:rsidR="00522F93" w:rsidRDefault="00230C0F" w:rsidP="00230C0F">
      <w:pPr>
        <w:pStyle w:val="H1GC"/>
      </w:pPr>
      <w:r>
        <w:tab/>
      </w:r>
      <w:r w:rsidR="00522F93">
        <w:rPr>
          <w:rFonts w:hint="eastAsia"/>
        </w:rPr>
        <w:t>C.</w:t>
      </w:r>
      <w:r w:rsidR="00522F93">
        <w:rPr>
          <w:rFonts w:hint="eastAsia"/>
        </w:rPr>
        <w:tab/>
      </w:r>
      <w:r w:rsidR="00522F93">
        <w:rPr>
          <w:rFonts w:hint="eastAsia"/>
        </w:rPr>
        <w:t>国家一级促进人权的框架</w:t>
      </w:r>
    </w:p>
    <w:p w14:paraId="00E83F0A" w14:textId="77777777" w:rsidR="00522F93" w:rsidRDefault="00522F93" w:rsidP="00230C0F">
      <w:pPr>
        <w:pStyle w:val="H23GC"/>
      </w:pPr>
      <w:r>
        <w:rPr>
          <w:rFonts w:hint="eastAsia"/>
        </w:rPr>
        <w:tab/>
      </w:r>
      <w:r>
        <w:rPr>
          <w:rFonts w:hint="eastAsia"/>
        </w:rPr>
        <w:tab/>
      </w:r>
      <w:r>
        <w:rPr>
          <w:rFonts w:hint="eastAsia"/>
        </w:rPr>
        <w:t>国家议会和区议会</w:t>
      </w:r>
    </w:p>
    <w:p w14:paraId="68C70A91" w14:textId="52DA4F4B" w:rsidR="00522F93" w:rsidRDefault="00522F93" w:rsidP="00C45D05">
      <w:pPr>
        <w:pStyle w:val="SingleTxtGC"/>
        <w:tabs>
          <w:tab w:val="clear" w:pos="1565"/>
          <w:tab w:val="left" w:pos="1701"/>
        </w:tabs>
      </w:pPr>
      <w:r>
        <w:rPr>
          <w:rFonts w:hint="eastAsia"/>
        </w:rPr>
        <w:t>141.</w:t>
      </w:r>
      <w:r>
        <w:rPr>
          <w:rFonts w:hint="eastAsia"/>
        </w:rPr>
        <w:tab/>
      </w:r>
      <w:r>
        <w:rPr>
          <w:rFonts w:hint="eastAsia"/>
        </w:rPr>
        <w:t>议会是泰国立法进程的关键机构</w:t>
      </w:r>
      <w:r>
        <w:rPr>
          <w:rFonts w:hint="eastAsia"/>
        </w:rPr>
        <w:t>(</w:t>
      </w:r>
      <w:r>
        <w:rPr>
          <w:rFonts w:hint="eastAsia"/>
        </w:rPr>
        <w:t>见第</w:t>
      </w:r>
      <w:r>
        <w:rPr>
          <w:rFonts w:hint="eastAsia"/>
        </w:rPr>
        <w:t>37</w:t>
      </w:r>
      <w:r>
        <w:rPr>
          <w:rFonts w:hint="eastAsia"/>
        </w:rPr>
        <w:t>至</w:t>
      </w:r>
      <w:r>
        <w:rPr>
          <w:rFonts w:hint="eastAsia"/>
        </w:rPr>
        <w:t>40</w:t>
      </w:r>
      <w:r>
        <w:rPr>
          <w:rFonts w:hint="eastAsia"/>
        </w:rPr>
        <w:t>段</w:t>
      </w:r>
      <w:r>
        <w:rPr>
          <w:rFonts w:hint="eastAsia"/>
        </w:rPr>
        <w:t>)</w:t>
      </w:r>
      <w:r>
        <w:rPr>
          <w:rFonts w:hint="eastAsia"/>
        </w:rPr>
        <w:t>。在这一进程中，人们有权提出泰国促进和保护人权的法案。内阁、下议院议员和合格选民有权向议会提交法案供其审议。</w:t>
      </w:r>
    </w:p>
    <w:p w14:paraId="36ED55C3" w14:textId="4B79F495" w:rsidR="00522F93" w:rsidRDefault="00522F93" w:rsidP="00C45D05">
      <w:pPr>
        <w:pStyle w:val="SingleTxtGC"/>
        <w:tabs>
          <w:tab w:val="clear" w:pos="1565"/>
          <w:tab w:val="left" w:pos="1701"/>
        </w:tabs>
      </w:pPr>
      <w:r>
        <w:rPr>
          <w:rFonts w:hint="eastAsia"/>
        </w:rPr>
        <w:t>142.</w:t>
      </w:r>
      <w:r>
        <w:rPr>
          <w:rFonts w:hint="eastAsia"/>
        </w:rPr>
        <w:tab/>
      </w:r>
      <w:r>
        <w:rPr>
          <w:rFonts w:hint="eastAsia"/>
        </w:rPr>
        <w:t>如第</w:t>
      </w:r>
      <w:r>
        <w:rPr>
          <w:rFonts w:hint="eastAsia"/>
        </w:rPr>
        <w:t>84</w:t>
      </w:r>
      <w:r>
        <w:rPr>
          <w:rFonts w:hint="eastAsia"/>
        </w:rPr>
        <w:t>段所述，</w:t>
      </w:r>
      <w:r>
        <w:rPr>
          <w:rFonts w:hint="eastAsia"/>
        </w:rPr>
        <w:t>2017</w:t>
      </w:r>
      <w:r>
        <w:rPr>
          <w:rFonts w:hint="eastAsia"/>
        </w:rPr>
        <w:t>年《宪法》第</w:t>
      </w:r>
      <w:r>
        <w:rPr>
          <w:rFonts w:hint="eastAsia"/>
        </w:rPr>
        <w:t>77</w:t>
      </w:r>
      <w:r>
        <w:rPr>
          <w:rFonts w:hint="eastAsia"/>
        </w:rPr>
        <w:t>条创建了在立法过程中与利益攸关方进行公共协商的新机制。这种协商必须在每项法律颁布之前以及法律生效之后进行，以评估法律在不断变化的社会环境中是否合适。</w:t>
      </w:r>
    </w:p>
    <w:p w14:paraId="49FFED29" w14:textId="77777777" w:rsidR="00522F93" w:rsidRDefault="00522F93" w:rsidP="00230C0F">
      <w:pPr>
        <w:pStyle w:val="H23GC"/>
      </w:pPr>
      <w:r>
        <w:rPr>
          <w:rFonts w:hint="eastAsia"/>
        </w:rPr>
        <w:tab/>
      </w:r>
      <w:r>
        <w:rPr>
          <w:rFonts w:hint="eastAsia"/>
        </w:rPr>
        <w:tab/>
      </w:r>
      <w:r>
        <w:rPr>
          <w:rFonts w:hint="eastAsia"/>
        </w:rPr>
        <w:t>国家人权机构。</w:t>
      </w:r>
    </w:p>
    <w:p w14:paraId="7A3A1722" w14:textId="1A1E0684" w:rsidR="00522F93" w:rsidRDefault="00522F93" w:rsidP="00C45D05">
      <w:pPr>
        <w:pStyle w:val="SingleTxtGC"/>
        <w:tabs>
          <w:tab w:val="clear" w:pos="1565"/>
          <w:tab w:val="left" w:pos="1701"/>
        </w:tabs>
      </w:pPr>
      <w:r>
        <w:rPr>
          <w:rFonts w:hint="eastAsia"/>
        </w:rPr>
        <w:t>143.</w:t>
      </w:r>
      <w:r>
        <w:rPr>
          <w:rFonts w:hint="eastAsia"/>
        </w:rPr>
        <w:tab/>
      </w:r>
      <w:r>
        <w:rPr>
          <w:rFonts w:hint="eastAsia"/>
        </w:rPr>
        <w:t>国家人权委员会增进和保护人权的职责和权力符合</w:t>
      </w:r>
      <w:r>
        <w:rPr>
          <w:rFonts w:hint="eastAsia"/>
        </w:rPr>
        <w:t>2017</w:t>
      </w:r>
      <w:r>
        <w:rPr>
          <w:rFonts w:hint="eastAsia"/>
        </w:rPr>
        <w:t>年《宪法》第</w:t>
      </w:r>
      <w:r>
        <w:rPr>
          <w:rFonts w:hint="eastAsia"/>
        </w:rPr>
        <w:t>247</w:t>
      </w:r>
      <w:r>
        <w:rPr>
          <w:rFonts w:hint="eastAsia"/>
        </w:rPr>
        <w:t>条第</w:t>
      </w:r>
      <w:r>
        <w:rPr>
          <w:rFonts w:hint="eastAsia"/>
        </w:rPr>
        <w:t>1</w:t>
      </w:r>
      <w:r>
        <w:rPr>
          <w:rFonts w:hint="eastAsia"/>
        </w:rPr>
        <w:t>款和《组织法》第</w:t>
      </w:r>
      <w:r>
        <w:rPr>
          <w:rFonts w:hint="eastAsia"/>
        </w:rPr>
        <w:t>26-27</w:t>
      </w:r>
      <w:r>
        <w:rPr>
          <w:rFonts w:hint="eastAsia"/>
        </w:rPr>
        <w:t>条和第</w:t>
      </w:r>
      <w:r>
        <w:rPr>
          <w:rFonts w:hint="eastAsia"/>
        </w:rPr>
        <w:t>34-46</w:t>
      </w:r>
      <w:r>
        <w:rPr>
          <w:rFonts w:hint="eastAsia"/>
        </w:rPr>
        <w:t>条</w:t>
      </w:r>
      <w:r>
        <w:rPr>
          <w:rFonts w:hint="eastAsia"/>
        </w:rPr>
        <w:t>(</w:t>
      </w:r>
      <w:r>
        <w:rPr>
          <w:rFonts w:hint="eastAsia"/>
        </w:rPr>
        <w:t>另见第</w:t>
      </w:r>
      <w:r>
        <w:rPr>
          <w:rFonts w:hint="eastAsia"/>
        </w:rPr>
        <w:t>55</w:t>
      </w:r>
      <w:r>
        <w:rPr>
          <w:rFonts w:hint="eastAsia"/>
        </w:rPr>
        <w:t>段</w:t>
      </w:r>
      <w:r>
        <w:rPr>
          <w:rFonts w:hint="eastAsia"/>
        </w:rPr>
        <w:t>)</w:t>
      </w:r>
      <w:r>
        <w:rPr>
          <w:rFonts w:hint="eastAsia"/>
        </w:rPr>
        <w:t>。</w:t>
      </w:r>
    </w:p>
    <w:p w14:paraId="21965A01" w14:textId="2EB595AA" w:rsidR="00522F93" w:rsidRDefault="00522F93" w:rsidP="00C45D05">
      <w:pPr>
        <w:pStyle w:val="SingleTxtGC"/>
        <w:tabs>
          <w:tab w:val="clear" w:pos="1565"/>
          <w:tab w:val="left" w:pos="1701"/>
        </w:tabs>
      </w:pPr>
      <w:r>
        <w:rPr>
          <w:rFonts w:hint="eastAsia"/>
        </w:rPr>
        <w:t>144.</w:t>
      </w:r>
      <w:r>
        <w:rPr>
          <w:rFonts w:hint="eastAsia"/>
        </w:rPr>
        <w:tab/>
      </w:r>
      <w:r>
        <w:rPr>
          <w:rFonts w:hint="eastAsia"/>
        </w:rPr>
        <w:t>该委员会的促进职能是通过提高对人权规范和问题的认识、通过教学和研究方案以及通过处理公众舆论来实现的。</w:t>
      </w:r>
    </w:p>
    <w:p w14:paraId="2007AC83" w14:textId="77777777" w:rsidR="00522F93" w:rsidRDefault="00522F93" w:rsidP="00230C0F">
      <w:pPr>
        <w:pStyle w:val="H23GC"/>
      </w:pPr>
      <w:r>
        <w:rPr>
          <w:rFonts w:hint="eastAsia"/>
        </w:rPr>
        <w:tab/>
      </w:r>
      <w:r>
        <w:rPr>
          <w:rFonts w:hint="eastAsia"/>
        </w:rPr>
        <w:tab/>
      </w:r>
      <w:r>
        <w:rPr>
          <w:rFonts w:hint="eastAsia"/>
        </w:rPr>
        <w:t>传播人权文书</w:t>
      </w:r>
    </w:p>
    <w:p w14:paraId="6171D064" w14:textId="02D6F8DA" w:rsidR="00522F93" w:rsidRDefault="00522F93" w:rsidP="00C45D05">
      <w:pPr>
        <w:pStyle w:val="SingleTxtGC"/>
        <w:tabs>
          <w:tab w:val="clear" w:pos="1565"/>
          <w:tab w:val="left" w:pos="1701"/>
        </w:tabs>
      </w:pPr>
      <w:r>
        <w:rPr>
          <w:rFonts w:hint="eastAsia"/>
        </w:rPr>
        <w:t>145.</w:t>
      </w:r>
      <w:r>
        <w:rPr>
          <w:rFonts w:hint="eastAsia"/>
        </w:rPr>
        <w:tab/>
      </w:r>
      <w:r>
        <w:rPr>
          <w:rFonts w:hint="eastAsia"/>
        </w:rPr>
        <w:t>泰国加入的所有国际人权文书都已翻译、出版并向公众传播。</w:t>
      </w:r>
    </w:p>
    <w:p w14:paraId="66546C02" w14:textId="77777777" w:rsidR="00522F93" w:rsidRDefault="00522F93" w:rsidP="00230C0F">
      <w:pPr>
        <w:pStyle w:val="H23GC"/>
      </w:pPr>
      <w:r>
        <w:rPr>
          <w:rFonts w:hint="eastAsia"/>
        </w:rPr>
        <w:lastRenderedPageBreak/>
        <w:tab/>
      </w:r>
      <w:r>
        <w:rPr>
          <w:rFonts w:hint="eastAsia"/>
        </w:rPr>
        <w:tab/>
      </w:r>
      <w:r>
        <w:rPr>
          <w:rFonts w:hint="eastAsia"/>
        </w:rPr>
        <w:t>提高公职人员和其他专业人员的人权意识</w:t>
      </w:r>
    </w:p>
    <w:p w14:paraId="4FC08734" w14:textId="1A646C43" w:rsidR="00522F93" w:rsidRDefault="00522F93" w:rsidP="00C45D05">
      <w:pPr>
        <w:pStyle w:val="SingleTxtGC"/>
        <w:tabs>
          <w:tab w:val="clear" w:pos="1565"/>
          <w:tab w:val="left" w:pos="1701"/>
        </w:tabs>
      </w:pPr>
      <w:r>
        <w:rPr>
          <w:rFonts w:hint="eastAsia"/>
        </w:rPr>
        <w:t>146.</w:t>
      </w:r>
      <w:r>
        <w:rPr>
          <w:rFonts w:hint="eastAsia"/>
        </w:rPr>
        <w:tab/>
      </w:r>
      <w:r>
        <w:rPr>
          <w:rFonts w:hint="eastAsia"/>
        </w:rPr>
        <w:t>各种机构和组织努力提高公职人员的人权意识，包括泰国的执法人员、检察官、法官、管教人员和儿童保护人员以及其他专业人员。组织了各种会议、讲习班、培训、研讨会、讲座并发表出版物，以传播信息和促进国际人权标准和规范，并促进泰国各机构、私营部门、包括学术界和媒体在内的民间社会组织、相关国际组织和公众之间分享经验。国际社会</w:t>
      </w:r>
      <w:r>
        <w:rPr>
          <w:rFonts w:hint="eastAsia"/>
        </w:rPr>
        <w:t>(</w:t>
      </w:r>
      <w:r>
        <w:rPr>
          <w:rFonts w:hint="eastAsia"/>
        </w:rPr>
        <w:t>如妇女署、儿基会、开发署和红十字委员会</w:t>
      </w:r>
      <w:r>
        <w:rPr>
          <w:rFonts w:hint="eastAsia"/>
        </w:rPr>
        <w:t>)</w:t>
      </w:r>
      <w:r>
        <w:rPr>
          <w:rFonts w:hint="eastAsia"/>
        </w:rPr>
        <w:t>也协助根据国际标准制定方案。</w:t>
      </w:r>
    </w:p>
    <w:p w14:paraId="280FC71C" w14:textId="6D9FD8F8" w:rsidR="00522F93" w:rsidRDefault="00522F93" w:rsidP="00C45D05">
      <w:pPr>
        <w:pStyle w:val="SingleTxtGC"/>
        <w:tabs>
          <w:tab w:val="clear" w:pos="1565"/>
          <w:tab w:val="left" w:pos="1701"/>
        </w:tabs>
      </w:pPr>
      <w:r>
        <w:rPr>
          <w:rFonts w:hint="eastAsia"/>
        </w:rPr>
        <w:t>147.</w:t>
      </w:r>
      <w:r>
        <w:rPr>
          <w:rFonts w:hint="eastAsia"/>
        </w:rPr>
        <w:tab/>
      </w:r>
      <w:r>
        <w:rPr>
          <w:rFonts w:hint="eastAsia"/>
        </w:rPr>
        <w:t>例如制定了以下提高认识方案：</w:t>
      </w:r>
    </w:p>
    <w:p w14:paraId="00564243" w14:textId="4DBCAB12" w:rsidR="00522F93" w:rsidRDefault="00522F93" w:rsidP="00230C0F">
      <w:pPr>
        <w:pStyle w:val="Bullet1GC"/>
      </w:pPr>
      <w:r>
        <w:rPr>
          <w:rFonts w:hint="eastAsia"/>
        </w:rPr>
        <w:t>2015-2019</w:t>
      </w:r>
      <w:r>
        <w:rPr>
          <w:rFonts w:hint="eastAsia"/>
        </w:rPr>
        <w:t>年期间，司法部权利和自由保护司为有关政府官员组织了与执法有关的人权原则培训，以促进他们对人权的了解，包括泰国根据国际人权条约承担的义务。以尽量减少在履行公务时侵犯人权的风险，并提高执行和适用法律和条例的效力；</w:t>
      </w:r>
    </w:p>
    <w:p w14:paraId="0838A397" w14:textId="66D942B5" w:rsidR="00522F93" w:rsidRDefault="00522F93" w:rsidP="00230C0F">
      <w:pPr>
        <w:pStyle w:val="Bullet1GC"/>
      </w:pPr>
      <w:r>
        <w:rPr>
          <w:rFonts w:hint="eastAsia"/>
        </w:rPr>
        <w:t>自</w:t>
      </w:r>
      <w:r>
        <w:rPr>
          <w:rFonts w:hint="eastAsia"/>
        </w:rPr>
        <w:t>2018</w:t>
      </w:r>
      <w:r>
        <w:rPr>
          <w:rFonts w:hint="eastAsia"/>
        </w:rPr>
        <w:t>年以来，外交部与人权高专办合作，为负责根据该国核心国际人权文书编写国家报告的政府官员组织了一次关于人权条约机构报告的年度能力建设讲习班。讲习班的目标包括加强人员能力，特别是通过提高认识和理解以及发展起草和提交国家报告所需的技能；</w:t>
      </w:r>
    </w:p>
    <w:p w14:paraId="7FE88183" w14:textId="085EEBA0" w:rsidR="00522F93" w:rsidRDefault="00522F93" w:rsidP="00230C0F">
      <w:pPr>
        <w:pStyle w:val="Bullet1GC"/>
      </w:pPr>
      <w:r>
        <w:rPr>
          <w:rFonts w:hint="eastAsia"/>
        </w:rPr>
        <w:t>公务员制度委员会办公室通过一个电子学习平台为公务员和工作人员提供为期两个月的自学基本人权课程。每年约有</w:t>
      </w:r>
      <w:r>
        <w:rPr>
          <w:rFonts w:hint="eastAsia"/>
        </w:rPr>
        <w:t>600</w:t>
      </w:r>
      <w:r>
        <w:rPr>
          <w:rFonts w:hint="eastAsia"/>
        </w:rPr>
        <w:t>人参加这一培训班。</w:t>
      </w:r>
    </w:p>
    <w:p w14:paraId="15BD8CDF" w14:textId="5D27D176" w:rsidR="00522F93" w:rsidRDefault="00522F93" w:rsidP="00C45D05">
      <w:pPr>
        <w:pStyle w:val="SingleTxtGC"/>
        <w:tabs>
          <w:tab w:val="clear" w:pos="1565"/>
          <w:tab w:val="left" w:pos="1701"/>
        </w:tabs>
      </w:pPr>
      <w:r>
        <w:rPr>
          <w:rFonts w:hint="eastAsia"/>
        </w:rPr>
        <w:t>148.</w:t>
      </w:r>
      <w:r>
        <w:rPr>
          <w:rFonts w:hint="eastAsia"/>
        </w:rPr>
        <w:tab/>
      </w:r>
      <w:r>
        <w:rPr>
          <w:rFonts w:hint="eastAsia"/>
        </w:rPr>
        <w:t>关于法律专业人员，人权单元是参加律师考试的人的必修科目。全国大部分法学院也开设了这门课。</w:t>
      </w:r>
    </w:p>
    <w:p w14:paraId="23D20F2B" w14:textId="77777777" w:rsidR="00522F93" w:rsidRDefault="00522F93" w:rsidP="00230C0F">
      <w:pPr>
        <w:pStyle w:val="H23GC"/>
      </w:pPr>
      <w:r>
        <w:rPr>
          <w:rFonts w:hint="eastAsia"/>
        </w:rPr>
        <w:tab/>
      </w:r>
      <w:r>
        <w:rPr>
          <w:rFonts w:hint="eastAsia"/>
        </w:rPr>
        <w:tab/>
      </w:r>
      <w:r>
        <w:rPr>
          <w:rFonts w:hint="eastAsia"/>
        </w:rPr>
        <w:t>通过教育方案和政府主办的宣传运动提高人权意识。</w:t>
      </w:r>
    </w:p>
    <w:p w14:paraId="4C9CBB63" w14:textId="4CD49195" w:rsidR="00522F93" w:rsidRDefault="00522F93" w:rsidP="00C45D05">
      <w:pPr>
        <w:pStyle w:val="SingleTxtGC"/>
        <w:tabs>
          <w:tab w:val="clear" w:pos="1565"/>
          <w:tab w:val="left" w:pos="1701"/>
        </w:tabs>
      </w:pPr>
      <w:r>
        <w:rPr>
          <w:rFonts w:hint="eastAsia"/>
        </w:rPr>
        <w:t>149.</w:t>
      </w:r>
      <w:r>
        <w:rPr>
          <w:rFonts w:hint="eastAsia"/>
        </w:rPr>
        <w:tab/>
      </w:r>
      <w:r>
        <w:rPr>
          <w:rFonts w:hint="eastAsia"/>
        </w:rPr>
        <w:t>通过正规和非正规的学习、培训和研讨会，组织了关于人权的公共教育。制定了教学课程，以提高教师和教育人员、地方行政组织官员和人权志愿者的认识。</w:t>
      </w:r>
    </w:p>
    <w:p w14:paraId="33CDABD8" w14:textId="5EA142D9" w:rsidR="00522F93" w:rsidRDefault="00522F93" w:rsidP="00C45D05">
      <w:pPr>
        <w:pStyle w:val="SingleTxtGC"/>
        <w:tabs>
          <w:tab w:val="clear" w:pos="1565"/>
          <w:tab w:val="left" w:pos="1701"/>
        </w:tabs>
      </w:pPr>
      <w:r>
        <w:rPr>
          <w:rFonts w:hint="eastAsia"/>
        </w:rPr>
        <w:t>150.</w:t>
      </w:r>
      <w:r>
        <w:rPr>
          <w:rFonts w:hint="eastAsia"/>
        </w:rPr>
        <w:tab/>
      </w:r>
      <w:r>
        <w:rPr>
          <w:rFonts w:hint="eastAsia"/>
        </w:rPr>
        <w:t>教育部在促进和培养学校中的关怀、尊重、责任、和平、和谐与和平共处等社会价值观方面发挥着关键作用。它的教育政策强调传播人权知识和相关信息和教育的重要性。这些政策反映在学校的学术课程中，特别是反映在社会研究中。为防止形成有害偏见和陈规定型观念，教育学生尊重和举办多元文化，包括通过游戏、学生项目、学校营地和实地参观博物馆和遗址等学习平台。</w:t>
      </w:r>
    </w:p>
    <w:p w14:paraId="74464001" w14:textId="273920D1" w:rsidR="00522F93" w:rsidRDefault="00522F93" w:rsidP="00C45D05">
      <w:pPr>
        <w:pStyle w:val="SingleTxtGC"/>
        <w:tabs>
          <w:tab w:val="clear" w:pos="1565"/>
          <w:tab w:val="left" w:pos="1701"/>
        </w:tabs>
      </w:pPr>
      <w:r>
        <w:rPr>
          <w:rFonts w:hint="eastAsia"/>
        </w:rPr>
        <w:t>151.</w:t>
      </w:r>
      <w:r>
        <w:rPr>
          <w:rFonts w:hint="eastAsia"/>
        </w:rPr>
        <w:tab/>
      </w:r>
      <w:r>
        <w:rPr>
          <w:rFonts w:hint="eastAsia"/>
        </w:rPr>
        <w:t>此外，教育部还实施了具体的战略、计划和项目，以整体方式解决泰国少数民族儿童和人民的具体需求，例如“边境地区教育发展计划</w:t>
      </w:r>
      <w:r>
        <w:rPr>
          <w:rFonts w:hint="eastAsia"/>
        </w:rPr>
        <w:t>(2017-2021</w:t>
      </w:r>
      <w:r>
        <w:rPr>
          <w:rFonts w:hint="eastAsia"/>
        </w:rPr>
        <w:t>年</w:t>
      </w:r>
      <w:r>
        <w:rPr>
          <w:rFonts w:hint="eastAsia"/>
        </w:rPr>
        <w:t>)</w:t>
      </w:r>
      <w:r>
        <w:rPr>
          <w:rFonts w:hint="eastAsia"/>
        </w:rPr>
        <w:t>”，该计划旨在改善中小学生、大学生和居住在与缅甸、老挝人民民主共和国和柬埔寨接壤的边境地区的人的教育和生活质量。</w:t>
      </w:r>
    </w:p>
    <w:p w14:paraId="46124B97" w14:textId="434D0FF3" w:rsidR="00522F93" w:rsidRDefault="00522F93" w:rsidP="00C45D05">
      <w:pPr>
        <w:pStyle w:val="SingleTxtGC"/>
        <w:tabs>
          <w:tab w:val="clear" w:pos="1565"/>
          <w:tab w:val="left" w:pos="1701"/>
        </w:tabs>
      </w:pPr>
      <w:r>
        <w:rPr>
          <w:rFonts w:hint="eastAsia"/>
        </w:rPr>
        <w:t>152.</w:t>
      </w:r>
      <w:r>
        <w:rPr>
          <w:rFonts w:hint="eastAsia"/>
        </w:rPr>
        <w:tab/>
      </w:r>
      <w:r>
        <w:rPr>
          <w:rFonts w:hint="eastAsia"/>
        </w:rPr>
        <w:t>政府启动了</w:t>
      </w:r>
      <w:r w:rsidR="002257C9">
        <w:rPr>
          <w:rFonts w:hint="eastAsia"/>
        </w:rPr>
        <w:t>“</w:t>
      </w:r>
      <w:r>
        <w:rPr>
          <w:rFonts w:hint="eastAsia"/>
        </w:rPr>
        <w:t>公私合营学校项目</w:t>
      </w:r>
      <w:r w:rsidR="002257C9">
        <w:rPr>
          <w:rFonts w:hint="eastAsia"/>
          <w:lang w:val="fr-CH"/>
        </w:rPr>
        <w:t>”</w:t>
      </w:r>
      <w:r>
        <w:rPr>
          <w:rFonts w:hint="eastAsia"/>
        </w:rPr>
        <w:t>，采用全面和综合的方法为儿童，特别是低收入、处境不利或弱势儿童以及孤儿服务。</w:t>
      </w:r>
    </w:p>
    <w:p w14:paraId="46EAC8FB" w14:textId="78A5D3E7" w:rsidR="00522F93" w:rsidRDefault="00522F93" w:rsidP="00C45D05">
      <w:pPr>
        <w:pStyle w:val="SingleTxtGC"/>
        <w:tabs>
          <w:tab w:val="clear" w:pos="1565"/>
          <w:tab w:val="left" w:pos="1701"/>
        </w:tabs>
      </w:pPr>
      <w:r>
        <w:rPr>
          <w:rFonts w:hint="eastAsia"/>
        </w:rPr>
        <w:t>153.</w:t>
      </w:r>
      <w:r>
        <w:rPr>
          <w:rFonts w:hint="eastAsia"/>
        </w:rPr>
        <w:tab/>
      </w:r>
      <w:r>
        <w:rPr>
          <w:rFonts w:hint="eastAsia"/>
        </w:rPr>
        <w:t>司法部不断组织讲习班，在青年中促进人权原则。这些讲习班侧重于平等、不歧视、文化多样性和多元文化的原则，包括通过促进讨论、互动对话、艺术、音乐和游戏等学习战略。此外，司法部与政府和非政府机构合作发起了“司</w:t>
      </w:r>
      <w:r>
        <w:rPr>
          <w:rFonts w:hint="eastAsia"/>
        </w:rPr>
        <w:lastRenderedPageBreak/>
        <w:t>法支持学校项目”，这是一个为青年人制定的课外方案，旨在促进他们参与起草影响其学校日常生活的规则，包括解决欺凌和药物滥用问题的规则。学生们学会尊重他人的权利，遵守自己制定的规则。目前，全国已有</w:t>
      </w:r>
      <w:r>
        <w:rPr>
          <w:rFonts w:hint="eastAsia"/>
        </w:rPr>
        <w:t>850</w:t>
      </w:r>
      <w:r>
        <w:rPr>
          <w:rFonts w:hint="eastAsia"/>
        </w:rPr>
        <w:t>多所试点中小学参加了这一项目。</w:t>
      </w:r>
    </w:p>
    <w:p w14:paraId="382D18F4" w14:textId="6CB97910" w:rsidR="00522F93" w:rsidRDefault="00522F93" w:rsidP="00C45D05">
      <w:pPr>
        <w:pStyle w:val="SingleTxtGC"/>
        <w:tabs>
          <w:tab w:val="clear" w:pos="1565"/>
          <w:tab w:val="left" w:pos="1701"/>
        </w:tabs>
      </w:pPr>
      <w:r>
        <w:rPr>
          <w:rFonts w:hint="eastAsia"/>
        </w:rPr>
        <w:t>154.</w:t>
      </w:r>
      <w:r>
        <w:rPr>
          <w:rFonts w:hint="eastAsia"/>
        </w:rPr>
        <w:tab/>
      </w:r>
      <w:r>
        <w:rPr>
          <w:rFonts w:hint="eastAsia"/>
        </w:rPr>
        <w:t>政府机构还向公众提供了进一步的人权方案，以提高泰国社会对人权问题的认识。这些方案包括但不限于：</w:t>
      </w:r>
      <w:r>
        <w:rPr>
          <w:rFonts w:hint="eastAsia"/>
        </w:rPr>
        <w:t>(</w:t>
      </w:r>
      <w:r>
        <w:rPr>
          <w:rFonts w:hint="eastAsia"/>
        </w:rPr>
        <w:t>一</w:t>
      </w:r>
      <w:r>
        <w:rPr>
          <w:rFonts w:hint="eastAsia"/>
        </w:rPr>
        <w:t>)</w:t>
      </w:r>
      <w:r w:rsidR="003B76AB">
        <w:t xml:space="preserve"> </w:t>
      </w:r>
      <w:r>
        <w:rPr>
          <w:rFonts w:hint="eastAsia"/>
        </w:rPr>
        <w:t>普拉贾德西博克国王研究所和国家人权委员会的人权执行方案；</w:t>
      </w:r>
      <w:r>
        <w:rPr>
          <w:rFonts w:hint="eastAsia"/>
        </w:rPr>
        <w:t>(</w:t>
      </w:r>
      <w:r>
        <w:rPr>
          <w:rFonts w:hint="eastAsia"/>
        </w:rPr>
        <w:t>二</w:t>
      </w:r>
      <w:r>
        <w:rPr>
          <w:rFonts w:hint="eastAsia"/>
        </w:rPr>
        <w:t>)</w:t>
      </w:r>
      <w:r w:rsidR="003B76AB">
        <w:t xml:space="preserve"> </w:t>
      </w:r>
      <w:r>
        <w:rPr>
          <w:rFonts w:hint="eastAsia"/>
        </w:rPr>
        <w:t>若干大学颁发的人权证书；</w:t>
      </w:r>
      <w:r>
        <w:rPr>
          <w:rFonts w:hint="eastAsia"/>
        </w:rPr>
        <w:t>(</w:t>
      </w:r>
      <w:r>
        <w:rPr>
          <w:rFonts w:hint="eastAsia"/>
        </w:rPr>
        <w:t>三</w:t>
      </w:r>
      <w:r>
        <w:rPr>
          <w:rFonts w:hint="eastAsia"/>
        </w:rPr>
        <w:t>)</w:t>
      </w:r>
      <w:r w:rsidR="003B76AB">
        <w:t xml:space="preserve"> </w:t>
      </w:r>
      <w:r>
        <w:rPr>
          <w:rFonts w:hint="eastAsia"/>
        </w:rPr>
        <w:t>由权利和自由司进行人权培训。</w:t>
      </w:r>
    </w:p>
    <w:p w14:paraId="35232554" w14:textId="32C7582B" w:rsidR="00522F93" w:rsidRDefault="00522F93" w:rsidP="00C45D05">
      <w:pPr>
        <w:pStyle w:val="SingleTxtGC"/>
        <w:tabs>
          <w:tab w:val="clear" w:pos="1565"/>
          <w:tab w:val="left" w:pos="1701"/>
        </w:tabs>
      </w:pPr>
      <w:r>
        <w:rPr>
          <w:rFonts w:hint="eastAsia"/>
        </w:rPr>
        <w:t>155.</w:t>
      </w:r>
      <w:r>
        <w:rPr>
          <w:rFonts w:hint="eastAsia"/>
        </w:rPr>
        <w:tab/>
      </w:r>
      <w:r>
        <w:rPr>
          <w:rFonts w:hint="eastAsia"/>
        </w:rPr>
        <w:t>国家人权委员会为大学一级的教员和教育人员举办了一系列关于人权教育和相关问题的“培训员培训”方案。自</w:t>
      </w:r>
      <w:r>
        <w:rPr>
          <w:rFonts w:hint="eastAsia"/>
        </w:rPr>
        <w:t>2016</w:t>
      </w:r>
      <w:r>
        <w:rPr>
          <w:rFonts w:hint="eastAsia"/>
        </w:rPr>
        <w:t>年以来与全国</w:t>
      </w:r>
      <w:r>
        <w:rPr>
          <w:rFonts w:hint="eastAsia"/>
        </w:rPr>
        <w:t>50</w:t>
      </w:r>
      <w:r>
        <w:rPr>
          <w:rFonts w:hint="eastAsia"/>
        </w:rPr>
        <w:t>多所高等教育机构缔结了谅解备忘录。通过这些方案，国家人权委员会力求通过参加这些方案的教员和教育人员，在儿童和青年中传播知识和提高对人权的认识，使他们推动在社会中促进和保护人权。</w:t>
      </w:r>
    </w:p>
    <w:p w14:paraId="205BD571" w14:textId="7F5787B4" w:rsidR="00522F93" w:rsidRDefault="00522F93" w:rsidP="00C45D05">
      <w:pPr>
        <w:pStyle w:val="SingleTxtGC"/>
        <w:tabs>
          <w:tab w:val="clear" w:pos="1565"/>
          <w:tab w:val="left" w:pos="1701"/>
        </w:tabs>
      </w:pPr>
      <w:r>
        <w:rPr>
          <w:rFonts w:hint="eastAsia"/>
        </w:rPr>
        <w:t>156.</w:t>
      </w:r>
      <w:r>
        <w:rPr>
          <w:rFonts w:hint="eastAsia"/>
        </w:rPr>
        <w:tab/>
      </w:r>
      <w:r>
        <w:rPr>
          <w:rFonts w:hint="eastAsia"/>
        </w:rPr>
        <w:t>曼谷和其他府的高等教育机构，包括大学，越来越多地为各级学生和公众提供人权课程。例如，玛希多大学提供学士、硕士和博士学位的人权课程。朱拉隆功大学开办了为期三周的人权、社会正义和法治培训班。法政大学有一个为期七周的人权和民权法培训方案。其他大学，如素可泰·坦马提拉特大学、乌邦·拉特查塔尼大学、玛哈·萨拉卡姆大学、清迈大学、湄发銮大学、佩雅普大学以及几所拉贾巴特大学也提供人权相关课程或设有人权系。</w:t>
      </w:r>
    </w:p>
    <w:p w14:paraId="7E18264A" w14:textId="71F2B5A8" w:rsidR="00522F93" w:rsidRDefault="00522F93" w:rsidP="00522F93">
      <w:pPr>
        <w:pStyle w:val="SingleTxtGC"/>
      </w:pPr>
      <w:r>
        <w:rPr>
          <w:rFonts w:hint="eastAsia"/>
        </w:rPr>
        <w:t>157.</w:t>
      </w:r>
      <w:r>
        <w:rPr>
          <w:rFonts w:hint="eastAsia"/>
        </w:rPr>
        <w:tab/>
      </w:r>
      <w:r>
        <w:rPr>
          <w:rFonts w:hint="eastAsia"/>
        </w:rPr>
        <w:t>外交部于</w:t>
      </w:r>
      <w:r>
        <w:rPr>
          <w:rFonts w:hint="eastAsia"/>
        </w:rPr>
        <w:t>2017</w:t>
      </w:r>
      <w:r>
        <w:rPr>
          <w:rFonts w:hint="eastAsia"/>
        </w:rPr>
        <w:t>年发起了该部的“人权教育系列”。两本童书《小鸡和小鸭。我们是不同的，我们是朋友》和《康梅克的梦想》已作为该系列的一部分推出，旨在提高儿童和青年对人权原则的认识，促进尊重和接受差异、不歧视、人类尊严、平等机会、包容那些弱势群体以及在多元社会中和平共处。</w:t>
      </w:r>
    </w:p>
    <w:p w14:paraId="7F81E7B4" w14:textId="77777777" w:rsidR="00522F93" w:rsidRDefault="00522F93" w:rsidP="00230C0F">
      <w:pPr>
        <w:pStyle w:val="H23GC"/>
      </w:pPr>
      <w:r>
        <w:rPr>
          <w:rFonts w:hint="eastAsia"/>
        </w:rPr>
        <w:tab/>
      </w:r>
      <w:r>
        <w:rPr>
          <w:rFonts w:hint="eastAsia"/>
        </w:rPr>
        <w:tab/>
      </w:r>
      <w:r>
        <w:rPr>
          <w:rFonts w:hint="eastAsia"/>
        </w:rPr>
        <w:t>通过大众传媒提高人权意识。</w:t>
      </w:r>
    </w:p>
    <w:p w14:paraId="35A2EA4A" w14:textId="630B0B7E" w:rsidR="00522F93" w:rsidRDefault="00522F93" w:rsidP="00C45D05">
      <w:pPr>
        <w:pStyle w:val="SingleTxtGC"/>
        <w:tabs>
          <w:tab w:val="clear" w:pos="1565"/>
          <w:tab w:val="left" w:pos="1701"/>
        </w:tabs>
      </w:pPr>
      <w:r>
        <w:rPr>
          <w:rFonts w:hint="eastAsia"/>
        </w:rPr>
        <w:t>158.</w:t>
      </w:r>
      <w:r>
        <w:rPr>
          <w:rFonts w:hint="eastAsia"/>
        </w:rPr>
        <w:tab/>
      </w:r>
      <w:r>
        <w:rPr>
          <w:rFonts w:hint="eastAsia"/>
        </w:rPr>
        <w:t>通过媒体传播人权信息包括各种形式，即：</w:t>
      </w:r>
      <w:r>
        <w:rPr>
          <w:rFonts w:hint="eastAsia"/>
        </w:rPr>
        <w:t>(</w:t>
      </w:r>
      <w:r>
        <w:rPr>
          <w:rFonts w:hint="eastAsia"/>
        </w:rPr>
        <w:t>一</w:t>
      </w:r>
      <w:r>
        <w:rPr>
          <w:rFonts w:hint="eastAsia"/>
        </w:rPr>
        <w:t>)</w:t>
      </w:r>
      <w:r w:rsidR="002257C9">
        <w:t xml:space="preserve"> </w:t>
      </w:r>
      <w:r>
        <w:rPr>
          <w:rFonts w:hint="eastAsia"/>
        </w:rPr>
        <w:t>出版物，如书籍、小册子和期刊；</w:t>
      </w:r>
      <w:r>
        <w:rPr>
          <w:rFonts w:hint="eastAsia"/>
        </w:rPr>
        <w:t>(</w:t>
      </w:r>
      <w:r>
        <w:rPr>
          <w:rFonts w:hint="eastAsia"/>
        </w:rPr>
        <w:t>二</w:t>
      </w:r>
      <w:r>
        <w:rPr>
          <w:rFonts w:hint="eastAsia"/>
        </w:rPr>
        <w:t>)</w:t>
      </w:r>
      <w:r w:rsidR="002257C9">
        <w:t xml:space="preserve"> </w:t>
      </w:r>
      <w:r>
        <w:rPr>
          <w:rFonts w:hint="eastAsia"/>
        </w:rPr>
        <w:t>人权研究，如关于司法系统中的囚犯和儿童、儿童权利、暴力和儿童等；</w:t>
      </w:r>
      <w:r>
        <w:rPr>
          <w:rFonts w:hint="eastAsia"/>
        </w:rPr>
        <w:t>(</w:t>
      </w:r>
      <w:r>
        <w:rPr>
          <w:rFonts w:hint="eastAsia"/>
        </w:rPr>
        <w:t>三</w:t>
      </w:r>
      <w:r>
        <w:rPr>
          <w:rFonts w:hint="eastAsia"/>
        </w:rPr>
        <w:t>)</w:t>
      </w:r>
      <w:r w:rsidR="002257C9">
        <w:t xml:space="preserve"> </w:t>
      </w:r>
      <w:r>
        <w:rPr>
          <w:rFonts w:hint="eastAsia"/>
        </w:rPr>
        <w:t>监测和评价高等教育以下教育机构的人权课程；</w:t>
      </w:r>
      <w:r>
        <w:rPr>
          <w:rFonts w:hint="eastAsia"/>
        </w:rPr>
        <w:t>(</w:t>
      </w:r>
      <w:r>
        <w:rPr>
          <w:rFonts w:hint="eastAsia"/>
        </w:rPr>
        <w:t>四</w:t>
      </w:r>
      <w:r>
        <w:rPr>
          <w:rFonts w:hint="eastAsia"/>
        </w:rPr>
        <w:t>)</w:t>
      </w:r>
      <w:r w:rsidR="002257C9">
        <w:t xml:space="preserve"> </w:t>
      </w:r>
      <w:r>
        <w:rPr>
          <w:rFonts w:hint="eastAsia"/>
        </w:rPr>
        <w:t>研究和开发教学和培训课程；</w:t>
      </w:r>
      <w:r>
        <w:rPr>
          <w:rFonts w:hint="eastAsia"/>
        </w:rPr>
        <w:t>(</w:t>
      </w:r>
      <w:r>
        <w:rPr>
          <w:rFonts w:hint="eastAsia"/>
        </w:rPr>
        <w:t>五</w:t>
      </w:r>
      <w:r>
        <w:rPr>
          <w:rFonts w:hint="eastAsia"/>
        </w:rPr>
        <w:t>)</w:t>
      </w:r>
      <w:r w:rsidR="002257C9">
        <w:t xml:space="preserve"> </w:t>
      </w:r>
      <w:r>
        <w:rPr>
          <w:rFonts w:hint="eastAsia"/>
        </w:rPr>
        <w:t>通过视听媒体开展公共教育运动，如广播、电视信息图像媒体和视频演示；以及</w:t>
      </w:r>
      <w:r>
        <w:rPr>
          <w:rFonts w:hint="eastAsia"/>
        </w:rPr>
        <w:t>(</w:t>
      </w:r>
      <w:r>
        <w:rPr>
          <w:rFonts w:hint="eastAsia"/>
        </w:rPr>
        <w:t>六</w:t>
      </w:r>
      <w:r>
        <w:rPr>
          <w:rFonts w:hint="eastAsia"/>
        </w:rPr>
        <w:t>)</w:t>
      </w:r>
      <w:r w:rsidR="002257C9">
        <w:t xml:space="preserve"> </w:t>
      </w:r>
      <w:r>
        <w:rPr>
          <w:rFonts w:hint="eastAsia"/>
        </w:rPr>
        <w:t>电子媒体，例如互联网、电子学习、社交媒体和电子邮件。</w:t>
      </w:r>
    </w:p>
    <w:p w14:paraId="4602E323" w14:textId="21A581BE" w:rsidR="00522F93" w:rsidRDefault="00522F93" w:rsidP="00C45D05">
      <w:pPr>
        <w:pStyle w:val="SingleTxtGC"/>
        <w:tabs>
          <w:tab w:val="clear" w:pos="1565"/>
          <w:tab w:val="left" w:pos="1701"/>
        </w:tabs>
      </w:pPr>
      <w:r>
        <w:rPr>
          <w:rFonts w:hint="eastAsia"/>
        </w:rPr>
        <w:t>159.</w:t>
      </w:r>
      <w:r>
        <w:rPr>
          <w:rFonts w:hint="eastAsia"/>
        </w:rPr>
        <w:tab/>
      </w:r>
      <w:r>
        <w:rPr>
          <w:rFonts w:hint="eastAsia"/>
        </w:rPr>
        <w:t>在《世界人权宣言》</w:t>
      </w:r>
      <w:r>
        <w:rPr>
          <w:rFonts w:hint="eastAsia"/>
        </w:rPr>
        <w:t>70</w:t>
      </w:r>
      <w:r>
        <w:rPr>
          <w:rFonts w:hint="eastAsia"/>
        </w:rPr>
        <w:t>周年之际，有关政府机构、国际组织、外国驻泰国大使馆和民间社会组织于</w:t>
      </w:r>
      <w:r>
        <w:rPr>
          <w:rFonts w:hint="eastAsia"/>
        </w:rPr>
        <w:t>2018</w:t>
      </w:r>
      <w:r>
        <w:rPr>
          <w:rFonts w:hint="eastAsia"/>
        </w:rPr>
        <w:t>年</w:t>
      </w:r>
      <w:r>
        <w:rPr>
          <w:rFonts w:hint="eastAsia"/>
        </w:rPr>
        <w:t>12</w:t>
      </w:r>
      <w:r>
        <w:rPr>
          <w:rFonts w:hint="eastAsia"/>
        </w:rPr>
        <w:t>月共同举办了“泰国人权月”。作为活动的一部分，外交部、司法部、人权事务高级专员办事处</w:t>
      </w:r>
      <w:r>
        <w:rPr>
          <w:rFonts w:hint="eastAsia"/>
        </w:rPr>
        <w:t>(</w:t>
      </w:r>
      <w:r>
        <w:rPr>
          <w:rFonts w:hint="eastAsia"/>
        </w:rPr>
        <w:t>人权高专办</w:t>
      </w:r>
      <w:r>
        <w:rPr>
          <w:rFonts w:hint="eastAsia"/>
        </w:rPr>
        <w:t>)</w:t>
      </w:r>
      <w:r>
        <w:rPr>
          <w:rFonts w:hint="eastAsia"/>
        </w:rPr>
        <w:t>、东南亚区域办事处和联合国难民事务高级专员办事处</w:t>
      </w:r>
      <w:r>
        <w:rPr>
          <w:rFonts w:hint="eastAsia"/>
        </w:rPr>
        <w:t>(</w:t>
      </w:r>
      <w:r>
        <w:rPr>
          <w:rFonts w:hint="eastAsia"/>
        </w:rPr>
        <w:t>难民署</w:t>
      </w:r>
      <w:r>
        <w:rPr>
          <w:rFonts w:hint="eastAsia"/>
        </w:rPr>
        <w:t>)</w:t>
      </w:r>
      <w:r>
        <w:rPr>
          <w:rFonts w:hint="eastAsia"/>
        </w:rPr>
        <w:t>在泰国曼谷的曼谷艺术和文化中心共同组织了一次题为“《世界人权宣言》</w:t>
      </w:r>
      <w:r>
        <w:rPr>
          <w:rFonts w:hint="eastAsia"/>
        </w:rPr>
        <w:t>70</w:t>
      </w:r>
      <w:r>
        <w:rPr>
          <w:rFonts w:hint="eastAsia"/>
        </w:rPr>
        <w:t>周年和泰国人权国家议程</w:t>
      </w:r>
      <w:r>
        <w:rPr>
          <w:rFonts w:hint="eastAsia"/>
        </w:rPr>
        <w:t>1</w:t>
      </w:r>
      <w:r>
        <w:rPr>
          <w:rFonts w:hint="eastAsia"/>
        </w:rPr>
        <w:t>周年：建立一个关爱和共享的社会”的活动。来自政府机构、外交使团、国际组织、私营部门、民间社会组织以及包括青年在内的公众的</w:t>
      </w:r>
      <w:r>
        <w:rPr>
          <w:rFonts w:hint="eastAsia"/>
        </w:rPr>
        <w:t>200</w:t>
      </w:r>
      <w:r>
        <w:rPr>
          <w:rFonts w:hint="eastAsia"/>
        </w:rPr>
        <w:t>多名代表参加了这次活动。通过各种媒体渠道宣传了这次活动，旨在加强泰国社会对人权的认识和了解，支持正在进行的加强国家和国际两级人权工作的努力，并重申政府对在泰国内外促进和保护人权的承诺。</w:t>
      </w:r>
    </w:p>
    <w:p w14:paraId="77D08FC7" w14:textId="77777777" w:rsidR="00522F93" w:rsidRDefault="00522F93" w:rsidP="00230C0F">
      <w:pPr>
        <w:pStyle w:val="H23GC"/>
      </w:pPr>
      <w:r>
        <w:rPr>
          <w:rFonts w:hint="eastAsia"/>
        </w:rPr>
        <w:lastRenderedPageBreak/>
        <w:tab/>
      </w:r>
      <w:r>
        <w:rPr>
          <w:rFonts w:hint="eastAsia"/>
        </w:rPr>
        <w:tab/>
      </w:r>
      <w:r>
        <w:rPr>
          <w:rFonts w:hint="eastAsia"/>
        </w:rPr>
        <w:t>民间社会的作用</w:t>
      </w:r>
    </w:p>
    <w:p w14:paraId="1728ABDF" w14:textId="61F81AE5" w:rsidR="00522F93" w:rsidRDefault="00522F93" w:rsidP="00C45D05">
      <w:pPr>
        <w:pStyle w:val="SingleTxtGC"/>
        <w:tabs>
          <w:tab w:val="clear" w:pos="1565"/>
          <w:tab w:val="left" w:pos="1701"/>
        </w:tabs>
      </w:pPr>
      <w:r>
        <w:rPr>
          <w:rFonts w:hint="eastAsia"/>
        </w:rPr>
        <w:t>160.</w:t>
      </w:r>
      <w:r>
        <w:rPr>
          <w:rFonts w:hint="eastAsia"/>
        </w:rPr>
        <w:tab/>
      </w:r>
      <w:r>
        <w:rPr>
          <w:rFonts w:hint="eastAsia"/>
        </w:rPr>
        <w:t>民间社会在泰国增进和保护人权方面发挥了积极作用。总的来说，如第</w:t>
      </w:r>
      <w:r>
        <w:rPr>
          <w:rFonts w:hint="eastAsia"/>
        </w:rPr>
        <w:t>97-98</w:t>
      </w:r>
      <w:r>
        <w:rPr>
          <w:rFonts w:hint="eastAsia"/>
        </w:rPr>
        <w:t>段所述，它们在动员人类发展和社会干预与改革、监测人权状况、承担“制衡”职能、参与编写国家报告以及起草若干法律和《国家人权计划》等相关文件方面的作用得到了承认。</w:t>
      </w:r>
    </w:p>
    <w:p w14:paraId="0E56571E" w14:textId="1D86CC6E" w:rsidR="00522F93" w:rsidRDefault="00522F93" w:rsidP="00C45D05">
      <w:pPr>
        <w:pStyle w:val="SingleTxtGC"/>
        <w:tabs>
          <w:tab w:val="clear" w:pos="1565"/>
          <w:tab w:val="left" w:pos="1701"/>
        </w:tabs>
      </w:pPr>
      <w:r>
        <w:rPr>
          <w:rFonts w:hint="eastAsia"/>
        </w:rPr>
        <w:t>161.</w:t>
      </w:r>
      <w:r>
        <w:rPr>
          <w:rFonts w:hint="eastAsia"/>
        </w:rPr>
        <w:tab/>
      </w:r>
      <w:r>
        <w:rPr>
          <w:rFonts w:hint="eastAsia"/>
        </w:rPr>
        <w:t>政府制定了协调一致的全政府和全社会办法，并重视加强与民间社会的伙伴关系。有关机构单独或联合组织了与民间社会组织的定期对话和协商。例如，自</w:t>
      </w:r>
      <w:r>
        <w:rPr>
          <w:rFonts w:hint="eastAsia"/>
        </w:rPr>
        <w:t>2017</w:t>
      </w:r>
      <w:r>
        <w:rPr>
          <w:rFonts w:hint="eastAsia"/>
        </w:rPr>
        <w:t>年以来，外交部与人权领域的民间社会组织定期举行磋商和会议。</w:t>
      </w:r>
    </w:p>
    <w:p w14:paraId="2158C9DB" w14:textId="3AC5B0B3" w:rsidR="00522F93" w:rsidRDefault="00522F93" w:rsidP="00C45D05">
      <w:pPr>
        <w:pStyle w:val="SingleTxtGC"/>
        <w:tabs>
          <w:tab w:val="clear" w:pos="1565"/>
          <w:tab w:val="left" w:pos="1701"/>
        </w:tabs>
      </w:pPr>
      <w:r>
        <w:rPr>
          <w:rFonts w:hint="eastAsia"/>
        </w:rPr>
        <w:t>162.</w:t>
      </w:r>
      <w:r>
        <w:rPr>
          <w:rFonts w:hint="eastAsia"/>
        </w:rPr>
        <w:tab/>
      </w:r>
      <w:r>
        <w:rPr>
          <w:rFonts w:hint="eastAsia"/>
        </w:rPr>
        <w:t>如泰国国家报告所述，民间社会一直参与根据泰国加入的核心国际人权条约编写国家报告的进程和普遍定期审议。事实证明，包括公共部门、私营部门、民间社会、族裔群体以及全国所有相关人员在内的所有部门的参与都是建设性和富有成效的。</w:t>
      </w:r>
    </w:p>
    <w:p w14:paraId="664493A0" w14:textId="41E27DDE" w:rsidR="00522F93" w:rsidRDefault="00522F93" w:rsidP="00C45D05">
      <w:pPr>
        <w:pStyle w:val="SingleTxtGC"/>
        <w:tabs>
          <w:tab w:val="clear" w:pos="1565"/>
          <w:tab w:val="left" w:pos="1701"/>
        </w:tabs>
      </w:pPr>
      <w:r>
        <w:rPr>
          <w:rFonts w:hint="eastAsia"/>
        </w:rPr>
        <w:t>163.</w:t>
      </w:r>
      <w:r>
        <w:rPr>
          <w:rFonts w:hint="eastAsia"/>
        </w:rPr>
        <w:tab/>
      </w:r>
      <w:r>
        <w:rPr>
          <w:rFonts w:hint="eastAsia"/>
        </w:rPr>
        <w:t>在实地，政府还在广泛领域与民间社会组织合作。例如，妇女促进和平协会致力于援助受泰国南部局势影响的妇女和儿童并增强其权能，并向决策者提出他们的需求。泰国南部边境府儿童和青年促进和平协会</w:t>
      </w:r>
      <w:r>
        <w:rPr>
          <w:rFonts w:hint="eastAsia"/>
        </w:rPr>
        <w:t>(Luuk Rieng</w:t>
      </w:r>
      <w:r>
        <w:rPr>
          <w:rFonts w:hint="eastAsia"/>
        </w:rPr>
        <w:t>集团</w:t>
      </w:r>
      <w:r>
        <w:rPr>
          <w:rFonts w:hint="eastAsia"/>
        </w:rPr>
        <w:t>)</w:t>
      </w:r>
      <w:r>
        <w:rPr>
          <w:rFonts w:hint="eastAsia"/>
        </w:rPr>
        <w:t>还与救助儿童会合作，在当地学校开展减少灾害风险项目。</w:t>
      </w:r>
    </w:p>
    <w:p w14:paraId="6FE03C63" w14:textId="06B100C0" w:rsidR="00522F93" w:rsidRDefault="00522F93" w:rsidP="00C45D05">
      <w:pPr>
        <w:pStyle w:val="SingleTxtGC"/>
        <w:tabs>
          <w:tab w:val="clear" w:pos="1565"/>
          <w:tab w:val="left" w:pos="1701"/>
        </w:tabs>
      </w:pPr>
      <w:r>
        <w:rPr>
          <w:rFonts w:hint="eastAsia"/>
        </w:rPr>
        <w:t>164.</w:t>
      </w:r>
      <w:r>
        <w:rPr>
          <w:rFonts w:hint="eastAsia"/>
        </w:rPr>
        <w:tab/>
      </w:r>
      <w:r>
        <w:rPr>
          <w:rFonts w:hint="eastAsia"/>
        </w:rPr>
        <w:t>许多政府机构，如外交部、司法部、社会发展和人类安全部以及司法办公室，与相关民间社会和国际组织合作，继续向有关官员，包括警官、军人、惩戒人员和司法人员提供人权培训方案。</w:t>
      </w:r>
    </w:p>
    <w:p w14:paraId="087984F3" w14:textId="39C4D37D" w:rsidR="00522F93" w:rsidRDefault="00522F93" w:rsidP="00C45D05">
      <w:pPr>
        <w:pStyle w:val="SingleTxtGC"/>
        <w:tabs>
          <w:tab w:val="clear" w:pos="1565"/>
          <w:tab w:val="left" w:pos="1701"/>
        </w:tabs>
      </w:pPr>
      <w:r>
        <w:rPr>
          <w:rFonts w:hint="eastAsia"/>
        </w:rPr>
        <w:t>165.</w:t>
      </w:r>
      <w:r>
        <w:rPr>
          <w:rFonts w:hint="eastAsia"/>
        </w:rPr>
        <w:tab/>
      </w:r>
      <w:r>
        <w:rPr>
          <w:rFonts w:hint="eastAsia"/>
        </w:rPr>
        <w:t>人权研究领域的一个实例是，朱拉隆功大学传播艺术学院在外交部的支持下开展了一个研究项目“媒体与促进和保护弱势群体的人权”。研究的目标群体是少数民族、残疾人、老年人和男女同性恋、双性恋和跨性别者。研究成果于</w:t>
      </w:r>
      <w:r w:rsidRPr="002257C9">
        <w:rPr>
          <w:rFonts w:hint="eastAsia"/>
          <w:spacing w:val="-4"/>
        </w:rPr>
        <w:t>2019</w:t>
      </w:r>
      <w:r w:rsidRPr="002257C9">
        <w:rPr>
          <w:rFonts w:hint="eastAsia"/>
          <w:spacing w:val="-4"/>
        </w:rPr>
        <w:t>年发表</w:t>
      </w:r>
      <w:r w:rsidRPr="002257C9">
        <w:rPr>
          <w:rFonts w:hint="eastAsia"/>
          <w:spacing w:val="-4"/>
        </w:rPr>
        <w:t>(</w:t>
      </w:r>
      <w:r w:rsidRPr="002257C9">
        <w:rPr>
          <w:rFonts w:hint="eastAsia"/>
          <w:spacing w:val="-4"/>
        </w:rPr>
        <w:t>泰文，可查阅</w:t>
      </w:r>
      <w:r w:rsidRPr="002257C9">
        <w:rPr>
          <w:rFonts w:hint="eastAsia"/>
          <w:spacing w:val="-4"/>
        </w:rPr>
        <w:t>http://humanrights.mfa.go.th/en/humanrightsinmedia.pdf)</w:t>
      </w:r>
      <w:r w:rsidRPr="002257C9">
        <w:rPr>
          <w:rFonts w:hint="eastAsia"/>
          <w:spacing w:val="-4"/>
        </w:rPr>
        <w:t>。</w:t>
      </w:r>
    </w:p>
    <w:p w14:paraId="38EE0FCE" w14:textId="77777777" w:rsidR="00522F93" w:rsidRDefault="00522F93" w:rsidP="00237D20">
      <w:pPr>
        <w:pStyle w:val="H23GC"/>
      </w:pPr>
      <w:r>
        <w:rPr>
          <w:rFonts w:hint="eastAsia"/>
        </w:rPr>
        <w:tab/>
      </w:r>
      <w:r>
        <w:rPr>
          <w:rFonts w:hint="eastAsia"/>
        </w:rPr>
        <w:tab/>
      </w:r>
      <w:r>
        <w:rPr>
          <w:rFonts w:hint="eastAsia"/>
        </w:rPr>
        <w:t>发展合作和援助</w:t>
      </w:r>
    </w:p>
    <w:p w14:paraId="1FE12E26" w14:textId="6C6F9BCF" w:rsidR="00522F93" w:rsidRDefault="00522F93" w:rsidP="00C45D05">
      <w:pPr>
        <w:pStyle w:val="SingleTxtGC"/>
        <w:tabs>
          <w:tab w:val="clear" w:pos="1565"/>
          <w:tab w:val="left" w:pos="1701"/>
        </w:tabs>
      </w:pPr>
      <w:r>
        <w:rPr>
          <w:rFonts w:hint="eastAsia"/>
        </w:rPr>
        <w:t>166.</w:t>
      </w:r>
      <w:r>
        <w:rPr>
          <w:rFonts w:hint="eastAsia"/>
        </w:rPr>
        <w:tab/>
      </w:r>
      <w:r>
        <w:rPr>
          <w:rFonts w:hint="eastAsia"/>
        </w:rPr>
        <w:t>泰国认为，技术合作和能力建设对于支持其他国家将其人权义务转化为实际成果至关重要，技术合作努力是在与请求国进行真正对话的基础上以需求为导向的。</w:t>
      </w:r>
    </w:p>
    <w:p w14:paraId="1CB43941" w14:textId="30D35CFB" w:rsidR="00522F93" w:rsidRDefault="00522F93" w:rsidP="00C45D05">
      <w:pPr>
        <w:pStyle w:val="SingleTxtGC"/>
        <w:tabs>
          <w:tab w:val="clear" w:pos="1565"/>
          <w:tab w:val="left" w:pos="1701"/>
        </w:tabs>
      </w:pPr>
      <w:r>
        <w:rPr>
          <w:rFonts w:hint="eastAsia"/>
        </w:rPr>
        <w:t>167.</w:t>
      </w:r>
      <w:r>
        <w:rPr>
          <w:rFonts w:hint="eastAsia"/>
        </w:rPr>
        <w:tab/>
      </w:r>
      <w:r>
        <w:rPr>
          <w:rFonts w:hint="eastAsia"/>
        </w:rPr>
        <w:t>外交部泰国国际合作署积极推动与有关国家和相关国际组织和非政府组织的国际合作。它采取不同形式的双边和南南、南北和南南三角合作。目前，若干国际合作项目涉及促进人权，特别是弱势群体的权利、经济和社会权利，包括健康权</w:t>
      </w:r>
      <w:r>
        <w:rPr>
          <w:rFonts w:hint="eastAsia"/>
        </w:rPr>
        <w:t>(</w:t>
      </w:r>
      <w:r>
        <w:rPr>
          <w:rFonts w:hint="eastAsia"/>
        </w:rPr>
        <w:t>孕产妇健康和儿童健康</w:t>
      </w:r>
      <w:r>
        <w:rPr>
          <w:rFonts w:hint="eastAsia"/>
        </w:rPr>
        <w:t>)</w:t>
      </w:r>
      <w:r>
        <w:rPr>
          <w:rFonts w:hint="eastAsia"/>
        </w:rPr>
        <w:t>和受教育权，将这些权利与实现可持续发展联系起来，同时不让任何人掉队。这种合作旨在加强国家能力，在人权和落实可持续发展目标之间创建协同作用。</w:t>
      </w:r>
    </w:p>
    <w:p w14:paraId="49053719" w14:textId="40B35A30" w:rsidR="00522F93" w:rsidRDefault="00522F93" w:rsidP="00C45D05">
      <w:pPr>
        <w:pStyle w:val="SingleTxtGC"/>
        <w:tabs>
          <w:tab w:val="clear" w:pos="1565"/>
          <w:tab w:val="left" w:pos="1701"/>
        </w:tabs>
      </w:pPr>
      <w:r>
        <w:rPr>
          <w:rFonts w:hint="eastAsia"/>
        </w:rPr>
        <w:t>168.</w:t>
      </w:r>
      <w:r>
        <w:rPr>
          <w:rFonts w:hint="eastAsia"/>
        </w:rPr>
        <w:tab/>
      </w:r>
      <w:r>
        <w:rPr>
          <w:rFonts w:hint="eastAsia"/>
        </w:rPr>
        <w:t>关于受教育权，泰国国际合作署实施了教师培训项目、短期学习和培训奖学金，以及创建和</w:t>
      </w:r>
      <w:r>
        <w:rPr>
          <w:rFonts w:hint="eastAsia"/>
        </w:rPr>
        <w:t>/</w:t>
      </w:r>
      <w:r>
        <w:rPr>
          <w:rFonts w:hint="eastAsia"/>
        </w:rPr>
        <w:t>或发展教育机构和学校的项目。在儿童权利方面，柬埔寨的“儿童和青年发展项目”以及菲律宾和不丹的“儿童生活质量发展项目”已经启动。关于身心健康，泰国在柬埔寨提供了一个公共卫生援助方案和发展医院和医疗机构的项目</w:t>
      </w:r>
      <w:r>
        <w:rPr>
          <w:rFonts w:hint="eastAsia"/>
        </w:rPr>
        <w:t>(</w:t>
      </w:r>
      <w:r>
        <w:rPr>
          <w:rFonts w:hint="eastAsia"/>
        </w:rPr>
        <w:t>包括缅甸大圩医院的一个急诊科</w:t>
      </w:r>
      <w:r>
        <w:rPr>
          <w:rFonts w:hint="eastAsia"/>
        </w:rPr>
        <w:t>)</w:t>
      </w:r>
      <w:r>
        <w:rPr>
          <w:rFonts w:hint="eastAsia"/>
        </w:rPr>
        <w:t>，并展开了关于新出现疾病的提高认识活动。此外，泰国国际合作署与人口基金合作，开展了一个关于降低孕产</w:t>
      </w:r>
      <w:r>
        <w:rPr>
          <w:rFonts w:hint="eastAsia"/>
        </w:rPr>
        <w:lastRenderedPageBreak/>
        <w:t>妇死亡率的三方合作项目。在保护弱势群体方面，实施了一个创建第一个人口贩运受害者和风险群体中心的项目。</w:t>
      </w:r>
    </w:p>
    <w:p w14:paraId="681F94AB" w14:textId="33C62189" w:rsidR="00522F93" w:rsidRDefault="00522F93" w:rsidP="00C45D05">
      <w:pPr>
        <w:pStyle w:val="SingleTxtGC"/>
        <w:tabs>
          <w:tab w:val="clear" w:pos="1565"/>
          <w:tab w:val="left" w:pos="1701"/>
        </w:tabs>
      </w:pPr>
      <w:r>
        <w:rPr>
          <w:rFonts w:hint="eastAsia"/>
        </w:rPr>
        <w:t>169.</w:t>
      </w:r>
      <w:r>
        <w:rPr>
          <w:rFonts w:hint="eastAsia"/>
        </w:rPr>
        <w:tab/>
      </w:r>
      <w:r>
        <w:rPr>
          <w:rFonts w:hint="eastAsia"/>
        </w:rPr>
        <w:t>为了在本区域内外传播关于国家报告和后续行动机制的知识，外交部和人权事务高级专员办事处东南亚区域办事处于</w:t>
      </w:r>
      <w:r>
        <w:rPr>
          <w:rFonts w:hint="eastAsia"/>
        </w:rPr>
        <w:t>2019</w:t>
      </w:r>
      <w:r>
        <w:rPr>
          <w:rFonts w:hint="eastAsia"/>
        </w:rPr>
        <w:t>年</w:t>
      </w:r>
      <w:r>
        <w:rPr>
          <w:rFonts w:hint="eastAsia"/>
        </w:rPr>
        <w:t>8</w:t>
      </w:r>
      <w:r>
        <w:rPr>
          <w:rFonts w:hint="eastAsia"/>
        </w:rPr>
        <w:t>月</w:t>
      </w:r>
      <w:r>
        <w:rPr>
          <w:rFonts w:hint="eastAsia"/>
        </w:rPr>
        <w:t>29</w:t>
      </w:r>
      <w:r>
        <w:rPr>
          <w:rFonts w:hint="eastAsia"/>
        </w:rPr>
        <w:t>日至</w:t>
      </w:r>
      <w:r>
        <w:rPr>
          <w:rFonts w:hint="eastAsia"/>
        </w:rPr>
        <w:t>30</w:t>
      </w:r>
      <w:r>
        <w:rPr>
          <w:rFonts w:hint="eastAsia"/>
        </w:rPr>
        <w:t>日在曼谷共同主办了关于国家报告和后续行动机制的区域对话。来自亚太地区</w:t>
      </w:r>
      <w:r>
        <w:rPr>
          <w:rFonts w:hint="eastAsia"/>
        </w:rPr>
        <w:t>12</w:t>
      </w:r>
      <w:r>
        <w:rPr>
          <w:rFonts w:hint="eastAsia"/>
        </w:rPr>
        <w:t>个国家，即孟加拉国、文莱达鲁萨兰国、柬埔寨、中国、斐济、老挝、马来西亚、缅甸、巴基斯坦、菲律宾、东帝汶和越南负责报告和跟踪人权落实情况的相关机构的约</w:t>
      </w:r>
      <w:r>
        <w:rPr>
          <w:rFonts w:hint="eastAsia"/>
        </w:rPr>
        <w:t>50</w:t>
      </w:r>
      <w:r>
        <w:rPr>
          <w:rFonts w:hint="eastAsia"/>
        </w:rPr>
        <w:t>名代表以及泰国相关机构的代表参加了对话。对话是一个平台，可以交流在利用国家人权机制、建设职能机构的能力以及为人权理事会等相关论坛提供投入方面的良好做法和经验教训。此外，这种对话还加强了政府机构在执行、报告和跟踪一国人权义务和建议方面的网络。</w:t>
      </w:r>
    </w:p>
    <w:p w14:paraId="1E97551E" w14:textId="7EE66F1B" w:rsidR="00522F93" w:rsidRDefault="00522F93" w:rsidP="00C45D05">
      <w:pPr>
        <w:pStyle w:val="SingleTxtGC"/>
        <w:tabs>
          <w:tab w:val="clear" w:pos="1565"/>
          <w:tab w:val="left" w:pos="1701"/>
        </w:tabs>
      </w:pPr>
      <w:r>
        <w:rPr>
          <w:rFonts w:hint="eastAsia"/>
        </w:rPr>
        <w:t>170.</w:t>
      </w:r>
      <w:r>
        <w:rPr>
          <w:rFonts w:hint="eastAsia"/>
        </w:rPr>
        <w:tab/>
      </w:r>
      <w:r>
        <w:rPr>
          <w:rFonts w:hint="eastAsia"/>
        </w:rPr>
        <w:t>司法部权利和自由保护司指派官员作为演讲人，分享在马来西亚、越南和巴基斯坦等不同国家执行《联合国工商业与人权指导原则》的经验，包括制定工商业与人权国家行动计划方面的经验。权利和自由保护司还在这一领域与包括开发署和亚太经社会在内的联合国有关机构开展合作。</w:t>
      </w:r>
    </w:p>
    <w:p w14:paraId="2EA91014" w14:textId="22DE7223" w:rsidR="00522F93" w:rsidRDefault="00522F93" w:rsidP="00C45D05">
      <w:pPr>
        <w:pStyle w:val="SingleTxtGC"/>
        <w:tabs>
          <w:tab w:val="clear" w:pos="1565"/>
          <w:tab w:val="left" w:pos="1701"/>
        </w:tabs>
      </w:pPr>
      <w:r>
        <w:rPr>
          <w:rFonts w:hint="eastAsia"/>
        </w:rPr>
        <w:t>171.</w:t>
      </w:r>
      <w:r>
        <w:rPr>
          <w:rFonts w:hint="eastAsia"/>
        </w:rPr>
        <w:tab/>
      </w:r>
      <w:r>
        <w:rPr>
          <w:rFonts w:hint="eastAsia"/>
        </w:rPr>
        <w:t>根据第</w:t>
      </w:r>
      <w:r>
        <w:rPr>
          <w:rFonts w:hint="eastAsia"/>
        </w:rPr>
        <w:t>127-128</w:t>
      </w:r>
      <w:r>
        <w:rPr>
          <w:rFonts w:hint="eastAsia"/>
        </w:rPr>
        <w:t>段，泰国司法研究所自</w:t>
      </w:r>
      <w:r>
        <w:rPr>
          <w:rFonts w:hint="eastAsia"/>
        </w:rPr>
        <w:t>2017</w:t>
      </w:r>
      <w:r>
        <w:rPr>
          <w:rFonts w:hint="eastAsia"/>
        </w:rPr>
        <w:t>年以来根据《曼谷规则》为东盟高级惩教官员举办了关于女性囚犯待遇的年度课程。此外，还应要求在肯尼亚、印度尼西亚和马来西亚等国组织了能力建设和培训活动。这些活动是在双边基础上以及与红十字委员会和毒品和犯罪问题办公室的三边框架内进行的。</w:t>
      </w:r>
    </w:p>
    <w:p w14:paraId="26DAA13D" w14:textId="0FB80FE2" w:rsidR="00522F93" w:rsidRDefault="00237D20" w:rsidP="00931317">
      <w:pPr>
        <w:pStyle w:val="H1GC"/>
      </w:pPr>
      <w:r>
        <w:tab/>
      </w:r>
      <w:r w:rsidR="00522F93">
        <w:rPr>
          <w:rFonts w:hint="eastAsia"/>
        </w:rPr>
        <w:t>D.</w:t>
      </w:r>
      <w:r w:rsidR="00522F93">
        <w:rPr>
          <w:rFonts w:hint="eastAsia"/>
        </w:rPr>
        <w:tab/>
      </w:r>
      <w:r w:rsidR="00522F93">
        <w:rPr>
          <w:rFonts w:hint="eastAsia"/>
        </w:rPr>
        <w:t>国家一级向联合国提交报告的进程</w:t>
      </w:r>
    </w:p>
    <w:p w14:paraId="2C687010" w14:textId="21DE3604" w:rsidR="00522F93" w:rsidRDefault="00522F93" w:rsidP="00C45D05">
      <w:pPr>
        <w:pStyle w:val="SingleTxtGC"/>
        <w:tabs>
          <w:tab w:val="clear" w:pos="1565"/>
          <w:tab w:val="left" w:pos="1701"/>
        </w:tabs>
      </w:pPr>
      <w:r>
        <w:rPr>
          <w:rFonts w:hint="eastAsia"/>
        </w:rPr>
        <w:t>172.</w:t>
      </w:r>
      <w:r>
        <w:rPr>
          <w:rFonts w:hint="eastAsia"/>
        </w:rPr>
        <w:tab/>
      </w:r>
      <w:r>
        <w:rPr>
          <w:rFonts w:hint="eastAsia"/>
        </w:rPr>
        <w:t>在所有利益攸关方的积极参与下，编写了关于泰国加入的人权文书执行情况的规定报告。设立了一个国家委员会或工作组，作为每次报告编写的核心机制，由公共、私营和学术部门的相关机构以及文书旨在提供保护的利益攸关方或目标群体组成。</w:t>
      </w:r>
    </w:p>
    <w:p w14:paraId="3D9FD38E" w14:textId="5523C1EC" w:rsidR="00522F93" w:rsidRDefault="00522F93" w:rsidP="00C45D05">
      <w:pPr>
        <w:pStyle w:val="SingleTxtGC"/>
        <w:tabs>
          <w:tab w:val="clear" w:pos="1565"/>
          <w:tab w:val="left" w:pos="1701"/>
        </w:tabs>
      </w:pPr>
      <w:r>
        <w:rPr>
          <w:rFonts w:hint="eastAsia"/>
        </w:rPr>
        <w:t>173.</w:t>
      </w:r>
      <w:r>
        <w:rPr>
          <w:rFonts w:hint="eastAsia"/>
        </w:rPr>
        <w:tab/>
      </w:r>
      <w:r>
        <w:rPr>
          <w:rFonts w:hint="eastAsia"/>
        </w:rPr>
        <w:t>根据相关公约，报告编制的主要协调者是司法部</w:t>
      </w:r>
      <w:r>
        <w:rPr>
          <w:rFonts w:hint="eastAsia"/>
        </w:rPr>
        <w:t>(</w:t>
      </w:r>
      <w:r>
        <w:rPr>
          <w:rFonts w:hint="eastAsia"/>
        </w:rPr>
        <w:t>《公民及政治权利国际公约》、《经济社会文化权利国际公约》、《消除种族歧视公约》、《禁止酷刑公约》</w:t>
      </w:r>
      <w:r>
        <w:rPr>
          <w:rFonts w:hint="eastAsia"/>
        </w:rPr>
        <w:t>)</w:t>
      </w:r>
      <w:r>
        <w:rPr>
          <w:rFonts w:hint="eastAsia"/>
        </w:rPr>
        <w:t>以及社会发展和人类安全部</w:t>
      </w:r>
      <w:r>
        <w:rPr>
          <w:rFonts w:hint="eastAsia"/>
        </w:rPr>
        <w:t>(</w:t>
      </w:r>
      <w:r>
        <w:rPr>
          <w:rFonts w:hint="eastAsia"/>
        </w:rPr>
        <w:t>《消除对妇女歧视公约》、《儿童权利公约》、《残疾人权利公约》</w:t>
      </w:r>
      <w:r>
        <w:rPr>
          <w:rFonts w:hint="eastAsia"/>
        </w:rPr>
        <w:t>)</w:t>
      </w:r>
      <w:r>
        <w:rPr>
          <w:rFonts w:hint="eastAsia"/>
        </w:rPr>
        <w:t>。司法部和外交部负责编写普遍定期审议报告。参与编写每份报告的组织和个人的完整名单已经并将在各自的报告中予以强调。</w:t>
      </w:r>
    </w:p>
    <w:p w14:paraId="3783BBD6" w14:textId="6866A6B5" w:rsidR="00522F93" w:rsidRDefault="00522F93" w:rsidP="00C45D05">
      <w:pPr>
        <w:pStyle w:val="SingleTxtGC"/>
        <w:tabs>
          <w:tab w:val="clear" w:pos="1565"/>
          <w:tab w:val="left" w:pos="1701"/>
        </w:tabs>
      </w:pPr>
      <w:r>
        <w:rPr>
          <w:rFonts w:hint="eastAsia"/>
        </w:rPr>
        <w:t>174.</w:t>
      </w:r>
      <w:r>
        <w:rPr>
          <w:rFonts w:hint="eastAsia"/>
        </w:rPr>
        <w:tab/>
      </w:r>
      <w:r>
        <w:rPr>
          <w:rFonts w:hint="eastAsia"/>
        </w:rPr>
        <w:t>报告编写的格式、实质内容和准则遵循负责此类文书的各联合国委员会的要求和准则。</w:t>
      </w:r>
    </w:p>
    <w:p w14:paraId="53C9E4FF" w14:textId="064BFB49" w:rsidR="00522F93" w:rsidRDefault="00522F93" w:rsidP="00C45D05">
      <w:pPr>
        <w:pStyle w:val="SingleTxtGC"/>
        <w:tabs>
          <w:tab w:val="clear" w:pos="1565"/>
          <w:tab w:val="left" w:pos="1701"/>
        </w:tabs>
      </w:pPr>
      <w:r>
        <w:rPr>
          <w:rFonts w:hint="eastAsia"/>
        </w:rPr>
        <w:t>175.</w:t>
      </w:r>
      <w:r>
        <w:rPr>
          <w:rFonts w:hint="eastAsia"/>
        </w:rPr>
        <w:tab/>
      </w:r>
      <w:r>
        <w:rPr>
          <w:rFonts w:hint="eastAsia"/>
        </w:rPr>
        <w:t>在大多数情况下，报告首先是用泰语起草的，由负责特定主题的公共和私营部门代表组成的各种工作组提供投入。然后将报告草案提交给地区和国家层面的公开听证会，以收集反馈和建议。修改后的报告提交给负责机构批准，然后翻译成英文。</w:t>
      </w:r>
    </w:p>
    <w:p w14:paraId="0362E5D4" w14:textId="456DC13D" w:rsidR="00522F93" w:rsidRDefault="00522F93" w:rsidP="00C45D05">
      <w:pPr>
        <w:pStyle w:val="SingleTxtGC"/>
        <w:tabs>
          <w:tab w:val="clear" w:pos="1565"/>
          <w:tab w:val="left" w:pos="1701"/>
        </w:tabs>
      </w:pPr>
      <w:r>
        <w:rPr>
          <w:rFonts w:hint="eastAsia"/>
        </w:rPr>
        <w:t>176.</w:t>
      </w:r>
      <w:r>
        <w:rPr>
          <w:rFonts w:hint="eastAsia"/>
        </w:rPr>
        <w:tab/>
      </w:r>
      <w:r>
        <w:rPr>
          <w:rFonts w:hint="eastAsia"/>
        </w:rPr>
        <w:t>最后报告提交给内阁批准，随后提交给外交部，由其正式提交给联合国。</w:t>
      </w:r>
    </w:p>
    <w:p w14:paraId="65713B55" w14:textId="77777777" w:rsidR="002257C9" w:rsidRDefault="002257C9">
      <w:pPr>
        <w:tabs>
          <w:tab w:val="clear" w:pos="431"/>
        </w:tabs>
        <w:overflowPunct/>
        <w:adjustRightInd/>
        <w:snapToGrid/>
        <w:spacing w:line="240" w:lineRule="auto"/>
        <w:jc w:val="left"/>
      </w:pPr>
      <w:r>
        <w:br w:type="page"/>
      </w:r>
    </w:p>
    <w:p w14:paraId="0417ABAB" w14:textId="6D5EB5CC" w:rsidR="00522F93" w:rsidRDefault="00522F93" w:rsidP="00C45D05">
      <w:pPr>
        <w:pStyle w:val="SingleTxtGC"/>
        <w:tabs>
          <w:tab w:val="clear" w:pos="1565"/>
          <w:tab w:val="left" w:pos="1701"/>
        </w:tabs>
      </w:pPr>
      <w:r>
        <w:rPr>
          <w:rFonts w:hint="eastAsia"/>
        </w:rPr>
        <w:lastRenderedPageBreak/>
        <w:t>177.</w:t>
      </w:r>
      <w:r>
        <w:rPr>
          <w:rFonts w:hint="eastAsia"/>
        </w:rPr>
        <w:tab/>
      </w:r>
      <w:r>
        <w:rPr>
          <w:rFonts w:hint="eastAsia"/>
        </w:rPr>
        <w:t>泰国已向联合国提交的报告如下：</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1564"/>
        <w:gridCol w:w="3682"/>
        <w:gridCol w:w="2124"/>
      </w:tblGrid>
      <w:tr w:rsidR="00237D20" w:rsidRPr="00237D20" w14:paraId="4FF2B934" w14:textId="77777777" w:rsidTr="00237D20">
        <w:trPr>
          <w:tblHeader/>
        </w:trPr>
        <w:tc>
          <w:tcPr>
            <w:tcW w:w="1564" w:type="dxa"/>
            <w:tcBorders>
              <w:top w:val="single" w:sz="4" w:space="0" w:color="auto"/>
              <w:bottom w:val="single" w:sz="12" w:space="0" w:color="auto"/>
            </w:tcBorders>
            <w:shd w:val="clear" w:color="auto" w:fill="auto"/>
            <w:vAlign w:val="bottom"/>
          </w:tcPr>
          <w:p w14:paraId="45383D70" w14:textId="77777777" w:rsidR="00237D20" w:rsidRPr="00237D20" w:rsidRDefault="00237D20" w:rsidP="00634E33">
            <w:pPr>
              <w:pStyle w:val="a5"/>
              <w:rPr>
                <w:rFonts w:ascii="Time New Roman" w:eastAsia="楷体" w:hAnsi="Time New Roman" w:hint="eastAsia"/>
              </w:rPr>
            </w:pPr>
            <w:r w:rsidRPr="00237D20">
              <w:rPr>
                <w:rFonts w:ascii="Time New Roman" w:eastAsia="楷体" w:hAnsi="Time New Roman"/>
              </w:rPr>
              <w:t>公约</w:t>
            </w:r>
          </w:p>
        </w:tc>
        <w:tc>
          <w:tcPr>
            <w:tcW w:w="3682" w:type="dxa"/>
            <w:tcBorders>
              <w:top w:val="single" w:sz="4" w:space="0" w:color="auto"/>
              <w:bottom w:val="single" w:sz="12" w:space="0" w:color="auto"/>
            </w:tcBorders>
            <w:shd w:val="clear" w:color="auto" w:fill="auto"/>
            <w:vAlign w:val="bottom"/>
          </w:tcPr>
          <w:p w14:paraId="1999D4E5" w14:textId="77777777" w:rsidR="00237D20" w:rsidRPr="00237D20" w:rsidRDefault="00237D20" w:rsidP="00634E33">
            <w:pPr>
              <w:pStyle w:val="a5"/>
              <w:rPr>
                <w:rFonts w:ascii="Time New Roman" w:eastAsia="楷体" w:hAnsi="Time New Roman" w:hint="eastAsia"/>
              </w:rPr>
            </w:pPr>
            <w:r w:rsidRPr="00237D20">
              <w:rPr>
                <w:rFonts w:ascii="Time New Roman" w:eastAsia="楷体" w:hAnsi="Time New Roman"/>
              </w:rPr>
              <w:t>文件</w:t>
            </w:r>
          </w:p>
        </w:tc>
        <w:tc>
          <w:tcPr>
            <w:tcW w:w="2124" w:type="dxa"/>
            <w:tcBorders>
              <w:top w:val="single" w:sz="4" w:space="0" w:color="auto"/>
              <w:bottom w:val="single" w:sz="12" w:space="0" w:color="auto"/>
            </w:tcBorders>
            <w:shd w:val="clear" w:color="auto" w:fill="auto"/>
            <w:vAlign w:val="bottom"/>
          </w:tcPr>
          <w:p w14:paraId="3D891B8D" w14:textId="77777777" w:rsidR="00237D20" w:rsidRPr="00237D20" w:rsidRDefault="00237D20" w:rsidP="00634E33">
            <w:pPr>
              <w:pStyle w:val="a5"/>
              <w:rPr>
                <w:rFonts w:ascii="Time New Roman" w:eastAsia="楷体" w:hAnsi="Time New Roman" w:hint="eastAsia"/>
              </w:rPr>
            </w:pPr>
            <w:r w:rsidRPr="00237D20">
              <w:rPr>
                <w:rFonts w:ascii="Time New Roman" w:eastAsia="楷体" w:hAnsi="Time New Roman"/>
              </w:rPr>
              <w:t>日期</w:t>
            </w:r>
          </w:p>
        </w:tc>
      </w:tr>
      <w:tr w:rsidR="00237D20" w:rsidRPr="00CB3F3B" w14:paraId="0B7A6BBE" w14:textId="77777777" w:rsidTr="00237D20">
        <w:trPr>
          <w:trHeight w:hRule="exact" w:val="113"/>
          <w:tblHeader/>
        </w:trPr>
        <w:tc>
          <w:tcPr>
            <w:tcW w:w="1564" w:type="dxa"/>
            <w:tcBorders>
              <w:top w:val="single" w:sz="12" w:space="0" w:color="auto"/>
            </w:tcBorders>
            <w:shd w:val="clear" w:color="auto" w:fill="auto"/>
          </w:tcPr>
          <w:p w14:paraId="2DB7D696" w14:textId="77777777" w:rsidR="00237D20" w:rsidRPr="00CB3F3B" w:rsidRDefault="00237D20" w:rsidP="00634E33">
            <w:pPr>
              <w:pStyle w:val="a5"/>
            </w:pPr>
          </w:p>
        </w:tc>
        <w:tc>
          <w:tcPr>
            <w:tcW w:w="3682" w:type="dxa"/>
            <w:tcBorders>
              <w:top w:val="single" w:sz="12" w:space="0" w:color="auto"/>
            </w:tcBorders>
            <w:shd w:val="clear" w:color="auto" w:fill="auto"/>
          </w:tcPr>
          <w:p w14:paraId="00AFF20B" w14:textId="77777777" w:rsidR="00237D20" w:rsidRPr="00CB3F3B" w:rsidRDefault="00237D20" w:rsidP="00634E33">
            <w:pPr>
              <w:pStyle w:val="a5"/>
            </w:pPr>
          </w:p>
        </w:tc>
        <w:tc>
          <w:tcPr>
            <w:tcW w:w="2124" w:type="dxa"/>
            <w:tcBorders>
              <w:top w:val="single" w:sz="12" w:space="0" w:color="auto"/>
            </w:tcBorders>
            <w:shd w:val="clear" w:color="auto" w:fill="auto"/>
          </w:tcPr>
          <w:p w14:paraId="78E53049" w14:textId="77777777" w:rsidR="00237D20" w:rsidRPr="00CB3F3B" w:rsidRDefault="00237D20" w:rsidP="00634E33">
            <w:pPr>
              <w:pStyle w:val="a5"/>
            </w:pPr>
          </w:p>
        </w:tc>
      </w:tr>
      <w:tr w:rsidR="00237D20" w:rsidRPr="00CB3F3B" w14:paraId="52115EF1" w14:textId="77777777" w:rsidTr="00634E33">
        <w:tc>
          <w:tcPr>
            <w:tcW w:w="1564" w:type="dxa"/>
            <w:shd w:val="clear" w:color="auto" w:fill="auto"/>
          </w:tcPr>
          <w:p w14:paraId="72840367" w14:textId="43FE1F32" w:rsidR="00237D20" w:rsidRPr="00CB3F3B" w:rsidRDefault="00237D20" w:rsidP="00634E33">
            <w:pPr>
              <w:pStyle w:val="a5"/>
            </w:pPr>
            <w:r w:rsidRPr="00CB3F3B">
              <w:t>《禁止酷刑</w:t>
            </w:r>
            <w:r w:rsidR="002257C9">
              <w:br/>
            </w:r>
            <w:r w:rsidRPr="00CB3F3B">
              <w:t>公约》</w:t>
            </w:r>
          </w:p>
        </w:tc>
        <w:tc>
          <w:tcPr>
            <w:tcW w:w="3682" w:type="dxa"/>
            <w:shd w:val="clear" w:color="auto" w:fill="auto"/>
          </w:tcPr>
          <w:p w14:paraId="4D838D23" w14:textId="77777777" w:rsidR="00237D20" w:rsidRPr="00CB3F3B" w:rsidRDefault="00237D20" w:rsidP="00634E33">
            <w:pPr>
              <w:pStyle w:val="a5"/>
            </w:pPr>
            <w:r w:rsidRPr="00CB3F3B">
              <w:t>第一次报告</w:t>
            </w:r>
          </w:p>
        </w:tc>
        <w:tc>
          <w:tcPr>
            <w:tcW w:w="2124" w:type="dxa"/>
            <w:shd w:val="clear" w:color="auto" w:fill="auto"/>
          </w:tcPr>
          <w:p w14:paraId="4ACA6855" w14:textId="77777777" w:rsidR="00237D20" w:rsidRPr="00CB3F3B" w:rsidRDefault="00237D20" w:rsidP="00634E33">
            <w:pPr>
              <w:pStyle w:val="a5"/>
            </w:pPr>
            <w:r w:rsidRPr="00CB3F3B">
              <w:t>2013</w:t>
            </w:r>
            <w:r w:rsidRPr="00CB3F3B">
              <w:t>年</w:t>
            </w:r>
            <w:r w:rsidRPr="00CB3F3B">
              <w:t>2</w:t>
            </w:r>
            <w:r w:rsidRPr="00CB3F3B">
              <w:t>月</w:t>
            </w:r>
            <w:r w:rsidRPr="00CB3F3B">
              <w:t>27</w:t>
            </w:r>
            <w:r w:rsidRPr="00CB3F3B">
              <w:t>日</w:t>
            </w:r>
          </w:p>
        </w:tc>
      </w:tr>
      <w:tr w:rsidR="00237D20" w:rsidRPr="00CB3F3B" w14:paraId="24813107" w14:textId="77777777" w:rsidTr="00634E33">
        <w:tc>
          <w:tcPr>
            <w:tcW w:w="1564" w:type="dxa"/>
            <w:vMerge w:val="restart"/>
            <w:shd w:val="clear" w:color="auto" w:fill="auto"/>
          </w:tcPr>
          <w:p w14:paraId="7F742A20" w14:textId="06FF898C" w:rsidR="00237D20" w:rsidRPr="00CB3F3B" w:rsidRDefault="00237D20" w:rsidP="00634E33">
            <w:pPr>
              <w:pStyle w:val="a5"/>
            </w:pPr>
            <w:r w:rsidRPr="00CB3F3B">
              <w:t>《公民及政治</w:t>
            </w:r>
            <w:r w:rsidR="002257C9">
              <w:br/>
            </w:r>
            <w:r w:rsidRPr="00CB3F3B">
              <w:t>权利国际公约》</w:t>
            </w:r>
          </w:p>
        </w:tc>
        <w:tc>
          <w:tcPr>
            <w:tcW w:w="3682" w:type="dxa"/>
            <w:shd w:val="clear" w:color="auto" w:fill="auto"/>
          </w:tcPr>
          <w:p w14:paraId="26810104" w14:textId="77777777" w:rsidR="00237D20" w:rsidRPr="00CB3F3B" w:rsidRDefault="00237D20" w:rsidP="00634E33">
            <w:pPr>
              <w:pStyle w:val="a5"/>
            </w:pPr>
            <w:r w:rsidRPr="00CB3F3B">
              <w:t>第一次报告</w:t>
            </w:r>
          </w:p>
        </w:tc>
        <w:tc>
          <w:tcPr>
            <w:tcW w:w="2124" w:type="dxa"/>
            <w:shd w:val="clear" w:color="auto" w:fill="auto"/>
          </w:tcPr>
          <w:p w14:paraId="3E10C5CD" w14:textId="77777777" w:rsidR="00237D20" w:rsidRPr="00CB3F3B" w:rsidRDefault="00237D20" w:rsidP="00634E33">
            <w:pPr>
              <w:pStyle w:val="a5"/>
            </w:pPr>
            <w:r w:rsidRPr="00CB3F3B">
              <w:t>2004</w:t>
            </w:r>
            <w:r w:rsidRPr="00CB3F3B">
              <w:t>年</w:t>
            </w:r>
            <w:r w:rsidRPr="00CB3F3B">
              <w:t>6</w:t>
            </w:r>
            <w:r w:rsidRPr="00CB3F3B">
              <w:t>月</w:t>
            </w:r>
            <w:r w:rsidRPr="00CB3F3B">
              <w:t>2</w:t>
            </w:r>
            <w:r w:rsidRPr="00CB3F3B">
              <w:t>日</w:t>
            </w:r>
          </w:p>
        </w:tc>
      </w:tr>
      <w:tr w:rsidR="00237D20" w:rsidRPr="00CB3F3B" w14:paraId="31F1478A" w14:textId="77777777" w:rsidTr="00634E33">
        <w:tc>
          <w:tcPr>
            <w:tcW w:w="1564" w:type="dxa"/>
            <w:vMerge/>
            <w:shd w:val="clear" w:color="auto" w:fill="auto"/>
          </w:tcPr>
          <w:p w14:paraId="0B428E12" w14:textId="77777777" w:rsidR="00237D20" w:rsidRPr="00CB3F3B" w:rsidRDefault="00237D20" w:rsidP="00634E33">
            <w:pPr>
              <w:pStyle w:val="a5"/>
            </w:pPr>
          </w:p>
        </w:tc>
        <w:tc>
          <w:tcPr>
            <w:tcW w:w="3682" w:type="dxa"/>
            <w:shd w:val="clear" w:color="auto" w:fill="auto"/>
          </w:tcPr>
          <w:p w14:paraId="135108AE" w14:textId="77777777" w:rsidR="00237D20" w:rsidRPr="00CB3F3B" w:rsidRDefault="00237D20" w:rsidP="00634E33">
            <w:pPr>
              <w:pStyle w:val="a5"/>
            </w:pPr>
            <w:r w:rsidRPr="00CB3F3B">
              <w:t>第二次报告</w:t>
            </w:r>
          </w:p>
        </w:tc>
        <w:tc>
          <w:tcPr>
            <w:tcW w:w="2124" w:type="dxa"/>
            <w:shd w:val="clear" w:color="auto" w:fill="auto"/>
          </w:tcPr>
          <w:p w14:paraId="26C6C145" w14:textId="77777777" w:rsidR="00237D20" w:rsidRPr="00CB3F3B" w:rsidRDefault="00237D20" w:rsidP="00634E33">
            <w:pPr>
              <w:pStyle w:val="a5"/>
            </w:pPr>
            <w:r w:rsidRPr="00CB3F3B">
              <w:t>2015</w:t>
            </w:r>
            <w:r w:rsidRPr="00CB3F3B">
              <w:t>年</w:t>
            </w:r>
            <w:r w:rsidRPr="00CB3F3B">
              <w:t>6</w:t>
            </w:r>
            <w:r w:rsidRPr="00CB3F3B">
              <w:t>月</w:t>
            </w:r>
            <w:r w:rsidRPr="00CB3F3B">
              <w:t>23</w:t>
            </w:r>
            <w:r w:rsidRPr="00CB3F3B">
              <w:t>日</w:t>
            </w:r>
          </w:p>
        </w:tc>
      </w:tr>
      <w:tr w:rsidR="00237D20" w:rsidRPr="00CB3F3B" w14:paraId="3A45BEBD" w14:textId="77777777" w:rsidTr="00634E33">
        <w:tc>
          <w:tcPr>
            <w:tcW w:w="1564" w:type="dxa"/>
            <w:shd w:val="clear" w:color="auto" w:fill="auto"/>
          </w:tcPr>
          <w:p w14:paraId="105239F3" w14:textId="569D9D22" w:rsidR="00237D20" w:rsidRPr="00CB3F3B" w:rsidRDefault="00237D20" w:rsidP="00634E33">
            <w:pPr>
              <w:pStyle w:val="a5"/>
            </w:pPr>
            <w:r w:rsidRPr="00CB3F3B">
              <w:t>《消除对妇女</w:t>
            </w:r>
            <w:r w:rsidR="002257C9">
              <w:br/>
            </w:r>
            <w:r w:rsidRPr="00CB3F3B">
              <w:t>一切形式歧视</w:t>
            </w:r>
            <w:r w:rsidR="002257C9">
              <w:br/>
            </w:r>
            <w:r w:rsidRPr="00CB3F3B">
              <w:t>公约》</w:t>
            </w:r>
          </w:p>
        </w:tc>
        <w:tc>
          <w:tcPr>
            <w:tcW w:w="3682" w:type="dxa"/>
            <w:shd w:val="clear" w:color="auto" w:fill="auto"/>
          </w:tcPr>
          <w:p w14:paraId="3D85D753" w14:textId="77777777" w:rsidR="00237D20" w:rsidRPr="00CB3F3B" w:rsidRDefault="00237D20" w:rsidP="00634E33">
            <w:pPr>
              <w:pStyle w:val="a5"/>
            </w:pPr>
            <w:r w:rsidRPr="00CB3F3B">
              <w:t>第一次报告</w:t>
            </w:r>
          </w:p>
        </w:tc>
        <w:tc>
          <w:tcPr>
            <w:tcW w:w="2124" w:type="dxa"/>
            <w:shd w:val="clear" w:color="auto" w:fill="auto"/>
          </w:tcPr>
          <w:p w14:paraId="52A25FE5" w14:textId="77777777" w:rsidR="00237D20" w:rsidRPr="00CB3F3B" w:rsidRDefault="00237D20" w:rsidP="00634E33">
            <w:pPr>
              <w:pStyle w:val="a5"/>
            </w:pPr>
            <w:r w:rsidRPr="00CB3F3B">
              <w:t>1987</w:t>
            </w:r>
            <w:r w:rsidRPr="00CB3F3B">
              <w:t>年</w:t>
            </w:r>
            <w:r w:rsidRPr="00CB3F3B">
              <w:t>6</w:t>
            </w:r>
            <w:r w:rsidRPr="00CB3F3B">
              <w:t>月</w:t>
            </w:r>
            <w:r w:rsidRPr="00CB3F3B">
              <w:t>1</w:t>
            </w:r>
            <w:r w:rsidRPr="00CB3F3B">
              <w:t>日</w:t>
            </w:r>
          </w:p>
        </w:tc>
      </w:tr>
      <w:tr w:rsidR="00237D20" w:rsidRPr="00CB3F3B" w14:paraId="07583685" w14:textId="77777777" w:rsidTr="00634E33">
        <w:tc>
          <w:tcPr>
            <w:tcW w:w="1564" w:type="dxa"/>
            <w:shd w:val="clear" w:color="auto" w:fill="auto"/>
          </w:tcPr>
          <w:p w14:paraId="20B33DBE" w14:textId="77777777" w:rsidR="00237D20" w:rsidRPr="00CB3F3B" w:rsidRDefault="00237D20" w:rsidP="00634E33">
            <w:pPr>
              <w:pStyle w:val="a5"/>
            </w:pPr>
          </w:p>
        </w:tc>
        <w:tc>
          <w:tcPr>
            <w:tcW w:w="3682" w:type="dxa"/>
            <w:shd w:val="clear" w:color="auto" w:fill="auto"/>
          </w:tcPr>
          <w:p w14:paraId="175456C7" w14:textId="77777777" w:rsidR="00237D20" w:rsidRPr="00CB3F3B" w:rsidRDefault="00237D20" w:rsidP="00634E33">
            <w:pPr>
              <w:pStyle w:val="a5"/>
            </w:pPr>
            <w:r w:rsidRPr="00CB3F3B">
              <w:t>第二次和第三次报告</w:t>
            </w:r>
            <w:r w:rsidRPr="00CB3F3B">
              <w:t>(</w:t>
            </w:r>
            <w:r w:rsidRPr="00CB3F3B">
              <w:t>合并</w:t>
            </w:r>
            <w:r w:rsidRPr="00CB3F3B">
              <w:t>)</w:t>
            </w:r>
          </w:p>
        </w:tc>
        <w:tc>
          <w:tcPr>
            <w:tcW w:w="2124" w:type="dxa"/>
            <w:shd w:val="clear" w:color="auto" w:fill="auto"/>
          </w:tcPr>
          <w:p w14:paraId="1991BEFA" w14:textId="77777777" w:rsidR="00237D20" w:rsidRPr="00CB3F3B" w:rsidRDefault="00237D20" w:rsidP="00634E33">
            <w:pPr>
              <w:pStyle w:val="a5"/>
            </w:pPr>
            <w:r w:rsidRPr="00CB3F3B">
              <w:t>1997</w:t>
            </w:r>
            <w:r w:rsidRPr="00CB3F3B">
              <w:t>年</w:t>
            </w:r>
            <w:r w:rsidRPr="00CB3F3B">
              <w:t>3</w:t>
            </w:r>
            <w:r w:rsidRPr="00CB3F3B">
              <w:t>月</w:t>
            </w:r>
            <w:r w:rsidRPr="00CB3F3B">
              <w:t>3</w:t>
            </w:r>
            <w:r w:rsidRPr="00CB3F3B">
              <w:t>日</w:t>
            </w:r>
          </w:p>
        </w:tc>
      </w:tr>
      <w:tr w:rsidR="00237D20" w:rsidRPr="00CB3F3B" w14:paraId="10682473" w14:textId="77777777" w:rsidTr="00634E33">
        <w:tc>
          <w:tcPr>
            <w:tcW w:w="1564" w:type="dxa"/>
            <w:shd w:val="clear" w:color="auto" w:fill="auto"/>
          </w:tcPr>
          <w:p w14:paraId="5E303A8C" w14:textId="77777777" w:rsidR="00237D20" w:rsidRPr="00CB3F3B" w:rsidRDefault="00237D20" w:rsidP="00634E33">
            <w:pPr>
              <w:pStyle w:val="a5"/>
            </w:pPr>
          </w:p>
        </w:tc>
        <w:tc>
          <w:tcPr>
            <w:tcW w:w="3682" w:type="dxa"/>
            <w:shd w:val="clear" w:color="auto" w:fill="auto"/>
          </w:tcPr>
          <w:p w14:paraId="7B42E978" w14:textId="77777777" w:rsidR="00237D20" w:rsidRPr="00CB3F3B" w:rsidRDefault="00237D20" w:rsidP="00634E33">
            <w:pPr>
              <w:pStyle w:val="a5"/>
            </w:pPr>
            <w:r w:rsidRPr="00CB3F3B">
              <w:t>第四次和第五次报告</w:t>
            </w:r>
            <w:r w:rsidRPr="00CB3F3B">
              <w:t>(</w:t>
            </w:r>
            <w:r w:rsidRPr="00CB3F3B">
              <w:t>合并</w:t>
            </w:r>
            <w:r w:rsidRPr="00CB3F3B">
              <w:t>)</w:t>
            </w:r>
          </w:p>
        </w:tc>
        <w:tc>
          <w:tcPr>
            <w:tcW w:w="2124" w:type="dxa"/>
            <w:shd w:val="clear" w:color="auto" w:fill="auto"/>
          </w:tcPr>
          <w:p w14:paraId="51038DEA" w14:textId="77777777" w:rsidR="00237D20" w:rsidRPr="00CB3F3B" w:rsidRDefault="00237D20" w:rsidP="00634E33">
            <w:pPr>
              <w:pStyle w:val="a5"/>
            </w:pPr>
            <w:r w:rsidRPr="00CB3F3B">
              <w:t>2004</w:t>
            </w:r>
            <w:r w:rsidRPr="00CB3F3B">
              <w:t>年</w:t>
            </w:r>
            <w:r w:rsidRPr="00CB3F3B">
              <w:t>6</w:t>
            </w:r>
            <w:r w:rsidRPr="00CB3F3B">
              <w:t>月</w:t>
            </w:r>
            <w:r w:rsidRPr="00CB3F3B">
              <w:t>24</w:t>
            </w:r>
            <w:r w:rsidRPr="00CB3F3B">
              <w:t>日</w:t>
            </w:r>
          </w:p>
        </w:tc>
      </w:tr>
      <w:tr w:rsidR="00237D20" w:rsidRPr="00CB3F3B" w14:paraId="606C9CCF" w14:textId="77777777" w:rsidTr="00634E33">
        <w:tc>
          <w:tcPr>
            <w:tcW w:w="1564" w:type="dxa"/>
            <w:shd w:val="clear" w:color="auto" w:fill="auto"/>
          </w:tcPr>
          <w:p w14:paraId="064B0C79" w14:textId="77777777" w:rsidR="00237D20" w:rsidRPr="00CB3F3B" w:rsidRDefault="00237D20" w:rsidP="00634E33">
            <w:pPr>
              <w:pStyle w:val="a5"/>
            </w:pPr>
          </w:p>
        </w:tc>
        <w:tc>
          <w:tcPr>
            <w:tcW w:w="3682" w:type="dxa"/>
            <w:shd w:val="clear" w:color="auto" w:fill="auto"/>
          </w:tcPr>
          <w:p w14:paraId="082A3662" w14:textId="77777777" w:rsidR="00237D20" w:rsidRPr="00CB3F3B" w:rsidRDefault="00237D20" w:rsidP="00634E33">
            <w:pPr>
              <w:pStyle w:val="a5"/>
            </w:pPr>
            <w:r w:rsidRPr="00CB3F3B">
              <w:t>第六次和第七次报告</w:t>
            </w:r>
            <w:r w:rsidRPr="00CB3F3B">
              <w:t>(</w:t>
            </w:r>
            <w:r w:rsidRPr="00CB3F3B">
              <w:t>合并</w:t>
            </w:r>
            <w:r w:rsidRPr="00CB3F3B">
              <w:t>)</w:t>
            </w:r>
          </w:p>
        </w:tc>
        <w:tc>
          <w:tcPr>
            <w:tcW w:w="2124" w:type="dxa"/>
            <w:shd w:val="clear" w:color="auto" w:fill="auto"/>
          </w:tcPr>
          <w:p w14:paraId="5674F876" w14:textId="77777777" w:rsidR="00237D20" w:rsidRPr="00CB3F3B" w:rsidRDefault="00237D20" w:rsidP="00634E33">
            <w:pPr>
              <w:pStyle w:val="a5"/>
            </w:pPr>
            <w:r w:rsidRPr="00CB3F3B">
              <w:t>2015</w:t>
            </w:r>
            <w:r w:rsidRPr="00CB3F3B">
              <w:t>年</w:t>
            </w:r>
            <w:r w:rsidRPr="00CB3F3B">
              <w:t>6</w:t>
            </w:r>
            <w:r w:rsidRPr="00CB3F3B">
              <w:t>月</w:t>
            </w:r>
            <w:r w:rsidRPr="00CB3F3B">
              <w:t>18</w:t>
            </w:r>
            <w:r w:rsidRPr="00CB3F3B">
              <w:t>日</w:t>
            </w:r>
          </w:p>
        </w:tc>
      </w:tr>
      <w:tr w:rsidR="00237D20" w:rsidRPr="00CB3F3B" w14:paraId="1E209648" w14:textId="77777777" w:rsidTr="00634E33">
        <w:tc>
          <w:tcPr>
            <w:tcW w:w="1564" w:type="dxa"/>
            <w:shd w:val="clear" w:color="auto" w:fill="auto"/>
          </w:tcPr>
          <w:p w14:paraId="41C89827" w14:textId="77A20B5F" w:rsidR="00237D20" w:rsidRPr="00CB3F3B" w:rsidRDefault="00237D20" w:rsidP="00634E33">
            <w:pPr>
              <w:pStyle w:val="a5"/>
            </w:pPr>
            <w:r w:rsidRPr="00CB3F3B">
              <w:t>《消除种族歧视</w:t>
            </w:r>
            <w:r w:rsidR="002257C9">
              <w:br/>
            </w:r>
            <w:r w:rsidRPr="00CB3F3B">
              <w:t>公约》</w:t>
            </w:r>
          </w:p>
        </w:tc>
        <w:tc>
          <w:tcPr>
            <w:tcW w:w="3682" w:type="dxa"/>
            <w:shd w:val="clear" w:color="auto" w:fill="auto"/>
          </w:tcPr>
          <w:p w14:paraId="4781D9AC" w14:textId="77777777" w:rsidR="00237D20" w:rsidRPr="00CB3F3B" w:rsidRDefault="00237D20" w:rsidP="00634E33">
            <w:pPr>
              <w:pStyle w:val="a5"/>
            </w:pPr>
            <w:r w:rsidRPr="00CB3F3B">
              <w:t>第一、第二和第三次报告</w:t>
            </w:r>
            <w:r w:rsidRPr="00CB3F3B">
              <w:t>(</w:t>
            </w:r>
            <w:r w:rsidRPr="00CB3F3B">
              <w:t>合并</w:t>
            </w:r>
            <w:r w:rsidRPr="00CB3F3B">
              <w:t>)</w:t>
            </w:r>
          </w:p>
        </w:tc>
        <w:tc>
          <w:tcPr>
            <w:tcW w:w="2124" w:type="dxa"/>
            <w:shd w:val="clear" w:color="auto" w:fill="auto"/>
          </w:tcPr>
          <w:p w14:paraId="5B887C97" w14:textId="77777777" w:rsidR="00237D20" w:rsidRPr="00CB3F3B" w:rsidRDefault="00237D20" w:rsidP="00634E33">
            <w:pPr>
              <w:pStyle w:val="a5"/>
            </w:pPr>
            <w:r w:rsidRPr="00CB3F3B">
              <w:t>2011</w:t>
            </w:r>
            <w:r w:rsidRPr="00CB3F3B">
              <w:t>年</w:t>
            </w:r>
            <w:r w:rsidRPr="00CB3F3B">
              <w:t>6</w:t>
            </w:r>
            <w:r w:rsidRPr="00CB3F3B">
              <w:t>月</w:t>
            </w:r>
            <w:r w:rsidRPr="00CB3F3B">
              <w:t>27</w:t>
            </w:r>
            <w:r w:rsidRPr="00CB3F3B">
              <w:t>日</w:t>
            </w:r>
          </w:p>
        </w:tc>
      </w:tr>
      <w:tr w:rsidR="00237D20" w:rsidRPr="00CB3F3B" w14:paraId="1102E0C6" w14:textId="77777777" w:rsidTr="00634E33">
        <w:tc>
          <w:tcPr>
            <w:tcW w:w="1564" w:type="dxa"/>
            <w:shd w:val="clear" w:color="auto" w:fill="auto"/>
          </w:tcPr>
          <w:p w14:paraId="6332116F" w14:textId="77777777" w:rsidR="00237D20" w:rsidRPr="00CB3F3B" w:rsidRDefault="00237D20" w:rsidP="00634E33">
            <w:pPr>
              <w:pStyle w:val="a5"/>
            </w:pPr>
          </w:p>
        </w:tc>
        <w:tc>
          <w:tcPr>
            <w:tcW w:w="3682" w:type="dxa"/>
            <w:shd w:val="clear" w:color="auto" w:fill="auto"/>
          </w:tcPr>
          <w:p w14:paraId="12D3C1E5" w14:textId="77777777" w:rsidR="00237D20" w:rsidRPr="00CB3F3B" w:rsidRDefault="00237D20" w:rsidP="00634E33">
            <w:pPr>
              <w:pStyle w:val="a5"/>
            </w:pPr>
            <w:r w:rsidRPr="00CB3F3B">
              <w:t>第四、第五、第六、第七、第八次报告</w:t>
            </w:r>
            <w:r w:rsidRPr="00CB3F3B">
              <w:t>(</w:t>
            </w:r>
            <w:r w:rsidRPr="00CB3F3B">
              <w:t>合并</w:t>
            </w:r>
            <w:r w:rsidRPr="00CB3F3B">
              <w:t>)</w:t>
            </w:r>
          </w:p>
        </w:tc>
        <w:tc>
          <w:tcPr>
            <w:tcW w:w="2124" w:type="dxa"/>
            <w:shd w:val="clear" w:color="auto" w:fill="auto"/>
          </w:tcPr>
          <w:p w14:paraId="60C21740" w14:textId="77777777" w:rsidR="00237D20" w:rsidRPr="00CB3F3B" w:rsidRDefault="00237D20" w:rsidP="00634E33">
            <w:pPr>
              <w:pStyle w:val="a5"/>
            </w:pPr>
            <w:r w:rsidRPr="00CB3F3B">
              <w:t>2019</w:t>
            </w:r>
            <w:r w:rsidRPr="00CB3F3B">
              <w:t>年</w:t>
            </w:r>
            <w:r w:rsidRPr="00CB3F3B">
              <w:t>4</w:t>
            </w:r>
            <w:r w:rsidRPr="00CB3F3B">
              <w:t>月</w:t>
            </w:r>
            <w:r w:rsidRPr="00CB3F3B">
              <w:t>24</w:t>
            </w:r>
            <w:r w:rsidRPr="00CB3F3B">
              <w:t>日</w:t>
            </w:r>
          </w:p>
        </w:tc>
      </w:tr>
      <w:tr w:rsidR="00237D20" w:rsidRPr="00CB3F3B" w14:paraId="7F826050" w14:textId="77777777" w:rsidTr="00634E33">
        <w:tc>
          <w:tcPr>
            <w:tcW w:w="1564" w:type="dxa"/>
            <w:shd w:val="clear" w:color="auto" w:fill="auto"/>
          </w:tcPr>
          <w:p w14:paraId="3675BC56" w14:textId="1E9B3C8A" w:rsidR="00237D20" w:rsidRPr="00CB3F3B" w:rsidRDefault="00237D20" w:rsidP="00634E33">
            <w:pPr>
              <w:pStyle w:val="a5"/>
            </w:pPr>
            <w:r w:rsidRPr="00CB3F3B">
              <w:t>《经济社会文化</w:t>
            </w:r>
            <w:r w:rsidR="002257C9">
              <w:br/>
            </w:r>
            <w:r w:rsidRPr="00CB3F3B">
              <w:t>权利国际公约》</w:t>
            </w:r>
          </w:p>
        </w:tc>
        <w:tc>
          <w:tcPr>
            <w:tcW w:w="3682" w:type="dxa"/>
            <w:shd w:val="clear" w:color="auto" w:fill="auto"/>
          </w:tcPr>
          <w:p w14:paraId="5DC6EFC1" w14:textId="77777777" w:rsidR="00237D20" w:rsidRPr="00CB3F3B" w:rsidRDefault="00237D20" w:rsidP="00634E33">
            <w:pPr>
              <w:pStyle w:val="a5"/>
            </w:pPr>
            <w:r w:rsidRPr="00CB3F3B">
              <w:t>第一次和第二次报告</w:t>
            </w:r>
            <w:r w:rsidRPr="00CB3F3B">
              <w:t>(</w:t>
            </w:r>
            <w:r w:rsidRPr="00CB3F3B">
              <w:t>合并</w:t>
            </w:r>
            <w:r w:rsidRPr="00CB3F3B">
              <w:t>)</w:t>
            </w:r>
          </w:p>
        </w:tc>
        <w:tc>
          <w:tcPr>
            <w:tcW w:w="2124" w:type="dxa"/>
            <w:shd w:val="clear" w:color="auto" w:fill="auto"/>
          </w:tcPr>
          <w:p w14:paraId="33E8A804" w14:textId="77777777" w:rsidR="00237D20" w:rsidRPr="00CB3F3B" w:rsidRDefault="00237D20" w:rsidP="00634E33">
            <w:pPr>
              <w:pStyle w:val="a5"/>
            </w:pPr>
            <w:r w:rsidRPr="00CB3F3B">
              <w:t>2012</w:t>
            </w:r>
            <w:r w:rsidRPr="00CB3F3B">
              <w:t>年</w:t>
            </w:r>
            <w:r w:rsidRPr="00CB3F3B">
              <w:t>8</w:t>
            </w:r>
            <w:r w:rsidRPr="00CB3F3B">
              <w:t>月</w:t>
            </w:r>
            <w:r w:rsidRPr="00CB3F3B">
              <w:t>21</w:t>
            </w:r>
            <w:r w:rsidRPr="00CB3F3B">
              <w:t>日</w:t>
            </w:r>
          </w:p>
        </w:tc>
      </w:tr>
      <w:tr w:rsidR="00237D20" w:rsidRPr="00CB3F3B" w14:paraId="5AB41ADF" w14:textId="77777777" w:rsidTr="00634E33">
        <w:tc>
          <w:tcPr>
            <w:tcW w:w="1564" w:type="dxa"/>
            <w:shd w:val="clear" w:color="auto" w:fill="auto"/>
          </w:tcPr>
          <w:p w14:paraId="47B5EC7A" w14:textId="446E4BE1" w:rsidR="00237D20" w:rsidRPr="00CB3F3B" w:rsidRDefault="00237D20" w:rsidP="00634E33">
            <w:pPr>
              <w:pStyle w:val="a5"/>
            </w:pPr>
            <w:r w:rsidRPr="00CB3F3B">
              <w:t>《儿童权利</w:t>
            </w:r>
            <w:r w:rsidR="002257C9">
              <w:br/>
            </w:r>
            <w:r w:rsidRPr="00CB3F3B">
              <w:t>公约》</w:t>
            </w:r>
          </w:p>
        </w:tc>
        <w:tc>
          <w:tcPr>
            <w:tcW w:w="3682" w:type="dxa"/>
            <w:shd w:val="clear" w:color="auto" w:fill="auto"/>
          </w:tcPr>
          <w:p w14:paraId="293DD146" w14:textId="77777777" w:rsidR="00237D20" w:rsidRPr="00CB3F3B" w:rsidRDefault="00237D20" w:rsidP="00634E33">
            <w:pPr>
              <w:pStyle w:val="a5"/>
            </w:pPr>
            <w:r w:rsidRPr="00CB3F3B">
              <w:t>第一次报告</w:t>
            </w:r>
          </w:p>
        </w:tc>
        <w:tc>
          <w:tcPr>
            <w:tcW w:w="2124" w:type="dxa"/>
            <w:shd w:val="clear" w:color="auto" w:fill="auto"/>
          </w:tcPr>
          <w:p w14:paraId="439232CF" w14:textId="77777777" w:rsidR="00237D20" w:rsidRPr="00CB3F3B" w:rsidRDefault="00237D20" w:rsidP="00634E33">
            <w:pPr>
              <w:pStyle w:val="a5"/>
            </w:pPr>
            <w:r w:rsidRPr="00CB3F3B">
              <w:t>1996</w:t>
            </w:r>
            <w:r w:rsidRPr="00CB3F3B">
              <w:t>年</w:t>
            </w:r>
            <w:r w:rsidRPr="00CB3F3B">
              <w:t>8</w:t>
            </w:r>
            <w:r w:rsidRPr="00CB3F3B">
              <w:t>月</w:t>
            </w:r>
            <w:r w:rsidRPr="00CB3F3B">
              <w:t>23</w:t>
            </w:r>
            <w:r w:rsidRPr="00CB3F3B">
              <w:t>日</w:t>
            </w:r>
          </w:p>
        </w:tc>
      </w:tr>
      <w:tr w:rsidR="00237D20" w:rsidRPr="00CB3F3B" w14:paraId="5CBAEFD5" w14:textId="77777777" w:rsidTr="00634E33">
        <w:tc>
          <w:tcPr>
            <w:tcW w:w="1564" w:type="dxa"/>
            <w:shd w:val="clear" w:color="auto" w:fill="auto"/>
          </w:tcPr>
          <w:p w14:paraId="4A77B786" w14:textId="77777777" w:rsidR="00237D20" w:rsidRPr="00CB3F3B" w:rsidRDefault="00237D20" w:rsidP="00634E33">
            <w:pPr>
              <w:pStyle w:val="a5"/>
            </w:pPr>
          </w:p>
        </w:tc>
        <w:tc>
          <w:tcPr>
            <w:tcW w:w="3682" w:type="dxa"/>
            <w:shd w:val="clear" w:color="auto" w:fill="auto"/>
          </w:tcPr>
          <w:p w14:paraId="6DC879B3" w14:textId="77777777" w:rsidR="00237D20" w:rsidRPr="00CB3F3B" w:rsidRDefault="00237D20" w:rsidP="00634E33">
            <w:pPr>
              <w:pStyle w:val="a5"/>
            </w:pPr>
            <w:r w:rsidRPr="00CB3F3B">
              <w:t>第二次报告</w:t>
            </w:r>
          </w:p>
        </w:tc>
        <w:tc>
          <w:tcPr>
            <w:tcW w:w="2124" w:type="dxa"/>
            <w:shd w:val="clear" w:color="auto" w:fill="auto"/>
          </w:tcPr>
          <w:p w14:paraId="3EF1C90E" w14:textId="77777777" w:rsidR="00237D20" w:rsidRPr="00CB3F3B" w:rsidRDefault="00237D20" w:rsidP="00634E33">
            <w:pPr>
              <w:pStyle w:val="a5"/>
            </w:pPr>
            <w:r w:rsidRPr="00CB3F3B">
              <w:t>2004</w:t>
            </w:r>
            <w:r w:rsidRPr="00CB3F3B">
              <w:t>年</w:t>
            </w:r>
            <w:r w:rsidRPr="00CB3F3B">
              <w:t>6</w:t>
            </w:r>
            <w:r w:rsidRPr="00CB3F3B">
              <w:t>月</w:t>
            </w:r>
            <w:r w:rsidRPr="00CB3F3B">
              <w:t>7</w:t>
            </w:r>
            <w:r w:rsidRPr="00CB3F3B">
              <w:t>日</w:t>
            </w:r>
          </w:p>
        </w:tc>
      </w:tr>
      <w:tr w:rsidR="00237D20" w:rsidRPr="00CB3F3B" w14:paraId="6EFE3655" w14:textId="77777777" w:rsidTr="00634E33">
        <w:tc>
          <w:tcPr>
            <w:tcW w:w="1564" w:type="dxa"/>
            <w:shd w:val="clear" w:color="auto" w:fill="auto"/>
          </w:tcPr>
          <w:p w14:paraId="0A8F9EBE" w14:textId="77777777" w:rsidR="00237D20" w:rsidRPr="00CB3F3B" w:rsidRDefault="00237D20" w:rsidP="00634E33">
            <w:pPr>
              <w:pStyle w:val="a5"/>
            </w:pPr>
          </w:p>
        </w:tc>
        <w:tc>
          <w:tcPr>
            <w:tcW w:w="3682" w:type="dxa"/>
            <w:shd w:val="clear" w:color="auto" w:fill="auto"/>
          </w:tcPr>
          <w:p w14:paraId="42C982C4" w14:textId="77777777" w:rsidR="00237D20" w:rsidRPr="00CB3F3B" w:rsidRDefault="00237D20" w:rsidP="00634E33">
            <w:pPr>
              <w:pStyle w:val="a5"/>
            </w:pPr>
            <w:r w:rsidRPr="00CB3F3B">
              <w:t>第三次和第四次报告</w:t>
            </w:r>
            <w:r w:rsidRPr="00CB3F3B">
              <w:t>(</w:t>
            </w:r>
            <w:r w:rsidRPr="00CB3F3B">
              <w:t>合并</w:t>
            </w:r>
            <w:r w:rsidRPr="00CB3F3B">
              <w:t>)</w:t>
            </w:r>
          </w:p>
        </w:tc>
        <w:tc>
          <w:tcPr>
            <w:tcW w:w="2124" w:type="dxa"/>
            <w:shd w:val="clear" w:color="auto" w:fill="auto"/>
          </w:tcPr>
          <w:p w14:paraId="47AA6555" w14:textId="77777777" w:rsidR="00237D20" w:rsidRPr="00CB3F3B" w:rsidRDefault="00237D20" w:rsidP="00634E33">
            <w:pPr>
              <w:pStyle w:val="a5"/>
            </w:pPr>
            <w:r w:rsidRPr="00CB3F3B">
              <w:t>2011</w:t>
            </w:r>
            <w:r w:rsidRPr="00CB3F3B">
              <w:t>年</w:t>
            </w:r>
            <w:r w:rsidRPr="00CB3F3B">
              <w:t>7</w:t>
            </w:r>
            <w:r w:rsidRPr="00CB3F3B">
              <w:t>月</w:t>
            </w:r>
            <w:r w:rsidRPr="00CB3F3B">
              <w:t>11</w:t>
            </w:r>
            <w:r w:rsidRPr="00CB3F3B">
              <w:t>日</w:t>
            </w:r>
          </w:p>
        </w:tc>
      </w:tr>
      <w:tr w:rsidR="00237D20" w:rsidRPr="00CB3F3B" w14:paraId="7A918A16" w14:textId="77777777" w:rsidTr="00634E33">
        <w:tc>
          <w:tcPr>
            <w:tcW w:w="1564" w:type="dxa"/>
            <w:shd w:val="clear" w:color="auto" w:fill="auto"/>
          </w:tcPr>
          <w:p w14:paraId="29774D85" w14:textId="77777777" w:rsidR="00237D20" w:rsidRPr="00CB3F3B" w:rsidRDefault="00237D20" w:rsidP="00634E33">
            <w:pPr>
              <w:pStyle w:val="a5"/>
            </w:pPr>
            <w:r w:rsidRPr="00CB3F3B">
              <w:t>《儿童权利公约关于儿童卷入武装冲突问题的任择议定书》</w:t>
            </w:r>
          </w:p>
        </w:tc>
        <w:tc>
          <w:tcPr>
            <w:tcW w:w="3682" w:type="dxa"/>
            <w:shd w:val="clear" w:color="auto" w:fill="auto"/>
          </w:tcPr>
          <w:p w14:paraId="60E5BDDB" w14:textId="77777777" w:rsidR="00237D20" w:rsidRPr="00CB3F3B" w:rsidRDefault="00237D20" w:rsidP="00634E33">
            <w:pPr>
              <w:pStyle w:val="a5"/>
            </w:pPr>
            <w:r w:rsidRPr="00CB3F3B">
              <w:t>第一次报告</w:t>
            </w:r>
          </w:p>
        </w:tc>
        <w:tc>
          <w:tcPr>
            <w:tcW w:w="2124" w:type="dxa"/>
            <w:shd w:val="clear" w:color="auto" w:fill="auto"/>
          </w:tcPr>
          <w:p w14:paraId="68B172E4" w14:textId="77777777" w:rsidR="00237D20" w:rsidRPr="00CB3F3B" w:rsidRDefault="00237D20" w:rsidP="00634E33">
            <w:pPr>
              <w:pStyle w:val="a5"/>
            </w:pPr>
            <w:r w:rsidRPr="00CB3F3B">
              <w:t>2009</w:t>
            </w:r>
            <w:r w:rsidRPr="00CB3F3B">
              <w:t>年</w:t>
            </w:r>
            <w:r w:rsidRPr="00CB3F3B">
              <w:t>10</w:t>
            </w:r>
            <w:r w:rsidRPr="00CB3F3B">
              <w:t>月</w:t>
            </w:r>
            <w:r w:rsidRPr="00CB3F3B">
              <w:t>30</w:t>
            </w:r>
            <w:r w:rsidRPr="00CB3F3B">
              <w:t>日</w:t>
            </w:r>
          </w:p>
        </w:tc>
      </w:tr>
      <w:tr w:rsidR="00237D20" w:rsidRPr="00CB3F3B" w14:paraId="616A5E5B" w14:textId="77777777" w:rsidTr="00634E33">
        <w:tc>
          <w:tcPr>
            <w:tcW w:w="1564" w:type="dxa"/>
            <w:shd w:val="clear" w:color="auto" w:fill="auto"/>
          </w:tcPr>
          <w:p w14:paraId="3C6B7876" w14:textId="77777777" w:rsidR="00237D20" w:rsidRPr="00CB3F3B" w:rsidRDefault="00237D20" w:rsidP="00634E33">
            <w:pPr>
              <w:pStyle w:val="a5"/>
            </w:pPr>
            <w:r w:rsidRPr="00CB3F3B">
              <w:t>《儿童权利公约关于买卖儿童、儿童卖淫和儿童色情制品问题的任择议定书》</w:t>
            </w:r>
          </w:p>
        </w:tc>
        <w:tc>
          <w:tcPr>
            <w:tcW w:w="3682" w:type="dxa"/>
            <w:shd w:val="clear" w:color="auto" w:fill="auto"/>
          </w:tcPr>
          <w:p w14:paraId="01F9141F" w14:textId="77777777" w:rsidR="00237D20" w:rsidRPr="00CB3F3B" w:rsidRDefault="00237D20" w:rsidP="00634E33">
            <w:pPr>
              <w:pStyle w:val="a5"/>
            </w:pPr>
            <w:r w:rsidRPr="00CB3F3B">
              <w:t>第一次报告</w:t>
            </w:r>
          </w:p>
        </w:tc>
        <w:tc>
          <w:tcPr>
            <w:tcW w:w="2124" w:type="dxa"/>
            <w:shd w:val="clear" w:color="auto" w:fill="auto"/>
          </w:tcPr>
          <w:p w14:paraId="4B85A727" w14:textId="77777777" w:rsidR="00237D20" w:rsidRPr="00CB3F3B" w:rsidRDefault="00237D20" w:rsidP="00634E33">
            <w:pPr>
              <w:pStyle w:val="a5"/>
            </w:pPr>
            <w:r w:rsidRPr="00CB3F3B">
              <w:t>2009</w:t>
            </w:r>
            <w:r w:rsidRPr="00CB3F3B">
              <w:t>年</w:t>
            </w:r>
            <w:r w:rsidRPr="00CB3F3B">
              <w:t>10</w:t>
            </w:r>
            <w:r w:rsidRPr="00CB3F3B">
              <w:t>月</w:t>
            </w:r>
            <w:r w:rsidRPr="00CB3F3B">
              <w:t>30</w:t>
            </w:r>
            <w:r w:rsidRPr="00CB3F3B">
              <w:t>日</w:t>
            </w:r>
          </w:p>
        </w:tc>
      </w:tr>
      <w:tr w:rsidR="00237D20" w:rsidRPr="00CB3F3B" w14:paraId="30A95E39" w14:textId="77777777" w:rsidTr="00634E33">
        <w:tc>
          <w:tcPr>
            <w:tcW w:w="1564" w:type="dxa"/>
            <w:shd w:val="clear" w:color="auto" w:fill="auto"/>
          </w:tcPr>
          <w:p w14:paraId="48B2BC13" w14:textId="5661D718" w:rsidR="00237D20" w:rsidRPr="00CB3F3B" w:rsidRDefault="00237D20" w:rsidP="00634E33">
            <w:pPr>
              <w:pStyle w:val="a5"/>
            </w:pPr>
            <w:r w:rsidRPr="00CB3F3B">
              <w:t>《残疾人权利</w:t>
            </w:r>
            <w:r w:rsidR="002257C9">
              <w:br/>
            </w:r>
            <w:r w:rsidRPr="00CB3F3B">
              <w:t>公约》</w:t>
            </w:r>
          </w:p>
        </w:tc>
        <w:tc>
          <w:tcPr>
            <w:tcW w:w="3682" w:type="dxa"/>
            <w:shd w:val="clear" w:color="auto" w:fill="auto"/>
          </w:tcPr>
          <w:p w14:paraId="0BE5F7C7" w14:textId="77777777" w:rsidR="00237D20" w:rsidRPr="00CB3F3B" w:rsidRDefault="00237D20" w:rsidP="00634E33">
            <w:pPr>
              <w:pStyle w:val="a5"/>
            </w:pPr>
            <w:r w:rsidRPr="00CB3F3B">
              <w:t>第一次报告</w:t>
            </w:r>
          </w:p>
        </w:tc>
        <w:tc>
          <w:tcPr>
            <w:tcW w:w="2124" w:type="dxa"/>
            <w:shd w:val="clear" w:color="auto" w:fill="auto"/>
          </w:tcPr>
          <w:p w14:paraId="105F3CBA" w14:textId="77777777" w:rsidR="00237D20" w:rsidRPr="00CB3F3B" w:rsidRDefault="00237D20" w:rsidP="00634E33">
            <w:pPr>
              <w:pStyle w:val="a5"/>
            </w:pPr>
            <w:r w:rsidRPr="00CB3F3B">
              <w:t>2012</w:t>
            </w:r>
            <w:r w:rsidRPr="00CB3F3B">
              <w:t>年</w:t>
            </w:r>
            <w:r w:rsidRPr="00CB3F3B">
              <w:t>12</w:t>
            </w:r>
            <w:r w:rsidRPr="00CB3F3B">
              <w:t>月</w:t>
            </w:r>
            <w:r w:rsidRPr="00CB3F3B">
              <w:t>3</w:t>
            </w:r>
            <w:r w:rsidRPr="00CB3F3B">
              <w:t>日</w:t>
            </w:r>
          </w:p>
        </w:tc>
      </w:tr>
    </w:tbl>
    <w:p w14:paraId="5FD1E8B4" w14:textId="3E753A41" w:rsidR="00522F93" w:rsidRDefault="00237D20" w:rsidP="00237D20">
      <w:pPr>
        <w:pStyle w:val="HChGC"/>
      </w:pPr>
      <w:r>
        <w:tab/>
      </w:r>
      <w:r w:rsidR="00522F93">
        <w:rPr>
          <w:rFonts w:hint="eastAsia"/>
        </w:rPr>
        <w:t>三</w:t>
      </w:r>
      <w:r w:rsidR="00522F93">
        <w:rPr>
          <w:rFonts w:hint="eastAsia"/>
        </w:rPr>
        <w:t>.</w:t>
      </w:r>
      <w:r w:rsidR="00522F93">
        <w:rPr>
          <w:rFonts w:hint="eastAsia"/>
        </w:rPr>
        <w:tab/>
      </w:r>
      <w:r w:rsidR="00522F93">
        <w:rPr>
          <w:rFonts w:hint="eastAsia"/>
        </w:rPr>
        <w:t>执行实质性人权条款的情况</w:t>
      </w:r>
    </w:p>
    <w:p w14:paraId="12D91996" w14:textId="25CDD904" w:rsidR="00522F93" w:rsidRDefault="00237D20" w:rsidP="00237D20">
      <w:pPr>
        <w:pStyle w:val="H1GC"/>
      </w:pPr>
      <w:r>
        <w:tab/>
      </w:r>
      <w:r w:rsidR="00522F93">
        <w:rPr>
          <w:rFonts w:hint="eastAsia"/>
        </w:rPr>
        <w:t>A.</w:t>
      </w:r>
      <w:r w:rsidR="00522F93">
        <w:rPr>
          <w:rFonts w:hint="eastAsia"/>
        </w:rPr>
        <w:tab/>
      </w:r>
      <w:r w:rsidR="00522F93">
        <w:rPr>
          <w:rFonts w:hint="eastAsia"/>
        </w:rPr>
        <w:t>不歧视和平等</w:t>
      </w:r>
    </w:p>
    <w:p w14:paraId="2DB73AF4" w14:textId="45CF1D8E" w:rsidR="00522F93" w:rsidRDefault="00522F93" w:rsidP="00C45D05">
      <w:pPr>
        <w:pStyle w:val="SingleTxtGC"/>
        <w:tabs>
          <w:tab w:val="clear" w:pos="1565"/>
          <w:tab w:val="left" w:pos="1701"/>
        </w:tabs>
      </w:pPr>
      <w:r>
        <w:rPr>
          <w:rFonts w:hint="eastAsia"/>
        </w:rPr>
        <w:t>178.</w:t>
      </w:r>
      <w:r>
        <w:rPr>
          <w:rFonts w:hint="eastAsia"/>
        </w:rPr>
        <w:tab/>
      </w:r>
      <w:r>
        <w:rPr>
          <w:rFonts w:hint="eastAsia"/>
        </w:rPr>
        <w:t>防止基于任何理由的歧视和不平等的首要保障是《宪法》。</w:t>
      </w:r>
      <w:r>
        <w:rPr>
          <w:rFonts w:hint="eastAsia"/>
        </w:rPr>
        <w:t>2017</w:t>
      </w:r>
      <w:r>
        <w:rPr>
          <w:rFonts w:hint="eastAsia"/>
        </w:rPr>
        <w:t>年《宪法》在以下四个条款中明确规定了不歧视和平等的原则：</w:t>
      </w:r>
    </w:p>
    <w:p w14:paraId="695D639A" w14:textId="0285A431" w:rsidR="00522F93" w:rsidRDefault="00B5139F" w:rsidP="002257C9">
      <w:pPr>
        <w:pStyle w:val="SingleTxtGC"/>
      </w:pPr>
      <w:r>
        <w:tab/>
      </w:r>
      <w:r w:rsidR="00522F93">
        <w:rPr>
          <w:rFonts w:hint="eastAsia"/>
        </w:rPr>
        <w:t>一</w:t>
      </w:r>
      <w:r w:rsidR="00522F93">
        <w:rPr>
          <w:rFonts w:hint="eastAsia"/>
        </w:rPr>
        <w:t>.</w:t>
      </w:r>
      <w:r w:rsidR="00522F93">
        <w:rPr>
          <w:rFonts w:hint="eastAsia"/>
        </w:rPr>
        <w:tab/>
      </w:r>
      <w:r w:rsidR="00522F93">
        <w:rPr>
          <w:rFonts w:hint="eastAsia"/>
        </w:rPr>
        <w:t>第</w:t>
      </w:r>
      <w:r w:rsidR="00522F93">
        <w:rPr>
          <w:rFonts w:hint="eastAsia"/>
        </w:rPr>
        <w:t>27</w:t>
      </w:r>
      <w:r w:rsidR="00522F93">
        <w:rPr>
          <w:rFonts w:hint="eastAsia"/>
        </w:rPr>
        <w:t>条</w:t>
      </w:r>
    </w:p>
    <w:p w14:paraId="3EC2F74B" w14:textId="19F0A9E3" w:rsidR="00522F93" w:rsidRDefault="00522F93" w:rsidP="00522F93">
      <w:pPr>
        <w:pStyle w:val="SingleTxtGC"/>
      </w:pPr>
      <w:r>
        <w:rPr>
          <w:rFonts w:hint="eastAsia"/>
        </w:rPr>
        <w:tab/>
      </w:r>
      <w:r>
        <w:rPr>
          <w:rFonts w:hint="eastAsia"/>
        </w:rPr>
        <w:t>“法律面前人人平等，人人应享有权利和自由，并受到法律的平等保护。</w:t>
      </w:r>
    </w:p>
    <w:p w14:paraId="5895C4BF" w14:textId="40B2337F" w:rsidR="00522F93" w:rsidRDefault="00522F93" w:rsidP="00522F93">
      <w:pPr>
        <w:pStyle w:val="SingleTxtGC"/>
      </w:pPr>
      <w:r>
        <w:rPr>
          <w:rFonts w:hint="eastAsia"/>
        </w:rPr>
        <w:tab/>
      </w:r>
      <w:r>
        <w:rPr>
          <w:rFonts w:hint="eastAsia"/>
        </w:rPr>
        <w:t>“男女享有平等权利。</w:t>
      </w:r>
    </w:p>
    <w:p w14:paraId="04A9BEB0" w14:textId="0F6E544C" w:rsidR="00522F93" w:rsidRDefault="00522F93" w:rsidP="00522F93">
      <w:pPr>
        <w:pStyle w:val="SingleTxtGC"/>
      </w:pPr>
      <w:r>
        <w:rPr>
          <w:rFonts w:hint="eastAsia"/>
        </w:rPr>
        <w:tab/>
      </w:r>
      <w:r>
        <w:rPr>
          <w:rFonts w:hint="eastAsia"/>
        </w:rPr>
        <w:t>“不允许基于出身、种族、语言、性别、年龄、残疾、身体或健康状况、个人身份、经济和社会地位、宗教信仰、教育或不违反《宪法》规定的政治观点的差异，或基于任何其他理由，对一个人进行不公正的歧视。</w:t>
      </w:r>
    </w:p>
    <w:p w14:paraId="7F051D9B" w14:textId="29087DCE" w:rsidR="00522F93" w:rsidRDefault="00522F93" w:rsidP="00522F93">
      <w:pPr>
        <w:pStyle w:val="SingleTxtGC"/>
      </w:pPr>
      <w:r>
        <w:rPr>
          <w:rFonts w:hint="eastAsia"/>
        </w:rPr>
        <w:lastRenderedPageBreak/>
        <w:tab/>
      </w:r>
      <w:r w:rsidR="0015190F">
        <w:rPr>
          <w:rFonts w:hint="eastAsia"/>
        </w:rPr>
        <w:t>“</w:t>
      </w:r>
      <w:r>
        <w:rPr>
          <w:rFonts w:hint="eastAsia"/>
        </w:rPr>
        <w:t>国家为消除障碍或提高人们在与其他人同等的基础上行使其权利或自由的能力，或为保护或便利儿童、妇女、老年人、残疾人或处境不利的人而确定的措施，不应视为第三款规定的不公正歧视。</w:t>
      </w:r>
    </w:p>
    <w:p w14:paraId="024DC1F1" w14:textId="16A4B430" w:rsidR="00522F93" w:rsidRDefault="00522F93" w:rsidP="00522F93">
      <w:pPr>
        <w:pStyle w:val="SingleTxtGC"/>
      </w:pPr>
      <w:r>
        <w:rPr>
          <w:rFonts w:hint="eastAsia"/>
        </w:rPr>
        <w:tab/>
      </w:r>
      <w:r>
        <w:rPr>
          <w:rFonts w:hint="eastAsia"/>
        </w:rPr>
        <w:t>“武装部队成员、警察部队成员、政府官员、其他国家官员、国家组织的官员或雇员应享有与其他人相同的权利和自由，但法律特别在政治、能力、纪律或道德方面限制的权利和自由除外。”</w:t>
      </w:r>
    </w:p>
    <w:p w14:paraId="7C15ED20" w14:textId="7E446BA1" w:rsidR="00522F93" w:rsidRDefault="00B5139F" w:rsidP="002257C9">
      <w:pPr>
        <w:pStyle w:val="SingleTxtGC"/>
      </w:pPr>
      <w:r>
        <w:tab/>
      </w:r>
      <w:r w:rsidR="00522F93">
        <w:rPr>
          <w:rFonts w:hint="eastAsia"/>
        </w:rPr>
        <w:t>二</w:t>
      </w:r>
      <w:r w:rsidR="00522F93">
        <w:rPr>
          <w:rFonts w:hint="eastAsia"/>
        </w:rPr>
        <w:t>.</w:t>
      </w:r>
      <w:r>
        <w:tab/>
      </w:r>
      <w:r w:rsidR="00522F93">
        <w:rPr>
          <w:rFonts w:hint="eastAsia"/>
        </w:rPr>
        <w:t>第</w:t>
      </w:r>
      <w:r w:rsidR="00522F93">
        <w:rPr>
          <w:rFonts w:hint="eastAsia"/>
        </w:rPr>
        <w:t>40</w:t>
      </w:r>
      <w:r w:rsidR="00522F93">
        <w:rPr>
          <w:rFonts w:hint="eastAsia"/>
        </w:rPr>
        <w:t>条第</w:t>
      </w:r>
      <w:r w:rsidR="00522F93">
        <w:rPr>
          <w:rFonts w:hint="eastAsia"/>
        </w:rPr>
        <w:t>3</w:t>
      </w:r>
      <w:r w:rsidR="00522F93">
        <w:rPr>
          <w:rFonts w:hint="eastAsia"/>
        </w:rPr>
        <w:t>款</w:t>
      </w:r>
    </w:p>
    <w:p w14:paraId="7036D5C4" w14:textId="47A16157" w:rsidR="00522F93" w:rsidRDefault="00522F93" w:rsidP="00522F93">
      <w:pPr>
        <w:pStyle w:val="SingleTxtGC"/>
      </w:pPr>
      <w:r>
        <w:rPr>
          <w:rFonts w:hint="eastAsia"/>
        </w:rPr>
        <w:tab/>
      </w:r>
      <w:r>
        <w:rPr>
          <w:rFonts w:hint="eastAsia"/>
        </w:rPr>
        <w:t>“颁布法律以规范从事职业……不得以歧视的方式……”</w:t>
      </w:r>
    </w:p>
    <w:p w14:paraId="02B3BBC4" w14:textId="69F53022" w:rsidR="00522F93" w:rsidRDefault="00B5139F" w:rsidP="002257C9">
      <w:pPr>
        <w:pStyle w:val="SingleTxtGC"/>
      </w:pPr>
      <w:r>
        <w:tab/>
      </w:r>
      <w:r w:rsidR="00522F93">
        <w:rPr>
          <w:rFonts w:hint="eastAsia"/>
        </w:rPr>
        <w:t>三</w:t>
      </w:r>
      <w:r w:rsidR="00522F93">
        <w:rPr>
          <w:rFonts w:hint="eastAsia"/>
        </w:rPr>
        <w:t>.</w:t>
      </w:r>
      <w:r>
        <w:tab/>
      </w:r>
      <w:r w:rsidR="00522F93">
        <w:rPr>
          <w:rFonts w:hint="eastAsia"/>
        </w:rPr>
        <w:t>第</w:t>
      </w:r>
      <w:r w:rsidR="00522F93">
        <w:rPr>
          <w:rFonts w:hint="eastAsia"/>
        </w:rPr>
        <w:t>68</w:t>
      </w:r>
      <w:r w:rsidR="00522F93">
        <w:rPr>
          <w:rFonts w:hint="eastAsia"/>
        </w:rPr>
        <w:t>条第</w:t>
      </w:r>
      <w:r w:rsidR="00522F93">
        <w:rPr>
          <w:rFonts w:hint="eastAsia"/>
        </w:rPr>
        <w:t>1</w:t>
      </w:r>
      <w:r w:rsidR="00522F93">
        <w:rPr>
          <w:rFonts w:hint="eastAsia"/>
        </w:rPr>
        <w:t>款</w:t>
      </w:r>
    </w:p>
    <w:p w14:paraId="4436EF8C" w14:textId="15202086" w:rsidR="00522F93" w:rsidRDefault="00522F93" w:rsidP="00522F93">
      <w:pPr>
        <w:pStyle w:val="SingleTxtGC"/>
      </w:pPr>
      <w:r>
        <w:rPr>
          <w:rFonts w:hint="eastAsia"/>
        </w:rPr>
        <w:tab/>
      </w:r>
      <w:r>
        <w:rPr>
          <w:rFonts w:hint="eastAsia"/>
        </w:rPr>
        <w:t>“国家应安排司法程序管理系统的方方面面，以确保效率、公平和不歧视，并应确保人民能够毫不拖延地以方便快捷的方式诉诸司法程序，而不必承担过多的费用。”</w:t>
      </w:r>
    </w:p>
    <w:p w14:paraId="0A90A130" w14:textId="5BF89190" w:rsidR="00522F93" w:rsidRDefault="00B5139F" w:rsidP="002257C9">
      <w:pPr>
        <w:pStyle w:val="SingleTxtGC"/>
      </w:pPr>
      <w:r>
        <w:tab/>
      </w:r>
      <w:r w:rsidR="00522F93">
        <w:rPr>
          <w:rFonts w:hint="eastAsia"/>
        </w:rPr>
        <w:t>四</w:t>
      </w:r>
      <w:r w:rsidR="00522F93">
        <w:rPr>
          <w:rFonts w:hint="eastAsia"/>
        </w:rPr>
        <w:t>.</w:t>
      </w:r>
      <w:r>
        <w:tab/>
      </w:r>
      <w:r w:rsidR="00522F93">
        <w:rPr>
          <w:rFonts w:hint="eastAsia"/>
        </w:rPr>
        <w:t>第</w:t>
      </w:r>
      <w:r w:rsidR="00522F93">
        <w:rPr>
          <w:rFonts w:hint="eastAsia"/>
        </w:rPr>
        <w:t>76</w:t>
      </w:r>
      <w:r w:rsidR="00522F93">
        <w:rPr>
          <w:rFonts w:hint="eastAsia"/>
        </w:rPr>
        <w:t>条</w:t>
      </w:r>
    </w:p>
    <w:p w14:paraId="698451F4" w14:textId="242EE944" w:rsidR="00522F93" w:rsidRDefault="00522F93" w:rsidP="00522F93">
      <w:pPr>
        <w:pStyle w:val="SingleTxtGC"/>
      </w:pPr>
      <w:r>
        <w:rPr>
          <w:rFonts w:hint="eastAsia"/>
        </w:rPr>
        <w:tab/>
      </w:r>
      <w:r w:rsidR="0015190F">
        <w:rPr>
          <w:rFonts w:hint="eastAsia"/>
        </w:rPr>
        <w:t>“</w:t>
      </w:r>
      <w:r>
        <w:rPr>
          <w:rFonts w:hint="eastAsia"/>
        </w:rPr>
        <w:t>国家应根据良好公共治理原则，制定中央、地区和地方行政部门的国家事务管理制度，以及其他国家事务管理制度，但国家机构应在履行职责时相互合作和协助，以便为人民的利益最大限度地提高国家事务管理、公共服务提供和预算支出的效率。国家还应培养国家官员的廉正观，培养他们以迅速、快捷和非歧视的方式为公众服务以及高效履行职责的态度。</w:t>
      </w:r>
      <w:r w:rsidR="0015190F">
        <w:rPr>
          <w:rFonts w:hint="eastAsia"/>
        </w:rPr>
        <w:t>”</w:t>
      </w:r>
    </w:p>
    <w:p w14:paraId="1448DB3B" w14:textId="262EE655" w:rsidR="00522F93" w:rsidRDefault="00522F93" w:rsidP="00C45D05">
      <w:pPr>
        <w:pStyle w:val="SingleTxtGC"/>
        <w:tabs>
          <w:tab w:val="clear" w:pos="1565"/>
          <w:tab w:val="left" w:pos="1701"/>
        </w:tabs>
      </w:pPr>
      <w:r>
        <w:rPr>
          <w:rFonts w:hint="eastAsia"/>
        </w:rPr>
        <w:t>179.</w:t>
      </w:r>
      <w:r>
        <w:rPr>
          <w:rFonts w:hint="eastAsia"/>
        </w:rPr>
        <w:tab/>
      </w:r>
      <w:r>
        <w:rPr>
          <w:rFonts w:hint="eastAsia"/>
        </w:rPr>
        <w:t>泰国继续努力使所有人，包括弱势群体，如儿童、妇女、残疾人、老年人、少数民族，能够在与其他人平等的条件下获得和行使自己的权利。例如，</w:t>
      </w:r>
      <w:r>
        <w:rPr>
          <w:rFonts w:hint="eastAsia"/>
        </w:rPr>
        <w:t>2014</w:t>
      </w:r>
      <w:r>
        <w:rPr>
          <w:rFonts w:hint="eastAsia"/>
        </w:rPr>
        <w:t>年《弱势群体保护法》为无家可归者、生活贫困或条件困难的人提供了更好的保护，包括提供社会福利、住所、保健、教育和就业机会。此外，政府还推出了福利卡计划，使</w:t>
      </w:r>
      <w:r>
        <w:rPr>
          <w:rFonts w:hint="eastAsia"/>
        </w:rPr>
        <w:t>1</w:t>
      </w:r>
      <w:r w:rsidR="00C748E7">
        <w:rPr>
          <w:rFonts w:hint="eastAsia"/>
        </w:rPr>
        <w:t>,</w:t>
      </w:r>
      <w:r>
        <w:rPr>
          <w:rFonts w:hint="eastAsia"/>
        </w:rPr>
        <w:t>100</w:t>
      </w:r>
      <w:r>
        <w:rPr>
          <w:rFonts w:hint="eastAsia"/>
        </w:rPr>
        <w:t>多万登记的低收入者受益。第</w:t>
      </w:r>
      <w:r>
        <w:rPr>
          <w:rFonts w:hint="eastAsia"/>
        </w:rPr>
        <w:t>57</w:t>
      </w:r>
      <w:r>
        <w:rPr>
          <w:rFonts w:hint="eastAsia"/>
        </w:rPr>
        <w:t>、</w:t>
      </w:r>
      <w:r>
        <w:rPr>
          <w:rFonts w:hint="eastAsia"/>
        </w:rPr>
        <w:t>62</w:t>
      </w:r>
      <w:r>
        <w:rPr>
          <w:rFonts w:hint="eastAsia"/>
        </w:rPr>
        <w:t>至</w:t>
      </w:r>
      <w:r>
        <w:rPr>
          <w:rFonts w:hint="eastAsia"/>
        </w:rPr>
        <w:t>74</w:t>
      </w:r>
      <w:r>
        <w:rPr>
          <w:rFonts w:hint="eastAsia"/>
        </w:rPr>
        <w:t>、</w:t>
      </w:r>
      <w:r>
        <w:rPr>
          <w:rFonts w:hint="eastAsia"/>
        </w:rPr>
        <w:t>82</w:t>
      </w:r>
      <w:r>
        <w:rPr>
          <w:rFonts w:hint="eastAsia"/>
        </w:rPr>
        <w:t>至</w:t>
      </w:r>
      <w:r>
        <w:rPr>
          <w:rFonts w:hint="eastAsia"/>
        </w:rPr>
        <w:t>136</w:t>
      </w:r>
      <w:r>
        <w:rPr>
          <w:rFonts w:hint="eastAsia"/>
        </w:rPr>
        <w:t>和</w:t>
      </w:r>
      <w:r>
        <w:rPr>
          <w:rFonts w:hint="eastAsia"/>
        </w:rPr>
        <w:t>141</w:t>
      </w:r>
      <w:r>
        <w:rPr>
          <w:rFonts w:hint="eastAsia"/>
        </w:rPr>
        <w:t>至</w:t>
      </w:r>
      <w:r>
        <w:rPr>
          <w:rFonts w:hint="eastAsia"/>
        </w:rPr>
        <w:t>165</w:t>
      </w:r>
      <w:r>
        <w:rPr>
          <w:rFonts w:hint="eastAsia"/>
        </w:rPr>
        <w:t>段介绍了其他相关法律、政策和方案，表明泰国在消除歧视和不平等方面所做的努力。</w:t>
      </w:r>
    </w:p>
    <w:p w14:paraId="4A0F14E4" w14:textId="529A62F2" w:rsidR="00522F93" w:rsidRDefault="00B5139F" w:rsidP="00B5139F">
      <w:pPr>
        <w:pStyle w:val="H1GC"/>
      </w:pPr>
      <w:r>
        <w:tab/>
      </w:r>
      <w:r w:rsidR="00522F93">
        <w:rPr>
          <w:rFonts w:hint="eastAsia"/>
        </w:rPr>
        <w:t>B.</w:t>
      </w:r>
      <w:r w:rsidR="00522F93">
        <w:rPr>
          <w:rFonts w:hint="eastAsia"/>
        </w:rPr>
        <w:tab/>
      </w:r>
      <w:r w:rsidR="00522F93">
        <w:rPr>
          <w:rFonts w:hint="eastAsia"/>
        </w:rPr>
        <w:t>有效补救措施</w:t>
      </w:r>
    </w:p>
    <w:p w14:paraId="3FA139FB" w14:textId="615516C5" w:rsidR="00522F93" w:rsidRDefault="00522F93" w:rsidP="00C45D05">
      <w:pPr>
        <w:pStyle w:val="SingleTxtGC"/>
        <w:tabs>
          <w:tab w:val="clear" w:pos="1565"/>
          <w:tab w:val="left" w:pos="1701"/>
        </w:tabs>
      </w:pPr>
      <w:r>
        <w:rPr>
          <w:rFonts w:hint="eastAsia"/>
        </w:rPr>
        <w:t>180.</w:t>
      </w:r>
      <w:r>
        <w:rPr>
          <w:rFonts w:hint="eastAsia"/>
        </w:rPr>
        <w:tab/>
      </w:r>
      <w:r>
        <w:rPr>
          <w:rFonts w:hint="eastAsia"/>
        </w:rPr>
        <w:t>关于泰国现有有效补救办法的资料见第</w:t>
      </w:r>
      <w:r>
        <w:rPr>
          <w:rFonts w:hint="eastAsia"/>
        </w:rPr>
        <w:t>69</w:t>
      </w:r>
      <w:r>
        <w:rPr>
          <w:rFonts w:hint="eastAsia"/>
        </w:rPr>
        <w:t>至</w:t>
      </w:r>
      <w:r>
        <w:rPr>
          <w:rFonts w:hint="eastAsia"/>
        </w:rPr>
        <w:t>71</w:t>
      </w:r>
      <w:r>
        <w:rPr>
          <w:rFonts w:hint="eastAsia"/>
        </w:rPr>
        <w:t>段。</w:t>
      </w:r>
    </w:p>
    <w:p w14:paraId="273A3325" w14:textId="07D2CAA4" w:rsidR="00522F93" w:rsidRDefault="00B5139F" w:rsidP="00B5139F">
      <w:pPr>
        <w:pStyle w:val="H1GC"/>
      </w:pPr>
      <w:r>
        <w:tab/>
      </w:r>
      <w:r w:rsidR="00522F93">
        <w:rPr>
          <w:rFonts w:hint="eastAsia"/>
        </w:rPr>
        <w:t>C.</w:t>
      </w:r>
      <w:r w:rsidR="00522F93">
        <w:rPr>
          <w:rFonts w:hint="eastAsia"/>
        </w:rPr>
        <w:tab/>
      </w:r>
      <w:r w:rsidR="00522F93">
        <w:rPr>
          <w:rFonts w:hint="eastAsia"/>
        </w:rPr>
        <w:t>程序性保障</w:t>
      </w:r>
    </w:p>
    <w:p w14:paraId="7EC8C790" w14:textId="21615496" w:rsidR="00522F93" w:rsidRDefault="00522F93" w:rsidP="00C45D05">
      <w:pPr>
        <w:pStyle w:val="SingleTxtGC"/>
        <w:tabs>
          <w:tab w:val="clear" w:pos="1565"/>
          <w:tab w:val="left" w:pos="1701"/>
        </w:tabs>
      </w:pPr>
      <w:r>
        <w:rPr>
          <w:rFonts w:hint="eastAsia"/>
        </w:rPr>
        <w:t>181.</w:t>
      </w:r>
      <w:r>
        <w:rPr>
          <w:rFonts w:hint="eastAsia"/>
        </w:rPr>
        <w:tab/>
      </w:r>
      <w:r>
        <w:rPr>
          <w:rFonts w:hint="eastAsia"/>
        </w:rPr>
        <w:t>泰国努力确保每个人，特别是弱势群体，都能平等诉诸司法</w:t>
      </w:r>
      <w:r>
        <w:rPr>
          <w:rFonts w:hint="eastAsia"/>
        </w:rPr>
        <w:t>(</w:t>
      </w:r>
      <w:r>
        <w:rPr>
          <w:rFonts w:hint="eastAsia"/>
        </w:rPr>
        <w:t>见第</w:t>
      </w:r>
      <w:r>
        <w:rPr>
          <w:rFonts w:hint="eastAsia"/>
        </w:rPr>
        <w:t>62-68</w:t>
      </w:r>
      <w:r>
        <w:rPr>
          <w:rFonts w:hint="eastAsia"/>
        </w:rPr>
        <w:t>段</w:t>
      </w:r>
      <w:r>
        <w:rPr>
          <w:rFonts w:hint="eastAsia"/>
        </w:rPr>
        <w:t>)</w:t>
      </w:r>
      <w:r>
        <w:rPr>
          <w:rFonts w:hint="eastAsia"/>
        </w:rPr>
        <w:t>。它保证向所有人提供免费律师和法律咨询，无论其经济状况或国籍如何。此外，如第</w:t>
      </w:r>
      <w:r>
        <w:rPr>
          <w:rFonts w:hint="eastAsia"/>
        </w:rPr>
        <w:t>64</w:t>
      </w:r>
      <w:r>
        <w:rPr>
          <w:rFonts w:hint="eastAsia"/>
        </w:rPr>
        <w:t>段所述，新近颁布的</w:t>
      </w:r>
      <w:r>
        <w:rPr>
          <w:rFonts w:hint="eastAsia"/>
        </w:rPr>
        <w:t>2015</w:t>
      </w:r>
      <w:r>
        <w:rPr>
          <w:rFonts w:hint="eastAsia"/>
        </w:rPr>
        <w:t>年《司法基金法》旨在减少社会差距。</w:t>
      </w:r>
    </w:p>
    <w:p w14:paraId="779CD732" w14:textId="6BEB2AB4" w:rsidR="00522F93" w:rsidRDefault="00522F93" w:rsidP="00C45D05">
      <w:pPr>
        <w:pStyle w:val="SingleTxtGC"/>
        <w:tabs>
          <w:tab w:val="clear" w:pos="1565"/>
          <w:tab w:val="left" w:pos="1701"/>
        </w:tabs>
      </w:pPr>
      <w:r>
        <w:rPr>
          <w:rFonts w:hint="eastAsia"/>
        </w:rPr>
        <w:t>182.</w:t>
      </w:r>
      <w:r>
        <w:rPr>
          <w:rFonts w:hint="eastAsia"/>
        </w:rPr>
        <w:tab/>
      </w:r>
      <w:r>
        <w:rPr>
          <w:rFonts w:hint="eastAsia"/>
        </w:rPr>
        <w:t>关于刑事司法制度，如果有人提起起诉，法院将公平和无歧视地审理该案件，无论被告和原告的地位如何，也无论他们是无国籍还是法律地位不明确。一些泰国非政府组织和国际组织愿意在审判期间提供援助，与受害者密切和独立合作，不受国家的任何干预和阻挠。</w:t>
      </w:r>
    </w:p>
    <w:p w14:paraId="56F88AFB" w14:textId="773F8CDA" w:rsidR="00522F93" w:rsidRDefault="00B5139F" w:rsidP="00931317">
      <w:pPr>
        <w:pStyle w:val="H1GC"/>
      </w:pPr>
      <w:r>
        <w:lastRenderedPageBreak/>
        <w:tab/>
      </w:r>
      <w:r w:rsidR="00522F93">
        <w:rPr>
          <w:rFonts w:hint="eastAsia"/>
        </w:rPr>
        <w:t>D.</w:t>
      </w:r>
      <w:r w:rsidR="00522F93">
        <w:rPr>
          <w:rFonts w:hint="eastAsia"/>
        </w:rPr>
        <w:tab/>
      </w:r>
      <w:r w:rsidR="00522F93">
        <w:rPr>
          <w:rFonts w:hint="eastAsia"/>
        </w:rPr>
        <w:t>参与公共生活</w:t>
      </w:r>
    </w:p>
    <w:p w14:paraId="17F895BB" w14:textId="14F7C28E" w:rsidR="00522F93" w:rsidRDefault="00522F93" w:rsidP="00C45D05">
      <w:pPr>
        <w:pStyle w:val="SingleTxtGC"/>
        <w:tabs>
          <w:tab w:val="clear" w:pos="1565"/>
          <w:tab w:val="left" w:pos="1701"/>
        </w:tabs>
      </w:pPr>
      <w:r>
        <w:rPr>
          <w:rFonts w:hint="eastAsia"/>
        </w:rPr>
        <w:t>183.</w:t>
      </w:r>
      <w:r>
        <w:rPr>
          <w:rFonts w:hint="eastAsia"/>
        </w:rPr>
        <w:tab/>
      </w:r>
      <w:r>
        <w:rPr>
          <w:rFonts w:hint="eastAsia"/>
        </w:rPr>
        <w:t>第</w:t>
      </w:r>
      <w:r>
        <w:rPr>
          <w:rFonts w:hint="eastAsia"/>
        </w:rPr>
        <w:t>132</w:t>
      </w:r>
      <w:r>
        <w:rPr>
          <w:rFonts w:hint="eastAsia"/>
        </w:rPr>
        <w:t>至</w:t>
      </w:r>
      <w:r>
        <w:rPr>
          <w:rFonts w:hint="eastAsia"/>
        </w:rPr>
        <w:t>133</w:t>
      </w:r>
      <w:r>
        <w:rPr>
          <w:rFonts w:hint="eastAsia"/>
        </w:rPr>
        <w:t>段提到了《国籍法》以及申请泰国国籍的相关条件。</w:t>
      </w:r>
    </w:p>
    <w:p w14:paraId="3694D28B" w14:textId="4789988D" w:rsidR="00522F93" w:rsidRDefault="00522F93" w:rsidP="00C45D05">
      <w:pPr>
        <w:pStyle w:val="SingleTxtGC"/>
        <w:tabs>
          <w:tab w:val="clear" w:pos="1565"/>
          <w:tab w:val="left" w:pos="1701"/>
        </w:tabs>
      </w:pPr>
      <w:r>
        <w:rPr>
          <w:rFonts w:hint="eastAsia"/>
        </w:rPr>
        <w:t>184.</w:t>
      </w:r>
      <w:r>
        <w:rPr>
          <w:rFonts w:hint="eastAsia"/>
        </w:rPr>
        <w:tab/>
      </w:r>
      <w:r>
        <w:rPr>
          <w:rFonts w:hint="eastAsia"/>
        </w:rPr>
        <w:t>关于泰国选举制度的资料见第</w:t>
      </w:r>
      <w:r>
        <w:rPr>
          <w:rFonts w:hint="eastAsia"/>
        </w:rPr>
        <w:t>57</w:t>
      </w:r>
      <w:r>
        <w:rPr>
          <w:rFonts w:hint="eastAsia"/>
        </w:rPr>
        <w:t>至</w:t>
      </w:r>
      <w:r>
        <w:rPr>
          <w:rFonts w:hint="eastAsia"/>
        </w:rPr>
        <w:t>59</w:t>
      </w:r>
      <w:r>
        <w:rPr>
          <w:rFonts w:hint="eastAsia"/>
        </w:rPr>
        <w:t>段。</w:t>
      </w:r>
    </w:p>
    <w:p w14:paraId="065DED66" w14:textId="1B71BB84" w:rsidR="00522F93" w:rsidRDefault="00522F93" w:rsidP="00C45D05">
      <w:pPr>
        <w:pStyle w:val="SingleTxtGC"/>
        <w:tabs>
          <w:tab w:val="clear" w:pos="1565"/>
          <w:tab w:val="left" w:pos="1701"/>
        </w:tabs>
      </w:pPr>
      <w:r>
        <w:rPr>
          <w:rFonts w:hint="eastAsia"/>
        </w:rPr>
        <w:t>185.</w:t>
      </w:r>
      <w:r>
        <w:rPr>
          <w:rFonts w:hint="eastAsia"/>
        </w:rPr>
        <w:tab/>
      </w:r>
      <w:r>
        <w:rPr>
          <w:rFonts w:hint="eastAsia"/>
        </w:rPr>
        <w:t>泰国的民间社会非常活跃</w:t>
      </w:r>
      <w:r>
        <w:rPr>
          <w:rFonts w:hint="eastAsia"/>
        </w:rPr>
        <w:t>(</w:t>
      </w:r>
      <w:r>
        <w:rPr>
          <w:rFonts w:hint="eastAsia"/>
        </w:rPr>
        <w:t>见第</w:t>
      </w:r>
      <w:r>
        <w:rPr>
          <w:rFonts w:hint="eastAsia"/>
        </w:rPr>
        <w:t>160</w:t>
      </w:r>
      <w:r>
        <w:rPr>
          <w:rFonts w:hint="eastAsia"/>
        </w:rPr>
        <w:t>至</w:t>
      </w:r>
      <w:r>
        <w:rPr>
          <w:rFonts w:hint="eastAsia"/>
        </w:rPr>
        <w:t>164</w:t>
      </w:r>
      <w:r>
        <w:rPr>
          <w:rFonts w:hint="eastAsia"/>
        </w:rPr>
        <w:t>段</w:t>
      </w:r>
      <w:r>
        <w:rPr>
          <w:rFonts w:hint="eastAsia"/>
        </w:rPr>
        <w:t>)</w:t>
      </w:r>
      <w:r>
        <w:rPr>
          <w:rFonts w:hint="eastAsia"/>
        </w:rPr>
        <w:t>。政府与包括媒体在内的民间社会组织密切合作，并承认它们的工作是国家公共和政治生活的一部分。</w:t>
      </w:r>
    </w:p>
    <w:p w14:paraId="251C000E" w14:textId="423EFB40" w:rsidR="00AE11DC" w:rsidRDefault="00AE11DC" w:rsidP="00522F93">
      <w:pPr>
        <w:pStyle w:val="SingleTxtGC"/>
      </w:pPr>
    </w:p>
    <w:p w14:paraId="612661DB" w14:textId="77777777" w:rsidR="00B5139F" w:rsidRPr="002D6A9C" w:rsidRDefault="00B5139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0539AB1B" w14:textId="31DC07DC" w:rsidR="00B5139F" w:rsidRPr="00AE11DC" w:rsidRDefault="00B5139F" w:rsidP="00522F93">
      <w:pPr>
        <w:pStyle w:val="SingleTxtGC"/>
      </w:pPr>
    </w:p>
    <w:sectPr w:rsidR="00B5139F" w:rsidRPr="00AE11DC" w:rsidSect="0045772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B874" w14:textId="77777777" w:rsidR="008C0564" w:rsidRPr="000D319F" w:rsidRDefault="008C0564" w:rsidP="000D319F">
      <w:pPr>
        <w:pStyle w:val="af0"/>
        <w:spacing w:after="240"/>
        <w:ind w:left="907"/>
        <w:rPr>
          <w:rFonts w:asciiTheme="majorBidi" w:eastAsia="宋体" w:hAnsiTheme="majorBidi" w:cstheme="majorBidi"/>
          <w:sz w:val="21"/>
          <w:szCs w:val="21"/>
          <w:lang w:val="en-US"/>
        </w:rPr>
      </w:pPr>
    </w:p>
    <w:p w14:paraId="2C44230B" w14:textId="77777777" w:rsidR="008C0564" w:rsidRPr="000D319F" w:rsidRDefault="008C056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E96AFF9" w14:textId="77777777" w:rsidR="008C0564" w:rsidRPr="000D319F" w:rsidRDefault="008C0564" w:rsidP="000D319F">
      <w:pPr>
        <w:pStyle w:val="af0"/>
      </w:pPr>
    </w:p>
  </w:endnote>
  <w:endnote w:type="continuationNotice" w:id="1">
    <w:p w14:paraId="611BB4C8" w14:textId="77777777" w:rsidR="008C0564" w:rsidRDefault="008C05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406D" w14:textId="77777777" w:rsidR="00056632" w:rsidRPr="00522F93" w:rsidRDefault="00522F93" w:rsidP="00522F9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22F93">
      <w:rPr>
        <w:rStyle w:val="af2"/>
        <w:b w:val="0"/>
        <w:snapToGrid w:val="0"/>
        <w:sz w:val="16"/>
      </w:rPr>
      <w:t>GE.21-18208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6DE1" w14:textId="77777777" w:rsidR="00056632" w:rsidRPr="00522F93" w:rsidRDefault="00522F93" w:rsidP="00522F93">
    <w:pPr>
      <w:pStyle w:val="af0"/>
      <w:tabs>
        <w:tab w:val="clear" w:pos="431"/>
        <w:tab w:val="right" w:pos="9638"/>
      </w:tabs>
      <w:rPr>
        <w:rStyle w:val="af2"/>
      </w:rPr>
    </w:pPr>
    <w:r>
      <w:t>GE.21-18208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A7FA" w14:textId="2C58964F" w:rsidR="00056632" w:rsidRPr="00487939" w:rsidRDefault="00522F93" w:rsidP="00865ED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9B6E7D2" wp14:editId="28E85AF4">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GE.21-18208</w:t>
    </w:r>
    <w:r w:rsidR="00731A42" w:rsidRPr="00EE277A">
      <w:rPr>
        <w:sz w:val="20"/>
        <w:lang w:eastAsia="zh-CN"/>
      </w:rPr>
      <w:t xml:space="preserve"> (C)</w:t>
    </w:r>
    <w:r w:rsidR="0013023B">
      <w:rPr>
        <w:sz w:val="20"/>
        <w:lang w:eastAsia="zh-CN"/>
      </w:rPr>
      <w:tab/>
    </w:r>
    <w:r w:rsidR="00B47672">
      <w:rPr>
        <w:sz w:val="20"/>
        <w:lang w:eastAsia="zh-CN"/>
      </w:rPr>
      <w:t>310122</w:t>
    </w:r>
    <w:r w:rsidR="00731A42">
      <w:rPr>
        <w:sz w:val="20"/>
        <w:lang w:eastAsia="zh-CN"/>
      </w:rPr>
      <w:tab/>
    </w:r>
    <w:r w:rsidR="00B47672">
      <w:rPr>
        <w:sz w:val="20"/>
        <w:lang w:eastAsia="zh-CN"/>
      </w:rPr>
      <w:t>230322</w:t>
    </w:r>
    <w:r w:rsidR="00731A42">
      <w:rPr>
        <w:b/>
        <w:sz w:val="21"/>
      </w:rPr>
      <w:tab/>
    </w:r>
    <w:r w:rsidR="00A1364C">
      <w:rPr>
        <w:rFonts w:hint="eastAsia"/>
        <w:b/>
        <w:noProof/>
        <w:snapToGrid/>
        <w:sz w:val="21"/>
        <w:lang w:val="en-US" w:eastAsia="zh-CN"/>
      </w:rPr>
      <w:drawing>
        <wp:inline distT="0" distB="0" distL="0" distR="0" wp14:anchorId="74F5F92F" wp14:editId="1B65894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9EF3" w14:textId="77777777" w:rsidR="008C0564" w:rsidRPr="000157B1" w:rsidRDefault="008C056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1FBCF27" w14:textId="77777777" w:rsidR="008C0564" w:rsidRPr="000157B1" w:rsidRDefault="008C056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D3CC160" w14:textId="77777777" w:rsidR="008C0564" w:rsidRDefault="008C0564"/>
  </w:footnote>
  <w:footnote w:id="2">
    <w:p w14:paraId="764034E4" w14:textId="505B7682" w:rsidR="00B47672" w:rsidRPr="00B47672" w:rsidRDefault="00B47672">
      <w:pPr>
        <w:pStyle w:val="a6"/>
      </w:pPr>
      <w:r w:rsidRPr="00B47672">
        <w:rPr>
          <w:rStyle w:val="a8"/>
          <w:rFonts w:eastAsia="宋体"/>
          <w:vertAlign w:val="baseline"/>
        </w:rPr>
        <w:tab/>
        <w:t>*</w:t>
      </w:r>
      <w:r w:rsidRPr="00B47672">
        <w:tab/>
      </w:r>
      <w:r w:rsidR="00141EAD" w:rsidRPr="00141EAD">
        <w:rPr>
          <w:rFonts w:hint="eastAsia"/>
        </w:rPr>
        <w:t>本文件印发前未经正式编辑。</w:t>
      </w:r>
    </w:p>
  </w:footnote>
  <w:footnote w:id="3">
    <w:p w14:paraId="23AFFAF3" w14:textId="5F646132" w:rsidR="00141EAD" w:rsidRDefault="00141EAD">
      <w:pPr>
        <w:pStyle w:val="a6"/>
      </w:pPr>
      <w:r>
        <w:tab/>
      </w:r>
      <w:r>
        <w:rPr>
          <w:rStyle w:val="a8"/>
          <w:rFonts w:eastAsia="宋体"/>
        </w:rPr>
        <w:footnoteRef/>
      </w:r>
      <w:r>
        <w:tab/>
      </w:r>
      <w:r w:rsidRPr="00141EAD">
        <w:rPr>
          <w:rFonts w:hint="eastAsia"/>
        </w:rPr>
        <w:t>国家统计局，按年龄、性别和府分列的登记人口，</w:t>
      </w:r>
      <w:r w:rsidRPr="00141EAD">
        <w:rPr>
          <w:rFonts w:hint="eastAsia"/>
        </w:rPr>
        <w:t>2019</w:t>
      </w:r>
      <w:r w:rsidRPr="00141EAD">
        <w:rPr>
          <w:rFonts w:hint="eastAsia"/>
        </w:rPr>
        <w:t>年</w:t>
      </w:r>
      <w:r w:rsidRPr="00141EAD">
        <w:rPr>
          <w:rFonts w:hint="eastAsia"/>
        </w:rPr>
        <w:t>4</w:t>
      </w:r>
      <w:r w:rsidRPr="00141EAD">
        <w:rPr>
          <w:rFonts w:hint="eastAsia"/>
        </w:rPr>
        <w:t>月</w:t>
      </w:r>
      <w:r w:rsidRPr="00141EAD">
        <w:rPr>
          <w:rFonts w:hint="eastAsia"/>
        </w:rPr>
        <w:t>8</w:t>
      </w:r>
      <w:r w:rsidRPr="00141EAD">
        <w:rPr>
          <w:rFonts w:hint="eastAsia"/>
        </w:rPr>
        <w:t>日查阅</w:t>
      </w:r>
      <w:r>
        <w:br/>
      </w:r>
      <w:r w:rsidRPr="00141EAD">
        <w:rPr>
          <w:rFonts w:hint="eastAsia"/>
        </w:rPr>
        <w:t>(http</w:t>
      </w:r>
      <w:r w:rsidRPr="00141EAD">
        <w:rPr>
          <w:rFonts w:hint="eastAsia"/>
        </w:rPr>
        <w:t>：</w:t>
      </w:r>
      <w:r w:rsidRPr="00141EAD">
        <w:rPr>
          <w:rFonts w:hint="eastAsia"/>
        </w:rPr>
        <w:t>//statbbi.nso.go.th/staticreport/page/sector/th/01.aspx)</w:t>
      </w:r>
      <w:r w:rsidRPr="00141EAD">
        <w:rPr>
          <w:rFonts w:hint="eastAsia"/>
        </w:rPr>
        <w:t>。</w:t>
      </w:r>
    </w:p>
  </w:footnote>
  <w:footnote w:id="4">
    <w:p w14:paraId="41B0767D" w14:textId="211471F6" w:rsidR="00956513" w:rsidRDefault="00956513" w:rsidP="00956513">
      <w:pPr>
        <w:pStyle w:val="a6"/>
      </w:pPr>
      <w:r>
        <w:rPr>
          <w:rFonts w:cs="Cordia New"/>
          <w:cs/>
          <w:lang w:val="zh-CN" w:bidi="th-TH"/>
        </w:rPr>
        <w:tab/>
      </w:r>
      <w:r>
        <w:rPr>
          <w:rStyle w:val="a8"/>
          <w:rFonts w:eastAsia="宋体"/>
          <w:lang w:val="zh-CN"/>
        </w:rPr>
        <w:footnoteRef/>
      </w:r>
      <w:r>
        <w:rPr>
          <w:lang w:val="zh-CN"/>
        </w:rPr>
        <w:tab/>
      </w:r>
      <w:r>
        <w:rPr>
          <w:lang w:val="zh-CN"/>
        </w:rPr>
        <w:t>2019</w:t>
      </w:r>
      <w:r>
        <w:rPr>
          <w:lang w:val="zh-CN"/>
        </w:rPr>
        <w:t>年</w:t>
      </w:r>
      <w:r>
        <w:rPr>
          <w:lang w:val="zh-CN"/>
        </w:rPr>
        <w:t>3</w:t>
      </w:r>
      <w:r>
        <w:rPr>
          <w:lang w:val="zh-CN"/>
        </w:rPr>
        <w:t>月</w:t>
      </w:r>
      <w:r>
        <w:rPr>
          <w:lang w:val="zh-CN"/>
        </w:rPr>
        <w:t>27</w:t>
      </w:r>
      <w:r>
        <w:rPr>
          <w:lang w:val="zh-CN"/>
        </w:rPr>
        <w:t>日泰国银行的汇率。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CACD" w14:textId="77777777" w:rsidR="00056632" w:rsidRDefault="00522F93" w:rsidP="00522F93">
    <w:pPr>
      <w:pStyle w:val="af3"/>
    </w:pPr>
    <w:r>
      <w:t>HRI/CORE/THA/2021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4A63" w14:textId="77777777" w:rsidR="00056632" w:rsidRPr="00202A30" w:rsidRDefault="00522F93" w:rsidP="00522F93">
    <w:pPr>
      <w:pStyle w:val="af3"/>
      <w:jc w:val="right"/>
    </w:pPr>
    <w:r>
      <w:t>HRI/CORE/THA/2021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206758E"/>
    <w:multiLevelType w:val="hybridMultilevel"/>
    <w:tmpl w:val="2386130E"/>
    <w:lvl w:ilvl="0" w:tplc="0409000F">
      <w:start w:val="1"/>
      <w:numFmt w:val="decimal"/>
      <w:lvlText w:val="%1."/>
      <w:lvlJc w:val="left"/>
      <w:pPr>
        <w:ind w:left="1985" w:hanging="420"/>
      </w:pPr>
    </w:lvl>
    <w:lvl w:ilvl="1" w:tplc="04090019" w:tentative="1">
      <w:start w:val="1"/>
      <w:numFmt w:val="lowerLetter"/>
      <w:lvlText w:val="%2)"/>
      <w:lvlJc w:val="left"/>
      <w:pPr>
        <w:ind w:left="2405" w:hanging="420"/>
      </w:pPr>
    </w:lvl>
    <w:lvl w:ilvl="2" w:tplc="0409001B" w:tentative="1">
      <w:start w:val="1"/>
      <w:numFmt w:val="lowerRoman"/>
      <w:lvlText w:val="%3."/>
      <w:lvlJc w:val="right"/>
      <w:pPr>
        <w:ind w:left="2825" w:hanging="420"/>
      </w:pPr>
    </w:lvl>
    <w:lvl w:ilvl="3" w:tplc="0409000F" w:tentative="1">
      <w:start w:val="1"/>
      <w:numFmt w:val="decimal"/>
      <w:lvlText w:val="%4."/>
      <w:lvlJc w:val="left"/>
      <w:pPr>
        <w:ind w:left="3245" w:hanging="420"/>
      </w:pPr>
    </w:lvl>
    <w:lvl w:ilvl="4" w:tplc="04090019" w:tentative="1">
      <w:start w:val="1"/>
      <w:numFmt w:val="lowerLetter"/>
      <w:lvlText w:val="%5)"/>
      <w:lvlJc w:val="left"/>
      <w:pPr>
        <w:ind w:left="3665" w:hanging="420"/>
      </w:pPr>
    </w:lvl>
    <w:lvl w:ilvl="5" w:tplc="0409001B" w:tentative="1">
      <w:start w:val="1"/>
      <w:numFmt w:val="lowerRoman"/>
      <w:lvlText w:val="%6."/>
      <w:lvlJc w:val="right"/>
      <w:pPr>
        <w:ind w:left="4085" w:hanging="420"/>
      </w:pPr>
    </w:lvl>
    <w:lvl w:ilvl="6" w:tplc="0409000F" w:tentative="1">
      <w:start w:val="1"/>
      <w:numFmt w:val="decimal"/>
      <w:lvlText w:val="%7."/>
      <w:lvlJc w:val="left"/>
      <w:pPr>
        <w:ind w:left="4505" w:hanging="420"/>
      </w:pPr>
    </w:lvl>
    <w:lvl w:ilvl="7" w:tplc="04090019" w:tentative="1">
      <w:start w:val="1"/>
      <w:numFmt w:val="lowerLetter"/>
      <w:lvlText w:val="%8)"/>
      <w:lvlJc w:val="left"/>
      <w:pPr>
        <w:ind w:left="4925" w:hanging="420"/>
      </w:pPr>
    </w:lvl>
    <w:lvl w:ilvl="8" w:tplc="0409001B" w:tentative="1">
      <w:start w:val="1"/>
      <w:numFmt w:val="lowerRoman"/>
      <w:lvlText w:val="%9."/>
      <w:lvlJc w:val="right"/>
      <w:pPr>
        <w:ind w:left="5345" w:hanging="420"/>
      </w:pPr>
    </w:lvl>
  </w:abstractNum>
  <w:abstractNum w:abstractNumId="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6" w15:restartNumberingAfterBreak="0">
    <w:nsid w:val="2C3D62D7"/>
    <w:multiLevelType w:val="hybridMultilevel"/>
    <w:tmpl w:val="D2BC2E16"/>
    <w:lvl w:ilvl="0" w:tplc="F296EA2A">
      <w:start w:val="1"/>
      <w:numFmt w:val="decimal"/>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2F175377"/>
    <w:multiLevelType w:val="hybridMultilevel"/>
    <w:tmpl w:val="4AF4C72E"/>
    <w:lvl w:ilvl="0" w:tplc="7A0A54DE">
      <w:start w:val="1"/>
      <w:numFmt w:val="decimal"/>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51975131"/>
    <w:multiLevelType w:val="hybridMultilevel"/>
    <w:tmpl w:val="2AF0967A"/>
    <w:lvl w:ilvl="0" w:tplc="F296EA2A">
      <w:start w:val="1"/>
      <w:numFmt w:val="decimal"/>
      <w:lvlText w:val="%1."/>
      <w:lvlJc w:val="left"/>
      <w:pPr>
        <w:ind w:left="2688"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5A890AC0"/>
    <w:multiLevelType w:val="hybridMultilevel"/>
    <w:tmpl w:val="14E03348"/>
    <w:lvl w:ilvl="0" w:tplc="F296EA2A">
      <w:start w:val="1"/>
      <w:numFmt w:val="decimal"/>
      <w:lvlText w:val="%1."/>
      <w:lvlJc w:val="left"/>
      <w:pPr>
        <w:ind w:left="1985" w:hanging="420"/>
      </w:pPr>
      <w:rPr>
        <w:rFonts w:hint="default"/>
      </w:rPr>
    </w:lvl>
    <w:lvl w:ilvl="1" w:tplc="04090019" w:tentative="1">
      <w:start w:val="1"/>
      <w:numFmt w:val="lowerLetter"/>
      <w:lvlText w:val="%2)"/>
      <w:lvlJc w:val="left"/>
      <w:pPr>
        <w:ind w:left="2405" w:hanging="420"/>
      </w:pPr>
    </w:lvl>
    <w:lvl w:ilvl="2" w:tplc="0409001B" w:tentative="1">
      <w:start w:val="1"/>
      <w:numFmt w:val="lowerRoman"/>
      <w:lvlText w:val="%3."/>
      <w:lvlJc w:val="right"/>
      <w:pPr>
        <w:ind w:left="2825" w:hanging="420"/>
      </w:pPr>
    </w:lvl>
    <w:lvl w:ilvl="3" w:tplc="0409000F" w:tentative="1">
      <w:start w:val="1"/>
      <w:numFmt w:val="decimal"/>
      <w:lvlText w:val="%4."/>
      <w:lvlJc w:val="left"/>
      <w:pPr>
        <w:ind w:left="3245" w:hanging="420"/>
      </w:pPr>
    </w:lvl>
    <w:lvl w:ilvl="4" w:tplc="04090019" w:tentative="1">
      <w:start w:val="1"/>
      <w:numFmt w:val="lowerLetter"/>
      <w:lvlText w:val="%5)"/>
      <w:lvlJc w:val="left"/>
      <w:pPr>
        <w:ind w:left="3665" w:hanging="420"/>
      </w:pPr>
    </w:lvl>
    <w:lvl w:ilvl="5" w:tplc="0409001B" w:tentative="1">
      <w:start w:val="1"/>
      <w:numFmt w:val="lowerRoman"/>
      <w:lvlText w:val="%6."/>
      <w:lvlJc w:val="right"/>
      <w:pPr>
        <w:ind w:left="4085" w:hanging="420"/>
      </w:pPr>
    </w:lvl>
    <w:lvl w:ilvl="6" w:tplc="0409000F" w:tentative="1">
      <w:start w:val="1"/>
      <w:numFmt w:val="decimal"/>
      <w:lvlText w:val="%7."/>
      <w:lvlJc w:val="left"/>
      <w:pPr>
        <w:ind w:left="4505" w:hanging="420"/>
      </w:pPr>
    </w:lvl>
    <w:lvl w:ilvl="7" w:tplc="04090019" w:tentative="1">
      <w:start w:val="1"/>
      <w:numFmt w:val="lowerLetter"/>
      <w:lvlText w:val="%8)"/>
      <w:lvlJc w:val="left"/>
      <w:pPr>
        <w:ind w:left="4925" w:hanging="420"/>
      </w:pPr>
    </w:lvl>
    <w:lvl w:ilvl="8" w:tplc="0409001B" w:tentative="1">
      <w:start w:val="1"/>
      <w:numFmt w:val="lowerRoman"/>
      <w:lvlText w:val="%9."/>
      <w:lvlJc w:val="right"/>
      <w:pPr>
        <w:ind w:left="5345" w:hanging="420"/>
      </w:pPr>
    </w:lvl>
  </w:abstractNum>
  <w:abstractNum w:abstractNumId="10" w15:restartNumberingAfterBreak="0">
    <w:nsid w:val="5F8248E8"/>
    <w:multiLevelType w:val="hybridMultilevel"/>
    <w:tmpl w:val="5CAA629C"/>
    <w:lvl w:ilvl="0" w:tplc="0409000F">
      <w:start w:val="1"/>
      <w:numFmt w:val="decimal"/>
      <w:lvlText w:val="%1."/>
      <w:lvlJc w:val="left"/>
      <w:pPr>
        <w:ind w:left="1985" w:hanging="420"/>
      </w:pPr>
    </w:lvl>
    <w:lvl w:ilvl="1" w:tplc="04090019" w:tentative="1">
      <w:start w:val="1"/>
      <w:numFmt w:val="lowerLetter"/>
      <w:lvlText w:val="%2)"/>
      <w:lvlJc w:val="left"/>
      <w:pPr>
        <w:ind w:left="2405" w:hanging="420"/>
      </w:pPr>
    </w:lvl>
    <w:lvl w:ilvl="2" w:tplc="0409001B" w:tentative="1">
      <w:start w:val="1"/>
      <w:numFmt w:val="lowerRoman"/>
      <w:lvlText w:val="%3."/>
      <w:lvlJc w:val="right"/>
      <w:pPr>
        <w:ind w:left="2825" w:hanging="420"/>
      </w:pPr>
    </w:lvl>
    <w:lvl w:ilvl="3" w:tplc="0409000F" w:tentative="1">
      <w:start w:val="1"/>
      <w:numFmt w:val="decimal"/>
      <w:lvlText w:val="%4."/>
      <w:lvlJc w:val="left"/>
      <w:pPr>
        <w:ind w:left="3245" w:hanging="420"/>
      </w:pPr>
    </w:lvl>
    <w:lvl w:ilvl="4" w:tplc="04090019" w:tentative="1">
      <w:start w:val="1"/>
      <w:numFmt w:val="lowerLetter"/>
      <w:lvlText w:val="%5)"/>
      <w:lvlJc w:val="left"/>
      <w:pPr>
        <w:ind w:left="3665" w:hanging="420"/>
      </w:pPr>
    </w:lvl>
    <w:lvl w:ilvl="5" w:tplc="0409001B" w:tentative="1">
      <w:start w:val="1"/>
      <w:numFmt w:val="lowerRoman"/>
      <w:lvlText w:val="%6."/>
      <w:lvlJc w:val="right"/>
      <w:pPr>
        <w:ind w:left="4085" w:hanging="420"/>
      </w:pPr>
    </w:lvl>
    <w:lvl w:ilvl="6" w:tplc="0409000F" w:tentative="1">
      <w:start w:val="1"/>
      <w:numFmt w:val="decimal"/>
      <w:lvlText w:val="%7."/>
      <w:lvlJc w:val="left"/>
      <w:pPr>
        <w:ind w:left="4505" w:hanging="420"/>
      </w:pPr>
    </w:lvl>
    <w:lvl w:ilvl="7" w:tplc="04090019" w:tentative="1">
      <w:start w:val="1"/>
      <w:numFmt w:val="lowerLetter"/>
      <w:lvlText w:val="%8)"/>
      <w:lvlJc w:val="left"/>
      <w:pPr>
        <w:ind w:left="4925" w:hanging="420"/>
      </w:pPr>
    </w:lvl>
    <w:lvl w:ilvl="8" w:tplc="0409001B" w:tentative="1">
      <w:start w:val="1"/>
      <w:numFmt w:val="lowerRoman"/>
      <w:lvlText w:val="%9."/>
      <w:lvlJc w:val="right"/>
      <w:pPr>
        <w:ind w:left="5345" w:hanging="420"/>
      </w:pPr>
    </w:lvl>
  </w:abstractNum>
  <w:abstractNum w:abstractNumId="1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1"/>
  </w:num>
  <w:num w:numId="3">
    <w:abstractNumId w:val="2"/>
  </w:num>
  <w:num w:numId="4">
    <w:abstractNumId w:val="0"/>
  </w:num>
  <w:num w:numId="5">
    <w:abstractNumId w:val="3"/>
  </w:num>
  <w:num w:numId="6">
    <w:abstractNumId w:val="5"/>
  </w:num>
  <w:num w:numId="7">
    <w:abstractNumId w:val="10"/>
  </w:num>
  <w:num w:numId="8">
    <w:abstractNumId w:val="7"/>
  </w:num>
  <w:num w:numId="9">
    <w:abstractNumId w:val="4"/>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64"/>
    <w:rsid w:val="00011483"/>
    <w:rsid w:val="00045C32"/>
    <w:rsid w:val="00050EA0"/>
    <w:rsid w:val="000853A6"/>
    <w:rsid w:val="00085CF8"/>
    <w:rsid w:val="000B1857"/>
    <w:rsid w:val="000D319F"/>
    <w:rsid w:val="000E4D0E"/>
    <w:rsid w:val="00125AC6"/>
    <w:rsid w:val="0013023B"/>
    <w:rsid w:val="00141EAD"/>
    <w:rsid w:val="00144B69"/>
    <w:rsid w:val="0015190F"/>
    <w:rsid w:val="00153E86"/>
    <w:rsid w:val="00164236"/>
    <w:rsid w:val="00197F40"/>
    <w:rsid w:val="001B1BD1"/>
    <w:rsid w:val="001C3EF2"/>
    <w:rsid w:val="001C71D8"/>
    <w:rsid w:val="001D17F6"/>
    <w:rsid w:val="001D2C3F"/>
    <w:rsid w:val="001F6C4E"/>
    <w:rsid w:val="00204B42"/>
    <w:rsid w:val="002231C3"/>
    <w:rsid w:val="00224340"/>
    <w:rsid w:val="002257C9"/>
    <w:rsid w:val="00230C0F"/>
    <w:rsid w:val="0023114C"/>
    <w:rsid w:val="00237D20"/>
    <w:rsid w:val="0024417F"/>
    <w:rsid w:val="00250F8D"/>
    <w:rsid w:val="002875C9"/>
    <w:rsid w:val="002A3D86"/>
    <w:rsid w:val="002E0877"/>
    <w:rsid w:val="002E1C97"/>
    <w:rsid w:val="002F5834"/>
    <w:rsid w:val="00322F05"/>
    <w:rsid w:val="00326EBF"/>
    <w:rsid w:val="00327FE4"/>
    <w:rsid w:val="00392F6C"/>
    <w:rsid w:val="003B6D9A"/>
    <w:rsid w:val="003B76AB"/>
    <w:rsid w:val="003D7D4D"/>
    <w:rsid w:val="00410055"/>
    <w:rsid w:val="00413D23"/>
    <w:rsid w:val="00427F63"/>
    <w:rsid w:val="00446645"/>
    <w:rsid w:val="00457728"/>
    <w:rsid w:val="00475113"/>
    <w:rsid w:val="0047546D"/>
    <w:rsid w:val="004822FC"/>
    <w:rsid w:val="004A17D1"/>
    <w:rsid w:val="004A7FCE"/>
    <w:rsid w:val="004B0641"/>
    <w:rsid w:val="004C4A0A"/>
    <w:rsid w:val="004D61A9"/>
    <w:rsid w:val="005225D2"/>
    <w:rsid w:val="00522F93"/>
    <w:rsid w:val="00543EBA"/>
    <w:rsid w:val="005816B9"/>
    <w:rsid w:val="005E403A"/>
    <w:rsid w:val="00626832"/>
    <w:rsid w:val="00676CA4"/>
    <w:rsid w:val="00680656"/>
    <w:rsid w:val="00682F12"/>
    <w:rsid w:val="00696B4E"/>
    <w:rsid w:val="006B1119"/>
    <w:rsid w:val="006B2F24"/>
    <w:rsid w:val="006D1156"/>
    <w:rsid w:val="006E3E46"/>
    <w:rsid w:val="006E71B1"/>
    <w:rsid w:val="006F49C1"/>
    <w:rsid w:val="00705D89"/>
    <w:rsid w:val="00731A42"/>
    <w:rsid w:val="00734B6E"/>
    <w:rsid w:val="0075474C"/>
    <w:rsid w:val="00767E69"/>
    <w:rsid w:val="0077079A"/>
    <w:rsid w:val="007A5599"/>
    <w:rsid w:val="00816936"/>
    <w:rsid w:val="00821D87"/>
    <w:rsid w:val="00856233"/>
    <w:rsid w:val="00860F27"/>
    <w:rsid w:val="00865ED3"/>
    <w:rsid w:val="008B0560"/>
    <w:rsid w:val="008B2BFA"/>
    <w:rsid w:val="008C0564"/>
    <w:rsid w:val="00900E41"/>
    <w:rsid w:val="00902271"/>
    <w:rsid w:val="0090460E"/>
    <w:rsid w:val="00931317"/>
    <w:rsid w:val="00936F03"/>
    <w:rsid w:val="00943B69"/>
    <w:rsid w:val="00944CB3"/>
    <w:rsid w:val="00956513"/>
    <w:rsid w:val="00992BB2"/>
    <w:rsid w:val="009B09D7"/>
    <w:rsid w:val="009D35ED"/>
    <w:rsid w:val="009E0063"/>
    <w:rsid w:val="009E6C86"/>
    <w:rsid w:val="00A03CB6"/>
    <w:rsid w:val="00A1364C"/>
    <w:rsid w:val="00A21076"/>
    <w:rsid w:val="00A3739A"/>
    <w:rsid w:val="00A52DAF"/>
    <w:rsid w:val="00A84072"/>
    <w:rsid w:val="00AC145F"/>
    <w:rsid w:val="00AD5497"/>
    <w:rsid w:val="00AE11DC"/>
    <w:rsid w:val="00B16570"/>
    <w:rsid w:val="00B36215"/>
    <w:rsid w:val="00B47672"/>
    <w:rsid w:val="00B5139F"/>
    <w:rsid w:val="00B53320"/>
    <w:rsid w:val="00B664BF"/>
    <w:rsid w:val="00B94A80"/>
    <w:rsid w:val="00BC6522"/>
    <w:rsid w:val="00C121D5"/>
    <w:rsid w:val="00C17349"/>
    <w:rsid w:val="00C351AA"/>
    <w:rsid w:val="00C45D05"/>
    <w:rsid w:val="00C6422B"/>
    <w:rsid w:val="00C64D83"/>
    <w:rsid w:val="00C7253F"/>
    <w:rsid w:val="00C748E7"/>
    <w:rsid w:val="00CA51AF"/>
    <w:rsid w:val="00CD7ACE"/>
    <w:rsid w:val="00CE7B56"/>
    <w:rsid w:val="00D26A05"/>
    <w:rsid w:val="00D643E8"/>
    <w:rsid w:val="00D845B7"/>
    <w:rsid w:val="00D97B98"/>
    <w:rsid w:val="00DC58F5"/>
    <w:rsid w:val="00DC671F"/>
    <w:rsid w:val="00DC68EC"/>
    <w:rsid w:val="00DE4DA7"/>
    <w:rsid w:val="00E33B38"/>
    <w:rsid w:val="00E47FE5"/>
    <w:rsid w:val="00E574AF"/>
    <w:rsid w:val="00F56024"/>
    <w:rsid w:val="00F63695"/>
    <w:rsid w:val="00F714DA"/>
    <w:rsid w:val="00F90004"/>
    <w:rsid w:val="00F97B13"/>
    <w:rsid w:val="00FB456B"/>
    <w:rsid w:val="00FD535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FE606"/>
  <w15:docId w15:val="{FCAA6A11-95C0-4B70-8EAA-E57B08B6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3B6D9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410055"/>
    <w:rPr>
      <w:snapToGrid w:val="0"/>
      <w:sz w:val="18"/>
      <w:szCs w:val="18"/>
    </w:rPr>
  </w:style>
  <w:style w:type="character" w:styleId="a8">
    <w:name w:val="footnote reference"/>
    <w:basedOn w:val="a0"/>
    <w:qFormat/>
    <w:rsid w:val="002E087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2E087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6B2F2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900E4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00E4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00E4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00E4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00E4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00E4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237D20"/>
    <w:rPr>
      <w:color w:val="0000FF" w:themeColor="hyperlink"/>
      <w:u w:val="single"/>
    </w:rPr>
  </w:style>
  <w:style w:type="character" w:styleId="af6">
    <w:name w:val="Unresolved Mention"/>
    <w:basedOn w:val="a0"/>
    <w:uiPriority w:val="99"/>
    <w:semiHidden/>
    <w:unhideWhenUsed/>
    <w:rsid w:val="00237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onnakorn\Downloads\PyramidG12%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lang="en-US" sz="1800" b="1" i="0" u="none" strike="noStrike" kern="1200" cap="all" spc="50" baseline="0">
                <a:solidFill>
                  <a:srgbClr val="595959">
                    <a:lumMod val="65000"/>
                    <a:lumOff val="35000"/>
                  </a:srgbClr>
                </a:solidFill>
                <a:latin typeface="+mn-lt"/>
                <a:ea typeface="+mn-ea"/>
                <a:cs typeface="+mn-cs"/>
              </a:defRPr>
            </a:pPr>
            <a:r>
              <a:rPr lang="en-GB"/>
              <a:t>  </a:t>
            </a:r>
          </a:p>
        </c:rich>
      </c:tx>
      <c:overlay val="0"/>
      <c:spPr>
        <a:noFill/>
        <a:ln>
          <a:noFill/>
        </a:ln>
        <a:effectLst/>
      </c:spPr>
    </c:title>
    <c:autoTitleDeleted val="0"/>
    <c:plotArea>
      <c:layout>
        <c:manualLayout>
          <c:layoutTarget val="inner"/>
          <c:xMode val="edge"/>
          <c:yMode val="edge"/>
          <c:x val="0.12202690349980801"/>
          <c:y val="0.16101685143945799"/>
          <c:w val="0.77042399172699005"/>
          <c:h val="0.59830508474576205"/>
        </c:manualLayout>
      </c:layout>
      <c:barChart>
        <c:barDir val="bar"/>
        <c:grouping val="clustered"/>
        <c:varyColors val="0"/>
        <c:ser>
          <c:idx val="0"/>
          <c:order val="0"/>
          <c:tx>
            <c:strRef>
              <c:f>'ข้อมูล '!$F$4</c:f>
              <c:strCache>
                <c:ptCount val="1"/>
                <c:pt idx="0">
                  <c:v>% ชาย</c:v>
                </c:pt>
              </c:strCache>
            </c:strRef>
          </c:tx>
          <c:spPr>
            <a:gradFill flip="none" rotWithShape="1">
              <a:gsLst>
                <a:gs pos="0">
                  <a:srgbClr val="5F5F5F">
                    <a:tint val="88500"/>
                  </a:srgbClr>
                </a:gs>
                <a:gs pos="75000">
                  <a:srgbClr val="9F9F9F">
                    <a:tint val="88500"/>
                    <a:lumMod val="60000"/>
                    <a:lumOff val="40000"/>
                  </a:srgbClr>
                </a:gs>
                <a:gs pos="51000">
                  <a:srgbClr val="5F5F5F">
                    <a:tint val="88500"/>
                    <a:alpha val="75000"/>
                  </a:srgbClr>
                </a:gs>
                <a:gs pos="100000">
                  <a:srgbClr val="DFDFDF">
                    <a:tint val="88500"/>
                    <a:lumMod val="20000"/>
                    <a:lumOff val="80000"/>
                    <a:alpha val="15000"/>
                  </a:srgb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rgbClr val="404040">
                        <a:lumMod val="75000"/>
                        <a:lumOff val="25000"/>
                      </a:srgb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'ข้อมูล '!$B$5:$B$21</c:f>
              <c:strCache>
                <c:ptCount val="17"/>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c:v>
                </c:pt>
              </c:strCache>
            </c:strRef>
          </c:cat>
          <c:val>
            <c:numRef>
              <c:f>'ข้อมูล '!$F$5:$F$21</c:f>
              <c:numCache>
                <c:formatCode>0;0.00</c:formatCode>
                <c:ptCount val="17"/>
                <c:pt idx="0">
                  <c:v>-2.7274549605187199</c:v>
                </c:pt>
                <c:pt idx="1">
                  <c:v>-3.0918464773452001</c:v>
                </c:pt>
                <c:pt idx="2">
                  <c:v>-3.17347895356873</c:v>
                </c:pt>
                <c:pt idx="3">
                  <c:v>-3.29492112989423</c:v>
                </c:pt>
                <c:pt idx="4">
                  <c:v>-3.7782527908219801</c:v>
                </c:pt>
                <c:pt idx="5">
                  <c:v>-3.6514862527874201</c:v>
                </c:pt>
                <c:pt idx="6">
                  <c:v>-3.6434741792827499</c:v>
                </c:pt>
                <c:pt idx="7">
                  <c:v>-3.9473589131184399</c:v>
                </c:pt>
                <c:pt idx="8">
                  <c:v>-3.9507800592209499</c:v>
                </c:pt>
                <c:pt idx="9">
                  <c:v>-3.93169993593281</c:v>
                </c:pt>
                <c:pt idx="10">
                  <c:v>-3.6464589783925399</c:v>
                </c:pt>
                <c:pt idx="11">
                  <c:v>-3.0842042156535201</c:v>
                </c:pt>
                <c:pt idx="12">
                  <c:v>-2.32985001036324</c:v>
                </c:pt>
                <c:pt idx="13">
                  <c:v>-1.8042360163747699</c:v>
                </c:pt>
                <c:pt idx="14">
                  <c:v>-1.1504922868319201</c:v>
                </c:pt>
                <c:pt idx="15">
                  <c:v>-0.813261049307752</c:v>
                </c:pt>
                <c:pt idx="16">
                  <c:v>-0.90231297173732505</c:v>
                </c:pt>
              </c:numCache>
            </c:numRef>
          </c:val>
          <c:extLst>
            <c:ext xmlns:c16="http://schemas.microsoft.com/office/drawing/2014/chart" uri="{C3380CC4-5D6E-409C-BE32-E72D297353CC}">
              <c16:uniqueId val="{00000000-D2E4-4BEB-8125-3965B84572A2}"/>
            </c:ext>
          </c:extLst>
        </c:ser>
        <c:ser>
          <c:idx val="1"/>
          <c:order val="1"/>
          <c:tx>
            <c:strRef>
              <c:f>'ข้อมูล '!$G$4</c:f>
              <c:strCache>
                <c:ptCount val="1"/>
                <c:pt idx="0">
                  <c:v>% หญิง</c:v>
                </c:pt>
              </c:strCache>
            </c:strRef>
          </c:tx>
          <c:spPr>
            <a:gradFill flip="none" rotWithShape="1">
              <a:gsLst>
                <a:gs pos="0">
                  <a:srgbClr val="B3B3B3">
                    <a:tint val="55000"/>
                  </a:srgbClr>
                </a:gs>
                <a:gs pos="75000">
                  <a:srgbClr val="D1D1D1">
                    <a:tint val="55000"/>
                    <a:lumMod val="60000"/>
                    <a:lumOff val="40000"/>
                  </a:srgbClr>
                </a:gs>
                <a:gs pos="51000">
                  <a:srgbClr val="B3B3B3">
                    <a:tint val="55000"/>
                    <a:alpha val="75000"/>
                  </a:srgbClr>
                </a:gs>
                <a:gs pos="100000">
                  <a:srgbClr val="F0F0F0">
                    <a:tint val="55000"/>
                    <a:lumMod val="20000"/>
                    <a:lumOff val="80000"/>
                    <a:alpha val="15000"/>
                  </a:srgbClr>
                </a:gs>
              </a:gsLst>
              <a:lin ang="10800000" scaled="1"/>
              <a:tileRect/>
            </a:gra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rgbClr val="404040">
                        <a:lumMod val="75000"/>
                        <a:lumOff val="25000"/>
                      </a:srgb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'ข้อมูล '!$B$5:$B$21</c:f>
              <c:strCache>
                <c:ptCount val="17"/>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c:v>
                </c:pt>
              </c:strCache>
            </c:strRef>
          </c:cat>
          <c:val>
            <c:numRef>
              <c:f>'ข้อมูล '!$G$5:$G$21</c:f>
              <c:numCache>
                <c:formatCode>0.00</c:formatCode>
                <c:ptCount val="17"/>
                <c:pt idx="0">
                  <c:v>2.5761384884893799</c:v>
                </c:pt>
                <c:pt idx="1">
                  <c:v>2.9207319210184099</c:v>
                </c:pt>
                <c:pt idx="2">
                  <c:v>3.00271254643827</c:v>
                </c:pt>
                <c:pt idx="3">
                  <c:v>3.1350231670080202</c:v>
                </c:pt>
                <c:pt idx="4">
                  <c:v>3.6558249654384598</c:v>
                </c:pt>
                <c:pt idx="5">
                  <c:v>3.55780471971166</c:v>
                </c:pt>
                <c:pt idx="6">
                  <c:v>3.6093168747992799</c:v>
                </c:pt>
                <c:pt idx="7">
                  <c:v>3.9707127612076398</c:v>
                </c:pt>
                <c:pt idx="8">
                  <c:v>4.0935955015410199</c:v>
                </c:pt>
                <c:pt idx="9">
                  <c:v>4.2298316977155102</c:v>
                </c:pt>
                <c:pt idx="10">
                  <c:v>4.0296196052251201</c:v>
                </c:pt>
                <c:pt idx="11">
                  <c:v>3.47532585410862</c:v>
                </c:pt>
                <c:pt idx="12">
                  <c:v>2.71406282143358</c:v>
                </c:pt>
                <c:pt idx="13">
                  <c:v>2.1737290794246702</c:v>
                </c:pt>
                <c:pt idx="14">
                  <c:v>1.4349054229498199</c:v>
                </c:pt>
                <c:pt idx="15">
                  <c:v>1.0919212133726699</c:v>
                </c:pt>
                <c:pt idx="16">
                  <c:v>1.4071741789655501</c:v>
                </c:pt>
              </c:numCache>
            </c:numRef>
          </c:val>
          <c:extLst>
            <c:ext xmlns:c16="http://schemas.microsoft.com/office/drawing/2014/chart" uri="{C3380CC4-5D6E-409C-BE32-E72D297353CC}">
              <c16:uniqueId val="{00000001-D2E4-4BEB-8125-3965B84572A2}"/>
            </c:ext>
          </c:extLst>
        </c:ser>
        <c:dLbls>
          <c:showLegendKey val="0"/>
          <c:showVal val="1"/>
          <c:showCatName val="0"/>
          <c:showSerName val="0"/>
          <c:showPercent val="0"/>
          <c:showBubbleSize val="0"/>
        </c:dLbls>
        <c:gapWidth val="326"/>
        <c:overlap val="-58"/>
        <c:axId val="-260875728"/>
        <c:axId val="-260872464"/>
      </c:barChart>
      <c:catAx>
        <c:axId val="-260875728"/>
        <c:scaling>
          <c:orientation val="minMax"/>
        </c:scaling>
        <c:delete val="0"/>
        <c:axPos val="l"/>
        <c:numFmt formatCode="General" sourceLinked="1"/>
        <c:majorTickMark val="none"/>
        <c:minorTickMark val="none"/>
        <c:tickLblPos val="low"/>
        <c:spPr>
          <a:noFill/>
          <a:ln w="19050" cap="flat" cmpd="sng" algn="ctr">
            <a:solidFill>
              <a:srgbClr val="D9D9D9">
                <a:lumMod val="15000"/>
                <a:lumOff val="85000"/>
              </a:srgbClr>
            </a:solidFill>
            <a:prstDash val="solid"/>
            <a:round/>
            <a:headEnd type="none" w="sm" len="sm"/>
            <a:tailEnd type="none" w="sm" len="sm"/>
          </a:ln>
          <a:effectLst/>
        </c:spPr>
        <c:txPr>
          <a:bodyPr rot="0" spcFirstLastPara="1" vertOverflow="ellipsis" vert="horz" wrap="square" anchor="ctr" anchorCtr="1"/>
          <a:lstStyle/>
          <a:p>
            <a:pPr>
              <a:defRPr lang="en-US" sz="900" b="0" i="0" u="none" strike="noStrike" kern="1200" baseline="0">
                <a:solidFill>
                  <a:srgbClr val="595959">
                    <a:lumMod val="65000"/>
                    <a:lumOff val="35000"/>
                  </a:srgbClr>
                </a:solidFill>
                <a:latin typeface="+mn-lt"/>
                <a:ea typeface="+mn-ea"/>
                <a:cs typeface="+mn-cs"/>
              </a:defRPr>
            </a:pPr>
            <a:endParaRPr lang="zh-CN"/>
          </a:p>
        </c:txPr>
        <c:crossAx val="-260872464"/>
        <c:crosses val="autoZero"/>
        <c:auto val="1"/>
        <c:lblAlgn val="ctr"/>
        <c:lblOffset val="100"/>
        <c:tickLblSkip val="1"/>
        <c:noMultiLvlLbl val="0"/>
      </c:catAx>
      <c:valAx>
        <c:axId val="-260872464"/>
        <c:scaling>
          <c:orientation val="minMax"/>
        </c:scaling>
        <c:delete val="0"/>
        <c:axPos val="b"/>
        <c:majorGridlines>
          <c:spPr>
            <a:ln w="9525" cap="flat" cmpd="sng" algn="ctr">
              <a:gradFill>
                <a:gsLst>
                  <a:gs pos="99000">
                    <a:srgbClr val="BFBFBF">
                      <a:lumMod val="25000"/>
                      <a:lumOff val="75000"/>
                    </a:srgbClr>
                  </a:gs>
                  <a:gs pos="0">
                    <a:srgbClr val="D9D9D9">
                      <a:lumMod val="15000"/>
                      <a:lumOff val="85000"/>
                    </a:srgbClr>
                  </a:gs>
                </a:gsLst>
                <a:lin ang="5400000" scaled="0"/>
              </a:gradFill>
              <a:prstDash val="solid"/>
              <a:round/>
            </a:ln>
            <a:effectLst/>
          </c:spPr>
        </c:majorGridlines>
        <c:title>
          <c:tx>
            <c:rich>
              <a:bodyPr rot="0" spcFirstLastPara="1" vertOverflow="ellipsis" vert="horz" wrap="square" anchor="ctr" anchorCtr="1"/>
              <a:lstStyle/>
              <a:p>
                <a:pPr>
                  <a:defRPr lang="en-US" sz="900" b="0" i="0" u="none" strike="noStrike" kern="1200" cap="all" baseline="0">
                    <a:solidFill>
                      <a:srgbClr val="595959">
                        <a:lumMod val="65000"/>
                        <a:lumOff val="35000"/>
                      </a:srgbClr>
                    </a:solidFill>
                    <a:latin typeface="+mn-lt"/>
                    <a:ea typeface="+mn-ea"/>
                    <a:cs typeface="+mn-cs"/>
                  </a:defRPr>
                </a:pPr>
                <a:r>
                  <a:rPr lang="en-US"/>
                  <a:t>Percentage</a:t>
                </a:r>
                <a:endParaRPr lang="th-TH"/>
              </a:p>
            </c:rich>
          </c:tx>
          <c:layout>
            <c:manualLayout>
              <c:xMode val="edge"/>
              <c:yMode val="edge"/>
              <c:x val="0.42812822040745702"/>
              <c:y val="0.83220339406199595"/>
            </c:manualLayout>
          </c:layout>
          <c:overlay val="0"/>
          <c:spPr>
            <a:noFill/>
            <a:ln>
              <a:noFill/>
            </a:ln>
            <a:effectLst/>
          </c:spPr>
        </c:title>
        <c:numFmt formatCode="0;0" sourceLinked="0"/>
        <c:majorTickMark val="none"/>
        <c:minorTickMark val="none"/>
        <c:tickLblPos val="nextTo"/>
        <c:spPr>
          <a:noFill/>
          <a:ln w="9525" cap="flat" cmpd="sng" algn="ctr">
            <a:noFill/>
            <a:prstDash val="solid"/>
            <a:round/>
          </a:ln>
          <a:effectLst/>
        </c:spPr>
        <c:txPr>
          <a:bodyPr rot="0" spcFirstLastPara="1" vertOverflow="ellipsis" vert="horz" wrap="square" anchor="ctr" anchorCtr="1"/>
          <a:lstStyle/>
          <a:p>
            <a:pPr>
              <a:defRPr lang="en-US" sz="900" b="0" i="0" u="none" strike="noStrike" kern="1200" baseline="0">
                <a:solidFill>
                  <a:srgbClr val="595959">
                    <a:lumMod val="65000"/>
                    <a:lumOff val="35000"/>
                  </a:srgbClr>
                </a:solidFill>
                <a:latin typeface="+mn-lt"/>
                <a:ea typeface="+mn-ea"/>
                <a:cs typeface="+mn-cs"/>
              </a:defRPr>
            </a:pPr>
            <a:endParaRPr lang="zh-CN"/>
          </a:p>
        </c:txPr>
        <c:crossAx val="-260875728"/>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th-TH"/>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0.14675</cdr:x>
      <cdr:y>0.20688</cdr:y>
    </cdr:from>
    <cdr:to>
      <cdr:x>0.24</cdr:x>
      <cdr:y>0.31475</cdr:y>
    </cdr:to>
    <cdr:sp macro="" textlink="">
      <cdr:nvSpPr>
        <cdr:cNvPr id="2" name="Rectangle 1"/>
        <cdr:cNvSpPr/>
      </cdr:nvSpPr>
      <cdr:spPr>
        <a:xfrm xmlns:a="http://schemas.openxmlformats.org/drawingml/2006/main">
          <a:off x="898222" y="771525"/>
          <a:ext cx="570762" cy="402289"/>
        </a:xfrm>
        <a:prstGeom xmlns:a="http://schemas.openxmlformats.org/drawingml/2006/main" prst="rect">
          <a:avLst/>
        </a:prstGeom>
        <a:noFill xmlns:a="http://schemas.openxmlformats.org/drawingml/2006/main"/>
        <a:ln xmlns:a="http://schemas.openxmlformats.org/drawingml/2006/main" w="9525">
          <a:solidFill>
            <a:srgbClr val="000000"/>
          </a:solidFill>
          <a:miter lim="800000"/>
        </a:ln>
      </cdr:spPr>
      <cdr:txBody>
        <a:bodyPr xmlns:a="http://schemas.openxmlformats.org/drawingml/2006/main" vertOverflow="clip" vert="horz" wrap="square" lIns="36576" tIns="59436" rIns="36576" bIns="0" anchor="t" anchorCtr="0" upright="1">
          <a:normAutofit/>
        </a:bodyPr>
        <a:lstStyle xmlns:a="http://schemas.openxmlformats.org/drawingml/2006/main"/>
        <a:p xmlns:a="http://schemas.openxmlformats.org/drawingml/2006/main">
          <a:pPr algn="ctr" rtl="0">
            <a:defRPr sz="1000"/>
          </a:pPr>
          <a:r>
            <a:rPr lang="en-GB" sz="1600" b="1" i="0" u="none" strike="noStrike" baseline="0">
              <a:solidFill>
                <a:srgbClr val="000000"/>
              </a:solidFill>
              <a:latin typeface="TH SarabunPSK" panose="020B0500040200020003" pitchFamily="34" charset="-34"/>
              <a:cs typeface="TH SarabunPSK" panose="020B0500040200020003" pitchFamily="34" charset="-34"/>
            </a:rPr>
            <a:t>Male</a:t>
          </a:r>
        </a:p>
      </cdr:txBody>
    </cdr:sp>
  </cdr:relSizeAnchor>
  <cdr:relSizeAnchor xmlns:cdr="http://schemas.openxmlformats.org/drawingml/2006/chartDrawing">
    <cdr:from>
      <cdr:x>0.73432</cdr:x>
      <cdr:y>0.19922</cdr:y>
    </cdr:from>
    <cdr:to>
      <cdr:x>0.84207</cdr:x>
      <cdr:y>0.31475</cdr:y>
    </cdr:to>
    <cdr:sp macro="" textlink="">
      <cdr:nvSpPr>
        <cdr:cNvPr id="3" name="Rectangle 2"/>
        <cdr:cNvSpPr/>
      </cdr:nvSpPr>
      <cdr:spPr>
        <a:xfrm xmlns:a="http://schemas.openxmlformats.org/drawingml/2006/main">
          <a:off x="4494618" y="742951"/>
          <a:ext cx="659513" cy="430864"/>
        </a:xfrm>
        <a:prstGeom xmlns:a="http://schemas.openxmlformats.org/drawingml/2006/main" prst="rect">
          <a:avLst/>
        </a:prstGeom>
        <a:noFill xmlns:a="http://schemas.openxmlformats.org/drawingml/2006/main"/>
        <a:ln xmlns:a="http://schemas.openxmlformats.org/drawingml/2006/main" w="9525">
          <a:solidFill>
            <a:srgbClr val="000000"/>
          </a:solidFill>
          <a:miter lim="800000"/>
        </a:ln>
      </cdr:spPr>
      <cdr:txBody>
        <a:bodyPr xmlns:a="http://schemas.openxmlformats.org/drawingml/2006/main" vertOverflow="clip" vert="horz" wrap="square" lIns="36576" tIns="59436" rIns="36576" bIns="0" anchor="t" anchorCtr="0" upright="1">
          <a:normAutofit/>
        </a:bodyPr>
        <a:lstStyle xmlns:a="http://schemas.openxmlformats.org/drawingml/2006/main"/>
        <a:p xmlns:a="http://schemas.openxmlformats.org/drawingml/2006/main">
          <a:pPr algn="ctr" rtl="0">
            <a:defRPr sz="1000"/>
          </a:pPr>
          <a:r>
            <a:rPr lang="en-GB" sz="1600" b="1" i="0" u="none" strike="noStrike" baseline="0">
              <a:solidFill>
                <a:srgbClr val="000000"/>
              </a:solidFill>
              <a:latin typeface="TH SarabunPSK" panose="020B0500040200020003" pitchFamily="34" charset="-34"/>
              <a:cs typeface="TH SarabunPSK" panose="020B0500040200020003" pitchFamily="34" charset="-34"/>
            </a:rPr>
            <a:t>Female</a:t>
          </a:r>
        </a:p>
      </cdr:txBody>
    </cdr:sp>
  </cdr:relSizeAnchor>
  <cdr:relSizeAnchor xmlns:cdr="http://schemas.openxmlformats.org/drawingml/2006/chartDrawing">
    <cdr:from>
      <cdr:x>0.01089</cdr:x>
      <cdr:y>0.05313</cdr:y>
    </cdr:from>
    <cdr:to>
      <cdr:x>0.19297</cdr:x>
      <cdr:y>0.1465</cdr:y>
    </cdr:to>
    <cdr:sp macro="" textlink="">
      <cdr:nvSpPr>
        <cdr:cNvPr id="4" name="Rectangle 3"/>
        <cdr:cNvSpPr/>
      </cdr:nvSpPr>
      <cdr:spPr>
        <a:xfrm xmlns:a="http://schemas.openxmlformats.org/drawingml/2006/main">
          <a:off x="59609" y="190500"/>
          <a:ext cx="996651" cy="334733"/>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vert="horz" wrap="square" lIns="36576" tIns="59436" rIns="36576" bIns="0" anchor="t" anchorCtr="0" upright="1">
          <a:normAutofit/>
        </a:bodyPr>
        <a:lstStyle xmlns:a="http://schemas.openxmlformats.org/drawingml/2006/main"/>
        <a:p xmlns:a="http://schemas.openxmlformats.org/drawingml/2006/main">
          <a:pPr algn="ctr" rtl="0">
            <a:defRPr sz="1000"/>
          </a:pPr>
          <a:r>
            <a:rPr lang="en-GB" sz="1600" b="1" i="0" u="none" strike="noStrike" baseline="0">
              <a:solidFill>
                <a:srgbClr val="000000"/>
              </a:solidFill>
              <a:latin typeface="TH SarabunPSK" panose="020B0500040200020003" pitchFamily="34" charset="-34"/>
              <a:cs typeface="TH SarabunPSK" panose="020B0500040200020003" pitchFamily="34" charset="-34"/>
            </a:rPr>
            <a:t>Age groups</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EFA1-A5FD-4080-BBFA-3494388E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30</Pages>
  <Words>24100</Words>
  <Characters>27285</Characters>
  <Application>Microsoft Office Word</Application>
  <DocSecurity>0</DocSecurity>
  <Lines>1397</Lines>
  <Paragraphs>659</Paragraphs>
  <ScaleCrop>false</ScaleCrop>
  <Company>DCM</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HRI/CORE/THA/2021</dc:title>
  <dc:subject>2118208</dc:subject>
  <dc:creator>JI</dc:creator>
  <cp:keywords/>
  <dc:description/>
  <cp:lastModifiedBy>Xiangli Ferschin-Ji</cp:lastModifiedBy>
  <cp:revision>2</cp:revision>
  <cp:lastPrinted>2014-05-09T11:28:00Z</cp:lastPrinted>
  <dcterms:created xsi:type="dcterms:W3CDTF">2022-03-23T15:36:00Z</dcterms:created>
  <dcterms:modified xsi:type="dcterms:W3CDTF">2022-03-23T15:36:00Z</dcterms:modified>
</cp:coreProperties>
</file>