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259"/>
        <w:gridCol w:w="2236"/>
        <w:gridCol w:w="3214"/>
        <w:gridCol w:w="2930"/>
      </w:tblGrid>
      <w:tr w:rsidR="00963CBA" w:rsidRPr="00960E47">
        <w:trPr>
          <w:trHeight w:val="851"/>
        </w:trPr>
        <w:tc>
          <w:tcPr>
            <w:tcW w:w="1276" w:type="dxa"/>
            <w:tcBorders>
              <w:top w:val="nil"/>
              <w:left w:val="nil"/>
              <w:bottom w:val="single" w:sz="4" w:space="0" w:color="auto"/>
              <w:right w:val="nil"/>
            </w:tcBorders>
            <w:shd w:val="clear" w:color="auto" w:fill="auto"/>
          </w:tcPr>
          <w:p w:rsidR="00446DE4" w:rsidRPr="00960E47" w:rsidRDefault="00446DE4" w:rsidP="00BD2CEB">
            <w:pPr>
              <w:spacing w:after="80" w:line="340" w:lineRule="exact"/>
              <w:rPr>
                <w:lang w:val="es-ES"/>
              </w:rPr>
            </w:pPr>
          </w:p>
        </w:tc>
        <w:tc>
          <w:tcPr>
            <w:tcW w:w="2268" w:type="dxa"/>
            <w:tcBorders>
              <w:top w:val="nil"/>
              <w:left w:val="nil"/>
              <w:bottom w:val="single" w:sz="4" w:space="0" w:color="auto"/>
              <w:right w:val="nil"/>
            </w:tcBorders>
            <w:shd w:val="clear" w:color="auto" w:fill="auto"/>
            <w:vAlign w:val="bottom"/>
          </w:tcPr>
          <w:p w:rsidR="00446DE4" w:rsidRPr="00960E47" w:rsidRDefault="009C1FBF" w:rsidP="00BD2CEB">
            <w:pPr>
              <w:spacing w:after="80" w:line="340" w:lineRule="exact"/>
              <w:rPr>
                <w:sz w:val="28"/>
                <w:szCs w:val="28"/>
                <w:lang w:val="es-ES"/>
              </w:rPr>
            </w:pPr>
            <w:r w:rsidRPr="00960E47">
              <w:rPr>
                <w:sz w:val="28"/>
                <w:szCs w:val="28"/>
                <w:lang w:val="es-ES"/>
              </w:rPr>
              <w:t>Naciones Unidas</w:t>
            </w:r>
          </w:p>
        </w:tc>
        <w:tc>
          <w:tcPr>
            <w:tcW w:w="6232" w:type="dxa"/>
            <w:gridSpan w:val="2"/>
            <w:tcBorders>
              <w:top w:val="nil"/>
              <w:left w:val="nil"/>
              <w:bottom w:val="single" w:sz="4" w:space="0" w:color="auto"/>
              <w:right w:val="nil"/>
            </w:tcBorders>
            <w:shd w:val="clear" w:color="auto" w:fill="auto"/>
            <w:vAlign w:val="bottom"/>
          </w:tcPr>
          <w:p w:rsidR="00446DE4" w:rsidRPr="00960E47" w:rsidRDefault="00765F79" w:rsidP="00BD2CEB">
            <w:pPr>
              <w:spacing w:after="20"/>
              <w:jc w:val="right"/>
              <w:rPr>
                <w:lang w:val="es-ES"/>
              </w:rPr>
            </w:pPr>
            <w:r w:rsidRPr="00960E47">
              <w:rPr>
                <w:sz w:val="40"/>
                <w:lang w:val="es-ES"/>
              </w:rPr>
              <w:t>HRI</w:t>
            </w:r>
            <w:r w:rsidRPr="00960E47">
              <w:rPr>
                <w:lang w:val="es-ES"/>
              </w:rPr>
              <w:t>/CORE/</w:t>
            </w:r>
            <w:r w:rsidR="00E421FD" w:rsidRPr="00960E47">
              <w:rPr>
                <w:lang w:val="es-ES"/>
              </w:rPr>
              <w:t>LSO</w:t>
            </w:r>
            <w:r w:rsidRPr="00960E47">
              <w:rPr>
                <w:lang w:val="es-ES"/>
              </w:rPr>
              <w:t>/201</w:t>
            </w:r>
            <w:r w:rsidR="00E421FD" w:rsidRPr="00960E47">
              <w:rPr>
                <w:lang w:val="es-ES"/>
              </w:rPr>
              <w:t>5</w:t>
            </w:r>
          </w:p>
        </w:tc>
      </w:tr>
      <w:tr w:rsidR="003107FA" w:rsidRPr="00960E47">
        <w:trPr>
          <w:trHeight w:val="2835"/>
        </w:trPr>
        <w:tc>
          <w:tcPr>
            <w:tcW w:w="1276" w:type="dxa"/>
            <w:tcBorders>
              <w:top w:val="single" w:sz="4" w:space="0" w:color="auto"/>
              <w:left w:val="nil"/>
              <w:bottom w:val="single" w:sz="12" w:space="0" w:color="auto"/>
              <w:right w:val="nil"/>
            </w:tcBorders>
            <w:shd w:val="clear" w:color="auto" w:fill="auto"/>
          </w:tcPr>
          <w:p w:rsidR="003107FA" w:rsidRPr="00960E47" w:rsidRDefault="0023601F" w:rsidP="00BD2CEB">
            <w:pPr>
              <w:spacing w:before="120"/>
              <w:jc w:val="center"/>
              <w:rPr>
                <w:lang w:val="es-ES"/>
              </w:rPr>
            </w:pPr>
            <w:r w:rsidRPr="00960E47">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shd w:val="clear" w:color="auto" w:fill="auto"/>
          </w:tcPr>
          <w:p w:rsidR="003107FA" w:rsidRPr="00960E47" w:rsidRDefault="009C1FBF" w:rsidP="00BD2CEB">
            <w:pPr>
              <w:spacing w:before="120" w:line="380" w:lineRule="exact"/>
              <w:rPr>
                <w:rFonts w:ascii="Times New Roman Bold" w:hAnsi="Times New Roman Bold"/>
                <w:b/>
                <w:sz w:val="34"/>
                <w:szCs w:val="40"/>
                <w:lang w:val="es-ES"/>
              </w:rPr>
            </w:pPr>
            <w:r w:rsidRPr="00960E47">
              <w:rPr>
                <w:rFonts w:ascii="Times New Roman Bold" w:hAnsi="Times New Roman Bold"/>
                <w:b/>
                <w:sz w:val="34"/>
                <w:szCs w:val="40"/>
                <w:lang w:val="es-ES"/>
              </w:rPr>
              <w:t>Instrumentos Internacionales</w:t>
            </w:r>
            <w:r w:rsidR="005134CE" w:rsidRPr="00960E47">
              <w:rPr>
                <w:rFonts w:ascii="Times New Roman Bold" w:hAnsi="Times New Roman Bold"/>
                <w:b/>
                <w:sz w:val="34"/>
                <w:szCs w:val="40"/>
                <w:lang w:val="es-ES"/>
              </w:rPr>
              <w:br/>
            </w:r>
            <w:r w:rsidRPr="00960E47">
              <w:rPr>
                <w:rFonts w:ascii="Times New Roman Bold" w:hAnsi="Times New Roman Bold"/>
                <w:b/>
                <w:sz w:val="34"/>
                <w:szCs w:val="40"/>
                <w:lang w:val="es-ES"/>
              </w:rPr>
              <w:t>de Derechos Humanos</w:t>
            </w:r>
          </w:p>
        </w:tc>
        <w:tc>
          <w:tcPr>
            <w:tcW w:w="2931" w:type="dxa"/>
            <w:tcBorders>
              <w:top w:val="single" w:sz="4" w:space="0" w:color="auto"/>
              <w:left w:val="nil"/>
              <w:bottom w:val="single" w:sz="12" w:space="0" w:color="auto"/>
              <w:right w:val="nil"/>
            </w:tcBorders>
            <w:shd w:val="clear" w:color="auto" w:fill="auto"/>
          </w:tcPr>
          <w:p w:rsidR="003107FA" w:rsidRPr="00960E47" w:rsidRDefault="009C1FBF" w:rsidP="00BD2CEB">
            <w:pPr>
              <w:spacing w:before="240" w:line="240" w:lineRule="exact"/>
              <w:rPr>
                <w:lang w:val="es-ES"/>
              </w:rPr>
            </w:pPr>
            <w:r w:rsidRPr="00960E47">
              <w:rPr>
                <w:lang w:val="es-ES"/>
              </w:rPr>
              <w:t>Distr.</w:t>
            </w:r>
            <w:r w:rsidR="00765F79" w:rsidRPr="00960E47">
              <w:rPr>
                <w:lang w:val="es-ES"/>
              </w:rPr>
              <w:t xml:space="preserve"> </w:t>
            </w:r>
            <w:r w:rsidRPr="00960E47">
              <w:rPr>
                <w:lang w:val="es-ES"/>
              </w:rPr>
              <w:t>g</w:t>
            </w:r>
            <w:r w:rsidR="00765F79" w:rsidRPr="00960E47">
              <w:rPr>
                <w:lang w:val="es-ES"/>
              </w:rPr>
              <w:t>eneral</w:t>
            </w:r>
          </w:p>
          <w:p w:rsidR="00765F79" w:rsidRPr="00960E47" w:rsidRDefault="00E70A6D" w:rsidP="00BD2CEB">
            <w:pPr>
              <w:spacing w:line="240" w:lineRule="exact"/>
              <w:rPr>
                <w:lang w:val="es-ES"/>
              </w:rPr>
            </w:pPr>
            <w:r w:rsidRPr="00960E47">
              <w:rPr>
                <w:lang w:val="es-ES"/>
              </w:rPr>
              <w:t>1</w:t>
            </w:r>
            <w:r w:rsidR="00E421FD" w:rsidRPr="00960E47">
              <w:rPr>
                <w:lang w:val="es-ES"/>
              </w:rPr>
              <w:t>3</w:t>
            </w:r>
            <w:r w:rsidRPr="00960E47">
              <w:rPr>
                <w:lang w:val="es-ES"/>
              </w:rPr>
              <w:t xml:space="preserve"> </w:t>
            </w:r>
            <w:r w:rsidR="009C1FBF" w:rsidRPr="00960E47">
              <w:rPr>
                <w:lang w:val="es-ES"/>
              </w:rPr>
              <w:t xml:space="preserve">de </w:t>
            </w:r>
            <w:r w:rsidR="00E421FD" w:rsidRPr="00960E47">
              <w:rPr>
                <w:lang w:val="es-ES"/>
              </w:rPr>
              <w:t xml:space="preserve">enero </w:t>
            </w:r>
            <w:r w:rsidR="009C1FBF" w:rsidRPr="00960E47">
              <w:rPr>
                <w:lang w:val="es-ES"/>
              </w:rPr>
              <w:t>de</w:t>
            </w:r>
            <w:r w:rsidR="00765F79" w:rsidRPr="00960E47">
              <w:rPr>
                <w:lang w:val="es-ES"/>
              </w:rPr>
              <w:t xml:space="preserve"> 201</w:t>
            </w:r>
            <w:r w:rsidR="00E421FD" w:rsidRPr="00960E47">
              <w:rPr>
                <w:lang w:val="es-ES"/>
              </w:rPr>
              <w:t>6</w:t>
            </w:r>
          </w:p>
          <w:p w:rsidR="00765F79" w:rsidRPr="00960E47" w:rsidRDefault="0029582E" w:rsidP="00BD2CEB">
            <w:pPr>
              <w:spacing w:line="240" w:lineRule="exact"/>
              <w:rPr>
                <w:lang w:val="es-ES"/>
              </w:rPr>
            </w:pPr>
            <w:r w:rsidRPr="00960E47">
              <w:rPr>
                <w:lang w:val="es-ES"/>
              </w:rPr>
              <w:t>Español</w:t>
            </w:r>
          </w:p>
          <w:p w:rsidR="00765F79" w:rsidRPr="00960E47" w:rsidRDefault="00765F79" w:rsidP="00BD2CEB">
            <w:pPr>
              <w:spacing w:line="240" w:lineRule="exact"/>
              <w:rPr>
                <w:lang w:val="es-ES"/>
              </w:rPr>
            </w:pPr>
            <w:r w:rsidRPr="00960E47">
              <w:rPr>
                <w:lang w:val="es-ES"/>
              </w:rPr>
              <w:t xml:space="preserve">Original: </w:t>
            </w:r>
            <w:r w:rsidR="009C1FBF" w:rsidRPr="00960E47">
              <w:rPr>
                <w:lang w:val="es-ES"/>
              </w:rPr>
              <w:t>inglés</w:t>
            </w:r>
          </w:p>
        </w:tc>
      </w:tr>
    </w:tbl>
    <w:p w:rsidR="00765F79" w:rsidRPr="00960E47" w:rsidRDefault="00765F79" w:rsidP="00665981">
      <w:pPr>
        <w:pStyle w:val="HMG"/>
        <w:rPr>
          <w:lang w:val="es-ES"/>
        </w:rPr>
      </w:pPr>
      <w:r w:rsidRPr="00960E47">
        <w:rPr>
          <w:lang w:val="es-ES"/>
        </w:rPr>
        <w:tab/>
      </w:r>
      <w:r w:rsidRPr="00960E47">
        <w:rPr>
          <w:lang w:val="es-ES"/>
        </w:rPr>
        <w:tab/>
      </w:r>
      <w:r w:rsidR="009C1FBF" w:rsidRPr="00960E47">
        <w:rPr>
          <w:lang w:val="es-ES"/>
        </w:rPr>
        <w:t xml:space="preserve">Documento básico </w:t>
      </w:r>
      <w:r w:rsidR="00995FA9" w:rsidRPr="00960E47">
        <w:rPr>
          <w:lang w:val="es-ES"/>
        </w:rPr>
        <w:t xml:space="preserve">común </w:t>
      </w:r>
      <w:r w:rsidR="00665981" w:rsidRPr="00960E47">
        <w:rPr>
          <w:lang w:val="es-ES"/>
        </w:rPr>
        <w:t>que forma parte </w:t>
      </w:r>
      <w:r w:rsidR="009C1FBF" w:rsidRPr="00960E47">
        <w:rPr>
          <w:lang w:val="es-ES"/>
        </w:rPr>
        <w:t>in</w:t>
      </w:r>
      <w:r w:rsidR="00665981" w:rsidRPr="00960E47">
        <w:rPr>
          <w:lang w:val="es-ES"/>
        </w:rPr>
        <w:t>tegrante de los informes de</w:t>
      </w:r>
      <w:r w:rsidR="00665981" w:rsidRPr="00960E47">
        <w:rPr>
          <w:lang w:val="es-ES"/>
        </w:rPr>
        <w:br/>
        <w:t>los </w:t>
      </w:r>
      <w:r w:rsidR="009C1FBF" w:rsidRPr="00960E47">
        <w:rPr>
          <w:lang w:val="es-ES"/>
        </w:rPr>
        <w:t>Estados partes</w:t>
      </w:r>
    </w:p>
    <w:p w:rsidR="00765F79" w:rsidRPr="00960E47" w:rsidRDefault="00765F79" w:rsidP="00BD2CEB">
      <w:pPr>
        <w:pStyle w:val="HMG"/>
        <w:rPr>
          <w:lang w:val="es-ES"/>
        </w:rPr>
      </w:pPr>
      <w:r w:rsidRPr="00960E47">
        <w:rPr>
          <w:lang w:val="es-ES"/>
        </w:rPr>
        <w:tab/>
      </w:r>
      <w:r w:rsidRPr="00960E47">
        <w:rPr>
          <w:lang w:val="es-ES"/>
        </w:rPr>
        <w:tab/>
      </w:r>
      <w:r w:rsidR="00E421FD" w:rsidRPr="00960E47">
        <w:rPr>
          <w:lang w:val="es-ES"/>
        </w:rPr>
        <w:t>Lesotho</w:t>
      </w:r>
      <w:r w:rsidR="001760EF" w:rsidRPr="00960E47">
        <w:rPr>
          <w:rStyle w:val="FootnoteReference"/>
          <w:b w:val="0"/>
          <w:sz w:val="20"/>
          <w:vertAlign w:val="baseline"/>
          <w:lang w:val="es-ES"/>
        </w:rPr>
        <w:footnoteReference w:customMarkFollows="1" w:id="2"/>
        <w:t>*</w:t>
      </w:r>
    </w:p>
    <w:p w:rsidR="00765F79" w:rsidRPr="00960E47" w:rsidRDefault="00765F79" w:rsidP="00FA7460">
      <w:pPr>
        <w:pStyle w:val="SingleTxtG"/>
        <w:jc w:val="right"/>
        <w:rPr>
          <w:lang w:val="es-ES"/>
        </w:rPr>
      </w:pPr>
      <w:r w:rsidRPr="00960E47">
        <w:rPr>
          <w:lang w:val="es-ES"/>
        </w:rPr>
        <w:t>[</w:t>
      </w:r>
      <w:r w:rsidR="009C1FBF" w:rsidRPr="00960E47">
        <w:rPr>
          <w:lang w:val="es-ES"/>
        </w:rPr>
        <w:t>Fecha de recepción</w:t>
      </w:r>
      <w:r w:rsidR="00BA6776" w:rsidRPr="00960E47">
        <w:rPr>
          <w:lang w:val="es-ES"/>
        </w:rPr>
        <w:t xml:space="preserve">: </w:t>
      </w:r>
      <w:r w:rsidR="001760EF" w:rsidRPr="00960E47">
        <w:rPr>
          <w:lang w:val="es-ES"/>
        </w:rPr>
        <w:t xml:space="preserve">1 </w:t>
      </w:r>
      <w:r w:rsidR="008656DC" w:rsidRPr="00960E47">
        <w:rPr>
          <w:lang w:val="es-ES"/>
        </w:rPr>
        <w:t xml:space="preserve">de </w:t>
      </w:r>
      <w:r w:rsidR="00E421FD" w:rsidRPr="00960E47">
        <w:rPr>
          <w:lang w:val="es-ES"/>
        </w:rPr>
        <w:t xml:space="preserve">diciembre </w:t>
      </w:r>
      <w:r w:rsidR="008656DC" w:rsidRPr="00960E47">
        <w:rPr>
          <w:lang w:val="es-ES"/>
        </w:rPr>
        <w:t>de</w:t>
      </w:r>
      <w:r w:rsidR="00E421FD" w:rsidRPr="00960E47">
        <w:rPr>
          <w:lang w:val="es-ES"/>
        </w:rPr>
        <w:t xml:space="preserve"> 2015</w:t>
      </w:r>
      <w:r w:rsidRPr="00960E47">
        <w:rPr>
          <w:lang w:val="es-ES"/>
        </w:rPr>
        <w:t>]</w:t>
      </w:r>
    </w:p>
    <w:p w:rsidR="008274EE" w:rsidRPr="00960E47" w:rsidRDefault="00F80925" w:rsidP="00BD2CEB">
      <w:pPr>
        <w:spacing w:after="120"/>
        <w:rPr>
          <w:sz w:val="28"/>
          <w:lang w:val="es-ES"/>
        </w:rPr>
      </w:pPr>
      <w:r w:rsidRPr="00960E47">
        <w:rPr>
          <w:sz w:val="28"/>
          <w:lang w:val="es-ES"/>
        </w:rPr>
        <w:br w:type="page"/>
      </w:r>
      <w:r w:rsidR="008274EE" w:rsidRPr="00960E47">
        <w:rPr>
          <w:sz w:val="28"/>
          <w:lang w:val="es-ES"/>
        </w:rPr>
        <w:t>Índice</w:t>
      </w:r>
    </w:p>
    <w:p w:rsidR="008274EE" w:rsidRPr="00960E47" w:rsidRDefault="008274EE" w:rsidP="00BD2CEB">
      <w:pPr>
        <w:tabs>
          <w:tab w:val="right" w:pos="9638"/>
        </w:tabs>
        <w:spacing w:after="120"/>
        <w:ind w:left="283"/>
        <w:rPr>
          <w:sz w:val="18"/>
          <w:lang w:val="es-ES"/>
        </w:rPr>
      </w:pPr>
      <w:r w:rsidRPr="00960E47">
        <w:rPr>
          <w:i/>
          <w:sz w:val="18"/>
          <w:lang w:val="es-ES"/>
        </w:rPr>
        <w:tab/>
        <w:t>Página</w:t>
      </w:r>
    </w:p>
    <w:p w:rsidR="008274EE" w:rsidRPr="00960E47" w:rsidRDefault="008274EE" w:rsidP="00BD2CEB">
      <w:pPr>
        <w:tabs>
          <w:tab w:val="right" w:pos="850"/>
          <w:tab w:val="left" w:pos="1134"/>
          <w:tab w:val="left" w:pos="1559"/>
          <w:tab w:val="left" w:pos="1984"/>
          <w:tab w:val="left" w:leader="dot" w:pos="8931"/>
          <w:tab w:val="right" w:pos="9638"/>
        </w:tabs>
        <w:spacing w:after="120"/>
        <w:rPr>
          <w:lang w:val="es-ES"/>
        </w:rPr>
      </w:pPr>
      <w:r w:rsidRPr="00960E47">
        <w:rPr>
          <w:lang w:val="es-ES"/>
        </w:rPr>
        <w:tab/>
        <w:t>I.</w:t>
      </w:r>
      <w:r w:rsidRPr="00960E47">
        <w:rPr>
          <w:lang w:val="es-ES"/>
        </w:rPr>
        <w:tab/>
        <w:t>La tierra y las personas</w:t>
      </w:r>
      <w:r w:rsidRPr="00960E47">
        <w:rPr>
          <w:lang w:val="es-ES"/>
        </w:rPr>
        <w:tab/>
      </w:r>
      <w:r w:rsidRPr="00960E47">
        <w:rPr>
          <w:lang w:val="es-ES"/>
        </w:rPr>
        <w:tab/>
        <w:t>3</w:t>
      </w:r>
    </w:p>
    <w:p w:rsidR="008274EE" w:rsidRPr="00960E47" w:rsidRDefault="008274EE" w:rsidP="00BD2CEB">
      <w:pPr>
        <w:tabs>
          <w:tab w:val="right" w:pos="850"/>
          <w:tab w:val="left" w:pos="1134"/>
          <w:tab w:val="left" w:pos="1559"/>
          <w:tab w:val="left" w:pos="1984"/>
          <w:tab w:val="left" w:leader="dot" w:pos="8931"/>
          <w:tab w:val="right" w:pos="9638"/>
        </w:tabs>
        <w:spacing w:after="120"/>
        <w:rPr>
          <w:lang w:val="es-ES"/>
        </w:rPr>
      </w:pPr>
      <w:r w:rsidRPr="00960E47">
        <w:rPr>
          <w:lang w:val="es-ES"/>
        </w:rPr>
        <w:tab/>
      </w:r>
      <w:r w:rsidRPr="00960E47">
        <w:rPr>
          <w:lang w:val="es-ES"/>
        </w:rPr>
        <w:tab/>
        <w:t>A.</w:t>
      </w:r>
      <w:r w:rsidRPr="00960E47">
        <w:rPr>
          <w:lang w:val="es-ES"/>
        </w:rPr>
        <w:tab/>
        <w:t xml:space="preserve">La tierra: </w:t>
      </w:r>
      <w:r w:rsidR="00BC5B93" w:rsidRPr="00960E47">
        <w:rPr>
          <w:lang w:val="es-ES"/>
        </w:rPr>
        <w:t xml:space="preserve">datos </w:t>
      </w:r>
      <w:r w:rsidRPr="00960E47">
        <w:rPr>
          <w:lang w:val="es-ES"/>
        </w:rPr>
        <w:t>topográficos</w:t>
      </w:r>
      <w:r w:rsidRPr="00960E47">
        <w:rPr>
          <w:lang w:val="es-ES"/>
        </w:rPr>
        <w:tab/>
      </w:r>
      <w:r w:rsidRPr="00960E47">
        <w:rPr>
          <w:lang w:val="es-ES"/>
        </w:rPr>
        <w:tab/>
        <w:t>3</w:t>
      </w:r>
    </w:p>
    <w:p w:rsidR="008274EE" w:rsidRPr="00960E47" w:rsidRDefault="008274EE" w:rsidP="00BD2CEB">
      <w:pPr>
        <w:tabs>
          <w:tab w:val="right" w:pos="850"/>
          <w:tab w:val="left" w:pos="1134"/>
          <w:tab w:val="left" w:pos="1559"/>
          <w:tab w:val="left" w:pos="1984"/>
          <w:tab w:val="left" w:leader="dot" w:pos="8931"/>
          <w:tab w:val="right" w:pos="9638"/>
        </w:tabs>
        <w:spacing w:after="120"/>
        <w:rPr>
          <w:lang w:val="es-ES"/>
        </w:rPr>
      </w:pPr>
      <w:r w:rsidRPr="00960E47">
        <w:rPr>
          <w:lang w:val="es-ES"/>
        </w:rPr>
        <w:tab/>
      </w:r>
      <w:r w:rsidRPr="00960E47">
        <w:rPr>
          <w:lang w:val="es-ES"/>
        </w:rPr>
        <w:tab/>
        <w:t>B.</w:t>
      </w:r>
      <w:r w:rsidRPr="00960E47">
        <w:rPr>
          <w:lang w:val="es-ES"/>
        </w:rPr>
        <w:tab/>
        <w:t>Las personas</w:t>
      </w:r>
      <w:r w:rsidRPr="00960E47">
        <w:rPr>
          <w:lang w:val="es-ES"/>
        </w:rPr>
        <w:tab/>
      </w:r>
      <w:r w:rsidRPr="00960E47">
        <w:rPr>
          <w:lang w:val="es-ES"/>
        </w:rPr>
        <w:tab/>
        <w:t>3</w:t>
      </w:r>
    </w:p>
    <w:p w:rsidR="008274EE" w:rsidRPr="00960E47" w:rsidRDefault="00B963B9" w:rsidP="00BD2CEB">
      <w:pPr>
        <w:tabs>
          <w:tab w:val="right" w:pos="850"/>
          <w:tab w:val="left" w:pos="1134"/>
          <w:tab w:val="left" w:pos="1559"/>
          <w:tab w:val="left" w:pos="1984"/>
          <w:tab w:val="left" w:leader="dot" w:pos="8931"/>
          <w:tab w:val="right" w:pos="9638"/>
        </w:tabs>
        <w:spacing w:after="120"/>
        <w:rPr>
          <w:lang w:val="es-ES"/>
        </w:rPr>
      </w:pPr>
      <w:r w:rsidRPr="00960E47">
        <w:rPr>
          <w:lang w:val="es-ES"/>
        </w:rPr>
        <w:tab/>
      </w:r>
      <w:r w:rsidRPr="00960E47">
        <w:rPr>
          <w:lang w:val="es-ES"/>
        </w:rPr>
        <w:tab/>
        <w:t>C.</w:t>
      </w:r>
      <w:r w:rsidR="008274EE" w:rsidRPr="00960E47">
        <w:rPr>
          <w:lang w:val="es-ES"/>
        </w:rPr>
        <w:tab/>
        <w:t>Datos demográficos</w:t>
      </w:r>
      <w:r w:rsidR="008274EE" w:rsidRPr="00960E47">
        <w:rPr>
          <w:lang w:val="es-ES"/>
        </w:rPr>
        <w:tab/>
      </w:r>
      <w:r w:rsidR="008274EE" w:rsidRPr="00960E47">
        <w:rPr>
          <w:lang w:val="es-ES"/>
        </w:rPr>
        <w:tab/>
        <w:t>4</w:t>
      </w:r>
    </w:p>
    <w:p w:rsidR="008274EE" w:rsidRPr="00960E47" w:rsidRDefault="00B963B9" w:rsidP="00BD2CEB">
      <w:pPr>
        <w:tabs>
          <w:tab w:val="right" w:pos="850"/>
          <w:tab w:val="left" w:pos="1134"/>
          <w:tab w:val="left" w:pos="1559"/>
          <w:tab w:val="left" w:pos="1984"/>
          <w:tab w:val="left" w:leader="dot" w:pos="8931"/>
          <w:tab w:val="right" w:pos="9638"/>
        </w:tabs>
        <w:spacing w:after="120"/>
        <w:rPr>
          <w:lang w:val="es-ES"/>
        </w:rPr>
      </w:pPr>
      <w:r w:rsidRPr="00960E47">
        <w:rPr>
          <w:lang w:val="es-ES"/>
        </w:rPr>
        <w:tab/>
      </w:r>
      <w:r w:rsidRPr="00960E47">
        <w:rPr>
          <w:lang w:val="es-ES"/>
        </w:rPr>
        <w:tab/>
        <w:t>D.</w:t>
      </w:r>
      <w:r w:rsidR="008274EE" w:rsidRPr="00960E47">
        <w:rPr>
          <w:lang w:val="es-ES"/>
        </w:rPr>
        <w:tab/>
        <w:t>Recursos</w:t>
      </w:r>
      <w:r w:rsidR="008274EE" w:rsidRPr="00960E47">
        <w:rPr>
          <w:lang w:val="es-ES"/>
        </w:rPr>
        <w:tab/>
      </w:r>
      <w:r w:rsidR="008274EE" w:rsidRPr="00960E47">
        <w:rPr>
          <w:lang w:val="es-ES"/>
        </w:rPr>
        <w:tab/>
        <w:t>7</w:t>
      </w:r>
    </w:p>
    <w:p w:rsidR="008274EE" w:rsidRPr="00960E47" w:rsidRDefault="00B963B9" w:rsidP="00BD2CEB">
      <w:pPr>
        <w:tabs>
          <w:tab w:val="right" w:pos="850"/>
          <w:tab w:val="left" w:pos="1134"/>
          <w:tab w:val="left" w:pos="1559"/>
          <w:tab w:val="left" w:pos="1984"/>
          <w:tab w:val="left" w:leader="dot" w:pos="8931"/>
          <w:tab w:val="right" w:pos="9638"/>
        </w:tabs>
        <w:spacing w:after="120"/>
        <w:rPr>
          <w:lang w:val="es-ES"/>
        </w:rPr>
      </w:pPr>
      <w:r w:rsidRPr="00960E47">
        <w:rPr>
          <w:lang w:val="es-ES"/>
        </w:rPr>
        <w:tab/>
      </w:r>
      <w:r w:rsidRPr="00960E47">
        <w:rPr>
          <w:lang w:val="es-ES"/>
        </w:rPr>
        <w:tab/>
        <w:t>E.</w:t>
      </w:r>
      <w:r w:rsidR="008274EE" w:rsidRPr="00960E47">
        <w:rPr>
          <w:lang w:val="es-ES"/>
        </w:rPr>
        <w:tab/>
        <w:t>Empleo</w:t>
      </w:r>
      <w:r w:rsidR="008274EE" w:rsidRPr="00960E47">
        <w:rPr>
          <w:lang w:val="es-ES"/>
        </w:rPr>
        <w:tab/>
      </w:r>
      <w:r w:rsidR="008274EE" w:rsidRPr="00960E47">
        <w:rPr>
          <w:lang w:val="es-ES"/>
        </w:rPr>
        <w:tab/>
        <w:t>8</w:t>
      </w:r>
    </w:p>
    <w:p w:rsidR="008274EE" w:rsidRPr="00960E47" w:rsidRDefault="008274EE" w:rsidP="00BD2CEB">
      <w:pPr>
        <w:tabs>
          <w:tab w:val="right" w:pos="850"/>
          <w:tab w:val="left" w:pos="1134"/>
          <w:tab w:val="left" w:pos="1559"/>
          <w:tab w:val="left" w:pos="1984"/>
          <w:tab w:val="left" w:leader="dot" w:pos="8931"/>
          <w:tab w:val="right" w:pos="9638"/>
        </w:tabs>
        <w:spacing w:after="120"/>
        <w:rPr>
          <w:lang w:val="es-ES"/>
        </w:rPr>
      </w:pPr>
      <w:r w:rsidRPr="00960E47">
        <w:rPr>
          <w:lang w:val="es-ES"/>
        </w:rPr>
        <w:tab/>
      </w:r>
      <w:r w:rsidRPr="00960E47">
        <w:rPr>
          <w:lang w:val="es-ES"/>
        </w:rPr>
        <w:tab/>
        <w:t>F.</w:t>
      </w:r>
      <w:r w:rsidRPr="00960E47">
        <w:rPr>
          <w:lang w:val="es-ES"/>
        </w:rPr>
        <w:tab/>
        <w:t>Educación</w:t>
      </w:r>
      <w:r w:rsidRPr="00960E47">
        <w:rPr>
          <w:lang w:val="es-ES"/>
        </w:rPr>
        <w:tab/>
      </w:r>
      <w:r w:rsidRPr="00960E47">
        <w:rPr>
          <w:lang w:val="es-ES"/>
        </w:rPr>
        <w:tab/>
        <w:t>10</w:t>
      </w:r>
    </w:p>
    <w:p w:rsidR="008274EE" w:rsidRPr="00960E47" w:rsidRDefault="00B963B9" w:rsidP="00BD2CEB">
      <w:pPr>
        <w:tabs>
          <w:tab w:val="right" w:pos="850"/>
          <w:tab w:val="left" w:pos="1134"/>
          <w:tab w:val="left" w:pos="1559"/>
          <w:tab w:val="left" w:pos="1984"/>
          <w:tab w:val="left" w:leader="dot" w:pos="8931"/>
          <w:tab w:val="right" w:pos="9638"/>
        </w:tabs>
        <w:spacing w:after="120"/>
        <w:rPr>
          <w:lang w:val="es-ES"/>
        </w:rPr>
      </w:pPr>
      <w:r w:rsidRPr="00960E47">
        <w:rPr>
          <w:lang w:val="es-ES"/>
        </w:rPr>
        <w:tab/>
      </w:r>
      <w:r w:rsidRPr="00960E47">
        <w:rPr>
          <w:lang w:val="es-ES"/>
        </w:rPr>
        <w:tab/>
        <w:t>G.</w:t>
      </w:r>
      <w:r w:rsidR="008274EE" w:rsidRPr="00960E47">
        <w:rPr>
          <w:lang w:val="es-ES"/>
        </w:rPr>
        <w:tab/>
        <w:t>Religión</w:t>
      </w:r>
      <w:r w:rsidR="008274EE" w:rsidRPr="00960E47">
        <w:rPr>
          <w:lang w:val="es-ES"/>
        </w:rPr>
        <w:tab/>
      </w:r>
      <w:r w:rsidR="008274EE" w:rsidRPr="00960E47">
        <w:rPr>
          <w:lang w:val="es-ES"/>
        </w:rPr>
        <w:tab/>
        <w:t>13</w:t>
      </w:r>
    </w:p>
    <w:p w:rsidR="008274EE" w:rsidRPr="00960E47" w:rsidRDefault="00B963B9" w:rsidP="00BD2CEB">
      <w:pPr>
        <w:tabs>
          <w:tab w:val="right" w:pos="850"/>
          <w:tab w:val="left" w:pos="1134"/>
          <w:tab w:val="left" w:pos="1559"/>
          <w:tab w:val="left" w:pos="1984"/>
          <w:tab w:val="left" w:leader="dot" w:pos="8931"/>
          <w:tab w:val="right" w:pos="9638"/>
        </w:tabs>
        <w:spacing w:after="120"/>
        <w:rPr>
          <w:lang w:val="es-ES"/>
        </w:rPr>
      </w:pPr>
      <w:r w:rsidRPr="00960E47">
        <w:rPr>
          <w:lang w:val="es-ES"/>
        </w:rPr>
        <w:tab/>
      </w:r>
      <w:r w:rsidRPr="00960E47">
        <w:rPr>
          <w:lang w:val="es-ES"/>
        </w:rPr>
        <w:tab/>
        <w:t>H.</w:t>
      </w:r>
      <w:r w:rsidR="008274EE" w:rsidRPr="00960E47">
        <w:rPr>
          <w:lang w:val="es-ES"/>
        </w:rPr>
        <w:tab/>
      </w:r>
      <w:r w:rsidRPr="00960E47">
        <w:rPr>
          <w:lang w:val="es-ES"/>
        </w:rPr>
        <w:t>Indicadores socio</w:t>
      </w:r>
      <w:r w:rsidR="00560A22" w:rsidRPr="00960E47">
        <w:rPr>
          <w:lang w:val="es-ES"/>
        </w:rPr>
        <w:t>económicos</w:t>
      </w:r>
      <w:r w:rsidR="00560A22" w:rsidRPr="00960E47">
        <w:rPr>
          <w:lang w:val="es-ES"/>
        </w:rPr>
        <w:tab/>
      </w:r>
      <w:r w:rsidR="00560A22" w:rsidRPr="00960E47">
        <w:rPr>
          <w:lang w:val="es-ES"/>
        </w:rPr>
        <w:tab/>
        <w:t>14</w:t>
      </w:r>
    </w:p>
    <w:p w:rsidR="008274EE" w:rsidRPr="00960E47" w:rsidRDefault="00B963B9" w:rsidP="00BD2CEB">
      <w:pPr>
        <w:tabs>
          <w:tab w:val="right" w:pos="850"/>
          <w:tab w:val="left" w:pos="1134"/>
          <w:tab w:val="left" w:pos="1559"/>
          <w:tab w:val="left" w:pos="1984"/>
          <w:tab w:val="left" w:leader="dot" w:pos="8931"/>
          <w:tab w:val="right" w:pos="9638"/>
        </w:tabs>
        <w:spacing w:after="120"/>
        <w:rPr>
          <w:lang w:val="es-ES"/>
        </w:rPr>
      </w:pPr>
      <w:r w:rsidRPr="00960E47">
        <w:rPr>
          <w:lang w:val="es-ES"/>
        </w:rPr>
        <w:tab/>
      </w:r>
      <w:r w:rsidRPr="00960E47">
        <w:rPr>
          <w:lang w:val="es-ES"/>
        </w:rPr>
        <w:tab/>
        <w:t>I.</w:t>
      </w:r>
      <w:r w:rsidR="00D70D3F" w:rsidRPr="00960E47">
        <w:rPr>
          <w:lang w:val="es-ES"/>
        </w:rPr>
        <w:tab/>
        <w:t>Salud</w:t>
      </w:r>
      <w:r w:rsidR="00D70D3F" w:rsidRPr="00960E47">
        <w:rPr>
          <w:lang w:val="es-ES"/>
        </w:rPr>
        <w:tab/>
      </w:r>
      <w:r w:rsidR="00D70D3F" w:rsidRPr="00960E47">
        <w:rPr>
          <w:lang w:val="es-ES"/>
        </w:rPr>
        <w:tab/>
        <w:t>21</w:t>
      </w:r>
    </w:p>
    <w:p w:rsidR="008274EE" w:rsidRPr="00960E47" w:rsidRDefault="00D70D3F" w:rsidP="00BD2CEB">
      <w:pPr>
        <w:tabs>
          <w:tab w:val="right" w:pos="850"/>
          <w:tab w:val="left" w:pos="1134"/>
          <w:tab w:val="left" w:pos="1559"/>
          <w:tab w:val="left" w:pos="1984"/>
          <w:tab w:val="left" w:leader="dot" w:pos="8931"/>
          <w:tab w:val="right" w:pos="9638"/>
        </w:tabs>
        <w:spacing w:after="120"/>
        <w:rPr>
          <w:lang w:val="es-ES"/>
        </w:rPr>
      </w:pPr>
      <w:r w:rsidRPr="00960E47">
        <w:rPr>
          <w:lang w:val="es-ES"/>
        </w:rPr>
        <w:tab/>
      </w:r>
      <w:r w:rsidRPr="00960E47">
        <w:rPr>
          <w:lang w:val="es-ES"/>
        </w:rPr>
        <w:tab/>
        <w:t>J.</w:t>
      </w:r>
      <w:r w:rsidRPr="00960E47">
        <w:rPr>
          <w:lang w:val="es-ES"/>
        </w:rPr>
        <w:tab/>
        <w:t>Inflación</w:t>
      </w:r>
      <w:r w:rsidRPr="00960E47">
        <w:rPr>
          <w:lang w:val="es-ES"/>
        </w:rPr>
        <w:tab/>
      </w:r>
      <w:r w:rsidRPr="00960E47">
        <w:rPr>
          <w:lang w:val="es-ES"/>
        </w:rPr>
        <w:tab/>
        <w:t>23</w:t>
      </w:r>
    </w:p>
    <w:p w:rsidR="008274EE" w:rsidRPr="00960E47" w:rsidRDefault="008274EE" w:rsidP="00BD2CEB">
      <w:pPr>
        <w:tabs>
          <w:tab w:val="right" w:pos="850"/>
          <w:tab w:val="left" w:pos="1134"/>
          <w:tab w:val="left" w:pos="1559"/>
          <w:tab w:val="left" w:pos="1984"/>
          <w:tab w:val="left" w:leader="dot" w:pos="8931"/>
          <w:tab w:val="right" w:pos="9638"/>
        </w:tabs>
        <w:spacing w:after="120"/>
        <w:rPr>
          <w:lang w:val="es-ES"/>
        </w:rPr>
      </w:pPr>
      <w:r w:rsidRPr="00960E47">
        <w:rPr>
          <w:lang w:val="es-ES"/>
        </w:rPr>
        <w:tab/>
        <w:t>II.</w:t>
      </w:r>
      <w:r w:rsidRPr="00960E47">
        <w:rPr>
          <w:lang w:val="es-ES"/>
        </w:rPr>
        <w:tab/>
        <w:t>Estructuras constitucionales y políticas genera</w:t>
      </w:r>
      <w:r w:rsidR="00D70D3F" w:rsidRPr="00960E47">
        <w:rPr>
          <w:lang w:val="es-ES"/>
        </w:rPr>
        <w:t>les gubernamentales vigentes</w:t>
      </w:r>
      <w:r w:rsidR="00D70D3F" w:rsidRPr="00960E47">
        <w:rPr>
          <w:lang w:val="es-ES"/>
        </w:rPr>
        <w:tab/>
      </w:r>
      <w:r w:rsidR="00D70D3F" w:rsidRPr="00960E47">
        <w:rPr>
          <w:lang w:val="es-ES"/>
        </w:rPr>
        <w:tab/>
        <w:t>25</w:t>
      </w:r>
    </w:p>
    <w:p w:rsidR="008274EE" w:rsidRPr="00960E47" w:rsidRDefault="00D70D3F" w:rsidP="00BD2CEB">
      <w:pPr>
        <w:tabs>
          <w:tab w:val="right" w:pos="850"/>
          <w:tab w:val="left" w:pos="1134"/>
          <w:tab w:val="left" w:pos="1559"/>
          <w:tab w:val="left" w:pos="1984"/>
          <w:tab w:val="left" w:leader="dot" w:pos="8931"/>
          <w:tab w:val="right" w:pos="9638"/>
        </w:tabs>
        <w:spacing w:after="120"/>
        <w:rPr>
          <w:lang w:val="es-ES"/>
        </w:rPr>
      </w:pPr>
      <w:r w:rsidRPr="00960E47">
        <w:rPr>
          <w:lang w:val="es-ES"/>
        </w:rPr>
        <w:tab/>
      </w:r>
      <w:r w:rsidRPr="00960E47">
        <w:rPr>
          <w:lang w:val="es-ES"/>
        </w:rPr>
        <w:tab/>
        <w:t>A.</w:t>
      </w:r>
      <w:r w:rsidRPr="00960E47">
        <w:rPr>
          <w:lang w:val="es-ES"/>
        </w:rPr>
        <w:tab/>
        <w:t>Antecedentes</w:t>
      </w:r>
      <w:r w:rsidRPr="00960E47">
        <w:rPr>
          <w:lang w:val="es-ES"/>
        </w:rPr>
        <w:tab/>
      </w:r>
      <w:r w:rsidRPr="00960E47">
        <w:rPr>
          <w:lang w:val="es-ES"/>
        </w:rPr>
        <w:tab/>
        <w:t>25</w:t>
      </w:r>
    </w:p>
    <w:p w:rsidR="008274EE" w:rsidRPr="00960E47" w:rsidRDefault="00D70D3F" w:rsidP="00BD2CEB">
      <w:pPr>
        <w:tabs>
          <w:tab w:val="right" w:pos="850"/>
          <w:tab w:val="left" w:pos="1134"/>
          <w:tab w:val="left" w:pos="1559"/>
          <w:tab w:val="left" w:pos="1984"/>
          <w:tab w:val="left" w:leader="dot" w:pos="8931"/>
          <w:tab w:val="right" w:pos="9638"/>
        </w:tabs>
        <w:spacing w:after="120"/>
        <w:rPr>
          <w:lang w:val="es-ES"/>
        </w:rPr>
      </w:pPr>
      <w:r w:rsidRPr="00960E47">
        <w:rPr>
          <w:lang w:val="es-ES"/>
        </w:rPr>
        <w:tab/>
      </w:r>
      <w:r w:rsidRPr="00960E47">
        <w:rPr>
          <w:lang w:val="es-ES"/>
        </w:rPr>
        <w:tab/>
        <w:t>B.</w:t>
      </w:r>
      <w:r w:rsidRPr="00960E47">
        <w:rPr>
          <w:lang w:val="es-ES"/>
        </w:rPr>
        <w:tab/>
        <w:t>El poder legislativo</w:t>
      </w:r>
      <w:r w:rsidRPr="00960E47">
        <w:rPr>
          <w:lang w:val="es-ES"/>
        </w:rPr>
        <w:tab/>
      </w:r>
      <w:r w:rsidRPr="00960E47">
        <w:rPr>
          <w:lang w:val="es-ES"/>
        </w:rPr>
        <w:tab/>
        <w:t>25</w:t>
      </w:r>
    </w:p>
    <w:p w:rsidR="008274EE" w:rsidRPr="00960E47" w:rsidRDefault="00B963B9" w:rsidP="00BD2CEB">
      <w:pPr>
        <w:tabs>
          <w:tab w:val="right" w:pos="850"/>
          <w:tab w:val="left" w:pos="1134"/>
          <w:tab w:val="left" w:pos="1559"/>
          <w:tab w:val="left" w:pos="1984"/>
          <w:tab w:val="left" w:leader="dot" w:pos="8931"/>
          <w:tab w:val="right" w:pos="9638"/>
        </w:tabs>
        <w:spacing w:after="120"/>
        <w:rPr>
          <w:lang w:val="es-ES"/>
        </w:rPr>
      </w:pPr>
      <w:r w:rsidRPr="00960E47">
        <w:rPr>
          <w:lang w:val="es-ES"/>
        </w:rPr>
        <w:tab/>
      </w:r>
      <w:r w:rsidRPr="00960E47">
        <w:rPr>
          <w:lang w:val="es-ES"/>
        </w:rPr>
        <w:tab/>
        <w:t>C.</w:t>
      </w:r>
      <w:r w:rsidR="008274EE" w:rsidRPr="00960E47">
        <w:rPr>
          <w:lang w:val="es-ES"/>
        </w:rPr>
        <w:tab/>
        <w:t>Poder ejecutivo: principales iniciativas y programas de g</w:t>
      </w:r>
      <w:r w:rsidR="00D70D3F" w:rsidRPr="00960E47">
        <w:rPr>
          <w:lang w:val="es-ES"/>
        </w:rPr>
        <w:t>obernanza</w:t>
      </w:r>
      <w:r w:rsidR="00D70D3F" w:rsidRPr="00960E47">
        <w:rPr>
          <w:lang w:val="es-ES"/>
        </w:rPr>
        <w:tab/>
      </w:r>
      <w:r w:rsidR="00D70D3F" w:rsidRPr="00960E47">
        <w:rPr>
          <w:lang w:val="es-ES"/>
        </w:rPr>
        <w:tab/>
        <w:t>28</w:t>
      </w:r>
    </w:p>
    <w:p w:rsidR="008274EE" w:rsidRPr="00960E47" w:rsidRDefault="008274EE" w:rsidP="00BD2CEB">
      <w:pPr>
        <w:tabs>
          <w:tab w:val="right" w:pos="850"/>
          <w:tab w:val="left" w:pos="1134"/>
          <w:tab w:val="left" w:pos="1559"/>
          <w:tab w:val="left" w:pos="1984"/>
          <w:tab w:val="left" w:leader="dot" w:pos="8931"/>
          <w:tab w:val="right" w:pos="9638"/>
        </w:tabs>
        <w:spacing w:after="120"/>
        <w:ind w:left="1559" w:hanging="1559"/>
        <w:rPr>
          <w:lang w:val="es-ES"/>
        </w:rPr>
      </w:pPr>
      <w:r w:rsidRPr="00960E47">
        <w:rPr>
          <w:lang w:val="es-ES"/>
        </w:rPr>
        <w:tab/>
      </w:r>
      <w:r w:rsidRPr="00960E47">
        <w:rPr>
          <w:lang w:val="es-ES"/>
        </w:rPr>
        <w:tab/>
        <w:t>D.</w:t>
      </w:r>
      <w:r w:rsidRPr="00960E47">
        <w:rPr>
          <w:lang w:val="es-ES"/>
        </w:rPr>
        <w:tab/>
        <w:t xml:space="preserve">Aplicación de las disposiciones del Pacto por los tribunales y otros organismos judiciales </w:t>
      </w:r>
      <w:r w:rsidR="00B963B9" w:rsidRPr="00960E47">
        <w:rPr>
          <w:lang w:val="es-ES"/>
        </w:rPr>
        <w:br/>
      </w:r>
      <w:r w:rsidRPr="00960E47">
        <w:rPr>
          <w:lang w:val="es-ES"/>
        </w:rPr>
        <w:t>o</w:t>
      </w:r>
      <w:r w:rsidR="00D70D3F" w:rsidRPr="00960E47">
        <w:rPr>
          <w:lang w:val="es-ES"/>
        </w:rPr>
        <w:t xml:space="preserve"> autoridades administrativas</w:t>
      </w:r>
      <w:r w:rsidR="00D70D3F" w:rsidRPr="00960E47">
        <w:rPr>
          <w:lang w:val="es-ES"/>
        </w:rPr>
        <w:tab/>
      </w:r>
      <w:r w:rsidR="00D70D3F" w:rsidRPr="00960E47">
        <w:rPr>
          <w:lang w:val="es-ES"/>
        </w:rPr>
        <w:tab/>
        <w:t>2</w:t>
      </w:r>
      <w:r w:rsidR="008A6382" w:rsidRPr="00960E47">
        <w:rPr>
          <w:lang w:val="es-ES"/>
        </w:rPr>
        <w:t>9</w:t>
      </w:r>
    </w:p>
    <w:p w:rsidR="008274EE" w:rsidRPr="00960E47" w:rsidRDefault="008274EE" w:rsidP="00BD2CEB">
      <w:pPr>
        <w:tabs>
          <w:tab w:val="right" w:pos="850"/>
          <w:tab w:val="left" w:pos="1134"/>
          <w:tab w:val="left" w:pos="1559"/>
          <w:tab w:val="left" w:pos="1984"/>
          <w:tab w:val="left" w:leader="dot" w:pos="8931"/>
          <w:tab w:val="right" w:pos="9638"/>
        </w:tabs>
        <w:spacing w:after="120"/>
        <w:ind w:left="1559" w:hanging="1559"/>
        <w:rPr>
          <w:lang w:val="es-ES"/>
        </w:rPr>
      </w:pPr>
      <w:r w:rsidRPr="00960E47">
        <w:rPr>
          <w:lang w:val="es-ES"/>
        </w:rPr>
        <w:tab/>
      </w:r>
      <w:r w:rsidRPr="00960E47">
        <w:rPr>
          <w:lang w:val="es-ES"/>
        </w:rPr>
        <w:tab/>
        <w:t>E.</w:t>
      </w:r>
      <w:r w:rsidRPr="00960E47">
        <w:rPr>
          <w:lang w:val="es-ES"/>
        </w:rPr>
        <w:tab/>
        <w:t xml:space="preserve">Autoridades judiciales, administrativas o de otra índole competentes en materias relativas </w:t>
      </w:r>
      <w:r w:rsidR="00B963B9" w:rsidRPr="00960E47">
        <w:rPr>
          <w:lang w:val="es-ES"/>
        </w:rPr>
        <w:br/>
      </w:r>
      <w:r w:rsidRPr="00960E47">
        <w:rPr>
          <w:lang w:val="es-ES"/>
        </w:rPr>
        <w:t>a los derechos</w:t>
      </w:r>
      <w:r w:rsidR="008A6382" w:rsidRPr="00960E47">
        <w:rPr>
          <w:lang w:val="es-ES"/>
        </w:rPr>
        <w:t xml:space="preserve"> humanos</w:t>
      </w:r>
      <w:r w:rsidR="008A6382" w:rsidRPr="00960E47">
        <w:rPr>
          <w:lang w:val="es-ES"/>
        </w:rPr>
        <w:tab/>
      </w:r>
      <w:r w:rsidR="008A6382" w:rsidRPr="00960E47">
        <w:rPr>
          <w:lang w:val="es-ES"/>
        </w:rPr>
        <w:tab/>
        <w:t>30</w:t>
      </w:r>
    </w:p>
    <w:p w:rsidR="008274EE" w:rsidRPr="00960E47" w:rsidRDefault="008274EE" w:rsidP="00BD2CEB">
      <w:pPr>
        <w:tabs>
          <w:tab w:val="right" w:pos="850"/>
          <w:tab w:val="left" w:pos="1134"/>
          <w:tab w:val="left" w:pos="1559"/>
          <w:tab w:val="left" w:pos="1984"/>
          <w:tab w:val="left" w:leader="dot" w:pos="8931"/>
          <w:tab w:val="right" w:pos="9638"/>
        </w:tabs>
        <w:spacing w:after="120"/>
        <w:rPr>
          <w:lang w:val="es-ES"/>
        </w:rPr>
      </w:pPr>
      <w:r w:rsidRPr="00960E47">
        <w:rPr>
          <w:lang w:val="es-ES"/>
        </w:rPr>
        <w:tab/>
        <w:t>III.</w:t>
      </w:r>
      <w:r w:rsidRPr="00960E47">
        <w:rPr>
          <w:lang w:val="es-ES"/>
        </w:rPr>
        <w:tab/>
        <w:t>Marco jurídico general de protec</w:t>
      </w:r>
      <w:r w:rsidR="008A6382" w:rsidRPr="00960E47">
        <w:rPr>
          <w:lang w:val="es-ES"/>
        </w:rPr>
        <w:t>ción de los derechos humanos</w:t>
      </w:r>
      <w:r w:rsidR="008A6382" w:rsidRPr="00960E47">
        <w:rPr>
          <w:lang w:val="es-ES"/>
        </w:rPr>
        <w:tab/>
      </w:r>
      <w:r w:rsidR="008A6382" w:rsidRPr="00960E47">
        <w:rPr>
          <w:lang w:val="es-ES"/>
        </w:rPr>
        <w:tab/>
        <w:t>34</w:t>
      </w:r>
    </w:p>
    <w:p w:rsidR="008274EE" w:rsidRPr="00960E47" w:rsidRDefault="008A6382" w:rsidP="00BD2CEB">
      <w:pPr>
        <w:tabs>
          <w:tab w:val="right" w:pos="850"/>
          <w:tab w:val="left" w:pos="1134"/>
          <w:tab w:val="left" w:pos="1559"/>
          <w:tab w:val="left" w:pos="1984"/>
          <w:tab w:val="left" w:leader="dot" w:pos="8931"/>
          <w:tab w:val="right" w:pos="9638"/>
        </w:tabs>
        <w:spacing w:after="120"/>
        <w:rPr>
          <w:lang w:val="es-ES"/>
        </w:rPr>
      </w:pPr>
      <w:r w:rsidRPr="00960E47">
        <w:rPr>
          <w:lang w:val="es-ES"/>
        </w:rPr>
        <w:tab/>
      </w:r>
      <w:r w:rsidRPr="00960E47">
        <w:rPr>
          <w:lang w:val="es-ES"/>
        </w:rPr>
        <w:tab/>
        <w:t>A.</w:t>
      </w:r>
      <w:r w:rsidRPr="00960E47">
        <w:rPr>
          <w:lang w:val="es-ES"/>
        </w:rPr>
        <w:tab/>
        <w:t>Marco jurídico</w:t>
      </w:r>
      <w:r w:rsidRPr="00960E47">
        <w:rPr>
          <w:lang w:val="es-ES"/>
        </w:rPr>
        <w:tab/>
      </w:r>
      <w:r w:rsidRPr="00960E47">
        <w:rPr>
          <w:lang w:val="es-ES"/>
        </w:rPr>
        <w:tab/>
        <w:t>34</w:t>
      </w:r>
    </w:p>
    <w:p w:rsidR="008274EE" w:rsidRPr="00960E47" w:rsidRDefault="008274EE" w:rsidP="00BD2CEB">
      <w:pPr>
        <w:tabs>
          <w:tab w:val="right" w:pos="850"/>
          <w:tab w:val="left" w:pos="1134"/>
          <w:tab w:val="left" w:pos="1559"/>
          <w:tab w:val="left" w:pos="1984"/>
          <w:tab w:val="left" w:leader="dot" w:pos="8931"/>
          <w:tab w:val="right" w:pos="9638"/>
        </w:tabs>
        <w:spacing w:after="120"/>
        <w:rPr>
          <w:lang w:val="es-ES"/>
        </w:rPr>
      </w:pPr>
      <w:r w:rsidRPr="00960E47">
        <w:rPr>
          <w:lang w:val="es-ES"/>
        </w:rPr>
        <w:tab/>
      </w:r>
      <w:r w:rsidRPr="00960E47">
        <w:rPr>
          <w:lang w:val="es-ES"/>
        </w:rPr>
        <w:tab/>
        <w:t>B.</w:t>
      </w:r>
      <w:r w:rsidRPr="00960E47">
        <w:rPr>
          <w:lang w:val="es-ES"/>
        </w:rPr>
        <w:tab/>
        <w:t>No discrimin</w:t>
      </w:r>
      <w:r w:rsidR="008A6382" w:rsidRPr="00960E47">
        <w:rPr>
          <w:lang w:val="es-ES"/>
        </w:rPr>
        <w:t>ación e igualdad ante la ley</w:t>
      </w:r>
      <w:r w:rsidR="008A6382" w:rsidRPr="00960E47">
        <w:rPr>
          <w:lang w:val="es-ES"/>
        </w:rPr>
        <w:tab/>
      </w:r>
      <w:r w:rsidR="008A6382" w:rsidRPr="00960E47">
        <w:rPr>
          <w:lang w:val="es-ES"/>
        </w:rPr>
        <w:tab/>
        <w:t>35</w:t>
      </w:r>
    </w:p>
    <w:p w:rsidR="008274EE" w:rsidRPr="00960E47" w:rsidRDefault="008274EE" w:rsidP="00BD2CEB">
      <w:pPr>
        <w:tabs>
          <w:tab w:val="right" w:pos="850"/>
          <w:tab w:val="left" w:pos="1134"/>
          <w:tab w:val="left" w:pos="1559"/>
          <w:tab w:val="left" w:pos="1984"/>
          <w:tab w:val="left" w:leader="dot" w:pos="8931"/>
          <w:tab w:val="right" w:pos="9638"/>
        </w:tabs>
        <w:spacing w:after="120"/>
        <w:ind w:left="1559" w:hanging="1559"/>
        <w:rPr>
          <w:lang w:val="es-ES"/>
        </w:rPr>
      </w:pPr>
      <w:r w:rsidRPr="00960E47">
        <w:rPr>
          <w:lang w:val="es-ES"/>
        </w:rPr>
        <w:tab/>
      </w:r>
      <w:r w:rsidRPr="00960E47">
        <w:rPr>
          <w:lang w:val="es-ES"/>
        </w:rPr>
        <w:tab/>
        <w:t>C.</w:t>
      </w:r>
      <w:r w:rsidRPr="00960E47">
        <w:rPr>
          <w:lang w:val="es-ES"/>
        </w:rPr>
        <w:tab/>
        <w:t xml:space="preserve">Marco de ratificación e incorporación en el derecho interno de los instrumentos </w:t>
      </w:r>
      <w:r w:rsidR="00B963B9" w:rsidRPr="00960E47">
        <w:rPr>
          <w:lang w:val="es-ES"/>
        </w:rPr>
        <w:br/>
      </w:r>
      <w:r w:rsidRPr="00960E47">
        <w:rPr>
          <w:lang w:val="es-ES"/>
        </w:rPr>
        <w:t>internaciona</w:t>
      </w:r>
      <w:r w:rsidR="008A6382" w:rsidRPr="00960E47">
        <w:rPr>
          <w:lang w:val="es-ES"/>
        </w:rPr>
        <w:t>les de derechos humanos</w:t>
      </w:r>
      <w:r w:rsidR="008A6382" w:rsidRPr="00960E47">
        <w:rPr>
          <w:lang w:val="es-ES"/>
        </w:rPr>
        <w:tab/>
      </w:r>
      <w:r w:rsidR="008A6382" w:rsidRPr="00960E47">
        <w:rPr>
          <w:lang w:val="es-ES"/>
        </w:rPr>
        <w:tab/>
        <w:t>38</w:t>
      </w:r>
    </w:p>
    <w:p w:rsidR="008274EE" w:rsidRPr="00960E47" w:rsidRDefault="00E421FD" w:rsidP="00BD2CEB">
      <w:pPr>
        <w:tabs>
          <w:tab w:val="right" w:pos="850"/>
          <w:tab w:val="left" w:pos="1134"/>
          <w:tab w:val="left" w:pos="1559"/>
          <w:tab w:val="left" w:pos="1984"/>
          <w:tab w:val="left" w:leader="dot" w:pos="8931"/>
          <w:tab w:val="right" w:pos="9638"/>
        </w:tabs>
        <w:spacing w:after="120"/>
        <w:rPr>
          <w:lang w:val="es-ES"/>
        </w:rPr>
      </w:pPr>
      <w:r w:rsidRPr="00960E47">
        <w:rPr>
          <w:lang w:val="es-ES"/>
        </w:rPr>
        <w:tab/>
        <w:t>IV.</w:t>
      </w:r>
      <w:r w:rsidR="008A6382" w:rsidRPr="00960E47">
        <w:rPr>
          <w:lang w:val="es-ES"/>
        </w:rPr>
        <w:tab/>
        <w:t>Información y publicidad</w:t>
      </w:r>
      <w:r w:rsidR="008A6382" w:rsidRPr="00960E47">
        <w:rPr>
          <w:lang w:val="es-ES"/>
        </w:rPr>
        <w:tab/>
      </w:r>
      <w:r w:rsidR="008A6382" w:rsidRPr="00960E47">
        <w:rPr>
          <w:lang w:val="es-ES"/>
        </w:rPr>
        <w:tab/>
        <w:t>44</w:t>
      </w:r>
    </w:p>
    <w:p w:rsidR="008274EE" w:rsidRPr="00960E47" w:rsidRDefault="008274EE" w:rsidP="00BD2CEB">
      <w:pPr>
        <w:tabs>
          <w:tab w:val="right" w:pos="850"/>
          <w:tab w:val="left" w:pos="1134"/>
          <w:tab w:val="left" w:pos="1559"/>
          <w:tab w:val="left" w:pos="1984"/>
          <w:tab w:val="left" w:leader="dot" w:pos="8931"/>
          <w:tab w:val="right" w:pos="9638"/>
        </w:tabs>
        <w:spacing w:after="120"/>
        <w:ind w:left="1559" w:hanging="1559"/>
        <w:rPr>
          <w:lang w:val="es-ES"/>
        </w:rPr>
      </w:pPr>
      <w:r w:rsidRPr="00960E47">
        <w:rPr>
          <w:lang w:val="es-ES"/>
        </w:rPr>
        <w:tab/>
      </w:r>
      <w:r w:rsidRPr="00960E47">
        <w:rPr>
          <w:lang w:val="es-ES"/>
        </w:rPr>
        <w:tab/>
        <w:t>A.</w:t>
      </w:r>
      <w:r w:rsidRPr="00960E47">
        <w:rPr>
          <w:lang w:val="es-ES"/>
        </w:rPr>
        <w:tab/>
        <w:t xml:space="preserve">Esfuerzos realizados por el Gobierno para la promoción y divulgación de los </w:t>
      </w:r>
      <w:r w:rsidR="00B963B9" w:rsidRPr="00960E47">
        <w:rPr>
          <w:lang w:val="es-ES"/>
        </w:rPr>
        <w:br/>
      </w:r>
      <w:r w:rsidR="008A6382" w:rsidRPr="00960E47">
        <w:rPr>
          <w:lang w:val="es-ES"/>
        </w:rPr>
        <w:t>derechos humanos</w:t>
      </w:r>
      <w:r w:rsidR="008A6382" w:rsidRPr="00960E47">
        <w:rPr>
          <w:lang w:val="es-ES"/>
        </w:rPr>
        <w:tab/>
      </w:r>
      <w:r w:rsidR="008A6382" w:rsidRPr="00960E47">
        <w:rPr>
          <w:lang w:val="es-ES"/>
        </w:rPr>
        <w:tab/>
        <w:t>44</w:t>
      </w:r>
    </w:p>
    <w:p w:rsidR="008274EE" w:rsidRPr="00960E47" w:rsidRDefault="008274EE" w:rsidP="00BD2CEB">
      <w:pPr>
        <w:tabs>
          <w:tab w:val="right" w:pos="850"/>
          <w:tab w:val="left" w:pos="1134"/>
          <w:tab w:val="left" w:pos="1559"/>
          <w:tab w:val="left" w:pos="1984"/>
          <w:tab w:val="left" w:leader="dot" w:pos="8931"/>
          <w:tab w:val="right" w:pos="9638"/>
        </w:tabs>
        <w:spacing w:after="120"/>
        <w:rPr>
          <w:lang w:val="es-ES"/>
        </w:rPr>
      </w:pPr>
      <w:r w:rsidRPr="00960E47">
        <w:rPr>
          <w:lang w:val="es-ES"/>
        </w:rPr>
        <w:tab/>
      </w:r>
      <w:r w:rsidRPr="00960E47">
        <w:rPr>
          <w:lang w:val="es-ES"/>
        </w:rPr>
        <w:tab/>
        <w:t>B.</w:t>
      </w:r>
      <w:r w:rsidRPr="00960E47">
        <w:rPr>
          <w:lang w:val="es-ES"/>
        </w:rPr>
        <w:tab/>
        <w:t>Esfuerzos no gubernamentales para la divulga</w:t>
      </w:r>
      <w:r w:rsidR="008A6382" w:rsidRPr="00960E47">
        <w:rPr>
          <w:lang w:val="es-ES"/>
        </w:rPr>
        <w:t>ción de los derechos humanos</w:t>
      </w:r>
      <w:r w:rsidR="008A6382" w:rsidRPr="00960E47">
        <w:rPr>
          <w:lang w:val="es-ES"/>
        </w:rPr>
        <w:tab/>
      </w:r>
      <w:r w:rsidR="008A6382" w:rsidRPr="00960E47">
        <w:rPr>
          <w:lang w:val="es-ES"/>
        </w:rPr>
        <w:tab/>
        <w:t>45</w:t>
      </w:r>
    </w:p>
    <w:p w:rsidR="008274EE" w:rsidRPr="00960E47" w:rsidRDefault="008274EE" w:rsidP="00BD2CEB">
      <w:pPr>
        <w:tabs>
          <w:tab w:val="right" w:pos="850"/>
          <w:tab w:val="left" w:pos="1134"/>
          <w:tab w:val="left" w:pos="1559"/>
          <w:tab w:val="left" w:pos="1984"/>
          <w:tab w:val="left" w:leader="dot" w:pos="8931"/>
          <w:tab w:val="right" w:pos="9638"/>
        </w:tabs>
        <w:spacing w:after="120"/>
        <w:ind w:left="1559" w:hanging="1559"/>
        <w:rPr>
          <w:lang w:val="es-ES"/>
        </w:rPr>
      </w:pPr>
      <w:r w:rsidRPr="00960E47">
        <w:rPr>
          <w:lang w:val="es-ES"/>
        </w:rPr>
        <w:tab/>
      </w:r>
      <w:r w:rsidRPr="00960E47">
        <w:rPr>
          <w:lang w:val="es-ES"/>
        </w:rPr>
        <w:tab/>
        <w:t>C.</w:t>
      </w:r>
      <w:r w:rsidRPr="00960E47">
        <w:rPr>
          <w:lang w:val="es-ES"/>
        </w:rPr>
        <w:tab/>
        <w:t xml:space="preserve">Mecanismos para la preparación de informes de los Estados partes (Dependencia de </w:t>
      </w:r>
      <w:r w:rsidR="00B963B9" w:rsidRPr="00960E47">
        <w:rPr>
          <w:lang w:val="es-ES"/>
        </w:rPr>
        <w:br/>
      </w:r>
      <w:r w:rsidR="008A6382" w:rsidRPr="00960E47">
        <w:rPr>
          <w:lang w:val="es-ES"/>
        </w:rPr>
        <w:t>Derechos Humanos)</w:t>
      </w:r>
      <w:r w:rsidR="008A6382" w:rsidRPr="00960E47">
        <w:rPr>
          <w:lang w:val="es-ES"/>
        </w:rPr>
        <w:tab/>
      </w:r>
      <w:r w:rsidR="008A6382" w:rsidRPr="00960E47">
        <w:rPr>
          <w:lang w:val="es-ES"/>
        </w:rPr>
        <w:tab/>
        <w:t>45</w:t>
      </w:r>
    </w:p>
    <w:p w:rsidR="008274EE" w:rsidRPr="00960E47" w:rsidRDefault="008274EE" w:rsidP="00BD2CEB">
      <w:pPr>
        <w:tabs>
          <w:tab w:val="right" w:pos="850"/>
          <w:tab w:val="left" w:pos="1134"/>
          <w:tab w:val="left" w:pos="1559"/>
          <w:tab w:val="left" w:pos="1984"/>
          <w:tab w:val="left" w:leader="dot" w:pos="8931"/>
          <w:tab w:val="right" w:pos="9638"/>
        </w:tabs>
        <w:spacing w:after="120"/>
        <w:ind w:left="1559" w:hanging="1559"/>
        <w:rPr>
          <w:lang w:val="es-ES"/>
        </w:rPr>
      </w:pPr>
      <w:r w:rsidRPr="00960E47">
        <w:rPr>
          <w:lang w:val="es-ES"/>
        </w:rPr>
        <w:tab/>
      </w:r>
      <w:r w:rsidRPr="00960E47">
        <w:rPr>
          <w:lang w:val="es-ES"/>
        </w:rPr>
        <w:tab/>
        <w:t>D.</w:t>
      </w:r>
      <w:r w:rsidRPr="00960E47">
        <w:rPr>
          <w:lang w:val="es-ES"/>
        </w:rPr>
        <w:tab/>
        <w:t xml:space="preserve">Procedimiento para la incorporación en el derecho interno de las normas internacionales </w:t>
      </w:r>
      <w:r w:rsidR="00B963B9" w:rsidRPr="00960E47">
        <w:rPr>
          <w:lang w:val="es-ES"/>
        </w:rPr>
        <w:br/>
      </w:r>
      <w:r w:rsidR="008A6382" w:rsidRPr="00960E47">
        <w:rPr>
          <w:lang w:val="es-ES"/>
        </w:rPr>
        <w:t>de derechos humanos</w:t>
      </w:r>
      <w:r w:rsidR="008A6382" w:rsidRPr="00960E47">
        <w:rPr>
          <w:lang w:val="es-ES"/>
        </w:rPr>
        <w:tab/>
      </w:r>
      <w:r w:rsidR="008A6382" w:rsidRPr="00960E47">
        <w:rPr>
          <w:lang w:val="es-ES"/>
        </w:rPr>
        <w:tab/>
        <w:t>47</w:t>
      </w:r>
    </w:p>
    <w:p w:rsidR="00E421FD" w:rsidRPr="00960E47" w:rsidRDefault="001760EF" w:rsidP="00BD2CEB">
      <w:pPr>
        <w:pStyle w:val="HChG"/>
        <w:rPr>
          <w:lang w:val="es-ES"/>
        </w:rPr>
      </w:pPr>
      <w:r w:rsidRPr="00960E47">
        <w:rPr>
          <w:lang w:val="es-ES"/>
        </w:rPr>
        <w:br w:type="page"/>
      </w:r>
      <w:r w:rsidR="0045213B" w:rsidRPr="00960E47">
        <w:rPr>
          <w:lang w:val="es-ES"/>
        </w:rPr>
        <w:tab/>
        <w:t>I.</w:t>
      </w:r>
      <w:r w:rsidR="0045213B" w:rsidRPr="00960E47">
        <w:rPr>
          <w:lang w:val="es-ES"/>
        </w:rPr>
        <w:tab/>
      </w:r>
      <w:r w:rsidR="005079D2" w:rsidRPr="00960E47">
        <w:rPr>
          <w:lang w:val="es-ES"/>
        </w:rPr>
        <w:t>La tierra y las personas</w:t>
      </w:r>
    </w:p>
    <w:p w:rsidR="00E421FD" w:rsidRPr="00960E47" w:rsidRDefault="0045213B" w:rsidP="00BD2CEB">
      <w:pPr>
        <w:pStyle w:val="H1G"/>
        <w:rPr>
          <w:lang w:val="es-ES"/>
        </w:rPr>
      </w:pPr>
      <w:r w:rsidRPr="00960E47">
        <w:rPr>
          <w:lang w:val="es-ES"/>
        </w:rPr>
        <w:tab/>
        <w:t>A.</w:t>
      </w:r>
      <w:r w:rsidRPr="00960E47">
        <w:rPr>
          <w:lang w:val="es-ES"/>
        </w:rPr>
        <w:tab/>
      </w:r>
      <w:r w:rsidR="00E421FD" w:rsidRPr="00960E47">
        <w:rPr>
          <w:lang w:val="es-ES"/>
        </w:rPr>
        <w:t xml:space="preserve">La tierra: </w:t>
      </w:r>
      <w:r w:rsidR="00BC5B93" w:rsidRPr="00960E47">
        <w:rPr>
          <w:lang w:val="es-ES"/>
        </w:rPr>
        <w:t xml:space="preserve">datos </w:t>
      </w:r>
      <w:r w:rsidR="00E421FD" w:rsidRPr="00960E47">
        <w:rPr>
          <w:lang w:val="es-ES"/>
        </w:rPr>
        <w:t>topográficos</w:t>
      </w:r>
    </w:p>
    <w:p w:rsidR="00E421FD" w:rsidRPr="00960E47" w:rsidRDefault="00763481" w:rsidP="00BD2CEB">
      <w:pPr>
        <w:pStyle w:val="SingleTxtG"/>
        <w:rPr>
          <w:lang w:val="es-ES"/>
        </w:rPr>
      </w:pPr>
      <w:r w:rsidRPr="00960E47">
        <w:rPr>
          <w:lang w:val="es-ES"/>
        </w:rPr>
        <w:t>1.</w:t>
      </w:r>
      <w:r w:rsidRPr="00960E47">
        <w:rPr>
          <w:lang w:val="es-ES"/>
        </w:rPr>
        <w:tab/>
      </w:r>
      <w:r w:rsidR="0045213B" w:rsidRPr="00960E47">
        <w:rPr>
          <w:lang w:val="es-ES"/>
        </w:rPr>
        <w:t>"</w:t>
      </w:r>
      <w:r w:rsidR="00E421FD" w:rsidRPr="00960E47">
        <w:rPr>
          <w:lang w:val="es-ES"/>
        </w:rPr>
        <w:t>Lesotho es un país de África meridional, con una superficie estimada de 30.000 a 30.555 km</w:t>
      </w:r>
      <w:r w:rsidR="00E421FD" w:rsidRPr="00960E47">
        <w:rPr>
          <w:vertAlign w:val="superscript"/>
          <w:lang w:val="es-ES"/>
        </w:rPr>
        <w:t>2</w:t>
      </w:r>
      <w:r w:rsidR="0045213B" w:rsidRPr="00960E47">
        <w:rPr>
          <w:lang w:val="es-ES"/>
        </w:rPr>
        <w:t>"</w:t>
      </w:r>
      <w:r w:rsidR="00E421FD" w:rsidRPr="00960E47">
        <w:rPr>
          <w:rStyle w:val="FootnoteReference"/>
          <w:lang w:val="es-ES"/>
        </w:rPr>
        <w:footnoteReference w:id="3"/>
      </w:r>
      <w:r w:rsidR="00E421FD" w:rsidRPr="00960E47">
        <w:rPr>
          <w:lang w:val="es-ES"/>
        </w:rPr>
        <w:t>. Se encuentra entre los paralelos 28º y 31º de latitud Sur y los meridianos 27º</w:t>
      </w:r>
      <w:r w:rsidR="00BC5B93" w:rsidRPr="00960E47">
        <w:rPr>
          <w:lang w:val="es-ES"/>
        </w:rPr>
        <w:t> </w:t>
      </w:r>
      <w:r w:rsidR="00E421FD" w:rsidRPr="00960E47">
        <w:rPr>
          <w:lang w:val="es-ES"/>
        </w:rPr>
        <w:t>y 30º de longitud Este. Es un país sin litoral, enclavado dentro de la República de Sudáfrica. Al noroeste, Lesotho comparte su frontera con la provincia sudafricana del Estado Libre, donde predominan los idiomas sesotho y afrikaans, mientras que al Sur limita con la provincia de El Cabo Oriental, de habla xhosa, y al Este con la provincia de Kwazulu-Natal, de habla zulú</w:t>
      </w:r>
      <w:r w:rsidR="00E421FD" w:rsidRPr="00960E47">
        <w:rPr>
          <w:rStyle w:val="FootnoteReference"/>
          <w:lang w:val="es-ES"/>
        </w:rPr>
        <w:footnoteReference w:id="4"/>
      </w:r>
      <w:r w:rsidR="00E421FD" w:rsidRPr="00960E47">
        <w:rPr>
          <w:lang w:val="es-ES"/>
        </w:rPr>
        <w:t>.</w:t>
      </w:r>
    </w:p>
    <w:p w:rsidR="00E421FD" w:rsidRPr="00960E47" w:rsidRDefault="00763481" w:rsidP="00BD2CEB">
      <w:pPr>
        <w:pStyle w:val="SingleTxtG"/>
        <w:rPr>
          <w:lang w:val="es-ES"/>
        </w:rPr>
      </w:pPr>
      <w:r w:rsidRPr="00960E47">
        <w:rPr>
          <w:lang w:val="es-ES"/>
        </w:rPr>
        <w:t>2.</w:t>
      </w:r>
      <w:r w:rsidRPr="00960E47">
        <w:rPr>
          <w:lang w:val="es-ES"/>
        </w:rPr>
        <w:tab/>
      </w:r>
      <w:r w:rsidR="00E421FD" w:rsidRPr="00960E47">
        <w:rPr>
          <w:lang w:val="es-ES"/>
        </w:rPr>
        <w:t xml:space="preserve">Aunque Lesotho es un país sin litoral situado dentro de la República de Sudáfrica, su topografía es muy diferente de la de su país vecino. Lesotho es un país montañoso y su pico más alto, el Thabana-Ntlenyana, alcanza una altura de 3.482 </w:t>
      </w:r>
      <w:r w:rsidR="0045213B" w:rsidRPr="00960E47">
        <w:rPr>
          <w:lang w:val="es-ES"/>
        </w:rPr>
        <w:t xml:space="preserve">m </w:t>
      </w:r>
      <w:r w:rsidR="00E421FD" w:rsidRPr="00960E47">
        <w:rPr>
          <w:lang w:val="es-ES"/>
        </w:rPr>
        <w:t xml:space="preserve">sobre el nivel del mar. Es el único país del mundo que no tiene ninguna parte de su territorio situada por debajo de los 1.400 </w:t>
      </w:r>
      <w:r w:rsidR="0045213B" w:rsidRPr="00960E47">
        <w:rPr>
          <w:lang w:val="es-ES"/>
        </w:rPr>
        <w:t xml:space="preserve">m </w:t>
      </w:r>
      <w:r w:rsidR="00E421FD" w:rsidRPr="00960E47">
        <w:rPr>
          <w:lang w:val="es-ES"/>
        </w:rPr>
        <w:t xml:space="preserve">sobre el nivel del mar. Entre la meseta oriental y las tierras bajas del oeste se encuentran las cordilleras montañosas de Drakensburg y Maloti, que alcanzan casi los 3.500 </w:t>
      </w:r>
      <w:r w:rsidR="0045213B" w:rsidRPr="00960E47">
        <w:rPr>
          <w:lang w:val="es-ES"/>
        </w:rPr>
        <w:t>m</w:t>
      </w:r>
      <w:r w:rsidR="00E421FD" w:rsidRPr="00960E47">
        <w:rPr>
          <w:lang w:val="es-ES"/>
        </w:rPr>
        <w:t xml:space="preserve">. Estas montañas están surcadas por ríos que atraviesan profundos cañones en dirección sudoccidental. El cuarto restante de la tierra del país son tierras bajas, con alturas de 1.500 a 2.000 </w:t>
      </w:r>
      <w:r w:rsidR="0045213B" w:rsidRPr="00960E47">
        <w:rPr>
          <w:lang w:val="es-ES"/>
        </w:rPr>
        <w:t>m</w:t>
      </w:r>
      <w:r w:rsidR="00E421FD" w:rsidRPr="00960E47">
        <w:rPr>
          <w:lang w:val="es-ES"/>
        </w:rPr>
        <w:t>. El 25% de la superficie son tierras bajas y el 75% son zonas montañosas. En consecuencia, Lesotho es el país con el punto más bajo más elevado del mundo. El país presenta una fuerte erosión provocada por el sobrepastoreo crónico y la sobreexplotación de las plantaciones naturales, estimada entre el 150% y el 300%. Las zonas altas rurales tienen duros períodos invernales, con grandes nevadas, que muchas veces aíslan a la población de esas zonas de los servicios de salud básicos y los suministros alimentarios. La tierra de cultivo disponible representa solo el 9%. La densidad de población es de 700 personas por km</w:t>
      </w:r>
      <w:r w:rsidR="00E421FD" w:rsidRPr="00960E47">
        <w:rPr>
          <w:vertAlign w:val="superscript"/>
          <w:lang w:val="es-ES"/>
        </w:rPr>
        <w:t>2</w:t>
      </w:r>
      <w:r w:rsidR="00E421FD" w:rsidRPr="00960E47">
        <w:rPr>
          <w:lang w:val="es-ES"/>
        </w:rPr>
        <w:t>.</w:t>
      </w:r>
    </w:p>
    <w:p w:rsidR="00E421FD" w:rsidRPr="00960E47" w:rsidRDefault="00763481" w:rsidP="00BD2CEB">
      <w:pPr>
        <w:pStyle w:val="H1G"/>
        <w:rPr>
          <w:lang w:val="es-ES"/>
        </w:rPr>
      </w:pPr>
      <w:r w:rsidRPr="00960E47">
        <w:rPr>
          <w:lang w:val="es-ES"/>
        </w:rPr>
        <w:tab/>
        <w:t>B.</w:t>
      </w:r>
      <w:r w:rsidRPr="00960E47">
        <w:rPr>
          <w:lang w:val="es-ES"/>
        </w:rPr>
        <w:tab/>
      </w:r>
      <w:r w:rsidR="00E421FD" w:rsidRPr="00960E47">
        <w:rPr>
          <w:lang w:val="es-ES"/>
        </w:rPr>
        <w:t>Las personas</w:t>
      </w:r>
    </w:p>
    <w:p w:rsidR="00E421FD" w:rsidRPr="00960E47" w:rsidRDefault="00763481" w:rsidP="00BD2CEB">
      <w:pPr>
        <w:pStyle w:val="H23G"/>
        <w:rPr>
          <w:lang w:val="es-ES"/>
        </w:rPr>
      </w:pPr>
      <w:r w:rsidRPr="00960E47">
        <w:rPr>
          <w:lang w:val="es-ES"/>
        </w:rPr>
        <w:tab/>
      </w:r>
      <w:r w:rsidRPr="00960E47">
        <w:rPr>
          <w:lang w:val="es-ES"/>
        </w:rPr>
        <w:tab/>
      </w:r>
      <w:r w:rsidR="00E421FD" w:rsidRPr="00960E47">
        <w:rPr>
          <w:lang w:val="es-ES"/>
        </w:rPr>
        <w:t>Población</w:t>
      </w:r>
    </w:p>
    <w:p w:rsidR="00E421FD" w:rsidRPr="00960E47" w:rsidRDefault="00763481" w:rsidP="00BD2CEB">
      <w:pPr>
        <w:pStyle w:val="SingleTxtG"/>
        <w:rPr>
          <w:lang w:val="es-ES"/>
        </w:rPr>
      </w:pPr>
      <w:r w:rsidRPr="00960E47">
        <w:rPr>
          <w:lang w:val="es-ES"/>
        </w:rPr>
        <w:t>3.</w:t>
      </w:r>
      <w:r w:rsidRPr="00960E47">
        <w:rPr>
          <w:lang w:val="es-ES"/>
        </w:rPr>
        <w:tab/>
      </w:r>
      <w:r w:rsidR="00E421FD" w:rsidRPr="00960E47">
        <w:rPr>
          <w:lang w:val="es-ES"/>
        </w:rPr>
        <w:t xml:space="preserve">Según el censo nacional de 2006, Lesotho tenía una población </w:t>
      </w:r>
      <w:r w:rsidR="00E421FD" w:rsidRPr="00960E47">
        <w:rPr>
          <w:i/>
          <w:lang w:val="es-ES"/>
        </w:rPr>
        <w:t>de jure</w:t>
      </w:r>
      <w:r w:rsidR="00E421FD" w:rsidRPr="00960E47">
        <w:rPr>
          <w:lang w:val="es-ES"/>
        </w:rPr>
        <w:t xml:space="preserve"> esti</w:t>
      </w:r>
      <w:r w:rsidR="001973E7" w:rsidRPr="00960E47">
        <w:rPr>
          <w:lang w:val="es-ES"/>
        </w:rPr>
        <w:t>mada en </w:t>
      </w:r>
      <w:r w:rsidR="00E421FD" w:rsidRPr="00960E47">
        <w:rPr>
          <w:lang w:val="es-ES"/>
        </w:rPr>
        <w:t>1.876.633 personas; el censo de población y vivienda del mismo año presentó una estimación de 1,88 millones de personas</w:t>
      </w:r>
      <w:r w:rsidR="00E421FD" w:rsidRPr="00960E47">
        <w:rPr>
          <w:rStyle w:val="FootnoteReference"/>
          <w:lang w:val="es-ES"/>
        </w:rPr>
        <w:footnoteReference w:id="5"/>
      </w:r>
      <w:r w:rsidR="00E421FD" w:rsidRPr="00960E47">
        <w:rPr>
          <w:lang w:val="es-ES"/>
        </w:rPr>
        <w:t xml:space="preserve">. Se ha registrado un considerable descenso de la población desde la tasa de crecimiento anual de 1,5% en el período de 1986 a 1996 a una tasa de crecimiento anual de 0,08%. La tasa anual de crecimiento de la población se estima en el 0,116%. </w:t>
      </w:r>
      <w:r w:rsidR="0045213B" w:rsidRPr="00960E47">
        <w:rPr>
          <w:lang w:val="es-ES"/>
        </w:rPr>
        <w:t>"</w:t>
      </w:r>
      <w:r w:rsidR="00E421FD" w:rsidRPr="00960E47">
        <w:rPr>
          <w:lang w:val="es-ES"/>
        </w:rPr>
        <w:t>Según el censo de 1986, la tasa de crecimiento natural de la población era del 2,6%. Las proyecciones apuntan a un 2,8% para el censo de 1996. La tasa de crecimiento no ha sido tal como se había previsto, debido a la prevalencia de la pandemia del VIH/SIDA, que ha registrado un aumento muy elevado. La tasa de infección por el VIH/SIDA en Lesotho se estima actualmente entre el 23,3% y el 23,6% de la población adulta del país</w:t>
      </w:r>
      <w:r w:rsidR="001B642B" w:rsidRPr="00960E47">
        <w:rPr>
          <w:lang w:val="es-ES"/>
        </w:rPr>
        <w:t>.</w:t>
      </w:r>
      <w:r w:rsidR="0045213B" w:rsidRPr="00960E47">
        <w:rPr>
          <w:lang w:val="es-ES"/>
        </w:rPr>
        <w:t>"</w:t>
      </w:r>
      <w:r w:rsidR="00E421FD" w:rsidRPr="00960E47">
        <w:rPr>
          <w:lang w:val="es-ES"/>
        </w:rPr>
        <w:t xml:space="preserve"> La fuerte migración económica de la mayoría basotho hacia la República de Sudáfrica en busca de oportunidades de empleo ha afectado significativamente al censo de población de Lesotho. En consecuencia, la mayoría de las personas se encuentran lejos de casa durante el período del censo. La trata de personas ha contribuido con un pequeño porcentaje —aproximadamente el 0,1%— a la distorsión del censo de población de Lesotho. Debido a los desafíos planteados por el desempleo, jóvenes de uno y otro sexo han sido víctimas de la trata y han sido trasladados a otros países con fines de explotación sexual, pornografía y mano de obra barata, con la falsa promesa de un empleo decente. La tasa de alfabetización de la población femenina se estim</w:t>
      </w:r>
      <w:r w:rsidR="001973E7" w:rsidRPr="00960E47">
        <w:rPr>
          <w:lang w:val="es-ES"/>
        </w:rPr>
        <w:t>a entre el 84,8%, en 2003, y el </w:t>
      </w:r>
      <w:r w:rsidR="00E421FD" w:rsidRPr="00960E47">
        <w:rPr>
          <w:lang w:val="es-ES"/>
        </w:rPr>
        <w:t>76%, en 2009.</w:t>
      </w:r>
    </w:p>
    <w:p w:rsidR="00E421FD" w:rsidRPr="00960E47" w:rsidRDefault="00763481" w:rsidP="00BD2CEB">
      <w:pPr>
        <w:pStyle w:val="H1G"/>
        <w:rPr>
          <w:lang w:val="es-ES"/>
        </w:rPr>
      </w:pPr>
      <w:r w:rsidRPr="00960E47">
        <w:rPr>
          <w:lang w:val="es-ES"/>
        </w:rPr>
        <w:tab/>
        <w:t>C.</w:t>
      </w:r>
      <w:r w:rsidRPr="00960E47">
        <w:rPr>
          <w:lang w:val="es-ES"/>
        </w:rPr>
        <w:tab/>
      </w:r>
      <w:r w:rsidR="00E421FD" w:rsidRPr="00960E47">
        <w:rPr>
          <w:lang w:val="es-ES"/>
        </w:rPr>
        <w:t>Datos demográficos</w:t>
      </w:r>
    </w:p>
    <w:p w:rsidR="00E421FD" w:rsidRPr="00960E47" w:rsidRDefault="00763481" w:rsidP="00BD2CEB">
      <w:pPr>
        <w:pStyle w:val="H23G"/>
        <w:rPr>
          <w:lang w:val="es-ES"/>
        </w:rPr>
      </w:pPr>
      <w:r w:rsidRPr="00960E47">
        <w:rPr>
          <w:lang w:val="es-ES"/>
        </w:rPr>
        <w:tab/>
      </w:r>
      <w:r w:rsidRPr="00960E47">
        <w:rPr>
          <w:lang w:val="es-ES"/>
        </w:rPr>
        <w:tab/>
      </w:r>
      <w:r w:rsidR="00E421FD" w:rsidRPr="00960E47">
        <w:rPr>
          <w:lang w:val="es-ES"/>
        </w:rPr>
        <w:t>Población total estimada en el censo de 2006</w:t>
      </w:r>
    </w:p>
    <w:p w:rsidR="00E421FD" w:rsidRPr="00960E47" w:rsidRDefault="00763481" w:rsidP="00BD2CEB">
      <w:pPr>
        <w:pStyle w:val="SingleTxtG"/>
        <w:rPr>
          <w:lang w:val="es-ES"/>
        </w:rPr>
      </w:pPr>
      <w:r w:rsidRPr="00960E47">
        <w:rPr>
          <w:lang w:val="es-ES"/>
        </w:rPr>
        <w:t>4.</w:t>
      </w:r>
      <w:r w:rsidRPr="00960E47">
        <w:rPr>
          <w:lang w:val="es-ES"/>
        </w:rPr>
        <w:tab/>
      </w:r>
      <w:r w:rsidR="00E421FD" w:rsidRPr="00960E47">
        <w:rPr>
          <w:lang w:val="es-ES"/>
        </w:rPr>
        <w:t>El censo de población y vivienda de Lesotho de 2006 registró un total de 1.876.633 habitantes, de los que 912.798 eran varones y 963.835 mujeres. La población aumentó en 388.362 personas entre 1976 y 1986; entre 1986 y 1996 el aumento fue de 257.098 personas; y entre 1996 y 2006, de 14.358.</w:t>
      </w:r>
    </w:p>
    <w:p w:rsidR="00E421FD" w:rsidRPr="00960E47" w:rsidRDefault="00E421FD" w:rsidP="00BD2CEB">
      <w:pPr>
        <w:pStyle w:val="SingleTxtG"/>
        <w:tabs>
          <w:tab w:val="right" w:pos="6299"/>
        </w:tabs>
        <w:ind w:left="1701"/>
        <w:rPr>
          <w:lang w:val="es-ES"/>
        </w:rPr>
      </w:pPr>
      <w:r w:rsidRPr="00960E47">
        <w:rPr>
          <w:lang w:val="es-ES"/>
        </w:rPr>
        <w:t>Población total estimada en 2006:</w:t>
      </w:r>
      <w:r w:rsidRPr="00960E47">
        <w:rPr>
          <w:lang w:val="es-ES"/>
        </w:rPr>
        <w:tab/>
        <w:t>1.876.633</w:t>
      </w:r>
    </w:p>
    <w:p w:rsidR="00E421FD" w:rsidRPr="00960E47" w:rsidRDefault="00E421FD" w:rsidP="00BD2CEB">
      <w:pPr>
        <w:pStyle w:val="SingleTxtG"/>
        <w:tabs>
          <w:tab w:val="right" w:pos="6299"/>
        </w:tabs>
        <w:ind w:left="1701"/>
        <w:rPr>
          <w:lang w:val="es-ES"/>
        </w:rPr>
      </w:pPr>
      <w:r w:rsidRPr="00960E47">
        <w:rPr>
          <w:lang w:val="es-ES"/>
        </w:rPr>
        <w:t>Población femenina total estimada en 2006:</w:t>
      </w:r>
      <w:r w:rsidRPr="00960E47">
        <w:rPr>
          <w:lang w:val="es-ES"/>
        </w:rPr>
        <w:tab/>
        <w:t>963.835</w:t>
      </w:r>
    </w:p>
    <w:p w:rsidR="00E421FD" w:rsidRPr="00960E47" w:rsidRDefault="00E421FD" w:rsidP="00BD2CEB">
      <w:pPr>
        <w:pStyle w:val="SingleTxtG"/>
        <w:tabs>
          <w:tab w:val="right" w:pos="6299"/>
        </w:tabs>
        <w:ind w:left="1701"/>
        <w:rPr>
          <w:lang w:val="es-ES"/>
        </w:rPr>
      </w:pPr>
      <w:r w:rsidRPr="00960E47">
        <w:rPr>
          <w:lang w:val="es-ES"/>
        </w:rPr>
        <w:t>Población ma</w:t>
      </w:r>
      <w:r w:rsidR="00AB332B" w:rsidRPr="00960E47">
        <w:rPr>
          <w:lang w:val="es-ES"/>
        </w:rPr>
        <w:t>sculina total estimada en 2006:</w:t>
      </w:r>
      <w:r w:rsidR="00AB332B" w:rsidRPr="00960E47">
        <w:rPr>
          <w:lang w:val="es-ES"/>
        </w:rPr>
        <w:tab/>
      </w:r>
      <w:r w:rsidRPr="00960E47">
        <w:rPr>
          <w:lang w:val="es-ES"/>
        </w:rPr>
        <w:t>912.798</w:t>
      </w:r>
    </w:p>
    <w:p w:rsidR="00E421FD" w:rsidRPr="00960E47" w:rsidRDefault="00AB332B" w:rsidP="00BD2CEB">
      <w:pPr>
        <w:pStyle w:val="SingleTxtG"/>
        <w:spacing w:after="240"/>
        <w:rPr>
          <w:lang w:val="es-ES"/>
        </w:rPr>
      </w:pPr>
      <w:r w:rsidRPr="00960E47">
        <w:rPr>
          <w:lang w:val="es-ES"/>
        </w:rPr>
        <w:t>5.</w:t>
      </w:r>
      <w:r w:rsidRPr="00960E47">
        <w:rPr>
          <w:lang w:val="es-ES"/>
        </w:rPr>
        <w:tab/>
      </w:r>
      <w:r w:rsidR="00E421FD" w:rsidRPr="00960E47">
        <w:rPr>
          <w:lang w:val="es-ES"/>
        </w:rPr>
        <w:t>En el cuadro I siguiente puede verse la distribución de la población por edad y sexo en Lesotho, según el censo de población de 2006.</w:t>
      </w:r>
    </w:p>
    <w:p w:rsidR="00E421FD" w:rsidRPr="00960E47" w:rsidRDefault="00AB332B" w:rsidP="00BD2CEB">
      <w:pPr>
        <w:pStyle w:val="Heading1"/>
        <w:rPr>
          <w:lang w:val="es-ES"/>
        </w:rPr>
      </w:pPr>
      <w:r w:rsidRPr="00960E47">
        <w:rPr>
          <w:lang w:val="es-ES"/>
        </w:rPr>
        <w:t>Cuadro 2.1</w:t>
      </w:r>
    </w:p>
    <w:p w:rsidR="00E421FD" w:rsidRPr="00960E47" w:rsidRDefault="00E421FD" w:rsidP="00BD2CEB">
      <w:pPr>
        <w:pStyle w:val="SingleTxtG"/>
        <w:jc w:val="left"/>
        <w:rPr>
          <w:b/>
          <w:lang w:val="es-ES"/>
        </w:rPr>
      </w:pPr>
      <w:r w:rsidRPr="00960E47">
        <w:rPr>
          <w:b/>
          <w:lang w:val="es-ES"/>
        </w:rPr>
        <w:t>Población en hogares: Distribución de la población en hogares</w:t>
      </w:r>
      <w:r w:rsidR="008A5D5A" w:rsidRPr="00960E47">
        <w:rPr>
          <w:b/>
          <w:lang w:val="es-ES"/>
        </w:rPr>
        <w:t xml:space="preserve"> por edad y sexo, censo de 2006</w:t>
      </w:r>
    </w:p>
    <w:tbl>
      <w:tblPr>
        <w:tblW w:w="9640" w:type="dxa"/>
        <w:jc w:val="center"/>
        <w:tblBorders>
          <w:top w:val="single" w:sz="4" w:space="0" w:color="auto"/>
          <w:bottom w:val="single" w:sz="12" w:space="0" w:color="auto"/>
        </w:tblBorders>
        <w:tblLayout w:type="fixed"/>
        <w:tblCellMar>
          <w:left w:w="0" w:type="dxa"/>
          <w:right w:w="0" w:type="dxa"/>
        </w:tblCellMar>
        <w:tblLook w:val="0000"/>
      </w:tblPr>
      <w:tblGrid>
        <w:gridCol w:w="882"/>
        <w:gridCol w:w="766"/>
        <w:gridCol w:w="766"/>
        <w:gridCol w:w="767"/>
        <w:gridCol w:w="739"/>
        <w:gridCol w:w="739"/>
        <w:gridCol w:w="739"/>
        <w:gridCol w:w="739"/>
        <w:gridCol w:w="739"/>
        <w:gridCol w:w="740"/>
        <w:gridCol w:w="675"/>
        <w:gridCol w:w="674"/>
        <w:gridCol w:w="675"/>
      </w:tblGrid>
      <w:tr w:rsidR="00E421FD" w:rsidRPr="00960E47" w:rsidTr="005C1385">
        <w:trPr>
          <w:tblHeader/>
          <w:jc w:val="center"/>
        </w:trPr>
        <w:tc>
          <w:tcPr>
            <w:tcW w:w="882" w:type="dxa"/>
            <w:vMerge w:val="restart"/>
            <w:tcBorders>
              <w:top w:val="single" w:sz="4" w:space="0" w:color="auto"/>
            </w:tcBorders>
            <w:shd w:val="clear" w:color="auto" w:fill="auto"/>
            <w:noWrap/>
            <w:vAlign w:val="bottom"/>
          </w:tcPr>
          <w:p w:rsidR="00E421FD" w:rsidRPr="00960E47" w:rsidRDefault="00E421FD" w:rsidP="00BD2CEB">
            <w:pPr>
              <w:pStyle w:val="SingleTxtG"/>
              <w:spacing w:before="80" w:after="80" w:line="200" w:lineRule="exact"/>
              <w:ind w:left="0" w:right="0"/>
              <w:jc w:val="left"/>
              <w:rPr>
                <w:i/>
                <w:sz w:val="16"/>
                <w:szCs w:val="18"/>
                <w:lang w:val="es-ES"/>
              </w:rPr>
            </w:pPr>
            <w:r w:rsidRPr="00960E47">
              <w:rPr>
                <w:i/>
                <w:sz w:val="16"/>
                <w:szCs w:val="18"/>
                <w:lang w:val="es-ES"/>
              </w:rPr>
              <w:t xml:space="preserve">Grupo de </w:t>
            </w:r>
            <w:r w:rsidR="009578D9" w:rsidRPr="00960E47">
              <w:rPr>
                <w:i/>
                <w:sz w:val="16"/>
                <w:szCs w:val="18"/>
                <w:lang w:val="es-ES"/>
              </w:rPr>
              <w:br/>
            </w:r>
            <w:r w:rsidRPr="00960E47">
              <w:rPr>
                <w:i/>
                <w:sz w:val="16"/>
                <w:szCs w:val="18"/>
                <w:lang w:val="es-ES"/>
              </w:rPr>
              <w:t>edad (años)</w:t>
            </w:r>
          </w:p>
        </w:tc>
        <w:tc>
          <w:tcPr>
            <w:tcW w:w="2299" w:type="dxa"/>
            <w:gridSpan w:val="3"/>
            <w:tcBorders>
              <w:top w:val="single" w:sz="4" w:space="0" w:color="auto"/>
              <w:bottom w:val="single" w:sz="4" w:space="0" w:color="auto"/>
              <w:right w:val="single" w:sz="24" w:space="0" w:color="FFFFFF"/>
            </w:tcBorders>
            <w:shd w:val="clear" w:color="auto" w:fill="auto"/>
            <w:noWrap/>
            <w:vAlign w:val="bottom"/>
          </w:tcPr>
          <w:p w:rsidR="00E421FD" w:rsidRPr="00960E47" w:rsidRDefault="00E421FD" w:rsidP="00BD2CEB">
            <w:pPr>
              <w:pStyle w:val="SingleTxtG"/>
              <w:spacing w:before="80" w:after="80" w:line="200" w:lineRule="exact"/>
              <w:ind w:left="0" w:right="0"/>
              <w:jc w:val="center"/>
              <w:rPr>
                <w:i/>
                <w:sz w:val="16"/>
                <w:szCs w:val="18"/>
                <w:lang w:val="es-ES"/>
              </w:rPr>
            </w:pPr>
            <w:r w:rsidRPr="00960E47">
              <w:rPr>
                <w:i/>
                <w:sz w:val="16"/>
                <w:szCs w:val="18"/>
                <w:lang w:val="es-ES"/>
              </w:rPr>
              <w:t>Lesotho</w:t>
            </w:r>
          </w:p>
        </w:tc>
        <w:tc>
          <w:tcPr>
            <w:tcW w:w="2217" w:type="dxa"/>
            <w:gridSpan w:val="3"/>
            <w:tcBorders>
              <w:top w:val="single" w:sz="4" w:space="0" w:color="auto"/>
              <w:left w:val="single" w:sz="24" w:space="0" w:color="FFFFFF"/>
              <w:bottom w:val="single" w:sz="4" w:space="0" w:color="auto"/>
              <w:right w:val="single" w:sz="24" w:space="0" w:color="FFFFFF"/>
            </w:tcBorders>
            <w:shd w:val="clear" w:color="auto" w:fill="auto"/>
            <w:noWrap/>
            <w:vAlign w:val="bottom"/>
          </w:tcPr>
          <w:p w:rsidR="00E421FD" w:rsidRPr="00960E47" w:rsidRDefault="00E421FD" w:rsidP="00BD2CEB">
            <w:pPr>
              <w:pStyle w:val="SingleTxtG"/>
              <w:spacing w:before="80" w:after="80" w:line="200" w:lineRule="exact"/>
              <w:ind w:left="0" w:right="0"/>
              <w:jc w:val="center"/>
              <w:rPr>
                <w:i/>
                <w:sz w:val="16"/>
                <w:szCs w:val="18"/>
                <w:lang w:val="es-ES"/>
              </w:rPr>
            </w:pPr>
            <w:r w:rsidRPr="00960E47">
              <w:rPr>
                <w:i/>
                <w:sz w:val="16"/>
                <w:szCs w:val="18"/>
                <w:lang w:val="es-ES"/>
              </w:rPr>
              <w:t>Varones</w:t>
            </w:r>
          </w:p>
        </w:tc>
        <w:tc>
          <w:tcPr>
            <w:tcW w:w="2218" w:type="dxa"/>
            <w:gridSpan w:val="3"/>
            <w:tcBorders>
              <w:top w:val="single" w:sz="4" w:space="0" w:color="auto"/>
              <w:left w:val="single" w:sz="24" w:space="0" w:color="FFFFFF"/>
              <w:bottom w:val="single" w:sz="4" w:space="0" w:color="auto"/>
              <w:right w:val="single" w:sz="24" w:space="0" w:color="FFFFFF"/>
            </w:tcBorders>
            <w:shd w:val="clear" w:color="auto" w:fill="auto"/>
            <w:noWrap/>
            <w:vAlign w:val="bottom"/>
          </w:tcPr>
          <w:p w:rsidR="00E421FD" w:rsidRPr="00960E47" w:rsidRDefault="00E421FD" w:rsidP="00BD2CEB">
            <w:pPr>
              <w:pStyle w:val="SingleTxtG"/>
              <w:spacing w:before="80" w:after="80" w:line="200" w:lineRule="exact"/>
              <w:ind w:left="0" w:right="0"/>
              <w:jc w:val="center"/>
              <w:rPr>
                <w:i/>
                <w:sz w:val="16"/>
                <w:szCs w:val="18"/>
                <w:lang w:val="es-ES"/>
              </w:rPr>
            </w:pPr>
            <w:r w:rsidRPr="00960E47">
              <w:rPr>
                <w:i/>
                <w:sz w:val="16"/>
                <w:szCs w:val="18"/>
                <w:lang w:val="es-ES"/>
              </w:rPr>
              <w:t>Mujeres</w:t>
            </w:r>
          </w:p>
        </w:tc>
        <w:tc>
          <w:tcPr>
            <w:tcW w:w="2024" w:type="dxa"/>
            <w:gridSpan w:val="3"/>
            <w:tcBorders>
              <w:top w:val="single" w:sz="4" w:space="0" w:color="auto"/>
              <w:left w:val="single" w:sz="24" w:space="0" w:color="FFFFFF"/>
              <w:bottom w:val="single" w:sz="4" w:space="0" w:color="auto"/>
            </w:tcBorders>
            <w:shd w:val="clear" w:color="auto" w:fill="auto"/>
            <w:noWrap/>
            <w:vAlign w:val="bottom"/>
          </w:tcPr>
          <w:p w:rsidR="00E421FD" w:rsidRPr="00960E47" w:rsidRDefault="00E421FD" w:rsidP="00BD2CEB">
            <w:pPr>
              <w:pStyle w:val="SingleTxtG"/>
              <w:spacing w:before="80" w:after="80" w:line="200" w:lineRule="exact"/>
              <w:ind w:left="0" w:right="0"/>
              <w:jc w:val="center"/>
              <w:rPr>
                <w:i/>
                <w:sz w:val="16"/>
                <w:szCs w:val="18"/>
                <w:lang w:val="es-ES"/>
              </w:rPr>
            </w:pPr>
            <w:r w:rsidRPr="00960E47">
              <w:rPr>
                <w:i/>
                <w:sz w:val="16"/>
                <w:szCs w:val="18"/>
                <w:lang w:val="es-ES"/>
              </w:rPr>
              <w:t>Porcentaje</w:t>
            </w:r>
          </w:p>
        </w:tc>
      </w:tr>
      <w:tr w:rsidR="00E421FD" w:rsidRPr="00960E47" w:rsidTr="005C1385">
        <w:trPr>
          <w:tblHeader/>
          <w:jc w:val="center"/>
        </w:trPr>
        <w:tc>
          <w:tcPr>
            <w:tcW w:w="882" w:type="dxa"/>
            <w:vMerge/>
            <w:tcBorders>
              <w:bottom w:val="single" w:sz="12" w:space="0" w:color="auto"/>
            </w:tcBorders>
            <w:shd w:val="clear" w:color="auto" w:fill="auto"/>
            <w:noWrap/>
            <w:vAlign w:val="bottom"/>
          </w:tcPr>
          <w:p w:rsidR="00E421FD" w:rsidRPr="00960E47" w:rsidRDefault="00E421FD" w:rsidP="00BD2CEB">
            <w:pPr>
              <w:pStyle w:val="SingleTxtG"/>
              <w:spacing w:before="80" w:after="80" w:line="200" w:lineRule="exact"/>
              <w:ind w:left="0" w:right="0"/>
              <w:jc w:val="left"/>
              <w:rPr>
                <w:i/>
                <w:sz w:val="16"/>
                <w:szCs w:val="18"/>
                <w:lang w:val="es-ES"/>
              </w:rPr>
            </w:pPr>
          </w:p>
        </w:tc>
        <w:tc>
          <w:tcPr>
            <w:tcW w:w="766" w:type="dxa"/>
            <w:tcBorders>
              <w:top w:val="single" w:sz="4" w:space="0" w:color="auto"/>
              <w:bottom w:val="single" w:sz="12" w:space="0" w:color="auto"/>
            </w:tcBorders>
            <w:shd w:val="clear" w:color="auto" w:fill="auto"/>
            <w:noWrap/>
            <w:vAlign w:val="bottom"/>
          </w:tcPr>
          <w:p w:rsidR="00E421FD" w:rsidRPr="00960E47" w:rsidRDefault="00E421FD" w:rsidP="00BD2CEB">
            <w:pPr>
              <w:pStyle w:val="SingleTxtG"/>
              <w:spacing w:before="80" w:after="80" w:line="200" w:lineRule="exact"/>
              <w:ind w:left="0" w:right="0"/>
              <w:jc w:val="right"/>
              <w:rPr>
                <w:b/>
                <w:i/>
                <w:sz w:val="16"/>
                <w:szCs w:val="18"/>
                <w:lang w:val="es-ES"/>
              </w:rPr>
            </w:pPr>
            <w:r w:rsidRPr="00960E47">
              <w:rPr>
                <w:b/>
                <w:i/>
                <w:sz w:val="16"/>
                <w:szCs w:val="18"/>
                <w:lang w:val="es-ES"/>
              </w:rPr>
              <w:t>Total</w:t>
            </w:r>
          </w:p>
        </w:tc>
        <w:tc>
          <w:tcPr>
            <w:tcW w:w="766" w:type="dxa"/>
            <w:tcBorders>
              <w:top w:val="single" w:sz="4" w:space="0" w:color="auto"/>
              <w:bottom w:val="single" w:sz="12" w:space="0" w:color="auto"/>
            </w:tcBorders>
            <w:shd w:val="clear" w:color="auto" w:fill="auto"/>
            <w:noWrap/>
            <w:vAlign w:val="bottom"/>
          </w:tcPr>
          <w:p w:rsidR="00E421FD" w:rsidRPr="00960E47" w:rsidRDefault="00E421FD" w:rsidP="00BD2CEB">
            <w:pPr>
              <w:pStyle w:val="SingleTxtG"/>
              <w:spacing w:before="80" w:after="80" w:line="200" w:lineRule="exact"/>
              <w:ind w:left="0" w:right="0"/>
              <w:jc w:val="right"/>
              <w:rPr>
                <w:i/>
                <w:sz w:val="16"/>
                <w:szCs w:val="18"/>
                <w:lang w:val="es-ES"/>
              </w:rPr>
            </w:pPr>
            <w:r w:rsidRPr="00960E47">
              <w:rPr>
                <w:i/>
                <w:sz w:val="16"/>
                <w:szCs w:val="18"/>
                <w:lang w:val="es-ES"/>
              </w:rPr>
              <w:t>Presentes</w:t>
            </w:r>
          </w:p>
        </w:tc>
        <w:tc>
          <w:tcPr>
            <w:tcW w:w="767" w:type="dxa"/>
            <w:tcBorders>
              <w:top w:val="single" w:sz="4" w:space="0" w:color="auto"/>
              <w:bottom w:val="single" w:sz="12" w:space="0" w:color="auto"/>
              <w:right w:val="single" w:sz="24" w:space="0" w:color="FFFFFF"/>
            </w:tcBorders>
            <w:shd w:val="clear" w:color="auto" w:fill="auto"/>
            <w:noWrap/>
            <w:vAlign w:val="bottom"/>
          </w:tcPr>
          <w:p w:rsidR="00E421FD" w:rsidRPr="00960E47" w:rsidRDefault="00E421FD" w:rsidP="00BD2CEB">
            <w:pPr>
              <w:pStyle w:val="SingleTxtG"/>
              <w:spacing w:before="80" w:after="80" w:line="200" w:lineRule="exact"/>
              <w:ind w:left="0" w:right="0"/>
              <w:jc w:val="right"/>
              <w:rPr>
                <w:i/>
                <w:sz w:val="16"/>
                <w:szCs w:val="18"/>
                <w:lang w:val="es-ES"/>
              </w:rPr>
            </w:pPr>
            <w:r w:rsidRPr="00960E47">
              <w:rPr>
                <w:i/>
                <w:sz w:val="16"/>
                <w:szCs w:val="18"/>
                <w:lang w:val="es-ES"/>
              </w:rPr>
              <w:t>Ausentes</w:t>
            </w:r>
          </w:p>
        </w:tc>
        <w:tc>
          <w:tcPr>
            <w:tcW w:w="739" w:type="dxa"/>
            <w:tcBorders>
              <w:top w:val="single" w:sz="4" w:space="0" w:color="auto"/>
              <w:left w:val="single" w:sz="24" w:space="0" w:color="FFFFFF"/>
              <w:bottom w:val="single" w:sz="12" w:space="0" w:color="auto"/>
            </w:tcBorders>
            <w:shd w:val="clear" w:color="auto" w:fill="auto"/>
            <w:noWrap/>
            <w:vAlign w:val="bottom"/>
          </w:tcPr>
          <w:p w:rsidR="00E421FD" w:rsidRPr="00960E47" w:rsidRDefault="00E421FD" w:rsidP="00BD2CEB">
            <w:pPr>
              <w:pStyle w:val="SingleTxtG"/>
              <w:spacing w:before="80" w:after="80" w:line="200" w:lineRule="exact"/>
              <w:ind w:left="0" w:right="0"/>
              <w:jc w:val="right"/>
              <w:rPr>
                <w:b/>
                <w:i/>
                <w:sz w:val="16"/>
                <w:szCs w:val="18"/>
                <w:lang w:val="es-ES"/>
              </w:rPr>
            </w:pPr>
            <w:r w:rsidRPr="00960E47">
              <w:rPr>
                <w:b/>
                <w:i/>
                <w:sz w:val="16"/>
                <w:szCs w:val="18"/>
                <w:lang w:val="es-ES"/>
              </w:rPr>
              <w:t>Total</w:t>
            </w:r>
          </w:p>
        </w:tc>
        <w:tc>
          <w:tcPr>
            <w:tcW w:w="739" w:type="dxa"/>
            <w:tcBorders>
              <w:top w:val="single" w:sz="4" w:space="0" w:color="auto"/>
              <w:bottom w:val="single" w:sz="12" w:space="0" w:color="auto"/>
            </w:tcBorders>
            <w:shd w:val="clear" w:color="auto" w:fill="auto"/>
            <w:noWrap/>
            <w:vAlign w:val="bottom"/>
          </w:tcPr>
          <w:p w:rsidR="00E421FD" w:rsidRPr="00960E47" w:rsidRDefault="00E421FD" w:rsidP="00BD2CEB">
            <w:pPr>
              <w:pStyle w:val="SingleTxtG"/>
              <w:spacing w:before="80" w:after="80" w:line="200" w:lineRule="exact"/>
              <w:ind w:left="0" w:right="0"/>
              <w:jc w:val="right"/>
              <w:rPr>
                <w:i/>
                <w:sz w:val="16"/>
                <w:szCs w:val="18"/>
                <w:lang w:val="es-ES"/>
              </w:rPr>
            </w:pPr>
            <w:r w:rsidRPr="00960E47">
              <w:rPr>
                <w:i/>
                <w:sz w:val="16"/>
                <w:szCs w:val="18"/>
                <w:lang w:val="es-ES"/>
              </w:rPr>
              <w:t>Presentes</w:t>
            </w:r>
          </w:p>
        </w:tc>
        <w:tc>
          <w:tcPr>
            <w:tcW w:w="739" w:type="dxa"/>
            <w:tcBorders>
              <w:top w:val="single" w:sz="4" w:space="0" w:color="auto"/>
              <w:bottom w:val="single" w:sz="12" w:space="0" w:color="auto"/>
              <w:right w:val="single" w:sz="24" w:space="0" w:color="FFFFFF"/>
            </w:tcBorders>
            <w:shd w:val="clear" w:color="auto" w:fill="auto"/>
            <w:noWrap/>
            <w:vAlign w:val="bottom"/>
          </w:tcPr>
          <w:p w:rsidR="00E421FD" w:rsidRPr="00960E47" w:rsidRDefault="00E421FD" w:rsidP="00BD2CEB">
            <w:pPr>
              <w:pStyle w:val="SingleTxtG"/>
              <w:spacing w:before="80" w:after="80" w:line="200" w:lineRule="exact"/>
              <w:ind w:left="0" w:right="0"/>
              <w:jc w:val="right"/>
              <w:rPr>
                <w:i/>
                <w:sz w:val="16"/>
                <w:szCs w:val="18"/>
                <w:lang w:val="es-ES"/>
              </w:rPr>
            </w:pPr>
            <w:r w:rsidRPr="00960E47">
              <w:rPr>
                <w:i/>
                <w:sz w:val="16"/>
                <w:szCs w:val="18"/>
                <w:lang w:val="es-ES"/>
              </w:rPr>
              <w:t>Ausentes</w:t>
            </w:r>
          </w:p>
        </w:tc>
        <w:tc>
          <w:tcPr>
            <w:tcW w:w="739" w:type="dxa"/>
            <w:tcBorders>
              <w:top w:val="single" w:sz="4" w:space="0" w:color="auto"/>
              <w:left w:val="single" w:sz="24" w:space="0" w:color="FFFFFF"/>
              <w:bottom w:val="single" w:sz="12" w:space="0" w:color="auto"/>
            </w:tcBorders>
            <w:shd w:val="clear" w:color="auto" w:fill="auto"/>
            <w:noWrap/>
            <w:vAlign w:val="bottom"/>
          </w:tcPr>
          <w:p w:rsidR="00E421FD" w:rsidRPr="00960E47" w:rsidRDefault="00E421FD" w:rsidP="00BD2CEB">
            <w:pPr>
              <w:pStyle w:val="SingleTxtG"/>
              <w:spacing w:before="80" w:after="80" w:line="200" w:lineRule="exact"/>
              <w:ind w:left="0" w:right="0"/>
              <w:jc w:val="right"/>
              <w:rPr>
                <w:b/>
                <w:i/>
                <w:sz w:val="16"/>
                <w:szCs w:val="18"/>
                <w:lang w:val="es-ES"/>
              </w:rPr>
            </w:pPr>
            <w:r w:rsidRPr="00960E47">
              <w:rPr>
                <w:b/>
                <w:i/>
                <w:sz w:val="16"/>
                <w:szCs w:val="18"/>
                <w:lang w:val="es-ES"/>
              </w:rPr>
              <w:t>Total</w:t>
            </w:r>
          </w:p>
        </w:tc>
        <w:tc>
          <w:tcPr>
            <w:tcW w:w="739" w:type="dxa"/>
            <w:tcBorders>
              <w:top w:val="single" w:sz="4" w:space="0" w:color="auto"/>
              <w:bottom w:val="single" w:sz="12" w:space="0" w:color="auto"/>
            </w:tcBorders>
            <w:shd w:val="clear" w:color="auto" w:fill="auto"/>
            <w:noWrap/>
            <w:vAlign w:val="bottom"/>
          </w:tcPr>
          <w:p w:rsidR="00E421FD" w:rsidRPr="00960E47" w:rsidRDefault="00E421FD" w:rsidP="00BD2CEB">
            <w:pPr>
              <w:pStyle w:val="SingleTxtG"/>
              <w:spacing w:before="80" w:after="80" w:line="200" w:lineRule="exact"/>
              <w:ind w:left="0" w:right="0"/>
              <w:jc w:val="right"/>
              <w:rPr>
                <w:i/>
                <w:sz w:val="16"/>
                <w:szCs w:val="18"/>
                <w:lang w:val="es-ES"/>
              </w:rPr>
            </w:pPr>
            <w:r w:rsidRPr="00960E47">
              <w:rPr>
                <w:i/>
                <w:sz w:val="16"/>
                <w:szCs w:val="18"/>
                <w:lang w:val="es-ES"/>
              </w:rPr>
              <w:t>Presentes</w:t>
            </w:r>
          </w:p>
        </w:tc>
        <w:tc>
          <w:tcPr>
            <w:tcW w:w="740" w:type="dxa"/>
            <w:tcBorders>
              <w:top w:val="single" w:sz="4" w:space="0" w:color="auto"/>
              <w:bottom w:val="single" w:sz="12" w:space="0" w:color="auto"/>
              <w:right w:val="single" w:sz="24" w:space="0" w:color="FFFFFF"/>
            </w:tcBorders>
            <w:shd w:val="clear" w:color="auto" w:fill="auto"/>
            <w:noWrap/>
            <w:vAlign w:val="bottom"/>
          </w:tcPr>
          <w:p w:rsidR="00E421FD" w:rsidRPr="00960E47" w:rsidRDefault="00E421FD" w:rsidP="00BD2CEB">
            <w:pPr>
              <w:pStyle w:val="SingleTxtG"/>
              <w:spacing w:before="80" w:after="80" w:line="200" w:lineRule="exact"/>
              <w:ind w:left="0" w:right="0"/>
              <w:jc w:val="right"/>
              <w:rPr>
                <w:i/>
                <w:sz w:val="16"/>
                <w:szCs w:val="18"/>
                <w:lang w:val="es-ES"/>
              </w:rPr>
            </w:pPr>
            <w:r w:rsidRPr="00960E47">
              <w:rPr>
                <w:i/>
                <w:sz w:val="16"/>
                <w:szCs w:val="18"/>
                <w:lang w:val="es-ES"/>
              </w:rPr>
              <w:t>Ausentes</w:t>
            </w:r>
          </w:p>
        </w:tc>
        <w:tc>
          <w:tcPr>
            <w:tcW w:w="675" w:type="dxa"/>
            <w:tcBorders>
              <w:top w:val="single" w:sz="4" w:space="0" w:color="auto"/>
              <w:left w:val="single" w:sz="24" w:space="0" w:color="FFFFFF"/>
              <w:bottom w:val="single" w:sz="12" w:space="0" w:color="auto"/>
            </w:tcBorders>
            <w:shd w:val="clear" w:color="auto" w:fill="auto"/>
            <w:noWrap/>
            <w:vAlign w:val="bottom"/>
          </w:tcPr>
          <w:p w:rsidR="00E421FD" w:rsidRPr="00960E47" w:rsidRDefault="00E421FD" w:rsidP="00BD2CEB">
            <w:pPr>
              <w:pStyle w:val="SingleTxtG"/>
              <w:spacing w:before="80" w:after="80" w:line="200" w:lineRule="exact"/>
              <w:ind w:left="0" w:right="0"/>
              <w:jc w:val="right"/>
              <w:rPr>
                <w:b/>
                <w:i/>
                <w:sz w:val="16"/>
                <w:szCs w:val="18"/>
                <w:lang w:val="es-ES"/>
              </w:rPr>
            </w:pPr>
            <w:r w:rsidRPr="00960E47">
              <w:rPr>
                <w:b/>
                <w:i/>
                <w:sz w:val="16"/>
                <w:szCs w:val="18"/>
                <w:lang w:val="es-ES"/>
              </w:rPr>
              <w:t>Total</w:t>
            </w:r>
          </w:p>
        </w:tc>
        <w:tc>
          <w:tcPr>
            <w:tcW w:w="674" w:type="dxa"/>
            <w:tcBorders>
              <w:top w:val="single" w:sz="4" w:space="0" w:color="auto"/>
              <w:bottom w:val="single" w:sz="12" w:space="0" w:color="auto"/>
            </w:tcBorders>
            <w:shd w:val="clear" w:color="auto" w:fill="auto"/>
            <w:noWrap/>
            <w:vAlign w:val="bottom"/>
          </w:tcPr>
          <w:p w:rsidR="00E421FD" w:rsidRPr="00960E47" w:rsidRDefault="00E421FD" w:rsidP="00BD2CEB">
            <w:pPr>
              <w:pStyle w:val="SingleTxtG"/>
              <w:spacing w:before="80" w:after="80" w:line="200" w:lineRule="exact"/>
              <w:ind w:left="0" w:right="0"/>
              <w:jc w:val="right"/>
              <w:rPr>
                <w:i/>
                <w:sz w:val="16"/>
                <w:szCs w:val="18"/>
                <w:lang w:val="es-ES"/>
              </w:rPr>
            </w:pPr>
            <w:r w:rsidRPr="00960E47">
              <w:rPr>
                <w:i/>
                <w:sz w:val="16"/>
                <w:szCs w:val="18"/>
                <w:lang w:val="es-ES"/>
              </w:rPr>
              <w:t>Varones</w:t>
            </w:r>
          </w:p>
        </w:tc>
        <w:tc>
          <w:tcPr>
            <w:tcW w:w="675" w:type="dxa"/>
            <w:tcBorders>
              <w:top w:val="single" w:sz="4" w:space="0" w:color="auto"/>
              <w:bottom w:val="single" w:sz="12" w:space="0" w:color="auto"/>
            </w:tcBorders>
            <w:shd w:val="clear" w:color="auto" w:fill="auto"/>
            <w:noWrap/>
            <w:vAlign w:val="bottom"/>
          </w:tcPr>
          <w:p w:rsidR="00E421FD" w:rsidRPr="00960E47" w:rsidRDefault="00E421FD" w:rsidP="00BD2CEB">
            <w:pPr>
              <w:pStyle w:val="SingleTxtG"/>
              <w:spacing w:before="80" w:after="80" w:line="200" w:lineRule="exact"/>
              <w:ind w:left="0" w:right="0"/>
              <w:jc w:val="right"/>
              <w:rPr>
                <w:i/>
                <w:sz w:val="16"/>
                <w:szCs w:val="18"/>
                <w:lang w:val="es-ES"/>
              </w:rPr>
            </w:pPr>
            <w:r w:rsidRPr="00960E47">
              <w:rPr>
                <w:i/>
                <w:sz w:val="16"/>
                <w:szCs w:val="18"/>
                <w:lang w:val="es-ES"/>
              </w:rPr>
              <w:t>Mujeres</w:t>
            </w:r>
          </w:p>
        </w:tc>
      </w:tr>
      <w:tr w:rsidR="00E421FD" w:rsidRPr="00960E47" w:rsidTr="005C1385">
        <w:trPr>
          <w:jc w:val="center"/>
        </w:trPr>
        <w:tc>
          <w:tcPr>
            <w:tcW w:w="882" w:type="dxa"/>
            <w:tcBorders>
              <w:top w:val="single" w:sz="12" w:space="0" w:color="auto"/>
            </w:tcBorders>
            <w:shd w:val="clear" w:color="auto" w:fill="auto"/>
            <w:noWrap/>
            <w:vAlign w:val="bottom"/>
          </w:tcPr>
          <w:p w:rsidR="00E421FD" w:rsidRPr="00960E47" w:rsidRDefault="00E421FD" w:rsidP="00BD2CEB">
            <w:pPr>
              <w:pStyle w:val="SingleTxtG"/>
              <w:spacing w:before="40" w:after="40" w:line="220" w:lineRule="exact"/>
              <w:ind w:left="0" w:right="0"/>
              <w:jc w:val="left"/>
              <w:rPr>
                <w:sz w:val="18"/>
                <w:szCs w:val="18"/>
                <w:lang w:val="es-ES"/>
              </w:rPr>
            </w:pPr>
            <w:r w:rsidRPr="00960E47">
              <w:rPr>
                <w:sz w:val="18"/>
                <w:szCs w:val="18"/>
                <w:lang w:val="es-ES"/>
              </w:rPr>
              <w:t>0 a 4</w:t>
            </w:r>
          </w:p>
        </w:tc>
        <w:tc>
          <w:tcPr>
            <w:tcW w:w="766" w:type="dxa"/>
            <w:tcBorders>
              <w:top w:val="single" w:sz="12" w:space="0" w:color="auto"/>
            </w:tcBorders>
            <w:shd w:val="clear" w:color="auto" w:fill="auto"/>
            <w:noWrap/>
            <w:vAlign w:val="bottom"/>
          </w:tcPr>
          <w:p w:rsidR="00E421FD" w:rsidRPr="00960E47" w:rsidRDefault="00E421FD" w:rsidP="00BD2CEB">
            <w:pPr>
              <w:pStyle w:val="SingleTxtG"/>
              <w:spacing w:before="40" w:after="40" w:line="220" w:lineRule="exact"/>
              <w:ind w:left="0" w:right="0"/>
              <w:jc w:val="right"/>
              <w:rPr>
                <w:b/>
                <w:sz w:val="18"/>
                <w:szCs w:val="18"/>
                <w:lang w:val="es-ES"/>
              </w:rPr>
            </w:pPr>
            <w:r w:rsidRPr="00960E47">
              <w:rPr>
                <w:b/>
                <w:sz w:val="18"/>
                <w:szCs w:val="18"/>
                <w:lang w:val="es-ES"/>
              </w:rPr>
              <w:t>201</w:t>
            </w:r>
            <w:r w:rsidR="009578D9" w:rsidRPr="00960E47">
              <w:rPr>
                <w:b/>
                <w:sz w:val="18"/>
                <w:szCs w:val="18"/>
                <w:lang w:val="es-ES"/>
              </w:rPr>
              <w:t xml:space="preserve"> </w:t>
            </w:r>
            <w:r w:rsidRPr="00960E47">
              <w:rPr>
                <w:b/>
                <w:sz w:val="18"/>
                <w:szCs w:val="18"/>
                <w:lang w:val="es-ES"/>
              </w:rPr>
              <w:t>995</w:t>
            </w:r>
          </w:p>
        </w:tc>
        <w:tc>
          <w:tcPr>
            <w:tcW w:w="766" w:type="dxa"/>
            <w:tcBorders>
              <w:top w:val="single" w:sz="12" w:space="0" w:color="auto"/>
            </w:tcBorders>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198</w:t>
            </w:r>
            <w:r w:rsidR="009578D9" w:rsidRPr="00960E47">
              <w:rPr>
                <w:sz w:val="18"/>
                <w:szCs w:val="18"/>
                <w:lang w:val="es-ES"/>
              </w:rPr>
              <w:t xml:space="preserve"> </w:t>
            </w:r>
            <w:r w:rsidRPr="00960E47">
              <w:rPr>
                <w:sz w:val="18"/>
                <w:szCs w:val="18"/>
                <w:lang w:val="es-ES"/>
              </w:rPr>
              <w:t>910</w:t>
            </w:r>
          </w:p>
        </w:tc>
        <w:tc>
          <w:tcPr>
            <w:tcW w:w="767" w:type="dxa"/>
            <w:tcBorders>
              <w:top w:val="single" w:sz="12" w:space="0" w:color="auto"/>
            </w:tcBorders>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3</w:t>
            </w:r>
            <w:r w:rsidR="009578D9" w:rsidRPr="00960E47">
              <w:rPr>
                <w:sz w:val="18"/>
                <w:szCs w:val="18"/>
                <w:lang w:val="es-ES"/>
              </w:rPr>
              <w:t xml:space="preserve"> </w:t>
            </w:r>
            <w:r w:rsidRPr="00960E47">
              <w:rPr>
                <w:sz w:val="18"/>
                <w:szCs w:val="18"/>
                <w:lang w:val="es-ES"/>
              </w:rPr>
              <w:t>085</w:t>
            </w:r>
          </w:p>
        </w:tc>
        <w:tc>
          <w:tcPr>
            <w:tcW w:w="739" w:type="dxa"/>
            <w:tcBorders>
              <w:top w:val="single" w:sz="12" w:space="0" w:color="auto"/>
            </w:tcBorders>
            <w:shd w:val="clear" w:color="auto" w:fill="auto"/>
            <w:noWrap/>
            <w:vAlign w:val="bottom"/>
          </w:tcPr>
          <w:p w:rsidR="00E421FD" w:rsidRPr="00960E47" w:rsidRDefault="00E421FD" w:rsidP="00BD2CEB">
            <w:pPr>
              <w:pStyle w:val="SingleTxtG"/>
              <w:spacing w:before="40" w:after="40" w:line="220" w:lineRule="exact"/>
              <w:ind w:left="0" w:right="0"/>
              <w:jc w:val="right"/>
              <w:rPr>
                <w:b/>
                <w:sz w:val="18"/>
                <w:szCs w:val="18"/>
                <w:lang w:val="es-ES"/>
              </w:rPr>
            </w:pPr>
            <w:r w:rsidRPr="00960E47">
              <w:rPr>
                <w:b/>
                <w:sz w:val="18"/>
                <w:szCs w:val="18"/>
                <w:lang w:val="es-ES"/>
              </w:rPr>
              <w:t>101</w:t>
            </w:r>
            <w:r w:rsidR="009578D9" w:rsidRPr="00960E47">
              <w:rPr>
                <w:b/>
                <w:sz w:val="18"/>
                <w:szCs w:val="18"/>
                <w:lang w:val="es-ES"/>
              </w:rPr>
              <w:t xml:space="preserve"> </w:t>
            </w:r>
            <w:r w:rsidRPr="00960E47">
              <w:rPr>
                <w:b/>
                <w:sz w:val="18"/>
                <w:szCs w:val="18"/>
                <w:lang w:val="es-ES"/>
              </w:rPr>
              <w:t>397</w:t>
            </w:r>
          </w:p>
        </w:tc>
        <w:tc>
          <w:tcPr>
            <w:tcW w:w="739" w:type="dxa"/>
            <w:tcBorders>
              <w:top w:val="single" w:sz="12" w:space="0" w:color="auto"/>
            </w:tcBorders>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99</w:t>
            </w:r>
            <w:r w:rsidR="009578D9" w:rsidRPr="00960E47">
              <w:rPr>
                <w:sz w:val="18"/>
                <w:szCs w:val="18"/>
                <w:lang w:val="es-ES"/>
              </w:rPr>
              <w:t xml:space="preserve"> </w:t>
            </w:r>
            <w:r w:rsidRPr="00960E47">
              <w:rPr>
                <w:sz w:val="18"/>
                <w:szCs w:val="18"/>
                <w:lang w:val="es-ES"/>
              </w:rPr>
              <w:t>913</w:t>
            </w:r>
          </w:p>
        </w:tc>
        <w:tc>
          <w:tcPr>
            <w:tcW w:w="739" w:type="dxa"/>
            <w:tcBorders>
              <w:top w:val="single" w:sz="12" w:space="0" w:color="auto"/>
            </w:tcBorders>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1</w:t>
            </w:r>
            <w:r w:rsidR="009578D9" w:rsidRPr="00960E47">
              <w:rPr>
                <w:sz w:val="18"/>
                <w:szCs w:val="18"/>
                <w:lang w:val="es-ES"/>
              </w:rPr>
              <w:t xml:space="preserve"> </w:t>
            </w:r>
            <w:r w:rsidRPr="00960E47">
              <w:rPr>
                <w:sz w:val="18"/>
                <w:szCs w:val="18"/>
                <w:lang w:val="es-ES"/>
              </w:rPr>
              <w:t>484</w:t>
            </w:r>
          </w:p>
        </w:tc>
        <w:tc>
          <w:tcPr>
            <w:tcW w:w="739" w:type="dxa"/>
            <w:tcBorders>
              <w:top w:val="single" w:sz="12" w:space="0" w:color="auto"/>
            </w:tcBorders>
            <w:shd w:val="clear" w:color="auto" w:fill="auto"/>
            <w:noWrap/>
            <w:vAlign w:val="bottom"/>
          </w:tcPr>
          <w:p w:rsidR="00E421FD" w:rsidRPr="00960E47" w:rsidRDefault="00E421FD" w:rsidP="00BD2CEB">
            <w:pPr>
              <w:pStyle w:val="SingleTxtG"/>
              <w:spacing w:before="40" w:after="40" w:line="220" w:lineRule="exact"/>
              <w:ind w:left="0" w:right="0"/>
              <w:jc w:val="right"/>
              <w:rPr>
                <w:b/>
                <w:sz w:val="18"/>
                <w:szCs w:val="18"/>
                <w:lang w:val="es-ES"/>
              </w:rPr>
            </w:pPr>
            <w:r w:rsidRPr="00960E47">
              <w:rPr>
                <w:b/>
                <w:sz w:val="18"/>
                <w:szCs w:val="18"/>
                <w:lang w:val="es-ES"/>
              </w:rPr>
              <w:t>100</w:t>
            </w:r>
            <w:r w:rsidR="009578D9" w:rsidRPr="00960E47">
              <w:rPr>
                <w:b/>
                <w:sz w:val="18"/>
                <w:szCs w:val="18"/>
                <w:lang w:val="es-ES"/>
              </w:rPr>
              <w:t xml:space="preserve"> </w:t>
            </w:r>
            <w:r w:rsidRPr="00960E47">
              <w:rPr>
                <w:b/>
                <w:sz w:val="18"/>
                <w:szCs w:val="18"/>
                <w:lang w:val="es-ES"/>
              </w:rPr>
              <w:t>598</w:t>
            </w:r>
          </w:p>
        </w:tc>
        <w:tc>
          <w:tcPr>
            <w:tcW w:w="739" w:type="dxa"/>
            <w:tcBorders>
              <w:top w:val="single" w:sz="12" w:space="0" w:color="auto"/>
            </w:tcBorders>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98</w:t>
            </w:r>
            <w:r w:rsidR="009578D9" w:rsidRPr="00960E47">
              <w:rPr>
                <w:sz w:val="18"/>
                <w:szCs w:val="18"/>
                <w:lang w:val="es-ES"/>
              </w:rPr>
              <w:t xml:space="preserve"> </w:t>
            </w:r>
            <w:r w:rsidRPr="00960E47">
              <w:rPr>
                <w:sz w:val="18"/>
                <w:szCs w:val="18"/>
                <w:lang w:val="es-ES"/>
              </w:rPr>
              <w:t>997</w:t>
            </w:r>
          </w:p>
        </w:tc>
        <w:tc>
          <w:tcPr>
            <w:tcW w:w="740" w:type="dxa"/>
            <w:tcBorders>
              <w:top w:val="single" w:sz="12" w:space="0" w:color="auto"/>
            </w:tcBorders>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1</w:t>
            </w:r>
            <w:r w:rsidR="009578D9" w:rsidRPr="00960E47">
              <w:rPr>
                <w:sz w:val="18"/>
                <w:szCs w:val="18"/>
                <w:lang w:val="es-ES"/>
              </w:rPr>
              <w:t xml:space="preserve"> </w:t>
            </w:r>
            <w:r w:rsidRPr="00960E47">
              <w:rPr>
                <w:sz w:val="18"/>
                <w:szCs w:val="18"/>
                <w:lang w:val="es-ES"/>
              </w:rPr>
              <w:t>601</w:t>
            </w:r>
          </w:p>
        </w:tc>
        <w:tc>
          <w:tcPr>
            <w:tcW w:w="675" w:type="dxa"/>
            <w:tcBorders>
              <w:top w:val="single" w:sz="12" w:space="0" w:color="auto"/>
            </w:tcBorders>
            <w:shd w:val="clear" w:color="auto" w:fill="auto"/>
            <w:noWrap/>
            <w:vAlign w:val="bottom"/>
          </w:tcPr>
          <w:p w:rsidR="00E421FD" w:rsidRPr="00960E47" w:rsidRDefault="00E421FD" w:rsidP="00BD2CEB">
            <w:pPr>
              <w:pStyle w:val="SingleTxtG"/>
              <w:spacing w:before="40" w:after="40" w:line="220" w:lineRule="exact"/>
              <w:ind w:left="0" w:right="0"/>
              <w:jc w:val="right"/>
              <w:rPr>
                <w:b/>
                <w:sz w:val="18"/>
                <w:szCs w:val="18"/>
                <w:lang w:val="es-ES"/>
              </w:rPr>
            </w:pPr>
            <w:r w:rsidRPr="00960E47">
              <w:rPr>
                <w:b/>
                <w:sz w:val="18"/>
                <w:szCs w:val="18"/>
                <w:lang w:val="es-ES"/>
              </w:rPr>
              <w:t>10,8</w:t>
            </w:r>
          </w:p>
        </w:tc>
        <w:tc>
          <w:tcPr>
            <w:tcW w:w="674" w:type="dxa"/>
            <w:tcBorders>
              <w:top w:val="single" w:sz="12" w:space="0" w:color="auto"/>
            </w:tcBorders>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11,2</w:t>
            </w:r>
          </w:p>
        </w:tc>
        <w:tc>
          <w:tcPr>
            <w:tcW w:w="675" w:type="dxa"/>
            <w:tcBorders>
              <w:top w:val="single" w:sz="12" w:space="0" w:color="auto"/>
            </w:tcBorders>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10,5</w:t>
            </w:r>
          </w:p>
        </w:tc>
      </w:tr>
      <w:tr w:rsidR="00E421FD" w:rsidRPr="00960E47" w:rsidTr="005C1385">
        <w:trPr>
          <w:jc w:val="center"/>
        </w:trPr>
        <w:tc>
          <w:tcPr>
            <w:tcW w:w="882" w:type="dxa"/>
            <w:shd w:val="clear" w:color="auto" w:fill="auto"/>
            <w:noWrap/>
            <w:vAlign w:val="bottom"/>
          </w:tcPr>
          <w:p w:rsidR="00E421FD" w:rsidRPr="00960E47" w:rsidRDefault="00E421FD" w:rsidP="00BD2CEB">
            <w:pPr>
              <w:pStyle w:val="SingleTxtG"/>
              <w:spacing w:before="40" w:after="40" w:line="220" w:lineRule="exact"/>
              <w:ind w:left="0" w:right="0"/>
              <w:jc w:val="left"/>
              <w:rPr>
                <w:sz w:val="18"/>
                <w:szCs w:val="18"/>
                <w:lang w:val="es-ES"/>
              </w:rPr>
            </w:pPr>
            <w:r w:rsidRPr="00960E47">
              <w:rPr>
                <w:sz w:val="18"/>
                <w:szCs w:val="18"/>
                <w:lang w:val="es-ES"/>
              </w:rPr>
              <w:t>5 a 9</w:t>
            </w:r>
          </w:p>
        </w:tc>
        <w:tc>
          <w:tcPr>
            <w:tcW w:w="766" w:type="dxa"/>
            <w:shd w:val="clear" w:color="auto" w:fill="auto"/>
            <w:noWrap/>
            <w:vAlign w:val="bottom"/>
          </w:tcPr>
          <w:p w:rsidR="00E421FD" w:rsidRPr="00960E47" w:rsidRDefault="00E421FD" w:rsidP="00BD2CEB">
            <w:pPr>
              <w:pStyle w:val="SingleTxtG"/>
              <w:spacing w:before="40" w:after="40" w:line="220" w:lineRule="exact"/>
              <w:ind w:left="0" w:right="0"/>
              <w:jc w:val="right"/>
              <w:rPr>
                <w:b/>
                <w:sz w:val="18"/>
                <w:szCs w:val="18"/>
                <w:lang w:val="es-ES"/>
              </w:rPr>
            </w:pPr>
            <w:r w:rsidRPr="00960E47">
              <w:rPr>
                <w:b/>
                <w:sz w:val="18"/>
                <w:szCs w:val="18"/>
                <w:lang w:val="es-ES"/>
              </w:rPr>
              <w:t>211</w:t>
            </w:r>
            <w:r w:rsidR="009578D9" w:rsidRPr="00960E47">
              <w:rPr>
                <w:b/>
                <w:sz w:val="18"/>
                <w:szCs w:val="18"/>
                <w:lang w:val="es-ES"/>
              </w:rPr>
              <w:t xml:space="preserve"> </w:t>
            </w:r>
            <w:r w:rsidRPr="00960E47">
              <w:rPr>
                <w:b/>
                <w:sz w:val="18"/>
                <w:szCs w:val="18"/>
                <w:lang w:val="es-ES"/>
              </w:rPr>
              <w:t>947</w:t>
            </w:r>
          </w:p>
        </w:tc>
        <w:tc>
          <w:tcPr>
            <w:tcW w:w="766"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209</w:t>
            </w:r>
            <w:r w:rsidR="009578D9" w:rsidRPr="00960E47">
              <w:rPr>
                <w:sz w:val="18"/>
                <w:szCs w:val="18"/>
                <w:lang w:val="es-ES"/>
              </w:rPr>
              <w:t xml:space="preserve"> </w:t>
            </w:r>
            <w:r w:rsidRPr="00960E47">
              <w:rPr>
                <w:sz w:val="18"/>
                <w:szCs w:val="18"/>
                <w:lang w:val="es-ES"/>
              </w:rPr>
              <w:t>341</w:t>
            </w:r>
          </w:p>
        </w:tc>
        <w:tc>
          <w:tcPr>
            <w:tcW w:w="767"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2</w:t>
            </w:r>
            <w:r w:rsidR="009578D9" w:rsidRPr="00960E47">
              <w:rPr>
                <w:sz w:val="18"/>
                <w:szCs w:val="18"/>
                <w:lang w:val="es-ES"/>
              </w:rPr>
              <w:t xml:space="preserve"> </w:t>
            </w:r>
            <w:r w:rsidRPr="00960E47">
              <w:rPr>
                <w:sz w:val="18"/>
                <w:szCs w:val="18"/>
                <w:lang w:val="es-ES"/>
              </w:rPr>
              <w:t>606</w:t>
            </w:r>
          </w:p>
        </w:tc>
        <w:tc>
          <w:tcPr>
            <w:tcW w:w="739" w:type="dxa"/>
            <w:shd w:val="clear" w:color="auto" w:fill="auto"/>
            <w:noWrap/>
            <w:vAlign w:val="bottom"/>
          </w:tcPr>
          <w:p w:rsidR="00E421FD" w:rsidRPr="00960E47" w:rsidRDefault="00E421FD" w:rsidP="00BD2CEB">
            <w:pPr>
              <w:pStyle w:val="SingleTxtG"/>
              <w:spacing w:before="40" w:after="40" w:line="220" w:lineRule="exact"/>
              <w:ind w:left="0" w:right="0"/>
              <w:jc w:val="right"/>
              <w:rPr>
                <w:b/>
                <w:sz w:val="18"/>
                <w:szCs w:val="18"/>
                <w:lang w:val="es-ES"/>
              </w:rPr>
            </w:pPr>
            <w:r w:rsidRPr="00960E47">
              <w:rPr>
                <w:b/>
                <w:sz w:val="18"/>
                <w:szCs w:val="18"/>
                <w:lang w:val="es-ES"/>
              </w:rPr>
              <w:t>106</w:t>
            </w:r>
            <w:r w:rsidR="009578D9" w:rsidRPr="00960E47">
              <w:rPr>
                <w:b/>
                <w:sz w:val="18"/>
                <w:szCs w:val="18"/>
                <w:lang w:val="es-ES"/>
              </w:rPr>
              <w:t xml:space="preserve"> </w:t>
            </w:r>
            <w:r w:rsidRPr="00960E47">
              <w:rPr>
                <w:b/>
                <w:sz w:val="18"/>
                <w:szCs w:val="18"/>
                <w:lang w:val="es-ES"/>
              </w:rPr>
              <w:t>695</w:t>
            </w:r>
          </w:p>
        </w:tc>
        <w:tc>
          <w:tcPr>
            <w:tcW w:w="739"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105</w:t>
            </w:r>
            <w:r w:rsidR="009578D9" w:rsidRPr="00960E47">
              <w:rPr>
                <w:sz w:val="18"/>
                <w:szCs w:val="18"/>
                <w:lang w:val="es-ES"/>
              </w:rPr>
              <w:t xml:space="preserve"> </w:t>
            </w:r>
            <w:r w:rsidRPr="00960E47">
              <w:rPr>
                <w:sz w:val="18"/>
                <w:szCs w:val="18"/>
                <w:lang w:val="es-ES"/>
              </w:rPr>
              <w:t>387</w:t>
            </w:r>
          </w:p>
        </w:tc>
        <w:tc>
          <w:tcPr>
            <w:tcW w:w="739"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1</w:t>
            </w:r>
            <w:r w:rsidR="009578D9" w:rsidRPr="00960E47">
              <w:rPr>
                <w:sz w:val="18"/>
                <w:szCs w:val="18"/>
                <w:lang w:val="es-ES"/>
              </w:rPr>
              <w:t xml:space="preserve"> </w:t>
            </w:r>
            <w:r w:rsidRPr="00960E47">
              <w:rPr>
                <w:sz w:val="18"/>
                <w:szCs w:val="18"/>
                <w:lang w:val="es-ES"/>
              </w:rPr>
              <w:t>308</w:t>
            </w:r>
          </w:p>
        </w:tc>
        <w:tc>
          <w:tcPr>
            <w:tcW w:w="739" w:type="dxa"/>
            <w:shd w:val="clear" w:color="auto" w:fill="auto"/>
            <w:noWrap/>
            <w:vAlign w:val="bottom"/>
          </w:tcPr>
          <w:p w:rsidR="00E421FD" w:rsidRPr="00960E47" w:rsidRDefault="00E421FD" w:rsidP="00BD2CEB">
            <w:pPr>
              <w:pStyle w:val="SingleTxtG"/>
              <w:spacing w:before="40" w:after="40" w:line="220" w:lineRule="exact"/>
              <w:ind w:left="0" w:right="0"/>
              <w:jc w:val="right"/>
              <w:rPr>
                <w:b/>
                <w:sz w:val="18"/>
                <w:szCs w:val="18"/>
                <w:lang w:val="es-ES"/>
              </w:rPr>
            </w:pPr>
            <w:r w:rsidRPr="00960E47">
              <w:rPr>
                <w:b/>
                <w:sz w:val="18"/>
                <w:szCs w:val="18"/>
                <w:lang w:val="es-ES"/>
              </w:rPr>
              <w:t>105</w:t>
            </w:r>
            <w:r w:rsidR="009578D9" w:rsidRPr="00960E47">
              <w:rPr>
                <w:b/>
                <w:sz w:val="18"/>
                <w:szCs w:val="18"/>
                <w:lang w:val="es-ES"/>
              </w:rPr>
              <w:t xml:space="preserve"> </w:t>
            </w:r>
            <w:r w:rsidRPr="00960E47">
              <w:rPr>
                <w:b/>
                <w:sz w:val="18"/>
                <w:szCs w:val="18"/>
                <w:lang w:val="es-ES"/>
              </w:rPr>
              <w:t>252</w:t>
            </w:r>
          </w:p>
        </w:tc>
        <w:tc>
          <w:tcPr>
            <w:tcW w:w="739"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103</w:t>
            </w:r>
            <w:r w:rsidR="009578D9" w:rsidRPr="00960E47">
              <w:rPr>
                <w:sz w:val="18"/>
                <w:szCs w:val="18"/>
                <w:lang w:val="es-ES"/>
              </w:rPr>
              <w:t xml:space="preserve"> </w:t>
            </w:r>
            <w:r w:rsidRPr="00960E47">
              <w:rPr>
                <w:sz w:val="18"/>
                <w:szCs w:val="18"/>
                <w:lang w:val="es-ES"/>
              </w:rPr>
              <w:t>954</w:t>
            </w:r>
          </w:p>
        </w:tc>
        <w:tc>
          <w:tcPr>
            <w:tcW w:w="740"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1</w:t>
            </w:r>
            <w:r w:rsidR="009578D9" w:rsidRPr="00960E47">
              <w:rPr>
                <w:sz w:val="18"/>
                <w:szCs w:val="18"/>
                <w:lang w:val="es-ES"/>
              </w:rPr>
              <w:t xml:space="preserve"> </w:t>
            </w:r>
            <w:r w:rsidRPr="00960E47">
              <w:rPr>
                <w:sz w:val="18"/>
                <w:szCs w:val="18"/>
                <w:lang w:val="es-ES"/>
              </w:rPr>
              <w:t>298</w:t>
            </w:r>
          </w:p>
        </w:tc>
        <w:tc>
          <w:tcPr>
            <w:tcW w:w="675" w:type="dxa"/>
            <w:shd w:val="clear" w:color="auto" w:fill="auto"/>
            <w:noWrap/>
            <w:vAlign w:val="bottom"/>
          </w:tcPr>
          <w:p w:rsidR="00E421FD" w:rsidRPr="00960E47" w:rsidRDefault="00E421FD" w:rsidP="00BD2CEB">
            <w:pPr>
              <w:pStyle w:val="SingleTxtG"/>
              <w:spacing w:before="40" w:after="40" w:line="220" w:lineRule="exact"/>
              <w:ind w:left="0" w:right="0"/>
              <w:jc w:val="right"/>
              <w:rPr>
                <w:b/>
                <w:sz w:val="18"/>
                <w:szCs w:val="18"/>
                <w:lang w:val="es-ES"/>
              </w:rPr>
            </w:pPr>
            <w:r w:rsidRPr="00960E47">
              <w:rPr>
                <w:b/>
                <w:sz w:val="18"/>
                <w:szCs w:val="18"/>
                <w:lang w:val="es-ES"/>
              </w:rPr>
              <w:t>11,4</w:t>
            </w:r>
          </w:p>
        </w:tc>
        <w:tc>
          <w:tcPr>
            <w:tcW w:w="674"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11,8</w:t>
            </w:r>
          </w:p>
        </w:tc>
        <w:tc>
          <w:tcPr>
            <w:tcW w:w="675"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11,0</w:t>
            </w:r>
          </w:p>
        </w:tc>
      </w:tr>
      <w:tr w:rsidR="00E421FD" w:rsidRPr="00960E47" w:rsidTr="005C1385">
        <w:trPr>
          <w:jc w:val="center"/>
        </w:trPr>
        <w:tc>
          <w:tcPr>
            <w:tcW w:w="882" w:type="dxa"/>
            <w:shd w:val="clear" w:color="auto" w:fill="auto"/>
            <w:noWrap/>
            <w:vAlign w:val="bottom"/>
          </w:tcPr>
          <w:p w:rsidR="00E421FD" w:rsidRPr="00960E47" w:rsidRDefault="00E421FD" w:rsidP="00BD2CEB">
            <w:pPr>
              <w:pStyle w:val="SingleTxtG"/>
              <w:spacing w:before="40" w:after="40" w:line="220" w:lineRule="exact"/>
              <w:ind w:left="0" w:right="0"/>
              <w:jc w:val="left"/>
              <w:rPr>
                <w:sz w:val="18"/>
                <w:szCs w:val="18"/>
                <w:lang w:val="es-ES"/>
              </w:rPr>
            </w:pPr>
            <w:r w:rsidRPr="00960E47">
              <w:rPr>
                <w:sz w:val="18"/>
                <w:szCs w:val="18"/>
                <w:lang w:val="es-ES"/>
              </w:rPr>
              <w:t>10 a 14</w:t>
            </w:r>
          </w:p>
        </w:tc>
        <w:tc>
          <w:tcPr>
            <w:tcW w:w="766" w:type="dxa"/>
            <w:shd w:val="clear" w:color="auto" w:fill="auto"/>
            <w:noWrap/>
            <w:vAlign w:val="bottom"/>
          </w:tcPr>
          <w:p w:rsidR="00E421FD" w:rsidRPr="00960E47" w:rsidRDefault="00E421FD" w:rsidP="00BD2CEB">
            <w:pPr>
              <w:pStyle w:val="SingleTxtG"/>
              <w:spacing w:before="40" w:after="40" w:line="220" w:lineRule="exact"/>
              <w:ind w:left="0" w:right="0"/>
              <w:jc w:val="right"/>
              <w:rPr>
                <w:b/>
                <w:sz w:val="18"/>
                <w:szCs w:val="18"/>
                <w:lang w:val="es-ES"/>
              </w:rPr>
            </w:pPr>
            <w:r w:rsidRPr="00960E47">
              <w:rPr>
                <w:b/>
                <w:sz w:val="18"/>
                <w:szCs w:val="18"/>
                <w:lang w:val="es-ES"/>
              </w:rPr>
              <w:t>220</w:t>
            </w:r>
            <w:r w:rsidR="009578D9" w:rsidRPr="00960E47">
              <w:rPr>
                <w:b/>
                <w:sz w:val="18"/>
                <w:szCs w:val="18"/>
                <w:lang w:val="es-ES"/>
              </w:rPr>
              <w:t xml:space="preserve"> </w:t>
            </w:r>
            <w:r w:rsidRPr="00960E47">
              <w:rPr>
                <w:b/>
                <w:sz w:val="18"/>
                <w:szCs w:val="18"/>
                <w:lang w:val="es-ES"/>
              </w:rPr>
              <w:t>938</w:t>
            </w:r>
          </w:p>
        </w:tc>
        <w:tc>
          <w:tcPr>
            <w:tcW w:w="766"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217</w:t>
            </w:r>
            <w:r w:rsidR="009578D9" w:rsidRPr="00960E47">
              <w:rPr>
                <w:sz w:val="18"/>
                <w:szCs w:val="18"/>
                <w:lang w:val="es-ES"/>
              </w:rPr>
              <w:t xml:space="preserve"> </w:t>
            </w:r>
            <w:r w:rsidRPr="00960E47">
              <w:rPr>
                <w:sz w:val="18"/>
                <w:szCs w:val="18"/>
                <w:lang w:val="es-ES"/>
              </w:rPr>
              <w:t>815</w:t>
            </w:r>
          </w:p>
        </w:tc>
        <w:tc>
          <w:tcPr>
            <w:tcW w:w="767"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3</w:t>
            </w:r>
            <w:r w:rsidR="009578D9" w:rsidRPr="00960E47">
              <w:rPr>
                <w:sz w:val="18"/>
                <w:szCs w:val="18"/>
                <w:lang w:val="es-ES"/>
              </w:rPr>
              <w:t xml:space="preserve"> </w:t>
            </w:r>
            <w:r w:rsidRPr="00960E47">
              <w:rPr>
                <w:sz w:val="18"/>
                <w:szCs w:val="18"/>
                <w:lang w:val="es-ES"/>
              </w:rPr>
              <w:t>123</w:t>
            </w:r>
          </w:p>
        </w:tc>
        <w:tc>
          <w:tcPr>
            <w:tcW w:w="739" w:type="dxa"/>
            <w:shd w:val="clear" w:color="auto" w:fill="auto"/>
            <w:noWrap/>
            <w:vAlign w:val="bottom"/>
          </w:tcPr>
          <w:p w:rsidR="00E421FD" w:rsidRPr="00960E47" w:rsidRDefault="00E421FD" w:rsidP="00BD2CEB">
            <w:pPr>
              <w:pStyle w:val="SingleTxtG"/>
              <w:spacing w:before="40" w:after="40" w:line="220" w:lineRule="exact"/>
              <w:ind w:left="0" w:right="0"/>
              <w:jc w:val="right"/>
              <w:rPr>
                <w:b/>
                <w:sz w:val="18"/>
                <w:szCs w:val="18"/>
                <w:lang w:val="es-ES"/>
              </w:rPr>
            </w:pPr>
            <w:r w:rsidRPr="00960E47">
              <w:rPr>
                <w:b/>
                <w:sz w:val="18"/>
                <w:szCs w:val="18"/>
                <w:lang w:val="es-ES"/>
              </w:rPr>
              <w:t>110</w:t>
            </w:r>
            <w:r w:rsidR="009578D9" w:rsidRPr="00960E47">
              <w:rPr>
                <w:b/>
                <w:sz w:val="18"/>
                <w:szCs w:val="18"/>
                <w:lang w:val="es-ES"/>
              </w:rPr>
              <w:t xml:space="preserve"> </w:t>
            </w:r>
            <w:r w:rsidRPr="00960E47">
              <w:rPr>
                <w:b/>
                <w:sz w:val="18"/>
                <w:szCs w:val="18"/>
                <w:lang w:val="es-ES"/>
              </w:rPr>
              <w:t>778</w:t>
            </w:r>
          </w:p>
        </w:tc>
        <w:tc>
          <w:tcPr>
            <w:tcW w:w="739"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109</w:t>
            </w:r>
            <w:r w:rsidR="009578D9" w:rsidRPr="00960E47">
              <w:rPr>
                <w:sz w:val="18"/>
                <w:szCs w:val="18"/>
                <w:lang w:val="es-ES"/>
              </w:rPr>
              <w:t xml:space="preserve"> </w:t>
            </w:r>
            <w:r w:rsidRPr="00960E47">
              <w:rPr>
                <w:sz w:val="18"/>
                <w:szCs w:val="18"/>
                <w:lang w:val="es-ES"/>
              </w:rPr>
              <w:t>352</w:t>
            </w:r>
          </w:p>
        </w:tc>
        <w:tc>
          <w:tcPr>
            <w:tcW w:w="739"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1</w:t>
            </w:r>
            <w:r w:rsidR="009578D9" w:rsidRPr="00960E47">
              <w:rPr>
                <w:sz w:val="18"/>
                <w:szCs w:val="18"/>
                <w:lang w:val="es-ES"/>
              </w:rPr>
              <w:t xml:space="preserve"> </w:t>
            </w:r>
            <w:r w:rsidRPr="00960E47">
              <w:rPr>
                <w:sz w:val="18"/>
                <w:szCs w:val="18"/>
                <w:lang w:val="es-ES"/>
              </w:rPr>
              <w:t>426</w:t>
            </w:r>
          </w:p>
        </w:tc>
        <w:tc>
          <w:tcPr>
            <w:tcW w:w="739" w:type="dxa"/>
            <w:shd w:val="clear" w:color="auto" w:fill="auto"/>
            <w:noWrap/>
            <w:vAlign w:val="bottom"/>
          </w:tcPr>
          <w:p w:rsidR="00E421FD" w:rsidRPr="00960E47" w:rsidRDefault="00E421FD" w:rsidP="00BD2CEB">
            <w:pPr>
              <w:pStyle w:val="SingleTxtG"/>
              <w:spacing w:before="40" w:after="40" w:line="220" w:lineRule="exact"/>
              <w:ind w:left="0" w:right="0"/>
              <w:jc w:val="right"/>
              <w:rPr>
                <w:b/>
                <w:sz w:val="18"/>
                <w:szCs w:val="18"/>
                <w:lang w:val="es-ES"/>
              </w:rPr>
            </w:pPr>
            <w:r w:rsidRPr="00960E47">
              <w:rPr>
                <w:b/>
                <w:sz w:val="18"/>
                <w:szCs w:val="18"/>
                <w:lang w:val="es-ES"/>
              </w:rPr>
              <w:t>110</w:t>
            </w:r>
            <w:r w:rsidR="009578D9" w:rsidRPr="00960E47">
              <w:rPr>
                <w:b/>
                <w:sz w:val="18"/>
                <w:szCs w:val="18"/>
                <w:lang w:val="es-ES"/>
              </w:rPr>
              <w:t xml:space="preserve"> </w:t>
            </w:r>
            <w:r w:rsidRPr="00960E47">
              <w:rPr>
                <w:b/>
                <w:sz w:val="18"/>
                <w:szCs w:val="18"/>
                <w:lang w:val="es-ES"/>
              </w:rPr>
              <w:t>160</w:t>
            </w:r>
          </w:p>
        </w:tc>
        <w:tc>
          <w:tcPr>
            <w:tcW w:w="739"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108</w:t>
            </w:r>
            <w:r w:rsidR="009578D9" w:rsidRPr="00960E47">
              <w:rPr>
                <w:sz w:val="18"/>
                <w:szCs w:val="18"/>
                <w:lang w:val="es-ES"/>
              </w:rPr>
              <w:t xml:space="preserve"> </w:t>
            </w:r>
            <w:r w:rsidRPr="00960E47">
              <w:rPr>
                <w:sz w:val="18"/>
                <w:szCs w:val="18"/>
                <w:lang w:val="es-ES"/>
              </w:rPr>
              <w:t>463</w:t>
            </w:r>
          </w:p>
        </w:tc>
        <w:tc>
          <w:tcPr>
            <w:tcW w:w="740"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1</w:t>
            </w:r>
            <w:r w:rsidR="009578D9" w:rsidRPr="00960E47">
              <w:rPr>
                <w:sz w:val="18"/>
                <w:szCs w:val="18"/>
                <w:lang w:val="es-ES"/>
              </w:rPr>
              <w:t xml:space="preserve"> </w:t>
            </w:r>
            <w:r w:rsidRPr="00960E47">
              <w:rPr>
                <w:sz w:val="18"/>
                <w:szCs w:val="18"/>
                <w:lang w:val="es-ES"/>
              </w:rPr>
              <w:t>697</w:t>
            </w:r>
          </w:p>
        </w:tc>
        <w:tc>
          <w:tcPr>
            <w:tcW w:w="675" w:type="dxa"/>
            <w:shd w:val="clear" w:color="auto" w:fill="auto"/>
            <w:noWrap/>
            <w:vAlign w:val="bottom"/>
          </w:tcPr>
          <w:p w:rsidR="00E421FD" w:rsidRPr="00960E47" w:rsidRDefault="00E421FD" w:rsidP="00BD2CEB">
            <w:pPr>
              <w:pStyle w:val="SingleTxtG"/>
              <w:spacing w:before="40" w:after="40" w:line="220" w:lineRule="exact"/>
              <w:ind w:left="0" w:right="0"/>
              <w:jc w:val="right"/>
              <w:rPr>
                <w:b/>
                <w:sz w:val="18"/>
                <w:szCs w:val="18"/>
                <w:lang w:val="es-ES"/>
              </w:rPr>
            </w:pPr>
            <w:r w:rsidRPr="00960E47">
              <w:rPr>
                <w:b/>
                <w:sz w:val="18"/>
                <w:szCs w:val="18"/>
                <w:lang w:val="es-ES"/>
              </w:rPr>
              <w:t>11,9</w:t>
            </w:r>
          </w:p>
        </w:tc>
        <w:tc>
          <w:tcPr>
            <w:tcW w:w="674"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12,2</w:t>
            </w:r>
          </w:p>
        </w:tc>
        <w:tc>
          <w:tcPr>
            <w:tcW w:w="675"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11,5</w:t>
            </w:r>
          </w:p>
        </w:tc>
      </w:tr>
      <w:tr w:rsidR="00E421FD" w:rsidRPr="00960E47" w:rsidTr="005C1385">
        <w:trPr>
          <w:jc w:val="center"/>
        </w:trPr>
        <w:tc>
          <w:tcPr>
            <w:tcW w:w="882" w:type="dxa"/>
            <w:shd w:val="clear" w:color="auto" w:fill="auto"/>
            <w:noWrap/>
            <w:vAlign w:val="bottom"/>
          </w:tcPr>
          <w:p w:rsidR="00E421FD" w:rsidRPr="00960E47" w:rsidRDefault="00E421FD" w:rsidP="00BD2CEB">
            <w:pPr>
              <w:pStyle w:val="SingleTxtG"/>
              <w:spacing w:before="40" w:after="40" w:line="220" w:lineRule="exact"/>
              <w:ind w:left="0" w:right="0"/>
              <w:jc w:val="left"/>
              <w:rPr>
                <w:sz w:val="18"/>
                <w:szCs w:val="18"/>
                <w:lang w:val="es-ES"/>
              </w:rPr>
            </w:pPr>
            <w:r w:rsidRPr="00960E47">
              <w:rPr>
                <w:sz w:val="18"/>
                <w:szCs w:val="18"/>
                <w:lang w:val="es-ES"/>
              </w:rPr>
              <w:t>15 a 19</w:t>
            </w:r>
          </w:p>
        </w:tc>
        <w:tc>
          <w:tcPr>
            <w:tcW w:w="766" w:type="dxa"/>
            <w:shd w:val="clear" w:color="auto" w:fill="auto"/>
            <w:noWrap/>
            <w:vAlign w:val="bottom"/>
          </w:tcPr>
          <w:p w:rsidR="00E421FD" w:rsidRPr="00960E47" w:rsidRDefault="00E421FD" w:rsidP="00BD2CEB">
            <w:pPr>
              <w:pStyle w:val="SingleTxtG"/>
              <w:spacing w:before="40" w:after="40" w:line="220" w:lineRule="exact"/>
              <w:ind w:left="0" w:right="0"/>
              <w:jc w:val="right"/>
              <w:rPr>
                <w:b/>
                <w:sz w:val="18"/>
                <w:szCs w:val="18"/>
                <w:lang w:val="es-ES"/>
              </w:rPr>
            </w:pPr>
            <w:r w:rsidRPr="00960E47">
              <w:rPr>
                <w:b/>
                <w:sz w:val="18"/>
                <w:szCs w:val="18"/>
                <w:lang w:val="es-ES"/>
              </w:rPr>
              <w:t>229</w:t>
            </w:r>
            <w:r w:rsidR="009578D9" w:rsidRPr="00960E47">
              <w:rPr>
                <w:b/>
                <w:sz w:val="18"/>
                <w:szCs w:val="18"/>
                <w:lang w:val="es-ES"/>
              </w:rPr>
              <w:t xml:space="preserve"> </w:t>
            </w:r>
            <w:r w:rsidRPr="00960E47">
              <w:rPr>
                <w:b/>
                <w:sz w:val="18"/>
                <w:szCs w:val="18"/>
                <w:lang w:val="es-ES"/>
              </w:rPr>
              <w:t>389</w:t>
            </w:r>
          </w:p>
        </w:tc>
        <w:tc>
          <w:tcPr>
            <w:tcW w:w="766"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221</w:t>
            </w:r>
            <w:r w:rsidR="009578D9" w:rsidRPr="00960E47">
              <w:rPr>
                <w:sz w:val="18"/>
                <w:szCs w:val="18"/>
                <w:lang w:val="es-ES"/>
              </w:rPr>
              <w:t xml:space="preserve"> </w:t>
            </w:r>
            <w:r w:rsidRPr="00960E47">
              <w:rPr>
                <w:sz w:val="18"/>
                <w:szCs w:val="18"/>
                <w:lang w:val="es-ES"/>
              </w:rPr>
              <w:t>492</w:t>
            </w:r>
          </w:p>
        </w:tc>
        <w:tc>
          <w:tcPr>
            <w:tcW w:w="767"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7</w:t>
            </w:r>
            <w:r w:rsidR="009578D9" w:rsidRPr="00960E47">
              <w:rPr>
                <w:sz w:val="18"/>
                <w:szCs w:val="18"/>
                <w:lang w:val="es-ES"/>
              </w:rPr>
              <w:t xml:space="preserve"> </w:t>
            </w:r>
            <w:r w:rsidRPr="00960E47">
              <w:rPr>
                <w:sz w:val="18"/>
                <w:szCs w:val="18"/>
                <w:lang w:val="es-ES"/>
              </w:rPr>
              <w:t>897</w:t>
            </w:r>
          </w:p>
        </w:tc>
        <w:tc>
          <w:tcPr>
            <w:tcW w:w="739" w:type="dxa"/>
            <w:shd w:val="clear" w:color="auto" w:fill="auto"/>
            <w:noWrap/>
            <w:vAlign w:val="bottom"/>
          </w:tcPr>
          <w:p w:rsidR="00E421FD" w:rsidRPr="00960E47" w:rsidRDefault="00E421FD" w:rsidP="00BD2CEB">
            <w:pPr>
              <w:pStyle w:val="SingleTxtG"/>
              <w:spacing w:before="40" w:after="40" w:line="220" w:lineRule="exact"/>
              <w:ind w:left="0" w:right="0"/>
              <w:jc w:val="right"/>
              <w:rPr>
                <w:b/>
                <w:sz w:val="18"/>
                <w:szCs w:val="18"/>
                <w:lang w:val="es-ES"/>
              </w:rPr>
            </w:pPr>
            <w:r w:rsidRPr="00960E47">
              <w:rPr>
                <w:b/>
                <w:sz w:val="18"/>
                <w:szCs w:val="18"/>
                <w:lang w:val="es-ES"/>
              </w:rPr>
              <w:t>114</w:t>
            </w:r>
            <w:r w:rsidR="009578D9" w:rsidRPr="00960E47">
              <w:rPr>
                <w:b/>
                <w:sz w:val="18"/>
                <w:szCs w:val="18"/>
                <w:lang w:val="es-ES"/>
              </w:rPr>
              <w:t xml:space="preserve"> </w:t>
            </w:r>
            <w:r w:rsidRPr="00960E47">
              <w:rPr>
                <w:b/>
                <w:sz w:val="18"/>
                <w:szCs w:val="18"/>
                <w:lang w:val="es-ES"/>
              </w:rPr>
              <w:t>800</w:t>
            </w:r>
          </w:p>
        </w:tc>
        <w:tc>
          <w:tcPr>
            <w:tcW w:w="739"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110</w:t>
            </w:r>
            <w:r w:rsidR="009578D9" w:rsidRPr="00960E47">
              <w:rPr>
                <w:sz w:val="18"/>
                <w:szCs w:val="18"/>
                <w:lang w:val="es-ES"/>
              </w:rPr>
              <w:t xml:space="preserve"> </w:t>
            </w:r>
            <w:r w:rsidRPr="00960E47">
              <w:rPr>
                <w:sz w:val="18"/>
                <w:szCs w:val="18"/>
                <w:lang w:val="es-ES"/>
              </w:rPr>
              <w:t>850</w:t>
            </w:r>
          </w:p>
        </w:tc>
        <w:tc>
          <w:tcPr>
            <w:tcW w:w="739"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3</w:t>
            </w:r>
            <w:r w:rsidR="009578D9" w:rsidRPr="00960E47">
              <w:rPr>
                <w:sz w:val="18"/>
                <w:szCs w:val="18"/>
                <w:lang w:val="es-ES"/>
              </w:rPr>
              <w:t xml:space="preserve"> </w:t>
            </w:r>
            <w:r w:rsidRPr="00960E47">
              <w:rPr>
                <w:sz w:val="18"/>
                <w:szCs w:val="18"/>
                <w:lang w:val="es-ES"/>
              </w:rPr>
              <w:t>950</w:t>
            </w:r>
          </w:p>
        </w:tc>
        <w:tc>
          <w:tcPr>
            <w:tcW w:w="739" w:type="dxa"/>
            <w:shd w:val="clear" w:color="auto" w:fill="auto"/>
            <w:noWrap/>
            <w:vAlign w:val="bottom"/>
          </w:tcPr>
          <w:p w:rsidR="00E421FD" w:rsidRPr="00960E47" w:rsidRDefault="00E421FD" w:rsidP="00BD2CEB">
            <w:pPr>
              <w:pStyle w:val="SingleTxtG"/>
              <w:spacing w:before="40" w:after="40" w:line="220" w:lineRule="exact"/>
              <w:ind w:left="0" w:right="0"/>
              <w:jc w:val="right"/>
              <w:rPr>
                <w:b/>
                <w:sz w:val="18"/>
                <w:szCs w:val="18"/>
                <w:lang w:val="es-ES"/>
              </w:rPr>
            </w:pPr>
            <w:r w:rsidRPr="00960E47">
              <w:rPr>
                <w:b/>
                <w:sz w:val="18"/>
                <w:szCs w:val="18"/>
                <w:lang w:val="es-ES"/>
              </w:rPr>
              <w:t>114</w:t>
            </w:r>
            <w:r w:rsidR="009578D9" w:rsidRPr="00960E47">
              <w:rPr>
                <w:b/>
                <w:sz w:val="18"/>
                <w:szCs w:val="18"/>
                <w:lang w:val="es-ES"/>
              </w:rPr>
              <w:t xml:space="preserve"> </w:t>
            </w:r>
            <w:r w:rsidRPr="00960E47">
              <w:rPr>
                <w:b/>
                <w:sz w:val="18"/>
                <w:szCs w:val="18"/>
                <w:lang w:val="es-ES"/>
              </w:rPr>
              <w:t>589</w:t>
            </w:r>
          </w:p>
        </w:tc>
        <w:tc>
          <w:tcPr>
            <w:tcW w:w="739"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110</w:t>
            </w:r>
            <w:r w:rsidR="009578D9" w:rsidRPr="00960E47">
              <w:rPr>
                <w:sz w:val="18"/>
                <w:szCs w:val="18"/>
                <w:lang w:val="es-ES"/>
              </w:rPr>
              <w:t xml:space="preserve"> </w:t>
            </w:r>
            <w:r w:rsidRPr="00960E47">
              <w:rPr>
                <w:sz w:val="18"/>
                <w:szCs w:val="18"/>
                <w:lang w:val="es-ES"/>
              </w:rPr>
              <w:t>642</w:t>
            </w:r>
          </w:p>
        </w:tc>
        <w:tc>
          <w:tcPr>
            <w:tcW w:w="740"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3</w:t>
            </w:r>
            <w:r w:rsidR="009578D9" w:rsidRPr="00960E47">
              <w:rPr>
                <w:sz w:val="18"/>
                <w:szCs w:val="18"/>
                <w:lang w:val="es-ES"/>
              </w:rPr>
              <w:t xml:space="preserve"> </w:t>
            </w:r>
            <w:r w:rsidRPr="00960E47">
              <w:rPr>
                <w:sz w:val="18"/>
                <w:szCs w:val="18"/>
                <w:lang w:val="es-ES"/>
              </w:rPr>
              <w:t>947</w:t>
            </w:r>
          </w:p>
        </w:tc>
        <w:tc>
          <w:tcPr>
            <w:tcW w:w="675" w:type="dxa"/>
            <w:shd w:val="clear" w:color="auto" w:fill="auto"/>
            <w:noWrap/>
            <w:vAlign w:val="bottom"/>
          </w:tcPr>
          <w:p w:rsidR="00E421FD" w:rsidRPr="00960E47" w:rsidRDefault="00E421FD" w:rsidP="00BD2CEB">
            <w:pPr>
              <w:pStyle w:val="SingleTxtG"/>
              <w:spacing w:before="40" w:after="40" w:line="220" w:lineRule="exact"/>
              <w:ind w:left="0" w:right="0"/>
              <w:jc w:val="right"/>
              <w:rPr>
                <w:b/>
                <w:sz w:val="18"/>
                <w:szCs w:val="18"/>
                <w:lang w:val="es-ES"/>
              </w:rPr>
            </w:pPr>
            <w:r w:rsidRPr="00960E47">
              <w:rPr>
                <w:b/>
                <w:sz w:val="18"/>
                <w:szCs w:val="18"/>
                <w:lang w:val="es-ES"/>
              </w:rPr>
              <w:t>12,3</w:t>
            </w:r>
          </w:p>
        </w:tc>
        <w:tc>
          <w:tcPr>
            <w:tcW w:w="674"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12,7</w:t>
            </w:r>
          </w:p>
        </w:tc>
        <w:tc>
          <w:tcPr>
            <w:tcW w:w="675"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12,0</w:t>
            </w:r>
          </w:p>
        </w:tc>
      </w:tr>
      <w:tr w:rsidR="00E421FD" w:rsidRPr="00960E47" w:rsidTr="005C1385">
        <w:trPr>
          <w:jc w:val="center"/>
        </w:trPr>
        <w:tc>
          <w:tcPr>
            <w:tcW w:w="882" w:type="dxa"/>
            <w:shd w:val="clear" w:color="auto" w:fill="auto"/>
            <w:noWrap/>
            <w:vAlign w:val="bottom"/>
          </w:tcPr>
          <w:p w:rsidR="00E421FD" w:rsidRPr="00960E47" w:rsidRDefault="00E421FD" w:rsidP="00BD2CEB">
            <w:pPr>
              <w:pStyle w:val="SingleTxtG"/>
              <w:spacing w:before="40" w:after="40" w:line="220" w:lineRule="exact"/>
              <w:ind w:left="0" w:right="0"/>
              <w:jc w:val="left"/>
              <w:rPr>
                <w:sz w:val="18"/>
                <w:szCs w:val="18"/>
                <w:lang w:val="es-ES"/>
              </w:rPr>
            </w:pPr>
            <w:r w:rsidRPr="00960E47">
              <w:rPr>
                <w:sz w:val="18"/>
                <w:szCs w:val="18"/>
                <w:lang w:val="es-ES"/>
              </w:rPr>
              <w:t>20 a 24</w:t>
            </w:r>
          </w:p>
        </w:tc>
        <w:tc>
          <w:tcPr>
            <w:tcW w:w="766" w:type="dxa"/>
            <w:shd w:val="clear" w:color="auto" w:fill="auto"/>
            <w:noWrap/>
            <w:vAlign w:val="bottom"/>
          </w:tcPr>
          <w:p w:rsidR="00E421FD" w:rsidRPr="00960E47" w:rsidRDefault="00E421FD" w:rsidP="00BD2CEB">
            <w:pPr>
              <w:pStyle w:val="SingleTxtG"/>
              <w:spacing w:before="40" w:after="40" w:line="220" w:lineRule="exact"/>
              <w:ind w:left="0" w:right="0"/>
              <w:jc w:val="right"/>
              <w:rPr>
                <w:b/>
                <w:sz w:val="18"/>
                <w:szCs w:val="18"/>
                <w:lang w:val="es-ES"/>
              </w:rPr>
            </w:pPr>
            <w:r w:rsidRPr="00960E47">
              <w:rPr>
                <w:b/>
                <w:sz w:val="18"/>
                <w:szCs w:val="18"/>
                <w:lang w:val="es-ES"/>
              </w:rPr>
              <w:t>207</w:t>
            </w:r>
            <w:r w:rsidR="009578D9" w:rsidRPr="00960E47">
              <w:rPr>
                <w:b/>
                <w:sz w:val="18"/>
                <w:szCs w:val="18"/>
                <w:lang w:val="es-ES"/>
              </w:rPr>
              <w:t xml:space="preserve"> </w:t>
            </w:r>
            <w:r w:rsidRPr="00960E47">
              <w:rPr>
                <w:b/>
                <w:sz w:val="18"/>
                <w:szCs w:val="18"/>
                <w:lang w:val="es-ES"/>
              </w:rPr>
              <w:t>062</w:t>
            </w:r>
          </w:p>
        </w:tc>
        <w:tc>
          <w:tcPr>
            <w:tcW w:w="766"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188</w:t>
            </w:r>
            <w:r w:rsidR="009578D9" w:rsidRPr="00960E47">
              <w:rPr>
                <w:sz w:val="18"/>
                <w:szCs w:val="18"/>
                <w:lang w:val="es-ES"/>
              </w:rPr>
              <w:t xml:space="preserve"> </w:t>
            </w:r>
            <w:r w:rsidRPr="00960E47">
              <w:rPr>
                <w:sz w:val="18"/>
                <w:szCs w:val="18"/>
                <w:lang w:val="es-ES"/>
              </w:rPr>
              <w:t>216</w:t>
            </w:r>
          </w:p>
        </w:tc>
        <w:tc>
          <w:tcPr>
            <w:tcW w:w="767"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18</w:t>
            </w:r>
            <w:r w:rsidR="009578D9" w:rsidRPr="00960E47">
              <w:rPr>
                <w:sz w:val="18"/>
                <w:szCs w:val="18"/>
                <w:lang w:val="es-ES"/>
              </w:rPr>
              <w:t xml:space="preserve"> </w:t>
            </w:r>
            <w:r w:rsidRPr="00960E47">
              <w:rPr>
                <w:sz w:val="18"/>
                <w:szCs w:val="18"/>
                <w:lang w:val="es-ES"/>
              </w:rPr>
              <w:t>846</w:t>
            </w:r>
          </w:p>
        </w:tc>
        <w:tc>
          <w:tcPr>
            <w:tcW w:w="739" w:type="dxa"/>
            <w:shd w:val="clear" w:color="auto" w:fill="auto"/>
            <w:noWrap/>
            <w:vAlign w:val="bottom"/>
          </w:tcPr>
          <w:p w:rsidR="00E421FD" w:rsidRPr="00960E47" w:rsidRDefault="00E421FD" w:rsidP="00BD2CEB">
            <w:pPr>
              <w:pStyle w:val="SingleTxtG"/>
              <w:spacing w:before="40" w:after="40" w:line="220" w:lineRule="exact"/>
              <w:ind w:left="0" w:right="0"/>
              <w:jc w:val="right"/>
              <w:rPr>
                <w:b/>
                <w:sz w:val="18"/>
                <w:szCs w:val="18"/>
                <w:lang w:val="es-ES"/>
              </w:rPr>
            </w:pPr>
            <w:r w:rsidRPr="00960E47">
              <w:rPr>
                <w:b/>
                <w:sz w:val="18"/>
                <w:szCs w:val="18"/>
                <w:lang w:val="es-ES"/>
              </w:rPr>
              <w:t>101</w:t>
            </w:r>
            <w:r w:rsidR="009578D9" w:rsidRPr="00960E47">
              <w:rPr>
                <w:b/>
                <w:sz w:val="18"/>
                <w:szCs w:val="18"/>
                <w:lang w:val="es-ES"/>
              </w:rPr>
              <w:t xml:space="preserve"> </w:t>
            </w:r>
            <w:r w:rsidRPr="00960E47">
              <w:rPr>
                <w:b/>
                <w:sz w:val="18"/>
                <w:szCs w:val="18"/>
                <w:lang w:val="es-ES"/>
              </w:rPr>
              <w:t>385</w:t>
            </w:r>
          </w:p>
        </w:tc>
        <w:tc>
          <w:tcPr>
            <w:tcW w:w="739"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88</w:t>
            </w:r>
            <w:r w:rsidR="009578D9" w:rsidRPr="00960E47">
              <w:rPr>
                <w:sz w:val="18"/>
                <w:szCs w:val="18"/>
                <w:lang w:val="es-ES"/>
              </w:rPr>
              <w:t xml:space="preserve"> </w:t>
            </w:r>
            <w:r w:rsidRPr="00960E47">
              <w:rPr>
                <w:sz w:val="18"/>
                <w:szCs w:val="18"/>
                <w:lang w:val="es-ES"/>
              </w:rPr>
              <w:t>766</w:t>
            </w:r>
          </w:p>
        </w:tc>
        <w:tc>
          <w:tcPr>
            <w:tcW w:w="739"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12</w:t>
            </w:r>
            <w:r w:rsidR="009578D9" w:rsidRPr="00960E47">
              <w:rPr>
                <w:sz w:val="18"/>
                <w:szCs w:val="18"/>
                <w:lang w:val="es-ES"/>
              </w:rPr>
              <w:t xml:space="preserve"> </w:t>
            </w:r>
            <w:r w:rsidRPr="00960E47">
              <w:rPr>
                <w:sz w:val="18"/>
                <w:szCs w:val="18"/>
                <w:lang w:val="es-ES"/>
              </w:rPr>
              <w:t>619</w:t>
            </w:r>
          </w:p>
        </w:tc>
        <w:tc>
          <w:tcPr>
            <w:tcW w:w="739" w:type="dxa"/>
            <w:shd w:val="clear" w:color="auto" w:fill="auto"/>
            <w:noWrap/>
            <w:vAlign w:val="bottom"/>
          </w:tcPr>
          <w:p w:rsidR="00E421FD" w:rsidRPr="00960E47" w:rsidRDefault="00E421FD" w:rsidP="00BD2CEB">
            <w:pPr>
              <w:pStyle w:val="SingleTxtG"/>
              <w:spacing w:before="40" w:after="40" w:line="220" w:lineRule="exact"/>
              <w:ind w:left="0" w:right="0"/>
              <w:jc w:val="right"/>
              <w:rPr>
                <w:b/>
                <w:sz w:val="18"/>
                <w:szCs w:val="18"/>
                <w:lang w:val="es-ES"/>
              </w:rPr>
            </w:pPr>
            <w:r w:rsidRPr="00960E47">
              <w:rPr>
                <w:b/>
                <w:sz w:val="18"/>
                <w:szCs w:val="18"/>
                <w:lang w:val="es-ES"/>
              </w:rPr>
              <w:t>105</w:t>
            </w:r>
            <w:r w:rsidR="009578D9" w:rsidRPr="00960E47">
              <w:rPr>
                <w:b/>
                <w:sz w:val="18"/>
                <w:szCs w:val="18"/>
                <w:lang w:val="es-ES"/>
              </w:rPr>
              <w:t xml:space="preserve"> </w:t>
            </w:r>
            <w:r w:rsidRPr="00960E47">
              <w:rPr>
                <w:b/>
                <w:sz w:val="18"/>
                <w:szCs w:val="18"/>
                <w:lang w:val="es-ES"/>
              </w:rPr>
              <w:t>677</w:t>
            </w:r>
          </w:p>
        </w:tc>
        <w:tc>
          <w:tcPr>
            <w:tcW w:w="739"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99</w:t>
            </w:r>
            <w:r w:rsidR="009578D9" w:rsidRPr="00960E47">
              <w:rPr>
                <w:sz w:val="18"/>
                <w:szCs w:val="18"/>
                <w:lang w:val="es-ES"/>
              </w:rPr>
              <w:t xml:space="preserve"> </w:t>
            </w:r>
            <w:r w:rsidRPr="00960E47">
              <w:rPr>
                <w:sz w:val="18"/>
                <w:szCs w:val="18"/>
                <w:lang w:val="es-ES"/>
              </w:rPr>
              <w:t>450</w:t>
            </w:r>
          </w:p>
        </w:tc>
        <w:tc>
          <w:tcPr>
            <w:tcW w:w="740"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6</w:t>
            </w:r>
            <w:r w:rsidR="009578D9" w:rsidRPr="00960E47">
              <w:rPr>
                <w:sz w:val="18"/>
                <w:szCs w:val="18"/>
                <w:lang w:val="es-ES"/>
              </w:rPr>
              <w:t xml:space="preserve"> </w:t>
            </w:r>
            <w:r w:rsidRPr="00960E47">
              <w:rPr>
                <w:sz w:val="18"/>
                <w:szCs w:val="18"/>
                <w:lang w:val="es-ES"/>
              </w:rPr>
              <w:t>227</w:t>
            </w:r>
          </w:p>
        </w:tc>
        <w:tc>
          <w:tcPr>
            <w:tcW w:w="675" w:type="dxa"/>
            <w:shd w:val="clear" w:color="auto" w:fill="auto"/>
            <w:noWrap/>
            <w:vAlign w:val="bottom"/>
          </w:tcPr>
          <w:p w:rsidR="00E421FD" w:rsidRPr="00960E47" w:rsidRDefault="00E421FD" w:rsidP="00BD2CEB">
            <w:pPr>
              <w:pStyle w:val="SingleTxtG"/>
              <w:spacing w:before="40" w:after="40" w:line="220" w:lineRule="exact"/>
              <w:ind w:left="0" w:right="0"/>
              <w:jc w:val="right"/>
              <w:rPr>
                <w:b/>
                <w:sz w:val="18"/>
                <w:szCs w:val="18"/>
                <w:lang w:val="es-ES"/>
              </w:rPr>
            </w:pPr>
            <w:r w:rsidRPr="00960E47">
              <w:rPr>
                <w:b/>
                <w:sz w:val="18"/>
                <w:szCs w:val="18"/>
                <w:lang w:val="es-ES"/>
              </w:rPr>
              <w:t>11,1</w:t>
            </w:r>
          </w:p>
        </w:tc>
        <w:tc>
          <w:tcPr>
            <w:tcW w:w="674"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11,2</w:t>
            </w:r>
          </w:p>
        </w:tc>
        <w:tc>
          <w:tcPr>
            <w:tcW w:w="675"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11,0</w:t>
            </w:r>
          </w:p>
        </w:tc>
      </w:tr>
      <w:tr w:rsidR="00E421FD" w:rsidRPr="00960E47" w:rsidTr="005C1385">
        <w:trPr>
          <w:jc w:val="center"/>
        </w:trPr>
        <w:tc>
          <w:tcPr>
            <w:tcW w:w="882" w:type="dxa"/>
            <w:shd w:val="clear" w:color="auto" w:fill="auto"/>
            <w:noWrap/>
            <w:vAlign w:val="bottom"/>
          </w:tcPr>
          <w:p w:rsidR="00E421FD" w:rsidRPr="00960E47" w:rsidRDefault="00E421FD" w:rsidP="00BD2CEB">
            <w:pPr>
              <w:pStyle w:val="SingleTxtG"/>
              <w:spacing w:before="40" w:after="40" w:line="220" w:lineRule="exact"/>
              <w:ind w:left="0" w:right="0"/>
              <w:jc w:val="left"/>
              <w:rPr>
                <w:sz w:val="18"/>
                <w:szCs w:val="18"/>
                <w:lang w:val="es-ES"/>
              </w:rPr>
            </w:pPr>
            <w:r w:rsidRPr="00960E47">
              <w:rPr>
                <w:sz w:val="18"/>
                <w:szCs w:val="18"/>
                <w:lang w:val="es-ES"/>
              </w:rPr>
              <w:t>25 a 29</w:t>
            </w:r>
          </w:p>
        </w:tc>
        <w:tc>
          <w:tcPr>
            <w:tcW w:w="766" w:type="dxa"/>
            <w:shd w:val="clear" w:color="auto" w:fill="auto"/>
            <w:noWrap/>
            <w:vAlign w:val="bottom"/>
          </w:tcPr>
          <w:p w:rsidR="00E421FD" w:rsidRPr="00960E47" w:rsidRDefault="00E421FD" w:rsidP="00BD2CEB">
            <w:pPr>
              <w:pStyle w:val="SingleTxtG"/>
              <w:spacing w:before="40" w:after="40" w:line="220" w:lineRule="exact"/>
              <w:ind w:left="0" w:right="0"/>
              <w:jc w:val="right"/>
              <w:rPr>
                <w:b/>
                <w:sz w:val="18"/>
                <w:szCs w:val="18"/>
                <w:lang w:val="es-ES"/>
              </w:rPr>
            </w:pPr>
            <w:r w:rsidRPr="00960E47">
              <w:rPr>
                <w:b/>
                <w:sz w:val="18"/>
                <w:szCs w:val="18"/>
                <w:lang w:val="es-ES"/>
              </w:rPr>
              <w:t>164</w:t>
            </w:r>
            <w:r w:rsidR="009578D9" w:rsidRPr="00960E47">
              <w:rPr>
                <w:b/>
                <w:sz w:val="18"/>
                <w:szCs w:val="18"/>
                <w:lang w:val="es-ES"/>
              </w:rPr>
              <w:t xml:space="preserve"> </w:t>
            </w:r>
            <w:r w:rsidRPr="00960E47">
              <w:rPr>
                <w:b/>
                <w:sz w:val="18"/>
                <w:szCs w:val="18"/>
                <w:lang w:val="es-ES"/>
              </w:rPr>
              <w:t>867</w:t>
            </w:r>
          </w:p>
        </w:tc>
        <w:tc>
          <w:tcPr>
            <w:tcW w:w="766"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144</w:t>
            </w:r>
            <w:r w:rsidR="009578D9" w:rsidRPr="00960E47">
              <w:rPr>
                <w:sz w:val="18"/>
                <w:szCs w:val="18"/>
                <w:lang w:val="es-ES"/>
              </w:rPr>
              <w:t xml:space="preserve"> </w:t>
            </w:r>
            <w:r w:rsidRPr="00960E47">
              <w:rPr>
                <w:sz w:val="18"/>
                <w:szCs w:val="18"/>
                <w:lang w:val="es-ES"/>
              </w:rPr>
              <w:t>156</w:t>
            </w:r>
          </w:p>
        </w:tc>
        <w:tc>
          <w:tcPr>
            <w:tcW w:w="767"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20</w:t>
            </w:r>
            <w:r w:rsidR="009578D9" w:rsidRPr="00960E47">
              <w:rPr>
                <w:sz w:val="18"/>
                <w:szCs w:val="18"/>
                <w:lang w:val="es-ES"/>
              </w:rPr>
              <w:t xml:space="preserve"> </w:t>
            </w:r>
            <w:r w:rsidRPr="00960E47">
              <w:rPr>
                <w:sz w:val="18"/>
                <w:szCs w:val="18"/>
                <w:lang w:val="es-ES"/>
              </w:rPr>
              <w:t>711</w:t>
            </w:r>
          </w:p>
        </w:tc>
        <w:tc>
          <w:tcPr>
            <w:tcW w:w="739" w:type="dxa"/>
            <w:shd w:val="clear" w:color="auto" w:fill="auto"/>
            <w:noWrap/>
            <w:vAlign w:val="bottom"/>
          </w:tcPr>
          <w:p w:rsidR="00E421FD" w:rsidRPr="00960E47" w:rsidRDefault="00E421FD" w:rsidP="00BD2CEB">
            <w:pPr>
              <w:pStyle w:val="SingleTxtG"/>
              <w:spacing w:before="40" w:after="40" w:line="220" w:lineRule="exact"/>
              <w:ind w:left="0" w:right="0"/>
              <w:jc w:val="right"/>
              <w:rPr>
                <w:b/>
                <w:sz w:val="18"/>
                <w:szCs w:val="18"/>
                <w:lang w:val="es-ES"/>
              </w:rPr>
            </w:pPr>
            <w:r w:rsidRPr="00960E47">
              <w:rPr>
                <w:b/>
                <w:sz w:val="18"/>
                <w:szCs w:val="18"/>
                <w:lang w:val="es-ES"/>
              </w:rPr>
              <w:t>82</w:t>
            </w:r>
            <w:r w:rsidR="009578D9" w:rsidRPr="00960E47">
              <w:rPr>
                <w:b/>
                <w:sz w:val="18"/>
                <w:szCs w:val="18"/>
                <w:lang w:val="es-ES"/>
              </w:rPr>
              <w:t xml:space="preserve"> </w:t>
            </w:r>
            <w:r w:rsidRPr="00960E47">
              <w:rPr>
                <w:b/>
                <w:sz w:val="18"/>
                <w:szCs w:val="18"/>
                <w:lang w:val="es-ES"/>
              </w:rPr>
              <w:t>202</w:t>
            </w:r>
          </w:p>
        </w:tc>
        <w:tc>
          <w:tcPr>
            <w:tcW w:w="739"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67</w:t>
            </w:r>
            <w:r w:rsidR="009578D9" w:rsidRPr="00960E47">
              <w:rPr>
                <w:sz w:val="18"/>
                <w:szCs w:val="18"/>
                <w:lang w:val="es-ES"/>
              </w:rPr>
              <w:t xml:space="preserve"> </w:t>
            </w:r>
            <w:r w:rsidRPr="00960E47">
              <w:rPr>
                <w:sz w:val="18"/>
                <w:szCs w:val="18"/>
                <w:lang w:val="es-ES"/>
              </w:rPr>
              <w:t>177</w:t>
            </w:r>
          </w:p>
        </w:tc>
        <w:tc>
          <w:tcPr>
            <w:tcW w:w="739"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15</w:t>
            </w:r>
            <w:r w:rsidR="009578D9" w:rsidRPr="00960E47">
              <w:rPr>
                <w:sz w:val="18"/>
                <w:szCs w:val="18"/>
                <w:lang w:val="es-ES"/>
              </w:rPr>
              <w:t xml:space="preserve"> </w:t>
            </w:r>
            <w:r w:rsidRPr="00960E47">
              <w:rPr>
                <w:sz w:val="18"/>
                <w:szCs w:val="18"/>
                <w:lang w:val="es-ES"/>
              </w:rPr>
              <w:t>025</w:t>
            </w:r>
          </w:p>
        </w:tc>
        <w:tc>
          <w:tcPr>
            <w:tcW w:w="739" w:type="dxa"/>
            <w:shd w:val="clear" w:color="auto" w:fill="auto"/>
            <w:noWrap/>
            <w:vAlign w:val="bottom"/>
          </w:tcPr>
          <w:p w:rsidR="00E421FD" w:rsidRPr="00960E47" w:rsidRDefault="00E421FD" w:rsidP="00BD2CEB">
            <w:pPr>
              <w:pStyle w:val="SingleTxtG"/>
              <w:spacing w:before="40" w:after="40" w:line="220" w:lineRule="exact"/>
              <w:ind w:left="0" w:right="0"/>
              <w:jc w:val="right"/>
              <w:rPr>
                <w:b/>
                <w:sz w:val="18"/>
                <w:szCs w:val="18"/>
                <w:lang w:val="es-ES"/>
              </w:rPr>
            </w:pPr>
            <w:r w:rsidRPr="00960E47">
              <w:rPr>
                <w:b/>
                <w:sz w:val="18"/>
                <w:szCs w:val="18"/>
                <w:lang w:val="es-ES"/>
              </w:rPr>
              <w:t>82</w:t>
            </w:r>
            <w:r w:rsidR="009578D9" w:rsidRPr="00960E47">
              <w:rPr>
                <w:b/>
                <w:sz w:val="18"/>
                <w:szCs w:val="18"/>
                <w:lang w:val="es-ES"/>
              </w:rPr>
              <w:t xml:space="preserve"> </w:t>
            </w:r>
            <w:r w:rsidRPr="00960E47">
              <w:rPr>
                <w:b/>
                <w:sz w:val="18"/>
                <w:szCs w:val="18"/>
                <w:lang w:val="es-ES"/>
              </w:rPr>
              <w:t>665</w:t>
            </w:r>
          </w:p>
        </w:tc>
        <w:tc>
          <w:tcPr>
            <w:tcW w:w="739"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76</w:t>
            </w:r>
            <w:r w:rsidR="009578D9" w:rsidRPr="00960E47">
              <w:rPr>
                <w:sz w:val="18"/>
                <w:szCs w:val="18"/>
                <w:lang w:val="es-ES"/>
              </w:rPr>
              <w:t xml:space="preserve"> </w:t>
            </w:r>
            <w:r w:rsidRPr="00960E47">
              <w:rPr>
                <w:sz w:val="18"/>
                <w:szCs w:val="18"/>
                <w:lang w:val="es-ES"/>
              </w:rPr>
              <w:t>979</w:t>
            </w:r>
          </w:p>
        </w:tc>
        <w:tc>
          <w:tcPr>
            <w:tcW w:w="740"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5</w:t>
            </w:r>
            <w:r w:rsidR="009578D9" w:rsidRPr="00960E47">
              <w:rPr>
                <w:sz w:val="18"/>
                <w:szCs w:val="18"/>
                <w:lang w:val="es-ES"/>
              </w:rPr>
              <w:t xml:space="preserve"> </w:t>
            </w:r>
            <w:r w:rsidRPr="00960E47">
              <w:rPr>
                <w:sz w:val="18"/>
                <w:szCs w:val="18"/>
                <w:lang w:val="es-ES"/>
              </w:rPr>
              <w:t>686</w:t>
            </w:r>
          </w:p>
        </w:tc>
        <w:tc>
          <w:tcPr>
            <w:tcW w:w="675" w:type="dxa"/>
            <w:shd w:val="clear" w:color="auto" w:fill="auto"/>
            <w:noWrap/>
            <w:vAlign w:val="bottom"/>
          </w:tcPr>
          <w:p w:rsidR="00E421FD" w:rsidRPr="00960E47" w:rsidRDefault="00E421FD" w:rsidP="00BD2CEB">
            <w:pPr>
              <w:pStyle w:val="SingleTxtG"/>
              <w:spacing w:before="40" w:after="40" w:line="220" w:lineRule="exact"/>
              <w:ind w:left="0" w:right="0"/>
              <w:jc w:val="right"/>
              <w:rPr>
                <w:b/>
                <w:sz w:val="18"/>
                <w:szCs w:val="18"/>
                <w:lang w:val="es-ES"/>
              </w:rPr>
            </w:pPr>
            <w:r w:rsidRPr="00960E47">
              <w:rPr>
                <w:b/>
                <w:sz w:val="18"/>
                <w:szCs w:val="18"/>
                <w:lang w:val="es-ES"/>
              </w:rPr>
              <w:t>8,9</w:t>
            </w:r>
          </w:p>
        </w:tc>
        <w:tc>
          <w:tcPr>
            <w:tcW w:w="674"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9,1</w:t>
            </w:r>
          </w:p>
        </w:tc>
        <w:tc>
          <w:tcPr>
            <w:tcW w:w="675"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8,6</w:t>
            </w:r>
          </w:p>
        </w:tc>
      </w:tr>
      <w:tr w:rsidR="00E421FD" w:rsidRPr="00960E47" w:rsidTr="005C1385">
        <w:trPr>
          <w:jc w:val="center"/>
        </w:trPr>
        <w:tc>
          <w:tcPr>
            <w:tcW w:w="882" w:type="dxa"/>
            <w:shd w:val="clear" w:color="auto" w:fill="auto"/>
            <w:noWrap/>
            <w:vAlign w:val="bottom"/>
          </w:tcPr>
          <w:p w:rsidR="00E421FD" w:rsidRPr="00960E47" w:rsidRDefault="00E421FD" w:rsidP="00BD2CEB">
            <w:pPr>
              <w:pStyle w:val="SingleTxtG"/>
              <w:spacing w:before="40" w:after="40" w:line="220" w:lineRule="exact"/>
              <w:ind w:left="0" w:right="0"/>
              <w:jc w:val="left"/>
              <w:rPr>
                <w:sz w:val="18"/>
                <w:szCs w:val="18"/>
                <w:lang w:val="es-ES"/>
              </w:rPr>
            </w:pPr>
            <w:r w:rsidRPr="00960E47">
              <w:rPr>
                <w:sz w:val="18"/>
                <w:szCs w:val="18"/>
                <w:lang w:val="es-ES"/>
              </w:rPr>
              <w:t>30 a 34</w:t>
            </w:r>
          </w:p>
        </w:tc>
        <w:tc>
          <w:tcPr>
            <w:tcW w:w="766" w:type="dxa"/>
            <w:shd w:val="clear" w:color="auto" w:fill="auto"/>
            <w:noWrap/>
            <w:vAlign w:val="bottom"/>
          </w:tcPr>
          <w:p w:rsidR="00E421FD" w:rsidRPr="00960E47" w:rsidRDefault="00E421FD" w:rsidP="00BD2CEB">
            <w:pPr>
              <w:pStyle w:val="SingleTxtG"/>
              <w:spacing w:before="40" w:after="40" w:line="220" w:lineRule="exact"/>
              <w:ind w:left="0" w:right="0"/>
              <w:jc w:val="right"/>
              <w:rPr>
                <w:b/>
                <w:sz w:val="18"/>
                <w:szCs w:val="18"/>
                <w:lang w:val="es-ES"/>
              </w:rPr>
            </w:pPr>
            <w:r w:rsidRPr="00960E47">
              <w:rPr>
                <w:b/>
                <w:sz w:val="18"/>
                <w:szCs w:val="18"/>
                <w:lang w:val="es-ES"/>
              </w:rPr>
              <w:t>119</w:t>
            </w:r>
            <w:r w:rsidR="009578D9" w:rsidRPr="00960E47">
              <w:rPr>
                <w:b/>
                <w:sz w:val="18"/>
                <w:szCs w:val="18"/>
                <w:lang w:val="es-ES"/>
              </w:rPr>
              <w:t xml:space="preserve"> </w:t>
            </w:r>
            <w:r w:rsidRPr="00960E47">
              <w:rPr>
                <w:b/>
                <w:sz w:val="18"/>
                <w:szCs w:val="18"/>
                <w:lang w:val="es-ES"/>
              </w:rPr>
              <w:t>530</w:t>
            </w:r>
          </w:p>
        </w:tc>
        <w:tc>
          <w:tcPr>
            <w:tcW w:w="766"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102</w:t>
            </w:r>
            <w:r w:rsidR="009578D9" w:rsidRPr="00960E47">
              <w:rPr>
                <w:sz w:val="18"/>
                <w:szCs w:val="18"/>
                <w:lang w:val="es-ES"/>
              </w:rPr>
              <w:t xml:space="preserve"> </w:t>
            </w:r>
            <w:r w:rsidRPr="00960E47">
              <w:rPr>
                <w:sz w:val="18"/>
                <w:szCs w:val="18"/>
                <w:lang w:val="es-ES"/>
              </w:rPr>
              <w:t>967</w:t>
            </w:r>
          </w:p>
        </w:tc>
        <w:tc>
          <w:tcPr>
            <w:tcW w:w="767"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16</w:t>
            </w:r>
            <w:r w:rsidR="009578D9" w:rsidRPr="00960E47">
              <w:rPr>
                <w:sz w:val="18"/>
                <w:szCs w:val="18"/>
                <w:lang w:val="es-ES"/>
              </w:rPr>
              <w:t xml:space="preserve"> </w:t>
            </w:r>
            <w:r w:rsidRPr="00960E47">
              <w:rPr>
                <w:sz w:val="18"/>
                <w:szCs w:val="18"/>
                <w:lang w:val="es-ES"/>
              </w:rPr>
              <w:t>563</w:t>
            </w:r>
          </w:p>
        </w:tc>
        <w:tc>
          <w:tcPr>
            <w:tcW w:w="739" w:type="dxa"/>
            <w:shd w:val="clear" w:color="auto" w:fill="auto"/>
            <w:noWrap/>
            <w:vAlign w:val="bottom"/>
          </w:tcPr>
          <w:p w:rsidR="00E421FD" w:rsidRPr="00960E47" w:rsidRDefault="00E421FD" w:rsidP="00BD2CEB">
            <w:pPr>
              <w:pStyle w:val="SingleTxtG"/>
              <w:spacing w:before="40" w:after="40" w:line="220" w:lineRule="exact"/>
              <w:ind w:left="0" w:right="0"/>
              <w:jc w:val="right"/>
              <w:rPr>
                <w:b/>
                <w:sz w:val="18"/>
                <w:szCs w:val="18"/>
                <w:lang w:val="es-ES"/>
              </w:rPr>
            </w:pPr>
            <w:r w:rsidRPr="00960E47">
              <w:rPr>
                <w:b/>
                <w:sz w:val="18"/>
                <w:szCs w:val="18"/>
                <w:lang w:val="es-ES"/>
              </w:rPr>
              <w:t>60</w:t>
            </w:r>
            <w:r w:rsidR="009578D9" w:rsidRPr="00960E47">
              <w:rPr>
                <w:b/>
                <w:sz w:val="18"/>
                <w:szCs w:val="18"/>
                <w:lang w:val="es-ES"/>
              </w:rPr>
              <w:t xml:space="preserve"> </w:t>
            </w:r>
            <w:r w:rsidRPr="00960E47">
              <w:rPr>
                <w:b/>
                <w:sz w:val="18"/>
                <w:szCs w:val="18"/>
                <w:lang w:val="es-ES"/>
              </w:rPr>
              <w:t>107</w:t>
            </w:r>
          </w:p>
        </w:tc>
        <w:tc>
          <w:tcPr>
            <w:tcW w:w="739"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47</w:t>
            </w:r>
            <w:r w:rsidR="009578D9" w:rsidRPr="00960E47">
              <w:rPr>
                <w:sz w:val="18"/>
                <w:szCs w:val="18"/>
                <w:lang w:val="es-ES"/>
              </w:rPr>
              <w:t xml:space="preserve"> </w:t>
            </w:r>
            <w:r w:rsidRPr="00960E47">
              <w:rPr>
                <w:sz w:val="18"/>
                <w:szCs w:val="18"/>
                <w:lang w:val="es-ES"/>
              </w:rPr>
              <w:t>805</w:t>
            </w:r>
          </w:p>
        </w:tc>
        <w:tc>
          <w:tcPr>
            <w:tcW w:w="739"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12</w:t>
            </w:r>
            <w:r w:rsidR="009578D9" w:rsidRPr="00960E47">
              <w:rPr>
                <w:sz w:val="18"/>
                <w:szCs w:val="18"/>
                <w:lang w:val="es-ES"/>
              </w:rPr>
              <w:t xml:space="preserve"> </w:t>
            </w:r>
            <w:r w:rsidRPr="00960E47">
              <w:rPr>
                <w:sz w:val="18"/>
                <w:szCs w:val="18"/>
                <w:lang w:val="es-ES"/>
              </w:rPr>
              <w:t>302</w:t>
            </w:r>
          </w:p>
        </w:tc>
        <w:tc>
          <w:tcPr>
            <w:tcW w:w="739" w:type="dxa"/>
            <w:shd w:val="clear" w:color="auto" w:fill="auto"/>
            <w:noWrap/>
            <w:vAlign w:val="bottom"/>
          </w:tcPr>
          <w:p w:rsidR="00E421FD" w:rsidRPr="00960E47" w:rsidRDefault="00E421FD" w:rsidP="00BD2CEB">
            <w:pPr>
              <w:pStyle w:val="SingleTxtG"/>
              <w:spacing w:before="40" w:after="40" w:line="220" w:lineRule="exact"/>
              <w:ind w:left="0" w:right="0"/>
              <w:jc w:val="right"/>
              <w:rPr>
                <w:b/>
                <w:sz w:val="18"/>
                <w:szCs w:val="18"/>
                <w:lang w:val="es-ES"/>
              </w:rPr>
            </w:pPr>
            <w:r w:rsidRPr="00960E47">
              <w:rPr>
                <w:b/>
                <w:sz w:val="18"/>
                <w:szCs w:val="18"/>
                <w:lang w:val="es-ES"/>
              </w:rPr>
              <w:t>59</w:t>
            </w:r>
            <w:r w:rsidR="009578D9" w:rsidRPr="00960E47">
              <w:rPr>
                <w:b/>
                <w:sz w:val="18"/>
                <w:szCs w:val="18"/>
                <w:lang w:val="es-ES"/>
              </w:rPr>
              <w:t xml:space="preserve"> </w:t>
            </w:r>
            <w:r w:rsidRPr="00960E47">
              <w:rPr>
                <w:b/>
                <w:sz w:val="18"/>
                <w:szCs w:val="18"/>
                <w:lang w:val="es-ES"/>
              </w:rPr>
              <w:t>423</w:t>
            </w:r>
          </w:p>
        </w:tc>
        <w:tc>
          <w:tcPr>
            <w:tcW w:w="739"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55</w:t>
            </w:r>
            <w:r w:rsidR="009578D9" w:rsidRPr="00960E47">
              <w:rPr>
                <w:sz w:val="18"/>
                <w:szCs w:val="18"/>
                <w:lang w:val="es-ES"/>
              </w:rPr>
              <w:t xml:space="preserve"> </w:t>
            </w:r>
            <w:r w:rsidRPr="00960E47">
              <w:rPr>
                <w:sz w:val="18"/>
                <w:szCs w:val="18"/>
                <w:lang w:val="es-ES"/>
              </w:rPr>
              <w:t>162</w:t>
            </w:r>
          </w:p>
        </w:tc>
        <w:tc>
          <w:tcPr>
            <w:tcW w:w="740"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4</w:t>
            </w:r>
            <w:r w:rsidR="009578D9" w:rsidRPr="00960E47">
              <w:rPr>
                <w:sz w:val="18"/>
                <w:szCs w:val="18"/>
                <w:lang w:val="es-ES"/>
              </w:rPr>
              <w:t xml:space="preserve"> </w:t>
            </w:r>
            <w:r w:rsidRPr="00960E47">
              <w:rPr>
                <w:sz w:val="18"/>
                <w:szCs w:val="18"/>
                <w:lang w:val="es-ES"/>
              </w:rPr>
              <w:t>261</w:t>
            </w:r>
          </w:p>
        </w:tc>
        <w:tc>
          <w:tcPr>
            <w:tcW w:w="675" w:type="dxa"/>
            <w:shd w:val="clear" w:color="auto" w:fill="auto"/>
            <w:noWrap/>
            <w:vAlign w:val="bottom"/>
          </w:tcPr>
          <w:p w:rsidR="00E421FD" w:rsidRPr="00960E47" w:rsidRDefault="00E421FD" w:rsidP="00BD2CEB">
            <w:pPr>
              <w:pStyle w:val="SingleTxtG"/>
              <w:spacing w:before="40" w:after="40" w:line="220" w:lineRule="exact"/>
              <w:ind w:left="0" w:right="0"/>
              <w:jc w:val="right"/>
              <w:rPr>
                <w:b/>
                <w:sz w:val="18"/>
                <w:szCs w:val="18"/>
                <w:lang w:val="es-ES"/>
              </w:rPr>
            </w:pPr>
            <w:r w:rsidRPr="00960E47">
              <w:rPr>
                <w:b/>
                <w:sz w:val="18"/>
                <w:szCs w:val="18"/>
                <w:lang w:val="es-ES"/>
              </w:rPr>
              <w:t>6,4</w:t>
            </w:r>
          </w:p>
        </w:tc>
        <w:tc>
          <w:tcPr>
            <w:tcW w:w="674"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6,6</w:t>
            </w:r>
          </w:p>
        </w:tc>
        <w:tc>
          <w:tcPr>
            <w:tcW w:w="675"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6,2</w:t>
            </w:r>
          </w:p>
        </w:tc>
      </w:tr>
      <w:tr w:rsidR="00E421FD" w:rsidRPr="00960E47" w:rsidTr="005C1385">
        <w:trPr>
          <w:jc w:val="center"/>
        </w:trPr>
        <w:tc>
          <w:tcPr>
            <w:tcW w:w="882" w:type="dxa"/>
            <w:shd w:val="clear" w:color="auto" w:fill="auto"/>
            <w:noWrap/>
            <w:vAlign w:val="bottom"/>
          </w:tcPr>
          <w:p w:rsidR="00E421FD" w:rsidRPr="00960E47" w:rsidRDefault="00E421FD" w:rsidP="00BD2CEB">
            <w:pPr>
              <w:pStyle w:val="SingleTxtG"/>
              <w:spacing w:before="40" w:after="40" w:line="220" w:lineRule="exact"/>
              <w:ind w:left="0" w:right="0"/>
              <w:jc w:val="left"/>
              <w:rPr>
                <w:sz w:val="18"/>
                <w:szCs w:val="18"/>
                <w:lang w:val="es-ES"/>
              </w:rPr>
            </w:pPr>
            <w:r w:rsidRPr="00960E47">
              <w:rPr>
                <w:sz w:val="18"/>
                <w:szCs w:val="18"/>
                <w:lang w:val="es-ES"/>
              </w:rPr>
              <w:t>35 a 39</w:t>
            </w:r>
          </w:p>
        </w:tc>
        <w:tc>
          <w:tcPr>
            <w:tcW w:w="766" w:type="dxa"/>
            <w:shd w:val="clear" w:color="auto" w:fill="auto"/>
            <w:noWrap/>
            <w:vAlign w:val="bottom"/>
          </w:tcPr>
          <w:p w:rsidR="00E421FD" w:rsidRPr="00960E47" w:rsidRDefault="00E421FD" w:rsidP="00BD2CEB">
            <w:pPr>
              <w:pStyle w:val="SingleTxtG"/>
              <w:spacing w:before="40" w:after="40" w:line="220" w:lineRule="exact"/>
              <w:ind w:left="0" w:right="0"/>
              <w:jc w:val="right"/>
              <w:rPr>
                <w:b/>
                <w:sz w:val="18"/>
                <w:szCs w:val="18"/>
                <w:lang w:val="es-ES"/>
              </w:rPr>
            </w:pPr>
            <w:r w:rsidRPr="00960E47">
              <w:rPr>
                <w:b/>
                <w:sz w:val="18"/>
                <w:szCs w:val="18"/>
                <w:lang w:val="es-ES"/>
              </w:rPr>
              <w:t>93</w:t>
            </w:r>
            <w:r w:rsidR="009578D9" w:rsidRPr="00960E47">
              <w:rPr>
                <w:b/>
                <w:sz w:val="18"/>
                <w:szCs w:val="18"/>
                <w:lang w:val="es-ES"/>
              </w:rPr>
              <w:t xml:space="preserve"> </w:t>
            </w:r>
            <w:r w:rsidRPr="00960E47">
              <w:rPr>
                <w:b/>
                <w:sz w:val="18"/>
                <w:szCs w:val="18"/>
                <w:lang w:val="es-ES"/>
              </w:rPr>
              <w:t>490</w:t>
            </w:r>
          </w:p>
        </w:tc>
        <w:tc>
          <w:tcPr>
            <w:tcW w:w="766"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79</w:t>
            </w:r>
            <w:r w:rsidR="009578D9" w:rsidRPr="00960E47">
              <w:rPr>
                <w:sz w:val="18"/>
                <w:szCs w:val="18"/>
                <w:lang w:val="es-ES"/>
              </w:rPr>
              <w:t xml:space="preserve"> </w:t>
            </w:r>
            <w:r w:rsidRPr="00960E47">
              <w:rPr>
                <w:sz w:val="18"/>
                <w:szCs w:val="18"/>
                <w:lang w:val="es-ES"/>
              </w:rPr>
              <w:t>554</w:t>
            </w:r>
          </w:p>
        </w:tc>
        <w:tc>
          <w:tcPr>
            <w:tcW w:w="767"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13</w:t>
            </w:r>
            <w:r w:rsidR="009578D9" w:rsidRPr="00960E47">
              <w:rPr>
                <w:sz w:val="18"/>
                <w:szCs w:val="18"/>
                <w:lang w:val="es-ES"/>
              </w:rPr>
              <w:t xml:space="preserve"> </w:t>
            </w:r>
            <w:r w:rsidRPr="00960E47">
              <w:rPr>
                <w:sz w:val="18"/>
                <w:szCs w:val="18"/>
                <w:lang w:val="es-ES"/>
              </w:rPr>
              <w:t>936</w:t>
            </w:r>
          </w:p>
        </w:tc>
        <w:tc>
          <w:tcPr>
            <w:tcW w:w="739" w:type="dxa"/>
            <w:shd w:val="clear" w:color="auto" w:fill="auto"/>
            <w:noWrap/>
            <w:vAlign w:val="bottom"/>
          </w:tcPr>
          <w:p w:rsidR="00E421FD" w:rsidRPr="00960E47" w:rsidRDefault="00E421FD" w:rsidP="00BD2CEB">
            <w:pPr>
              <w:pStyle w:val="SingleTxtG"/>
              <w:spacing w:before="40" w:after="40" w:line="220" w:lineRule="exact"/>
              <w:ind w:left="0" w:right="0"/>
              <w:jc w:val="right"/>
              <w:rPr>
                <w:b/>
                <w:sz w:val="18"/>
                <w:szCs w:val="18"/>
                <w:lang w:val="es-ES"/>
              </w:rPr>
            </w:pPr>
            <w:r w:rsidRPr="00960E47">
              <w:rPr>
                <w:b/>
                <w:sz w:val="18"/>
                <w:szCs w:val="18"/>
                <w:lang w:val="es-ES"/>
              </w:rPr>
              <w:t>45</w:t>
            </w:r>
            <w:r w:rsidR="009578D9" w:rsidRPr="00960E47">
              <w:rPr>
                <w:b/>
                <w:sz w:val="18"/>
                <w:szCs w:val="18"/>
                <w:lang w:val="es-ES"/>
              </w:rPr>
              <w:t xml:space="preserve"> </w:t>
            </w:r>
            <w:r w:rsidRPr="00960E47">
              <w:rPr>
                <w:b/>
                <w:sz w:val="18"/>
                <w:szCs w:val="18"/>
                <w:lang w:val="es-ES"/>
              </w:rPr>
              <w:t>645</w:t>
            </w:r>
          </w:p>
        </w:tc>
        <w:tc>
          <w:tcPr>
            <w:tcW w:w="739"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35</w:t>
            </w:r>
            <w:r w:rsidR="009578D9" w:rsidRPr="00960E47">
              <w:rPr>
                <w:sz w:val="18"/>
                <w:szCs w:val="18"/>
                <w:lang w:val="es-ES"/>
              </w:rPr>
              <w:t xml:space="preserve"> </w:t>
            </w:r>
            <w:r w:rsidRPr="00960E47">
              <w:rPr>
                <w:sz w:val="18"/>
                <w:szCs w:val="18"/>
                <w:lang w:val="es-ES"/>
              </w:rPr>
              <w:t>238</w:t>
            </w:r>
          </w:p>
        </w:tc>
        <w:tc>
          <w:tcPr>
            <w:tcW w:w="739"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10</w:t>
            </w:r>
            <w:r w:rsidR="009578D9" w:rsidRPr="00960E47">
              <w:rPr>
                <w:sz w:val="18"/>
                <w:szCs w:val="18"/>
                <w:lang w:val="es-ES"/>
              </w:rPr>
              <w:t xml:space="preserve"> </w:t>
            </w:r>
            <w:r w:rsidRPr="00960E47">
              <w:rPr>
                <w:sz w:val="18"/>
                <w:szCs w:val="18"/>
                <w:lang w:val="es-ES"/>
              </w:rPr>
              <w:t>407</w:t>
            </w:r>
          </w:p>
        </w:tc>
        <w:tc>
          <w:tcPr>
            <w:tcW w:w="739" w:type="dxa"/>
            <w:shd w:val="clear" w:color="auto" w:fill="auto"/>
            <w:noWrap/>
            <w:vAlign w:val="bottom"/>
          </w:tcPr>
          <w:p w:rsidR="00E421FD" w:rsidRPr="00960E47" w:rsidRDefault="00E421FD" w:rsidP="00BD2CEB">
            <w:pPr>
              <w:pStyle w:val="SingleTxtG"/>
              <w:spacing w:before="40" w:after="40" w:line="220" w:lineRule="exact"/>
              <w:ind w:left="0" w:right="0"/>
              <w:jc w:val="right"/>
              <w:rPr>
                <w:b/>
                <w:sz w:val="18"/>
                <w:szCs w:val="18"/>
                <w:lang w:val="es-ES"/>
              </w:rPr>
            </w:pPr>
            <w:r w:rsidRPr="00960E47">
              <w:rPr>
                <w:b/>
                <w:sz w:val="18"/>
                <w:szCs w:val="18"/>
                <w:lang w:val="es-ES"/>
              </w:rPr>
              <w:t>47</w:t>
            </w:r>
            <w:r w:rsidR="009578D9" w:rsidRPr="00960E47">
              <w:rPr>
                <w:b/>
                <w:sz w:val="18"/>
                <w:szCs w:val="18"/>
                <w:lang w:val="es-ES"/>
              </w:rPr>
              <w:t xml:space="preserve"> </w:t>
            </w:r>
            <w:r w:rsidRPr="00960E47">
              <w:rPr>
                <w:b/>
                <w:sz w:val="18"/>
                <w:szCs w:val="18"/>
                <w:lang w:val="es-ES"/>
              </w:rPr>
              <w:t>845</w:t>
            </w:r>
          </w:p>
        </w:tc>
        <w:tc>
          <w:tcPr>
            <w:tcW w:w="739"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44</w:t>
            </w:r>
            <w:r w:rsidR="009578D9" w:rsidRPr="00960E47">
              <w:rPr>
                <w:sz w:val="18"/>
                <w:szCs w:val="18"/>
                <w:lang w:val="es-ES"/>
              </w:rPr>
              <w:t xml:space="preserve"> </w:t>
            </w:r>
            <w:r w:rsidRPr="00960E47">
              <w:rPr>
                <w:sz w:val="18"/>
                <w:szCs w:val="18"/>
                <w:lang w:val="es-ES"/>
              </w:rPr>
              <w:t>316</w:t>
            </w:r>
          </w:p>
        </w:tc>
        <w:tc>
          <w:tcPr>
            <w:tcW w:w="740"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3</w:t>
            </w:r>
            <w:r w:rsidR="009578D9" w:rsidRPr="00960E47">
              <w:rPr>
                <w:sz w:val="18"/>
                <w:szCs w:val="18"/>
                <w:lang w:val="es-ES"/>
              </w:rPr>
              <w:t xml:space="preserve"> </w:t>
            </w:r>
            <w:r w:rsidRPr="00960E47">
              <w:rPr>
                <w:sz w:val="18"/>
                <w:szCs w:val="18"/>
                <w:lang w:val="es-ES"/>
              </w:rPr>
              <w:t>529</w:t>
            </w:r>
          </w:p>
        </w:tc>
        <w:tc>
          <w:tcPr>
            <w:tcW w:w="675" w:type="dxa"/>
            <w:shd w:val="clear" w:color="auto" w:fill="auto"/>
            <w:noWrap/>
            <w:vAlign w:val="bottom"/>
          </w:tcPr>
          <w:p w:rsidR="00E421FD" w:rsidRPr="00960E47" w:rsidRDefault="00E421FD" w:rsidP="00BD2CEB">
            <w:pPr>
              <w:pStyle w:val="SingleTxtG"/>
              <w:spacing w:before="40" w:after="40" w:line="220" w:lineRule="exact"/>
              <w:ind w:left="0" w:right="0"/>
              <w:jc w:val="right"/>
              <w:rPr>
                <w:b/>
                <w:sz w:val="18"/>
                <w:szCs w:val="18"/>
                <w:lang w:val="es-ES"/>
              </w:rPr>
            </w:pPr>
            <w:r w:rsidRPr="00960E47">
              <w:rPr>
                <w:b/>
                <w:sz w:val="18"/>
                <w:szCs w:val="18"/>
                <w:lang w:val="es-ES"/>
              </w:rPr>
              <w:t>5,0</w:t>
            </w:r>
          </w:p>
        </w:tc>
        <w:tc>
          <w:tcPr>
            <w:tcW w:w="674"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5,0</w:t>
            </w:r>
          </w:p>
        </w:tc>
        <w:tc>
          <w:tcPr>
            <w:tcW w:w="675"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5,0</w:t>
            </w:r>
          </w:p>
        </w:tc>
      </w:tr>
      <w:tr w:rsidR="00E421FD" w:rsidRPr="00960E47" w:rsidTr="005C1385">
        <w:trPr>
          <w:jc w:val="center"/>
        </w:trPr>
        <w:tc>
          <w:tcPr>
            <w:tcW w:w="882" w:type="dxa"/>
            <w:shd w:val="clear" w:color="auto" w:fill="auto"/>
            <w:noWrap/>
            <w:vAlign w:val="bottom"/>
          </w:tcPr>
          <w:p w:rsidR="00E421FD" w:rsidRPr="00960E47" w:rsidRDefault="00E421FD" w:rsidP="00BD2CEB">
            <w:pPr>
              <w:pStyle w:val="SingleTxtG"/>
              <w:spacing w:before="40" w:after="40" w:line="220" w:lineRule="exact"/>
              <w:ind w:left="0" w:right="0"/>
              <w:jc w:val="left"/>
              <w:rPr>
                <w:sz w:val="18"/>
                <w:szCs w:val="18"/>
                <w:lang w:val="es-ES"/>
              </w:rPr>
            </w:pPr>
            <w:r w:rsidRPr="00960E47">
              <w:rPr>
                <w:sz w:val="18"/>
                <w:szCs w:val="18"/>
                <w:lang w:val="es-ES"/>
              </w:rPr>
              <w:t>40 a 44</w:t>
            </w:r>
          </w:p>
        </w:tc>
        <w:tc>
          <w:tcPr>
            <w:tcW w:w="766" w:type="dxa"/>
            <w:shd w:val="clear" w:color="auto" w:fill="auto"/>
            <w:noWrap/>
            <w:vAlign w:val="bottom"/>
          </w:tcPr>
          <w:p w:rsidR="00E421FD" w:rsidRPr="00960E47" w:rsidRDefault="00E421FD" w:rsidP="00BD2CEB">
            <w:pPr>
              <w:pStyle w:val="SingleTxtG"/>
              <w:spacing w:before="40" w:after="40" w:line="220" w:lineRule="exact"/>
              <w:ind w:left="0" w:right="0"/>
              <w:jc w:val="right"/>
              <w:rPr>
                <w:b/>
                <w:sz w:val="18"/>
                <w:szCs w:val="18"/>
                <w:lang w:val="es-ES"/>
              </w:rPr>
            </w:pPr>
            <w:r w:rsidRPr="00960E47">
              <w:rPr>
                <w:b/>
                <w:sz w:val="18"/>
                <w:szCs w:val="18"/>
                <w:lang w:val="es-ES"/>
              </w:rPr>
              <w:t>83</w:t>
            </w:r>
            <w:r w:rsidR="009578D9" w:rsidRPr="00960E47">
              <w:rPr>
                <w:b/>
                <w:sz w:val="18"/>
                <w:szCs w:val="18"/>
                <w:lang w:val="es-ES"/>
              </w:rPr>
              <w:t xml:space="preserve"> </w:t>
            </w:r>
            <w:r w:rsidRPr="00960E47">
              <w:rPr>
                <w:b/>
                <w:sz w:val="18"/>
                <w:szCs w:val="18"/>
                <w:lang w:val="es-ES"/>
              </w:rPr>
              <w:t>299</w:t>
            </w:r>
          </w:p>
        </w:tc>
        <w:tc>
          <w:tcPr>
            <w:tcW w:w="766"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69</w:t>
            </w:r>
            <w:r w:rsidR="009578D9" w:rsidRPr="00960E47">
              <w:rPr>
                <w:sz w:val="18"/>
                <w:szCs w:val="18"/>
                <w:lang w:val="es-ES"/>
              </w:rPr>
              <w:t xml:space="preserve"> </w:t>
            </w:r>
            <w:r w:rsidRPr="00960E47">
              <w:rPr>
                <w:sz w:val="18"/>
                <w:szCs w:val="18"/>
                <w:lang w:val="es-ES"/>
              </w:rPr>
              <w:t>545</w:t>
            </w:r>
          </w:p>
        </w:tc>
        <w:tc>
          <w:tcPr>
            <w:tcW w:w="767"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13</w:t>
            </w:r>
            <w:r w:rsidR="009578D9" w:rsidRPr="00960E47">
              <w:rPr>
                <w:sz w:val="18"/>
                <w:szCs w:val="18"/>
                <w:lang w:val="es-ES"/>
              </w:rPr>
              <w:t xml:space="preserve"> </w:t>
            </w:r>
            <w:r w:rsidRPr="00960E47">
              <w:rPr>
                <w:sz w:val="18"/>
                <w:szCs w:val="18"/>
                <w:lang w:val="es-ES"/>
              </w:rPr>
              <w:t>754</w:t>
            </w:r>
          </w:p>
        </w:tc>
        <w:tc>
          <w:tcPr>
            <w:tcW w:w="739" w:type="dxa"/>
            <w:shd w:val="clear" w:color="auto" w:fill="auto"/>
            <w:noWrap/>
            <w:vAlign w:val="bottom"/>
          </w:tcPr>
          <w:p w:rsidR="00E421FD" w:rsidRPr="00960E47" w:rsidRDefault="00E421FD" w:rsidP="00BD2CEB">
            <w:pPr>
              <w:pStyle w:val="SingleTxtG"/>
              <w:spacing w:before="40" w:after="40" w:line="220" w:lineRule="exact"/>
              <w:ind w:left="0" w:right="0"/>
              <w:jc w:val="right"/>
              <w:rPr>
                <w:b/>
                <w:sz w:val="18"/>
                <w:szCs w:val="18"/>
                <w:lang w:val="es-ES"/>
              </w:rPr>
            </w:pPr>
            <w:r w:rsidRPr="00960E47">
              <w:rPr>
                <w:b/>
                <w:sz w:val="18"/>
                <w:szCs w:val="18"/>
                <w:lang w:val="es-ES"/>
              </w:rPr>
              <w:t>39</w:t>
            </w:r>
            <w:r w:rsidR="009578D9" w:rsidRPr="00960E47">
              <w:rPr>
                <w:b/>
                <w:sz w:val="18"/>
                <w:szCs w:val="18"/>
                <w:lang w:val="es-ES"/>
              </w:rPr>
              <w:t xml:space="preserve"> </w:t>
            </w:r>
            <w:r w:rsidRPr="00960E47">
              <w:rPr>
                <w:b/>
                <w:sz w:val="18"/>
                <w:szCs w:val="18"/>
                <w:lang w:val="es-ES"/>
              </w:rPr>
              <w:t>596</w:t>
            </w:r>
          </w:p>
        </w:tc>
        <w:tc>
          <w:tcPr>
            <w:tcW w:w="739"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29</w:t>
            </w:r>
            <w:r w:rsidR="009578D9" w:rsidRPr="00960E47">
              <w:rPr>
                <w:sz w:val="18"/>
                <w:szCs w:val="18"/>
                <w:lang w:val="es-ES"/>
              </w:rPr>
              <w:t xml:space="preserve"> </w:t>
            </w:r>
            <w:r w:rsidRPr="00960E47">
              <w:rPr>
                <w:sz w:val="18"/>
                <w:szCs w:val="18"/>
                <w:lang w:val="es-ES"/>
              </w:rPr>
              <w:t>278</w:t>
            </w:r>
          </w:p>
        </w:tc>
        <w:tc>
          <w:tcPr>
            <w:tcW w:w="739"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10</w:t>
            </w:r>
            <w:r w:rsidR="009578D9" w:rsidRPr="00960E47">
              <w:rPr>
                <w:sz w:val="18"/>
                <w:szCs w:val="18"/>
                <w:lang w:val="es-ES"/>
              </w:rPr>
              <w:t xml:space="preserve"> </w:t>
            </w:r>
            <w:r w:rsidRPr="00960E47">
              <w:rPr>
                <w:sz w:val="18"/>
                <w:szCs w:val="18"/>
                <w:lang w:val="es-ES"/>
              </w:rPr>
              <w:t>318</w:t>
            </w:r>
          </w:p>
        </w:tc>
        <w:tc>
          <w:tcPr>
            <w:tcW w:w="739" w:type="dxa"/>
            <w:shd w:val="clear" w:color="auto" w:fill="auto"/>
            <w:noWrap/>
            <w:vAlign w:val="bottom"/>
          </w:tcPr>
          <w:p w:rsidR="00E421FD" w:rsidRPr="00960E47" w:rsidRDefault="00E421FD" w:rsidP="00BD2CEB">
            <w:pPr>
              <w:pStyle w:val="SingleTxtG"/>
              <w:spacing w:before="40" w:after="40" w:line="220" w:lineRule="exact"/>
              <w:ind w:left="0" w:right="0"/>
              <w:jc w:val="right"/>
              <w:rPr>
                <w:b/>
                <w:sz w:val="18"/>
                <w:szCs w:val="18"/>
                <w:lang w:val="es-ES"/>
              </w:rPr>
            </w:pPr>
            <w:r w:rsidRPr="00960E47">
              <w:rPr>
                <w:b/>
                <w:sz w:val="18"/>
                <w:szCs w:val="18"/>
                <w:lang w:val="es-ES"/>
              </w:rPr>
              <w:t>43</w:t>
            </w:r>
            <w:r w:rsidR="009578D9" w:rsidRPr="00960E47">
              <w:rPr>
                <w:b/>
                <w:sz w:val="18"/>
                <w:szCs w:val="18"/>
                <w:lang w:val="es-ES"/>
              </w:rPr>
              <w:t xml:space="preserve"> </w:t>
            </w:r>
            <w:r w:rsidRPr="00960E47">
              <w:rPr>
                <w:b/>
                <w:sz w:val="18"/>
                <w:szCs w:val="18"/>
                <w:lang w:val="es-ES"/>
              </w:rPr>
              <w:t>703</w:t>
            </w:r>
          </w:p>
        </w:tc>
        <w:tc>
          <w:tcPr>
            <w:tcW w:w="739"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40</w:t>
            </w:r>
            <w:r w:rsidR="009578D9" w:rsidRPr="00960E47">
              <w:rPr>
                <w:sz w:val="18"/>
                <w:szCs w:val="18"/>
                <w:lang w:val="es-ES"/>
              </w:rPr>
              <w:t xml:space="preserve"> </w:t>
            </w:r>
            <w:r w:rsidRPr="00960E47">
              <w:rPr>
                <w:sz w:val="18"/>
                <w:szCs w:val="18"/>
                <w:lang w:val="es-ES"/>
              </w:rPr>
              <w:t>267</w:t>
            </w:r>
          </w:p>
        </w:tc>
        <w:tc>
          <w:tcPr>
            <w:tcW w:w="740"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3</w:t>
            </w:r>
            <w:r w:rsidR="009578D9" w:rsidRPr="00960E47">
              <w:rPr>
                <w:sz w:val="18"/>
                <w:szCs w:val="18"/>
                <w:lang w:val="es-ES"/>
              </w:rPr>
              <w:t xml:space="preserve"> </w:t>
            </w:r>
            <w:r w:rsidRPr="00960E47">
              <w:rPr>
                <w:sz w:val="18"/>
                <w:szCs w:val="18"/>
                <w:lang w:val="es-ES"/>
              </w:rPr>
              <w:t>436</w:t>
            </w:r>
          </w:p>
        </w:tc>
        <w:tc>
          <w:tcPr>
            <w:tcW w:w="675" w:type="dxa"/>
            <w:shd w:val="clear" w:color="auto" w:fill="auto"/>
            <w:noWrap/>
            <w:vAlign w:val="bottom"/>
          </w:tcPr>
          <w:p w:rsidR="00E421FD" w:rsidRPr="00960E47" w:rsidRDefault="00E421FD" w:rsidP="00BD2CEB">
            <w:pPr>
              <w:pStyle w:val="SingleTxtG"/>
              <w:spacing w:before="40" w:after="40" w:line="220" w:lineRule="exact"/>
              <w:ind w:left="0" w:right="0"/>
              <w:jc w:val="right"/>
              <w:rPr>
                <w:b/>
                <w:sz w:val="18"/>
                <w:szCs w:val="18"/>
                <w:lang w:val="es-ES"/>
              </w:rPr>
            </w:pPr>
            <w:r w:rsidRPr="00960E47">
              <w:rPr>
                <w:b/>
                <w:sz w:val="18"/>
                <w:szCs w:val="18"/>
                <w:lang w:val="es-ES"/>
              </w:rPr>
              <w:t>4,5</w:t>
            </w:r>
          </w:p>
        </w:tc>
        <w:tc>
          <w:tcPr>
            <w:tcW w:w="674"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4,4</w:t>
            </w:r>
          </w:p>
        </w:tc>
        <w:tc>
          <w:tcPr>
            <w:tcW w:w="675"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4,6</w:t>
            </w:r>
          </w:p>
        </w:tc>
      </w:tr>
      <w:tr w:rsidR="00E421FD" w:rsidRPr="00960E47" w:rsidTr="005C1385">
        <w:trPr>
          <w:jc w:val="center"/>
        </w:trPr>
        <w:tc>
          <w:tcPr>
            <w:tcW w:w="882" w:type="dxa"/>
            <w:shd w:val="clear" w:color="auto" w:fill="auto"/>
            <w:noWrap/>
            <w:vAlign w:val="bottom"/>
          </w:tcPr>
          <w:p w:rsidR="00E421FD" w:rsidRPr="00960E47" w:rsidRDefault="00E421FD" w:rsidP="00BD2CEB">
            <w:pPr>
              <w:pStyle w:val="SingleTxtG"/>
              <w:spacing w:before="40" w:after="40" w:line="220" w:lineRule="exact"/>
              <w:ind w:left="0" w:right="0"/>
              <w:jc w:val="left"/>
              <w:rPr>
                <w:sz w:val="18"/>
                <w:szCs w:val="18"/>
                <w:lang w:val="es-ES"/>
              </w:rPr>
            </w:pPr>
            <w:r w:rsidRPr="00960E47">
              <w:rPr>
                <w:sz w:val="18"/>
                <w:szCs w:val="18"/>
                <w:lang w:val="es-ES"/>
              </w:rPr>
              <w:t>45 a 49</w:t>
            </w:r>
          </w:p>
        </w:tc>
        <w:tc>
          <w:tcPr>
            <w:tcW w:w="766" w:type="dxa"/>
            <w:shd w:val="clear" w:color="auto" w:fill="auto"/>
            <w:noWrap/>
            <w:vAlign w:val="bottom"/>
          </w:tcPr>
          <w:p w:rsidR="00E421FD" w:rsidRPr="00960E47" w:rsidRDefault="00E421FD" w:rsidP="00BD2CEB">
            <w:pPr>
              <w:pStyle w:val="SingleTxtG"/>
              <w:spacing w:before="40" w:after="40" w:line="220" w:lineRule="exact"/>
              <w:ind w:left="0" w:right="0"/>
              <w:jc w:val="right"/>
              <w:rPr>
                <w:b/>
                <w:sz w:val="18"/>
                <w:szCs w:val="18"/>
                <w:lang w:val="es-ES"/>
              </w:rPr>
            </w:pPr>
            <w:r w:rsidRPr="00960E47">
              <w:rPr>
                <w:b/>
                <w:sz w:val="18"/>
                <w:szCs w:val="18"/>
                <w:lang w:val="es-ES"/>
              </w:rPr>
              <w:t>72</w:t>
            </w:r>
            <w:r w:rsidR="009578D9" w:rsidRPr="00960E47">
              <w:rPr>
                <w:b/>
                <w:sz w:val="18"/>
                <w:szCs w:val="18"/>
                <w:lang w:val="es-ES"/>
              </w:rPr>
              <w:t xml:space="preserve"> </w:t>
            </w:r>
            <w:r w:rsidRPr="00960E47">
              <w:rPr>
                <w:b/>
                <w:sz w:val="18"/>
                <w:szCs w:val="18"/>
                <w:lang w:val="es-ES"/>
              </w:rPr>
              <w:t>621</w:t>
            </w:r>
          </w:p>
        </w:tc>
        <w:tc>
          <w:tcPr>
            <w:tcW w:w="766"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61</w:t>
            </w:r>
            <w:r w:rsidR="009578D9" w:rsidRPr="00960E47">
              <w:rPr>
                <w:sz w:val="18"/>
                <w:szCs w:val="18"/>
                <w:lang w:val="es-ES"/>
              </w:rPr>
              <w:t xml:space="preserve"> </w:t>
            </w:r>
            <w:r w:rsidRPr="00960E47">
              <w:rPr>
                <w:sz w:val="18"/>
                <w:szCs w:val="18"/>
                <w:lang w:val="es-ES"/>
              </w:rPr>
              <w:t>153</w:t>
            </w:r>
          </w:p>
        </w:tc>
        <w:tc>
          <w:tcPr>
            <w:tcW w:w="767"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11</w:t>
            </w:r>
            <w:r w:rsidR="009578D9" w:rsidRPr="00960E47">
              <w:rPr>
                <w:sz w:val="18"/>
                <w:szCs w:val="18"/>
                <w:lang w:val="es-ES"/>
              </w:rPr>
              <w:t xml:space="preserve"> </w:t>
            </w:r>
            <w:r w:rsidRPr="00960E47">
              <w:rPr>
                <w:sz w:val="18"/>
                <w:szCs w:val="18"/>
                <w:lang w:val="es-ES"/>
              </w:rPr>
              <w:t>468</w:t>
            </w:r>
          </w:p>
        </w:tc>
        <w:tc>
          <w:tcPr>
            <w:tcW w:w="739" w:type="dxa"/>
            <w:shd w:val="clear" w:color="auto" w:fill="auto"/>
            <w:noWrap/>
            <w:vAlign w:val="bottom"/>
          </w:tcPr>
          <w:p w:rsidR="00E421FD" w:rsidRPr="00960E47" w:rsidRDefault="00E421FD" w:rsidP="00BD2CEB">
            <w:pPr>
              <w:pStyle w:val="SingleTxtG"/>
              <w:spacing w:before="40" w:after="40" w:line="220" w:lineRule="exact"/>
              <w:ind w:left="0" w:right="0"/>
              <w:jc w:val="right"/>
              <w:rPr>
                <w:b/>
                <w:sz w:val="18"/>
                <w:szCs w:val="18"/>
                <w:lang w:val="es-ES"/>
              </w:rPr>
            </w:pPr>
            <w:r w:rsidRPr="00960E47">
              <w:rPr>
                <w:b/>
                <w:sz w:val="18"/>
                <w:szCs w:val="18"/>
                <w:lang w:val="es-ES"/>
              </w:rPr>
              <w:t>34</w:t>
            </w:r>
            <w:r w:rsidR="009578D9" w:rsidRPr="00960E47">
              <w:rPr>
                <w:b/>
                <w:sz w:val="18"/>
                <w:szCs w:val="18"/>
                <w:lang w:val="es-ES"/>
              </w:rPr>
              <w:t xml:space="preserve"> </w:t>
            </w:r>
            <w:r w:rsidRPr="00960E47">
              <w:rPr>
                <w:b/>
                <w:sz w:val="18"/>
                <w:szCs w:val="18"/>
                <w:lang w:val="es-ES"/>
              </w:rPr>
              <w:t>102</w:t>
            </w:r>
          </w:p>
        </w:tc>
        <w:tc>
          <w:tcPr>
            <w:tcW w:w="739"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25</w:t>
            </w:r>
            <w:r w:rsidR="009578D9" w:rsidRPr="00960E47">
              <w:rPr>
                <w:sz w:val="18"/>
                <w:szCs w:val="18"/>
                <w:lang w:val="es-ES"/>
              </w:rPr>
              <w:t xml:space="preserve"> </w:t>
            </w:r>
            <w:r w:rsidRPr="00960E47">
              <w:rPr>
                <w:sz w:val="18"/>
                <w:szCs w:val="18"/>
                <w:lang w:val="es-ES"/>
              </w:rPr>
              <w:t>356</w:t>
            </w:r>
          </w:p>
        </w:tc>
        <w:tc>
          <w:tcPr>
            <w:tcW w:w="739"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8</w:t>
            </w:r>
            <w:r w:rsidR="009578D9" w:rsidRPr="00960E47">
              <w:rPr>
                <w:sz w:val="18"/>
                <w:szCs w:val="18"/>
                <w:lang w:val="es-ES"/>
              </w:rPr>
              <w:t xml:space="preserve"> </w:t>
            </w:r>
            <w:r w:rsidRPr="00960E47">
              <w:rPr>
                <w:sz w:val="18"/>
                <w:szCs w:val="18"/>
                <w:lang w:val="es-ES"/>
              </w:rPr>
              <w:t>746</w:t>
            </w:r>
          </w:p>
        </w:tc>
        <w:tc>
          <w:tcPr>
            <w:tcW w:w="739" w:type="dxa"/>
            <w:shd w:val="clear" w:color="auto" w:fill="auto"/>
            <w:noWrap/>
            <w:vAlign w:val="bottom"/>
          </w:tcPr>
          <w:p w:rsidR="00E421FD" w:rsidRPr="00960E47" w:rsidRDefault="00E421FD" w:rsidP="00BD2CEB">
            <w:pPr>
              <w:pStyle w:val="SingleTxtG"/>
              <w:spacing w:before="40" w:after="40" w:line="220" w:lineRule="exact"/>
              <w:ind w:left="0" w:right="0"/>
              <w:jc w:val="right"/>
              <w:rPr>
                <w:b/>
                <w:sz w:val="18"/>
                <w:szCs w:val="18"/>
                <w:lang w:val="es-ES"/>
              </w:rPr>
            </w:pPr>
            <w:r w:rsidRPr="00960E47">
              <w:rPr>
                <w:b/>
                <w:sz w:val="18"/>
                <w:szCs w:val="18"/>
                <w:lang w:val="es-ES"/>
              </w:rPr>
              <w:t>38</w:t>
            </w:r>
            <w:r w:rsidR="009578D9" w:rsidRPr="00960E47">
              <w:rPr>
                <w:b/>
                <w:sz w:val="18"/>
                <w:szCs w:val="18"/>
                <w:lang w:val="es-ES"/>
              </w:rPr>
              <w:t xml:space="preserve"> </w:t>
            </w:r>
            <w:r w:rsidRPr="00960E47">
              <w:rPr>
                <w:b/>
                <w:sz w:val="18"/>
                <w:szCs w:val="18"/>
                <w:lang w:val="es-ES"/>
              </w:rPr>
              <w:t>519</w:t>
            </w:r>
          </w:p>
        </w:tc>
        <w:tc>
          <w:tcPr>
            <w:tcW w:w="739"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35</w:t>
            </w:r>
            <w:r w:rsidR="009578D9" w:rsidRPr="00960E47">
              <w:rPr>
                <w:sz w:val="18"/>
                <w:szCs w:val="18"/>
                <w:lang w:val="es-ES"/>
              </w:rPr>
              <w:t xml:space="preserve"> </w:t>
            </w:r>
            <w:r w:rsidRPr="00960E47">
              <w:rPr>
                <w:sz w:val="18"/>
                <w:szCs w:val="18"/>
                <w:lang w:val="es-ES"/>
              </w:rPr>
              <w:t>797</w:t>
            </w:r>
          </w:p>
        </w:tc>
        <w:tc>
          <w:tcPr>
            <w:tcW w:w="740"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2</w:t>
            </w:r>
            <w:r w:rsidR="009578D9" w:rsidRPr="00960E47">
              <w:rPr>
                <w:sz w:val="18"/>
                <w:szCs w:val="18"/>
                <w:lang w:val="es-ES"/>
              </w:rPr>
              <w:t xml:space="preserve"> </w:t>
            </w:r>
            <w:r w:rsidRPr="00960E47">
              <w:rPr>
                <w:sz w:val="18"/>
                <w:szCs w:val="18"/>
                <w:lang w:val="es-ES"/>
              </w:rPr>
              <w:t>722</w:t>
            </w:r>
          </w:p>
        </w:tc>
        <w:tc>
          <w:tcPr>
            <w:tcW w:w="675" w:type="dxa"/>
            <w:shd w:val="clear" w:color="auto" w:fill="auto"/>
            <w:noWrap/>
            <w:vAlign w:val="bottom"/>
          </w:tcPr>
          <w:p w:rsidR="00E421FD" w:rsidRPr="00960E47" w:rsidRDefault="00E421FD" w:rsidP="00BD2CEB">
            <w:pPr>
              <w:pStyle w:val="SingleTxtG"/>
              <w:spacing w:before="40" w:after="40" w:line="220" w:lineRule="exact"/>
              <w:ind w:left="0" w:right="0"/>
              <w:jc w:val="right"/>
              <w:rPr>
                <w:b/>
                <w:sz w:val="18"/>
                <w:szCs w:val="18"/>
                <w:lang w:val="es-ES"/>
              </w:rPr>
            </w:pPr>
            <w:r w:rsidRPr="00960E47">
              <w:rPr>
                <w:b/>
                <w:sz w:val="18"/>
                <w:szCs w:val="18"/>
                <w:lang w:val="es-ES"/>
              </w:rPr>
              <w:t>3,9</w:t>
            </w:r>
          </w:p>
        </w:tc>
        <w:tc>
          <w:tcPr>
            <w:tcW w:w="674"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3,8</w:t>
            </w:r>
          </w:p>
        </w:tc>
        <w:tc>
          <w:tcPr>
            <w:tcW w:w="675"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4,0</w:t>
            </w:r>
          </w:p>
        </w:tc>
      </w:tr>
      <w:tr w:rsidR="00E421FD" w:rsidRPr="00960E47" w:rsidTr="005C1385">
        <w:trPr>
          <w:jc w:val="center"/>
        </w:trPr>
        <w:tc>
          <w:tcPr>
            <w:tcW w:w="882" w:type="dxa"/>
            <w:shd w:val="clear" w:color="auto" w:fill="auto"/>
            <w:noWrap/>
            <w:vAlign w:val="bottom"/>
          </w:tcPr>
          <w:p w:rsidR="00E421FD" w:rsidRPr="00960E47" w:rsidRDefault="00E421FD" w:rsidP="00BD2CEB">
            <w:pPr>
              <w:pStyle w:val="SingleTxtG"/>
              <w:spacing w:before="40" w:after="40" w:line="220" w:lineRule="exact"/>
              <w:ind w:left="0" w:right="0"/>
              <w:jc w:val="left"/>
              <w:rPr>
                <w:sz w:val="18"/>
                <w:szCs w:val="18"/>
                <w:lang w:val="es-ES"/>
              </w:rPr>
            </w:pPr>
            <w:r w:rsidRPr="00960E47">
              <w:rPr>
                <w:sz w:val="18"/>
                <w:szCs w:val="18"/>
                <w:lang w:val="es-ES"/>
              </w:rPr>
              <w:t>50 a 54</w:t>
            </w:r>
          </w:p>
        </w:tc>
        <w:tc>
          <w:tcPr>
            <w:tcW w:w="766" w:type="dxa"/>
            <w:shd w:val="clear" w:color="auto" w:fill="auto"/>
            <w:noWrap/>
            <w:vAlign w:val="bottom"/>
          </w:tcPr>
          <w:p w:rsidR="00E421FD" w:rsidRPr="00960E47" w:rsidRDefault="00E421FD" w:rsidP="00BD2CEB">
            <w:pPr>
              <w:pStyle w:val="SingleTxtG"/>
              <w:spacing w:before="40" w:after="40" w:line="220" w:lineRule="exact"/>
              <w:ind w:left="0" w:right="0"/>
              <w:jc w:val="right"/>
              <w:rPr>
                <w:b/>
                <w:sz w:val="18"/>
                <w:szCs w:val="18"/>
                <w:lang w:val="es-ES"/>
              </w:rPr>
            </w:pPr>
            <w:r w:rsidRPr="00960E47">
              <w:rPr>
                <w:b/>
                <w:sz w:val="18"/>
                <w:szCs w:val="18"/>
                <w:lang w:val="es-ES"/>
              </w:rPr>
              <w:t>63</w:t>
            </w:r>
            <w:r w:rsidR="009578D9" w:rsidRPr="00960E47">
              <w:rPr>
                <w:b/>
                <w:sz w:val="18"/>
                <w:szCs w:val="18"/>
                <w:lang w:val="es-ES"/>
              </w:rPr>
              <w:t xml:space="preserve"> </w:t>
            </w:r>
            <w:r w:rsidRPr="00960E47">
              <w:rPr>
                <w:b/>
                <w:sz w:val="18"/>
                <w:szCs w:val="18"/>
                <w:lang w:val="es-ES"/>
              </w:rPr>
              <w:t>084</w:t>
            </w:r>
          </w:p>
        </w:tc>
        <w:tc>
          <w:tcPr>
            <w:tcW w:w="766"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55</w:t>
            </w:r>
            <w:r w:rsidR="009578D9" w:rsidRPr="00960E47">
              <w:rPr>
                <w:sz w:val="18"/>
                <w:szCs w:val="18"/>
                <w:lang w:val="es-ES"/>
              </w:rPr>
              <w:t xml:space="preserve"> </w:t>
            </w:r>
            <w:r w:rsidRPr="00960E47">
              <w:rPr>
                <w:sz w:val="18"/>
                <w:szCs w:val="18"/>
                <w:lang w:val="es-ES"/>
              </w:rPr>
              <w:t>078</w:t>
            </w:r>
          </w:p>
        </w:tc>
        <w:tc>
          <w:tcPr>
            <w:tcW w:w="767"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8</w:t>
            </w:r>
            <w:r w:rsidR="009578D9" w:rsidRPr="00960E47">
              <w:rPr>
                <w:sz w:val="18"/>
                <w:szCs w:val="18"/>
                <w:lang w:val="es-ES"/>
              </w:rPr>
              <w:t xml:space="preserve"> </w:t>
            </w:r>
            <w:r w:rsidRPr="00960E47">
              <w:rPr>
                <w:sz w:val="18"/>
                <w:szCs w:val="18"/>
                <w:lang w:val="es-ES"/>
              </w:rPr>
              <w:t>006</w:t>
            </w:r>
          </w:p>
        </w:tc>
        <w:tc>
          <w:tcPr>
            <w:tcW w:w="739" w:type="dxa"/>
            <w:shd w:val="clear" w:color="auto" w:fill="auto"/>
            <w:noWrap/>
            <w:vAlign w:val="bottom"/>
          </w:tcPr>
          <w:p w:rsidR="00E421FD" w:rsidRPr="00960E47" w:rsidRDefault="00E421FD" w:rsidP="00BD2CEB">
            <w:pPr>
              <w:pStyle w:val="SingleTxtG"/>
              <w:spacing w:before="40" w:after="40" w:line="220" w:lineRule="exact"/>
              <w:ind w:left="0" w:right="0"/>
              <w:jc w:val="right"/>
              <w:rPr>
                <w:b/>
                <w:sz w:val="18"/>
                <w:szCs w:val="18"/>
                <w:lang w:val="es-ES"/>
              </w:rPr>
            </w:pPr>
            <w:r w:rsidRPr="00960E47">
              <w:rPr>
                <w:b/>
                <w:sz w:val="18"/>
                <w:szCs w:val="18"/>
                <w:lang w:val="es-ES"/>
              </w:rPr>
              <w:t>28</w:t>
            </w:r>
            <w:r w:rsidR="009578D9" w:rsidRPr="00960E47">
              <w:rPr>
                <w:b/>
                <w:sz w:val="18"/>
                <w:szCs w:val="18"/>
                <w:lang w:val="es-ES"/>
              </w:rPr>
              <w:t xml:space="preserve"> </w:t>
            </w:r>
            <w:r w:rsidRPr="00960E47">
              <w:rPr>
                <w:b/>
                <w:sz w:val="18"/>
                <w:szCs w:val="18"/>
                <w:lang w:val="es-ES"/>
              </w:rPr>
              <w:t>723</w:t>
            </w:r>
          </w:p>
        </w:tc>
        <w:tc>
          <w:tcPr>
            <w:tcW w:w="739"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22</w:t>
            </w:r>
            <w:r w:rsidR="009578D9" w:rsidRPr="00960E47">
              <w:rPr>
                <w:sz w:val="18"/>
                <w:szCs w:val="18"/>
                <w:lang w:val="es-ES"/>
              </w:rPr>
              <w:t xml:space="preserve"> </w:t>
            </w:r>
            <w:r w:rsidRPr="00960E47">
              <w:rPr>
                <w:sz w:val="18"/>
                <w:szCs w:val="18"/>
                <w:lang w:val="es-ES"/>
              </w:rPr>
              <w:t>898</w:t>
            </w:r>
          </w:p>
        </w:tc>
        <w:tc>
          <w:tcPr>
            <w:tcW w:w="739"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5</w:t>
            </w:r>
            <w:r w:rsidR="009578D9" w:rsidRPr="00960E47">
              <w:rPr>
                <w:sz w:val="18"/>
                <w:szCs w:val="18"/>
                <w:lang w:val="es-ES"/>
              </w:rPr>
              <w:t xml:space="preserve"> </w:t>
            </w:r>
            <w:r w:rsidRPr="00960E47">
              <w:rPr>
                <w:sz w:val="18"/>
                <w:szCs w:val="18"/>
                <w:lang w:val="es-ES"/>
              </w:rPr>
              <w:t>825</w:t>
            </w:r>
          </w:p>
        </w:tc>
        <w:tc>
          <w:tcPr>
            <w:tcW w:w="739" w:type="dxa"/>
            <w:shd w:val="clear" w:color="auto" w:fill="auto"/>
            <w:noWrap/>
            <w:vAlign w:val="bottom"/>
          </w:tcPr>
          <w:p w:rsidR="00E421FD" w:rsidRPr="00960E47" w:rsidRDefault="00E421FD" w:rsidP="00BD2CEB">
            <w:pPr>
              <w:pStyle w:val="SingleTxtG"/>
              <w:spacing w:before="40" w:after="40" w:line="220" w:lineRule="exact"/>
              <w:ind w:left="0" w:right="0"/>
              <w:jc w:val="right"/>
              <w:rPr>
                <w:b/>
                <w:sz w:val="18"/>
                <w:szCs w:val="18"/>
                <w:lang w:val="es-ES"/>
              </w:rPr>
            </w:pPr>
            <w:r w:rsidRPr="00960E47">
              <w:rPr>
                <w:b/>
                <w:sz w:val="18"/>
                <w:szCs w:val="18"/>
                <w:lang w:val="es-ES"/>
              </w:rPr>
              <w:t>34</w:t>
            </w:r>
            <w:r w:rsidR="009578D9" w:rsidRPr="00960E47">
              <w:rPr>
                <w:b/>
                <w:sz w:val="18"/>
                <w:szCs w:val="18"/>
                <w:lang w:val="es-ES"/>
              </w:rPr>
              <w:t xml:space="preserve"> </w:t>
            </w:r>
            <w:r w:rsidRPr="00960E47">
              <w:rPr>
                <w:b/>
                <w:sz w:val="18"/>
                <w:szCs w:val="18"/>
                <w:lang w:val="es-ES"/>
              </w:rPr>
              <w:t>361</w:t>
            </w:r>
          </w:p>
        </w:tc>
        <w:tc>
          <w:tcPr>
            <w:tcW w:w="739"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32</w:t>
            </w:r>
            <w:r w:rsidR="009578D9" w:rsidRPr="00960E47">
              <w:rPr>
                <w:sz w:val="18"/>
                <w:szCs w:val="18"/>
                <w:lang w:val="es-ES"/>
              </w:rPr>
              <w:t xml:space="preserve"> </w:t>
            </w:r>
            <w:r w:rsidRPr="00960E47">
              <w:rPr>
                <w:sz w:val="18"/>
                <w:szCs w:val="18"/>
                <w:lang w:val="es-ES"/>
              </w:rPr>
              <w:t>180</w:t>
            </w:r>
          </w:p>
        </w:tc>
        <w:tc>
          <w:tcPr>
            <w:tcW w:w="740"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2</w:t>
            </w:r>
            <w:r w:rsidR="009578D9" w:rsidRPr="00960E47">
              <w:rPr>
                <w:sz w:val="18"/>
                <w:szCs w:val="18"/>
                <w:lang w:val="es-ES"/>
              </w:rPr>
              <w:t xml:space="preserve"> </w:t>
            </w:r>
            <w:r w:rsidRPr="00960E47">
              <w:rPr>
                <w:sz w:val="18"/>
                <w:szCs w:val="18"/>
                <w:lang w:val="es-ES"/>
              </w:rPr>
              <w:t>181</w:t>
            </w:r>
          </w:p>
        </w:tc>
        <w:tc>
          <w:tcPr>
            <w:tcW w:w="675" w:type="dxa"/>
            <w:shd w:val="clear" w:color="auto" w:fill="auto"/>
            <w:noWrap/>
            <w:vAlign w:val="bottom"/>
          </w:tcPr>
          <w:p w:rsidR="00E421FD" w:rsidRPr="00960E47" w:rsidRDefault="00E421FD" w:rsidP="00BD2CEB">
            <w:pPr>
              <w:pStyle w:val="SingleTxtG"/>
              <w:spacing w:before="40" w:after="40" w:line="220" w:lineRule="exact"/>
              <w:ind w:left="0" w:right="0"/>
              <w:jc w:val="right"/>
              <w:rPr>
                <w:b/>
                <w:sz w:val="18"/>
                <w:szCs w:val="18"/>
                <w:lang w:val="es-ES"/>
              </w:rPr>
            </w:pPr>
            <w:r w:rsidRPr="00960E47">
              <w:rPr>
                <w:b/>
                <w:sz w:val="18"/>
                <w:szCs w:val="18"/>
                <w:lang w:val="es-ES"/>
              </w:rPr>
              <w:t>3,4</w:t>
            </w:r>
          </w:p>
        </w:tc>
        <w:tc>
          <w:tcPr>
            <w:tcW w:w="674"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3,2</w:t>
            </w:r>
          </w:p>
        </w:tc>
        <w:tc>
          <w:tcPr>
            <w:tcW w:w="675"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3,6</w:t>
            </w:r>
          </w:p>
        </w:tc>
      </w:tr>
      <w:tr w:rsidR="00E421FD" w:rsidRPr="00960E47" w:rsidTr="005C1385">
        <w:trPr>
          <w:jc w:val="center"/>
        </w:trPr>
        <w:tc>
          <w:tcPr>
            <w:tcW w:w="882" w:type="dxa"/>
            <w:shd w:val="clear" w:color="auto" w:fill="auto"/>
            <w:noWrap/>
            <w:vAlign w:val="bottom"/>
          </w:tcPr>
          <w:p w:rsidR="00E421FD" w:rsidRPr="00960E47" w:rsidRDefault="00E421FD" w:rsidP="00BD2CEB">
            <w:pPr>
              <w:pStyle w:val="SingleTxtG"/>
              <w:spacing w:before="40" w:after="40" w:line="220" w:lineRule="exact"/>
              <w:ind w:left="0" w:right="0"/>
              <w:jc w:val="left"/>
              <w:rPr>
                <w:sz w:val="18"/>
                <w:szCs w:val="18"/>
                <w:lang w:val="es-ES"/>
              </w:rPr>
            </w:pPr>
            <w:r w:rsidRPr="00960E47">
              <w:rPr>
                <w:sz w:val="18"/>
                <w:szCs w:val="18"/>
                <w:lang w:val="es-ES"/>
              </w:rPr>
              <w:t>55 a 59</w:t>
            </w:r>
          </w:p>
        </w:tc>
        <w:tc>
          <w:tcPr>
            <w:tcW w:w="766" w:type="dxa"/>
            <w:shd w:val="clear" w:color="auto" w:fill="auto"/>
            <w:noWrap/>
            <w:vAlign w:val="bottom"/>
          </w:tcPr>
          <w:p w:rsidR="00E421FD" w:rsidRPr="00960E47" w:rsidRDefault="00E421FD" w:rsidP="00BD2CEB">
            <w:pPr>
              <w:pStyle w:val="SingleTxtG"/>
              <w:spacing w:before="40" w:after="40" w:line="220" w:lineRule="exact"/>
              <w:ind w:left="0" w:right="0"/>
              <w:jc w:val="right"/>
              <w:rPr>
                <w:b/>
                <w:sz w:val="18"/>
                <w:szCs w:val="18"/>
                <w:lang w:val="es-ES"/>
              </w:rPr>
            </w:pPr>
            <w:r w:rsidRPr="00960E47">
              <w:rPr>
                <w:b/>
                <w:sz w:val="18"/>
                <w:szCs w:val="18"/>
                <w:lang w:val="es-ES"/>
              </w:rPr>
              <w:t>50</w:t>
            </w:r>
            <w:r w:rsidR="009578D9" w:rsidRPr="00960E47">
              <w:rPr>
                <w:b/>
                <w:sz w:val="18"/>
                <w:szCs w:val="18"/>
                <w:lang w:val="es-ES"/>
              </w:rPr>
              <w:t xml:space="preserve"> </w:t>
            </w:r>
            <w:r w:rsidRPr="00960E47">
              <w:rPr>
                <w:b/>
                <w:sz w:val="18"/>
                <w:szCs w:val="18"/>
                <w:lang w:val="es-ES"/>
              </w:rPr>
              <w:t>148</w:t>
            </w:r>
          </w:p>
        </w:tc>
        <w:tc>
          <w:tcPr>
            <w:tcW w:w="766"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46</w:t>
            </w:r>
            <w:r w:rsidR="009578D9" w:rsidRPr="00960E47">
              <w:rPr>
                <w:sz w:val="18"/>
                <w:szCs w:val="18"/>
                <w:lang w:val="es-ES"/>
              </w:rPr>
              <w:t xml:space="preserve"> </w:t>
            </w:r>
            <w:r w:rsidRPr="00960E47">
              <w:rPr>
                <w:sz w:val="18"/>
                <w:szCs w:val="18"/>
                <w:lang w:val="es-ES"/>
              </w:rPr>
              <w:t>200</w:t>
            </w:r>
          </w:p>
        </w:tc>
        <w:tc>
          <w:tcPr>
            <w:tcW w:w="767"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3</w:t>
            </w:r>
            <w:r w:rsidR="009578D9" w:rsidRPr="00960E47">
              <w:rPr>
                <w:sz w:val="18"/>
                <w:szCs w:val="18"/>
                <w:lang w:val="es-ES"/>
              </w:rPr>
              <w:t xml:space="preserve"> </w:t>
            </w:r>
            <w:r w:rsidRPr="00960E47">
              <w:rPr>
                <w:sz w:val="18"/>
                <w:szCs w:val="18"/>
                <w:lang w:val="es-ES"/>
              </w:rPr>
              <w:t>948</w:t>
            </w:r>
          </w:p>
        </w:tc>
        <w:tc>
          <w:tcPr>
            <w:tcW w:w="739" w:type="dxa"/>
            <w:shd w:val="clear" w:color="auto" w:fill="auto"/>
            <w:noWrap/>
            <w:vAlign w:val="bottom"/>
          </w:tcPr>
          <w:p w:rsidR="00E421FD" w:rsidRPr="00960E47" w:rsidRDefault="00E421FD" w:rsidP="00BD2CEB">
            <w:pPr>
              <w:pStyle w:val="SingleTxtG"/>
              <w:spacing w:before="40" w:after="40" w:line="220" w:lineRule="exact"/>
              <w:ind w:left="0" w:right="0"/>
              <w:jc w:val="right"/>
              <w:rPr>
                <w:b/>
                <w:sz w:val="18"/>
                <w:szCs w:val="18"/>
                <w:lang w:val="es-ES"/>
              </w:rPr>
            </w:pPr>
            <w:r w:rsidRPr="00960E47">
              <w:rPr>
                <w:b/>
                <w:sz w:val="18"/>
                <w:szCs w:val="18"/>
                <w:lang w:val="es-ES"/>
              </w:rPr>
              <w:t>23</w:t>
            </w:r>
            <w:r w:rsidR="009578D9" w:rsidRPr="00960E47">
              <w:rPr>
                <w:b/>
                <w:sz w:val="18"/>
                <w:szCs w:val="18"/>
                <w:lang w:val="es-ES"/>
              </w:rPr>
              <w:t xml:space="preserve"> </w:t>
            </w:r>
            <w:r w:rsidRPr="00960E47">
              <w:rPr>
                <w:b/>
                <w:sz w:val="18"/>
                <w:szCs w:val="18"/>
                <w:lang w:val="es-ES"/>
              </w:rPr>
              <w:t>225</w:t>
            </w:r>
          </w:p>
        </w:tc>
        <w:tc>
          <w:tcPr>
            <w:tcW w:w="739"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20</w:t>
            </w:r>
            <w:r w:rsidR="009578D9" w:rsidRPr="00960E47">
              <w:rPr>
                <w:sz w:val="18"/>
                <w:szCs w:val="18"/>
                <w:lang w:val="es-ES"/>
              </w:rPr>
              <w:t xml:space="preserve"> </w:t>
            </w:r>
            <w:r w:rsidRPr="00960E47">
              <w:rPr>
                <w:sz w:val="18"/>
                <w:szCs w:val="18"/>
                <w:lang w:val="es-ES"/>
              </w:rPr>
              <w:t>402</w:t>
            </w:r>
          </w:p>
        </w:tc>
        <w:tc>
          <w:tcPr>
            <w:tcW w:w="739"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2</w:t>
            </w:r>
            <w:r w:rsidR="009578D9" w:rsidRPr="00960E47">
              <w:rPr>
                <w:sz w:val="18"/>
                <w:szCs w:val="18"/>
                <w:lang w:val="es-ES"/>
              </w:rPr>
              <w:t xml:space="preserve"> </w:t>
            </w:r>
            <w:r w:rsidRPr="00960E47">
              <w:rPr>
                <w:sz w:val="18"/>
                <w:szCs w:val="18"/>
                <w:lang w:val="es-ES"/>
              </w:rPr>
              <w:t>823</w:t>
            </w:r>
          </w:p>
        </w:tc>
        <w:tc>
          <w:tcPr>
            <w:tcW w:w="739" w:type="dxa"/>
            <w:shd w:val="clear" w:color="auto" w:fill="auto"/>
            <w:noWrap/>
            <w:vAlign w:val="bottom"/>
          </w:tcPr>
          <w:p w:rsidR="00E421FD" w:rsidRPr="00960E47" w:rsidRDefault="00E421FD" w:rsidP="00BD2CEB">
            <w:pPr>
              <w:pStyle w:val="SingleTxtG"/>
              <w:spacing w:before="40" w:after="40" w:line="220" w:lineRule="exact"/>
              <w:ind w:left="0" w:right="0"/>
              <w:jc w:val="right"/>
              <w:rPr>
                <w:b/>
                <w:sz w:val="18"/>
                <w:szCs w:val="18"/>
                <w:lang w:val="es-ES"/>
              </w:rPr>
            </w:pPr>
            <w:r w:rsidRPr="00960E47">
              <w:rPr>
                <w:b/>
                <w:sz w:val="18"/>
                <w:szCs w:val="18"/>
                <w:lang w:val="es-ES"/>
              </w:rPr>
              <w:t>26</w:t>
            </w:r>
            <w:r w:rsidR="009578D9" w:rsidRPr="00960E47">
              <w:rPr>
                <w:b/>
                <w:sz w:val="18"/>
                <w:szCs w:val="18"/>
                <w:lang w:val="es-ES"/>
              </w:rPr>
              <w:t xml:space="preserve"> </w:t>
            </w:r>
            <w:r w:rsidRPr="00960E47">
              <w:rPr>
                <w:b/>
                <w:sz w:val="18"/>
                <w:szCs w:val="18"/>
                <w:lang w:val="es-ES"/>
              </w:rPr>
              <w:t>923</w:t>
            </w:r>
          </w:p>
        </w:tc>
        <w:tc>
          <w:tcPr>
            <w:tcW w:w="739"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25</w:t>
            </w:r>
            <w:r w:rsidR="009578D9" w:rsidRPr="00960E47">
              <w:rPr>
                <w:sz w:val="18"/>
                <w:szCs w:val="18"/>
                <w:lang w:val="es-ES"/>
              </w:rPr>
              <w:t xml:space="preserve"> </w:t>
            </w:r>
            <w:r w:rsidRPr="00960E47">
              <w:rPr>
                <w:sz w:val="18"/>
                <w:szCs w:val="18"/>
                <w:lang w:val="es-ES"/>
              </w:rPr>
              <w:t>798</w:t>
            </w:r>
          </w:p>
        </w:tc>
        <w:tc>
          <w:tcPr>
            <w:tcW w:w="740"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1</w:t>
            </w:r>
            <w:r w:rsidR="009578D9" w:rsidRPr="00960E47">
              <w:rPr>
                <w:sz w:val="18"/>
                <w:szCs w:val="18"/>
                <w:lang w:val="es-ES"/>
              </w:rPr>
              <w:t xml:space="preserve"> </w:t>
            </w:r>
            <w:r w:rsidRPr="00960E47">
              <w:rPr>
                <w:sz w:val="18"/>
                <w:szCs w:val="18"/>
                <w:lang w:val="es-ES"/>
              </w:rPr>
              <w:t>125</w:t>
            </w:r>
          </w:p>
        </w:tc>
        <w:tc>
          <w:tcPr>
            <w:tcW w:w="675" w:type="dxa"/>
            <w:shd w:val="clear" w:color="auto" w:fill="auto"/>
            <w:noWrap/>
            <w:vAlign w:val="bottom"/>
          </w:tcPr>
          <w:p w:rsidR="00E421FD" w:rsidRPr="00960E47" w:rsidRDefault="00E421FD" w:rsidP="00BD2CEB">
            <w:pPr>
              <w:pStyle w:val="SingleTxtG"/>
              <w:spacing w:before="40" w:after="40" w:line="220" w:lineRule="exact"/>
              <w:ind w:left="0" w:right="0"/>
              <w:jc w:val="right"/>
              <w:rPr>
                <w:b/>
                <w:sz w:val="18"/>
                <w:szCs w:val="18"/>
                <w:lang w:val="es-ES"/>
              </w:rPr>
            </w:pPr>
            <w:r w:rsidRPr="00960E47">
              <w:rPr>
                <w:b/>
                <w:sz w:val="18"/>
                <w:szCs w:val="18"/>
                <w:lang w:val="es-ES"/>
              </w:rPr>
              <w:t>2,7</w:t>
            </w:r>
          </w:p>
        </w:tc>
        <w:tc>
          <w:tcPr>
            <w:tcW w:w="674"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2,6</w:t>
            </w:r>
          </w:p>
        </w:tc>
        <w:tc>
          <w:tcPr>
            <w:tcW w:w="675"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2,8</w:t>
            </w:r>
          </w:p>
        </w:tc>
      </w:tr>
      <w:tr w:rsidR="00E421FD" w:rsidRPr="00960E47" w:rsidTr="005C1385">
        <w:trPr>
          <w:jc w:val="center"/>
        </w:trPr>
        <w:tc>
          <w:tcPr>
            <w:tcW w:w="882" w:type="dxa"/>
            <w:shd w:val="clear" w:color="auto" w:fill="auto"/>
            <w:noWrap/>
            <w:vAlign w:val="bottom"/>
          </w:tcPr>
          <w:p w:rsidR="00E421FD" w:rsidRPr="00960E47" w:rsidRDefault="00E421FD" w:rsidP="00BD2CEB">
            <w:pPr>
              <w:pStyle w:val="SingleTxtG"/>
              <w:spacing w:before="40" w:after="40" w:line="220" w:lineRule="exact"/>
              <w:ind w:left="0" w:right="0"/>
              <w:jc w:val="left"/>
              <w:rPr>
                <w:sz w:val="18"/>
                <w:szCs w:val="18"/>
                <w:lang w:val="es-ES"/>
              </w:rPr>
            </w:pPr>
            <w:r w:rsidRPr="00960E47">
              <w:rPr>
                <w:sz w:val="18"/>
                <w:szCs w:val="18"/>
                <w:lang w:val="es-ES"/>
              </w:rPr>
              <w:t>60 a 64</w:t>
            </w:r>
          </w:p>
        </w:tc>
        <w:tc>
          <w:tcPr>
            <w:tcW w:w="766" w:type="dxa"/>
            <w:shd w:val="clear" w:color="auto" w:fill="auto"/>
            <w:noWrap/>
            <w:vAlign w:val="bottom"/>
          </w:tcPr>
          <w:p w:rsidR="00E421FD" w:rsidRPr="00960E47" w:rsidRDefault="00E421FD" w:rsidP="00BD2CEB">
            <w:pPr>
              <w:pStyle w:val="SingleTxtG"/>
              <w:spacing w:before="40" w:after="40" w:line="220" w:lineRule="exact"/>
              <w:ind w:left="0" w:right="0"/>
              <w:jc w:val="right"/>
              <w:rPr>
                <w:b/>
                <w:sz w:val="18"/>
                <w:szCs w:val="18"/>
                <w:lang w:val="es-ES"/>
              </w:rPr>
            </w:pPr>
            <w:r w:rsidRPr="00960E47">
              <w:rPr>
                <w:b/>
                <w:sz w:val="18"/>
                <w:szCs w:val="18"/>
                <w:lang w:val="es-ES"/>
              </w:rPr>
              <w:t>37</w:t>
            </w:r>
            <w:r w:rsidR="009578D9" w:rsidRPr="00960E47">
              <w:rPr>
                <w:b/>
                <w:sz w:val="18"/>
                <w:szCs w:val="18"/>
                <w:lang w:val="es-ES"/>
              </w:rPr>
              <w:t xml:space="preserve"> </w:t>
            </w:r>
            <w:r w:rsidRPr="00960E47">
              <w:rPr>
                <w:b/>
                <w:sz w:val="18"/>
                <w:szCs w:val="18"/>
                <w:lang w:val="es-ES"/>
              </w:rPr>
              <w:t>699</w:t>
            </w:r>
          </w:p>
        </w:tc>
        <w:tc>
          <w:tcPr>
            <w:tcW w:w="766"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36</w:t>
            </w:r>
            <w:r w:rsidR="009578D9" w:rsidRPr="00960E47">
              <w:rPr>
                <w:sz w:val="18"/>
                <w:szCs w:val="18"/>
                <w:lang w:val="es-ES"/>
              </w:rPr>
              <w:t xml:space="preserve"> </w:t>
            </w:r>
            <w:r w:rsidRPr="00960E47">
              <w:rPr>
                <w:sz w:val="18"/>
                <w:szCs w:val="18"/>
                <w:lang w:val="es-ES"/>
              </w:rPr>
              <w:t>179</w:t>
            </w:r>
          </w:p>
        </w:tc>
        <w:tc>
          <w:tcPr>
            <w:tcW w:w="767"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1</w:t>
            </w:r>
            <w:r w:rsidR="009578D9" w:rsidRPr="00960E47">
              <w:rPr>
                <w:sz w:val="18"/>
                <w:szCs w:val="18"/>
                <w:lang w:val="es-ES"/>
              </w:rPr>
              <w:t xml:space="preserve"> </w:t>
            </w:r>
            <w:r w:rsidRPr="00960E47">
              <w:rPr>
                <w:sz w:val="18"/>
                <w:szCs w:val="18"/>
                <w:lang w:val="es-ES"/>
              </w:rPr>
              <w:t>520</w:t>
            </w:r>
          </w:p>
        </w:tc>
        <w:tc>
          <w:tcPr>
            <w:tcW w:w="739" w:type="dxa"/>
            <w:shd w:val="clear" w:color="auto" w:fill="auto"/>
            <w:noWrap/>
            <w:vAlign w:val="bottom"/>
          </w:tcPr>
          <w:p w:rsidR="00E421FD" w:rsidRPr="00960E47" w:rsidRDefault="00E421FD" w:rsidP="00BD2CEB">
            <w:pPr>
              <w:pStyle w:val="SingleTxtG"/>
              <w:spacing w:before="40" w:after="40" w:line="220" w:lineRule="exact"/>
              <w:ind w:left="0" w:right="0"/>
              <w:jc w:val="right"/>
              <w:rPr>
                <w:b/>
                <w:sz w:val="18"/>
                <w:szCs w:val="18"/>
                <w:lang w:val="es-ES"/>
              </w:rPr>
            </w:pPr>
            <w:r w:rsidRPr="00960E47">
              <w:rPr>
                <w:b/>
                <w:sz w:val="18"/>
                <w:szCs w:val="18"/>
                <w:lang w:val="es-ES"/>
              </w:rPr>
              <w:t>16</w:t>
            </w:r>
            <w:r w:rsidR="009578D9" w:rsidRPr="00960E47">
              <w:rPr>
                <w:b/>
                <w:sz w:val="18"/>
                <w:szCs w:val="18"/>
                <w:lang w:val="es-ES"/>
              </w:rPr>
              <w:t xml:space="preserve"> </w:t>
            </w:r>
            <w:r w:rsidRPr="00960E47">
              <w:rPr>
                <w:b/>
                <w:sz w:val="18"/>
                <w:szCs w:val="18"/>
                <w:lang w:val="es-ES"/>
              </w:rPr>
              <w:t>724</w:t>
            </w:r>
          </w:p>
        </w:tc>
        <w:tc>
          <w:tcPr>
            <w:tcW w:w="739"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15</w:t>
            </w:r>
            <w:r w:rsidR="009578D9" w:rsidRPr="00960E47">
              <w:rPr>
                <w:sz w:val="18"/>
                <w:szCs w:val="18"/>
                <w:lang w:val="es-ES"/>
              </w:rPr>
              <w:t xml:space="preserve"> </w:t>
            </w:r>
            <w:r w:rsidRPr="00960E47">
              <w:rPr>
                <w:sz w:val="18"/>
                <w:szCs w:val="18"/>
                <w:lang w:val="es-ES"/>
              </w:rPr>
              <w:t>798</w:t>
            </w:r>
          </w:p>
        </w:tc>
        <w:tc>
          <w:tcPr>
            <w:tcW w:w="739"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926</w:t>
            </w:r>
          </w:p>
        </w:tc>
        <w:tc>
          <w:tcPr>
            <w:tcW w:w="739" w:type="dxa"/>
            <w:shd w:val="clear" w:color="auto" w:fill="auto"/>
            <w:noWrap/>
            <w:vAlign w:val="bottom"/>
          </w:tcPr>
          <w:p w:rsidR="00E421FD" w:rsidRPr="00960E47" w:rsidRDefault="00E421FD" w:rsidP="00BD2CEB">
            <w:pPr>
              <w:pStyle w:val="SingleTxtG"/>
              <w:spacing w:before="40" w:after="40" w:line="220" w:lineRule="exact"/>
              <w:ind w:left="0" w:right="0"/>
              <w:jc w:val="right"/>
              <w:rPr>
                <w:b/>
                <w:sz w:val="18"/>
                <w:szCs w:val="18"/>
                <w:lang w:val="es-ES"/>
              </w:rPr>
            </w:pPr>
            <w:r w:rsidRPr="00960E47">
              <w:rPr>
                <w:b/>
                <w:sz w:val="18"/>
                <w:szCs w:val="18"/>
                <w:lang w:val="es-ES"/>
              </w:rPr>
              <w:t>20</w:t>
            </w:r>
            <w:r w:rsidR="009578D9" w:rsidRPr="00960E47">
              <w:rPr>
                <w:b/>
                <w:sz w:val="18"/>
                <w:szCs w:val="18"/>
                <w:lang w:val="es-ES"/>
              </w:rPr>
              <w:t xml:space="preserve"> </w:t>
            </w:r>
            <w:r w:rsidRPr="00960E47">
              <w:rPr>
                <w:b/>
                <w:sz w:val="18"/>
                <w:szCs w:val="18"/>
                <w:lang w:val="es-ES"/>
              </w:rPr>
              <w:t>975</w:t>
            </w:r>
          </w:p>
        </w:tc>
        <w:tc>
          <w:tcPr>
            <w:tcW w:w="739"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20</w:t>
            </w:r>
            <w:r w:rsidR="009578D9" w:rsidRPr="00960E47">
              <w:rPr>
                <w:sz w:val="18"/>
                <w:szCs w:val="18"/>
                <w:lang w:val="es-ES"/>
              </w:rPr>
              <w:t xml:space="preserve"> </w:t>
            </w:r>
            <w:r w:rsidRPr="00960E47">
              <w:rPr>
                <w:sz w:val="18"/>
                <w:szCs w:val="18"/>
                <w:lang w:val="es-ES"/>
              </w:rPr>
              <w:t>381</w:t>
            </w:r>
          </w:p>
        </w:tc>
        <w:tc>
          <w:tcPr>
            <w:tcW w:w="740"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594</w:t>
            </w:r>
          </w:p>
        </w:tc>
        <w:tc>
          <w:tcPr>
            <w:tcW w:w="675" w:type="dxa"/>
            <w:shd w:val="clear" w:color="auto" w:fill="auto"/>
            <w:noWrap/>
            <w:vAlign w:val="bottom"/>
          </w:tcPr>
          <w:p w:rsidR="00E421FD" w:rsidRPr="00960E47" w:rsidRDefault="00E421FD" w:rsidP="00BD2CEB">
            <w:pPr>
              <w:pStyle w:val="SingleTxtG"/>
              <w:spacing w:before="40" w:after="40" w:line="220" w:lineRule="exact"/>
              <w:ind w:left="0" w:right="0"/>
              <w:jc w:val="right"/>
              <w:rPr>
                <w:b/>
                <w:sz w:val="18"/>
                <w:szCs w:val="18"/>
                <w:lang w:val="es-ES"/>
              </w:rPr>
            </w:pPr>
            <w:r w:rsidRPr="00960E47">
              <w:rPr>
                <w:b/>
                <w:sz w:val="18"/>
                <w:szCs w:val="18"/>
                <w:lang w:val="es-ES"/>
              </w:rPr>
              <w:t>2,0</w:t>
            </w:r>
          </w:p>
        </w:tc>
        <w:tc>
          <w:tcPr>
            <w:tcW w:w="674"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1,8</w:t>
            </w:r>
          </w:p>
        </w:tc>
        <w:tc>
          <w:tcPr>
            <w:tcW w:w="675"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2,2</w:t>
            </w:r>
          </w:p>
        </w:tc>
      </w:tr>
      <w:tr w:rsidR="00E421FD" w:rsidRPr="00960E47" w:rsidTr="0068576A">
        <w:trPr>
          <w:jc w:val="center"/>
        </w:trPr>
        <w:tc>
          <w:tcPr>
            <w:tcW w:w="882" w:type="dxa"/>
            <w:tcBorders>
              <w:bottom w:val="nil"/>
            </w:tcBorders>
            <w:shd w:val="clear" w:color="auto" w:fill="auto"/>
            <w:noWrap/>
            <w:vAlign w:val="bottom"/>
          </w:tcPr>
          <w:p w:rsidR="00E421FD" w:rsidRPr="00960E47" w:rsidRDefault="00E421FD" w:rsidP="00BD2CEB">
            <w:pPr>
              <w:pStyle w:val="SingleTxtG"/>
              <w:spacing w:before="40" w:after="40" w:line="220" w:lineRule="exact"/>
              <w:ind w:left="0" w:right="0"/>
              <w:jc w:val="left"/>
              <w:rPr>
                <w:sz w:val="18"/>
                <w:szCs w:val="18"/>
                <w:lang w:val="es-ES"/>
              </w:rPr>
            </w:pPr>
            <w:r w:rsidRPr="00960E47">
              <w:rPr>
                <w:sz w:val="18"/>
                <w:szCs w:val="18"/>
                <w:lang w:val="es-ES"/>
              </w:rPr>
              <w:t>65 a 69</w:t>
            </w:r>
          </w:p>
        </w:tc>
        <w:tc>
          <w:tcPr>
            <w:tcW w:w="766" w:type="dxa"/>
            <w:tcBorders>
              <w:bottom w:val="nil"/>
            </w:tcBorders>
            <w:shd w:val="clear" w:color="auto" w:fill="auto"/>
            <w:noWrap/>
            <w:vAlign w:val="bottom"/>
          </w:tcPr>
          <w:p w:rsidR="00E421FD" w:rsidRPr="00960E47" w:rsidRDefault="00E421FD" w:rsidP="00BD2CEB">
            <w:pPr>
              <w:pStyle w:val="SingleTxtG"/>
              <w:spacing w:before="40" w:after="40" w:line="220" w:lineRule="exact"/>
              <w:ind w:left="0" w:right="0"/>
              <w:jc w:val="right"/>
              <w:rPr>
                <w:b/>
                <w:sz w:val="18"/>
                <w:szCs w:val="18"/>
                <w:lang w:val="es-ES"/>
              </w:rPr>
            </w:pPr>
            <w:r w:rsidRPr="00960E47">
              <w:rPr>
                <w:b/>
                <w:sz w:val="18"/>
                <w:szCs w:val="18"/>
                <w:lang w:val="es-ES"/>
              </w:rPr>
              <w:t>32</w:t>
            </w:r>
            <w:r w:rsidR="009578D9" w:rsidRPr="00960E47">
              <w:rPr>
                <w:b/>
                <w:sz w:val="18"/>
                <w:szCs w:val="18"/>
                <w:lang w:val="es-ES"/>
              </w:rPr>
              <w:t xml:space="preserve"> </w:t>
            </w:r>
            <w:r w:rsidRPr="00960E47">
              <w:rPr>
                <w:b/>
                <w:sz w:val="18"/>
                <w:szCs w:val="18"/>
                <w:lang w:val="es-ES"/>
              </w:rPr>
              <w:t>028</w:t>
            </w:r>
          </w:p>
        </w:tc>
        <w:tc>
          <w:tcPr>
            <w:tcW w:w="766" w:type="dxa"/>
            <w:tcBorders>
              <w:bottom w:val="nil"/>
            </w:tcBorders>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31</w:t>
            </w:r>
            <w:r w:rsidR="009578D9" w:rsidRPr="00960E47">
              <w:rPr>
                <w:sz w:val="18"/>
                <w:szCs w:val="18"/>
                <w:lang w:val="es-ES"/>
              </w:rPr>
              <w:t xml:space="preserve"> </w:t>
            </w:r>
            <w:r w:rsidRPr="00960E47">
              <w:rPr>
                <w:sz w:val="18"/>
                <w:szCs w:val="18"/>
                <w:lang w:val="es-ES"/>
              </w:rPr>
              <w:t>308</w:t>
            </w:r>
          </w:p>
        </w:tc>
        <w:tc>
          <w:tcPr>
            <w:tcW w:w="767" w:type="dxa"/>
            <w:tcBorders>
              <w:bottom w:val="nil"/>
            </w:tcBorders>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720</w:t>
            </w:r>
          </w:p>
        </w:tc>
        <w:tc>
          <w:tcPr>
            <w:tcW w:w="739" w:type="dxa"/>
            <w:tcBorders>
              <w:bottom w:val="nil"/>
            </w:tcBorders>
            <w:shd w:val="clear" w:color="auto" w:fill="auto"/>
            <w:noWrap/>
            <w:vAlign w:val="bottom"/>
          </w:tcPr>
          <w:p w:rsidR="00E421FD" w:rsidRPr="00960E47" w:rsidRDefault="00E421FD" w:rsidP="00BD2CEB">
            <w:pPr>
              <w:pStyle w:val="SingleTxtG"/>
              <w:spacing w:before="40" w:after="40" w:line="220" w:lineRule="exact"/>
              <w:ind w:left="0" w:right="0"/>
              <w:jc w:val="right"/>
              <w:rPr>
                <w:b/>
                <w:sz w:val="18"/>
                <w:szCs w:val="18"/>
                <w:lang w:val="es-ES"/>
              </w:rPr>
            </w:pPr>
            <w:r w:rsidRPr="00960E47">
              <w:rPr>
                <w:b/>
                <w:sz w:val="18"/>
                <w:szCs w:val="18"/>
                <w:lang w:val="es-ES"/>
              </w:rPr>
              <w:t>13</w:t>
            </w:r>
            <w:r w:rsidR="009578D9" w:rsidRPr="00960E47">
              <w:rPr>
                <w:b/>
                <w:sz w:val="18"/>
                <w:szCs w:val="18"/>
                <w:lang w:val="es-ES"/>
              </w:rPr>
              <w:t xml:space="preserve"> </w:t>
            </w:r>
            <w:r w:rsidRPr="00960E47">
              <w:rPr>
                <w:b/>
                <w:sz w:val="18"/>
                <w:szCs w:val="18"/>
                <w:lang w:val="es-ES"/>
              </w:rPr>
              <w:t>369</w:t>
            </w:r>
          </w:p>
        </w:tc>
        <w:tc>
          <w:tcPr>
            <w:tcW w:w="739" w:type="dxa"/>
            <w:tcBorders>
              <w:bottom w:val="nil"/>
            </w:tcBorders>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13</w:t>
            </w:r>
            <w:r w:rsidR="009578D9" w:rsidRPr="00960E47">
              <w:rPr>
                <w:sz w:val="18"/>
                <w:szCs w:val="18"/>
                <w:lang w:val="es-ES"/>
              </w:rPr>
              <w:t xml:space="preserve"> </w:t>
            </w:r>
            <w:r w:rsidRPr="00960E47">
              <w:rPr>
                <w:sz w:val="18"/>
                <w:szCs w:val="18"/>
                <w:lang w:val="es-ES"/>
              </w:rPr>
              <w:t>003</w:t>
            </w:r>
          </w:p>
        </w:tc>
        <w:tc>
          <w:tcPr>
            <w:tcW w:w="739" w:type="dxa"/>
            <w:tcBorders>
              <w:bottom w:val="nil"/>
            </w:tcBorders>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366</w:t>
            </w:r>
          </w:p>
        </w:tc>
        <w:tc>
          <w:tcPr>
            <w:tcW w:w="739" w:type="dxa"/>
            <w:tcBorders>
              <w:bottom w:val="nil"/>
            </w:tcBorders>
            <w:shd w:val="clear" w:color="auto" w:fill="auto"/>
            <w:noWrap/>
            <w:vAlign w:val="bottom"/>
          </w:tcPr>
          <w:p w:rsidR="00E421FD" w:rsidRPr="00960E47" w:rsidRDefault="00E421FD" w:rsidP="00BD2CEB">
            <w:pPr>
              <w:pStyle w:val="SingleTxtG"/>
              <w:spacing w:before="40" w:after="40" w:line="220" w:lineRule="exact"/>
              <w:ind w:left="0" w:right="0"/>
              <w:jc w:val="right"/>
              <w:rPr>
                <w:b/>
                <w:sz w:val="18"/>
                <w:szCs w:val="18"/>
                <w:lang w:val="es-ES"/>
              </w:rPr>
            </w:pPr>
            <w:r w:rsidRPr="00960E47">
              <w:rPr>
                <w:b/>
                <w:sz w:val="18"/>
                <w:szCs w:val="18"/>
                <w:lang w:val="es-ES"/>
              </w:rPr>
              <w:t>18</w:t>
            </w:r>
            <w:r w:rsidR="009578D9" w:rsidRPr="00960E47">
              <w:rPr>
                <w:b/>
                <w:sz w:val="18"/>
                <w:szCs w:val="18"/>
                <w:lang w:val="es-ES"/>
              </w:rPr>
              <w:t xml:space="preserve"> </w:t>
            </w:r>
            <w:r w:rsidRPr="00960E47">
              <w:rPr>
                <w:b/>
                <w:sz w:val="18"/>
                <w:szCs w:val="18"/>
                <w:lang w:val="es-ES"/>
              </w:rPr>
              <w:t>659</w:t>
            </w:r>
          </w:p>
        </w:tc>
        <w:tc>
          <w:tcPr>
            <w:tcW w:w="739" w:type="dxa"/>
            <w:tcBorders>
              <w:bottom w:val="nil"/>
            </w:tcBorders>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18</w:t>
            </w:r>
            <w:r w:rsidR="009578D9" w:rsidRPr="00960E47">
              <w:rPr>
                <w:sz w:val="18"/>
                <w:szCs w:val="18"/>
                <w:lang w:val="es-ES"/>
              </w:rPr>
              <w:t xml:space="preserve"> </w:t>
            </w:r>
            <w:r w:rsidRPr="00960E47">
              <w:rPr>
                <w:sz w:val="18"/>
                <w:szCs w:val="18"/>
                <w:lang w:val="es-ES"/>
              </w:rPr>
              <w:t>305</w:t>
            </w:r>
          </w:p>
        </w:tc>
        <w:tc>
          <w:tcPr>
            <w:tcW w:w="740" w:type="dxa"/>
            <w:tcBorders>
              <w:bottom w:val="nil"/>
            </w:tcBorders>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354</w:t>
            </w:r>
          </w:p>
        </w:tc>
        <w:tc>
          <w:tcPr>
            <w:tcW w:w="675" w:type="dxa"/>
            <w:tcBorders>
              <w:bottom w:val="nil"/>
            </w:tcBorders>
            <w:shd w:val="clear" w:color="auto" w:fill="auto"/>
            <w:noWrap/>
            <w:vAlign w:val="bottom"/>
          </w:tcPr>
          <w:p w:rsidR="00E421FD" w:rsidRPr="00960E47" w:rsidRDefault="00E421FD" w:rsidP="00BD2CEB">
            <w:pPr>
              <w:pStyle w:val="SingleTxtG"/>
              <w:spacing w:before="40" w:after="40" w:line="220" w:lineRule="exact"/>
              <w:ind w:left="0" w:right="0"/>
              <w:jc w:val="right"/>
              <w:rPr>
                <w:b/>
                <w:sz w:val="18"/>
                <w:szCs w:val="18"/>
                <w:lang w:val="es-ES"/>
              </w:rPr>
            </w:pPr>
            <w:r w:rsidRPr="00960E47">
              <w:rPr>
                <w:b/>
                <w:sz w:val="18"/>
                <w:szCs w:val="18"/>
                <w:lang w:val="es-ES"/>
              </w:rPr>
              <w:t>1,7</w:t>
            </w:r>
          </w:p>
        </w:tc>
        <w:tc>
          <w:tcPr>
            <w:tcW w:w="674" w:type="dxa"/>
            <w:tcBorders>
              <w:bottom w:val="nil"/>
            </w:tcBorders>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1,5</w:t>
            </w:r>
          </w:p>
        </w:tc>
        <w:tc>
          <w:tcPr>
            <w:tcW w:w="675" w:type="dxa"/>
            <w:tcBorders>
              <w:bottom w:val="nil"/>
            </w:tcBorders>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1,9</w:t>
            </w:r>
          </w:p>
        </w:tc>
      </w:tr>
      <w:tr w:rsidR="00E421FD" w:rsidRPr="00960E47" w:rsidTr="0068576A">
        <w:trPr>
          <w:jc w:val="center"/>
        </w:trPr>
        <w:tc>
          <w:tcPr>
            <w:tcW w:w="882" w:type="dxa"/>
            <w:tcBorders>
              <w:top w:val="nil"/>
              <w:bottom w:val="nil"/>
            </w:tcBorders>
            <w:shd w:val="clear" w:color="auto" w:fill="auto"/>
            <w:noWrap/>
            <w:vAlign w:val="bottom"/>
          </w:tcPr>
          <w:p w:rsidR="00E421FD" w:rsidRPr="00960E47" w:rsidRDefault="00E421FD" w:rsidP="00BD2CEB">
            <w:pPr>
              <w:pStyle w:val="SingleTxtG"/>
              <w:spacing w:before="40" w:after="40" w:line="220" w:lineRule="exact"/>
              <w:ind w:left="0" w:right="0"/>
              <w:jc w:val="left"/>
              <w:rPr>
                <w:sz w:val="18"/>
                <w:szCs w:val="18"/>
                <w:lang w:val="es-ES"/>
              </w:rPr>
            </w:pPr>
            <w:r w:rsidRPr="00960E47">
              <w:rPr>
                <w:sz w:val="18"/>
                <w:szCs w:val="18"/>
                <w:lang w:val="es-ES"/>
              </w:rPr>
              <w:t>70 a 74</w:t>
            </w:r>
          </w:p>
        </w:tc>
        <w:tc>
          <w:tcPr>
            <w:tcW w:w="766" w:type="dxa"/>
            <w:tcBorders>
              <w:top w:val="nil"/>
              <w:bottom w:val="nil"/>
            </w:tcBorders>
            <w:shd w:val="clear" w:color="auto" w:fill="auto"/>
            <w:noWrap/>
            <w:vAlign w:val="bottom"/>
          </w:tcPr>
          <w:p w:rsidR="00E421FD" w:rsidRPr="00960E47" w:rsidRDefault="00E421FD" w:rsidP="00BD2CEB">
            <w:pPr>
              <w:pStyle w:val="SingleTxtG"/>
              <w:spacing w:before="40" w:after="40" w:line="220" w:lineRule="exact"/>
              <w:ind w:left="0" w:right="0"/>
              <w:jc w:val="right"/>
              <w:rPr>
                <w:b/>
                <w:sz w:val="18"/>
                <w:szCs w:val="18"/>
                <w:lang w:val="es-ES"/>
              </w:rPr>
            </w:pPr>
            <w:r w:rsidRPr="00960E47">
              <w:rPr>
                <w:b/>
                <w:sz w:val="18"/>
                <w:szCs w:val="18"/>
                <w:lang w:val="es-ES"/>
              </w:rPr>
              <w:t>35</w:t>
            </w:r>
            <w:r w:rsidR="009578D9" w:rsidRPr="00960E47">
              <w:rPr>
                <w:b/>
                <w:sz w:val="18"/>
                <w:szCs w:val="18"/>
                <w:lang w:val="es-ES"/>
              </w:rPr>
              <w:t xml:space="preserve"> </w:t>
            </w:r>
            <w:r w:rsidRPr="00960E47">
              <w:rPr>
                <w:b/>
                <w:sz w:val="18"/>
                <w:szCs w:val="18"/>
                <w:lang w:val="es-ES"/>
              </w:rPr>
              <w:t>609</w:t>
            </w:r>
          </w:p>
        </w:tc>
        <w:tc>
          <w:tcPr>
            <w:tcW w:w="766" w:type="dxa"/>
            <w:tcBorders>
              <w:top w:val="nil"/>
              <w:bottom w:val="nil"/>
            </w:tcBorders>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35</w:t>
            </w:r>
            <w:r w:rsidR="009578D9" w:rsidRPr="00960E47">
              <w:rPr>
                <w:sz w:val="18"/>
                <w:szCs w:val="18"/>
                <w:lang w:val="es-ES"/>
              </w:rPr>
              <w:t xml:space="preserve"> </w:t>
            </w:r>
            <w:r w:rsidRPr="00960E47">
              <w:rPr>
                <w:sz w:val="18"/>
                <w:szCs w:val="18"/>
                <w:lang w:val="es-ES"/>
              </w:rPr>
              <w:t>137</w:t>
            </w:r>
          </w:p>
        </w:tc>
        <w:tc>
          <w:tcPr>
            <w:tcW w:w="767" w:type="dxa"/>
            <w:tcBorders>
              <w:top w:val="nil"/>
              <w:bottom w:val="nil"/>
            </w:tcBorders>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472</w:t>
            </w:r>
          </w:p>
        </w:tc>
        <w:tc>
          <w:tcPr>
            <w:tcW w:w="739" w:type="dxa"/>
            <w:tcBorders>
              <w:top w:val="nil"/>
              <w:bottom w:val="nil"/>
            </w:tcBorders>
            <w:shd w:val="clear" w:color="auto" w:fill="auto"/>
            <w:noWrap/>
            <w:vAlign w:val="bottom"/>
          </w:tcPr>
          <w:p w:rsidR="00E421FD" w:rsidRPr="00960E47" w:rsidRDefault="00E421FD" w:rsidP="00BD2CEB">
            <w:pPr>
              <w:pStyle w:val="SingleTxtG"/>
              <w:spacing w:before="40" w:after="40" w:line="220" w:lineRule="exact"/>
              <w:ind w:left="0" w:right="0"/>
              <w:jc w:val="right"/>
              <w:rPr>
                <w:b/>
                <w:sz w:val="18"/>
                <w:szCs w:val="18"/>
                <w:lang w:val="es-ES"/>
              </w:rPr>
            </w:pPr>
            <w:r w:rsidRPr="00960E47">
              <w:rPr>
                <w:b/>
                <w:sz w:val="18"/>
                <w:szCs w:val="18"/>
                <w:lang w:val="es-ES"/>
              </w:rPr>
              <w:t>13</w:t>
            </w:r>
            <w:r w:rsidR="009578D9" w:rsidRPr="00960E47">
              <w:rPr>
                <w:b/>
                <w:sz w:val="18"/>
                <w:szCs w:val="18"/>
                <w:lang w:val="es-ES"/>
              </w:rPr>
              <w:t xml:space="preserve"> </w:t>
            </w:r>
            <w:r w:rsidRPr="00960E47">
              <w:rPr>
                <w:b/>
                <w:sz w:val="18"/>
                <w:szCs w:val="18"/>
                <w:lang w:val="es-ES"/>
              </w:rPr>
              <w:t>380</w:t>
            </w:r>
          </w:p>
        </w:tc>
        <w:tc>
          <w:tcPr>
            <w:tcW w:w="739" w:type="dxa"/>
            <w:tcBorders>
              <w:top w:val="nil"/>
              <w:bottom w:val="nil"/>
            </w:tcBorders>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13</w:t>
            </w:r>
            <w:r w:rsidR="009578D9" w:rsidRPr="00960E47">
              <w:rPr>
                <w:sz w:val="18"/>
                <w:szCs w:val="18"/>
                <w:lang w:val="es-ES"/>
              </w:rPr>
              <w:t xml:space="preserve"> </w:t>
            </w:r>
            <w:r w:rsidRPr="00960E47">
              <w:rPr>
                <w:sz w:val="18"/>
                <w:szCs w:val="18"/>
                <w:lang w:val="es-ES"/>
              </w:rPr>
              <w:t>162</w:t>
            </w:r>
          </w:p>
        </w:tc>
        <w:tc>
          <w:tcPr>
            <w:tcW w:w="739" w:type="dxa"/>
            <w:tcBorders>
              <w:top w:val="nil"/>
              <w:bottom w:val="nil"/>
            </w:tcBorders>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218</w:t>
            </w:r>
          </w:p>
        </w:tc>
        <w:tc>
          <w:tcPr>
            <w:tcW w:w="739" w:type="dxa"/>
            <w:tcBorders>
              <w:top w:val="nil"/>
              <w:bottom w:val="nil"/>
            </w:tcBorders>
            <w:shd w:val="clear" w:color="auto" w:fill="auto"/>
            <w:noWrap/>
            <w:vAlign w:val="bottom"/>
          </w:tcPr>
          <w:p w:rsidR="00E421FD" w:rsidRPr="00960E47" w:rsidRDefault="00E421FD" w:rsidP="00BD2CEB">
            <w:pPr>
              <w:pStyle w:val="SingleTxtG"/>
              <w:spacing w:before="40" w:after="40" w:line="220" w:lineRule="exact"/>
              <w:ind w:left="0" w:right="0"/>
              <w:jc w:val="right"/>
              <w:rPr>
                <w:b/>
                <w:sz w:val="18"/>
                <w:szCs w:val="18"/>
                <w:lang w:val="es-ES"/>
              </w:rPr>
            </w:pPr>
            <w:r w:rsidRPr="00960E47">
              <w:rPr>
                <w:b/>
                <w:sz w:val="18"/>
                <w:szCs w:val="18"/>
                <w:lang w:val="es-ES"/>
              </w:rPr>
              <w:t>22</w:t>
            </w:r>
            <w:r w:rsidR="009578D9" w:rsidRPr="00960E47">
              <w:rPr>
                <w:b/>
                <w:sz w:val="18"/>
                <w:szCs w:val="18"/>
                <w:lang w:val="es-ES"/>
              </w:rPr>
              <w:t xml:space="preserve"> </w:t>
            </w:r>
            <w:r w:rsidRPr="00960E47">
              <w:rPr>
                <w:b/>
                <w:sz w:val="18"/>
                <w:szCs w:val="18"/>
                <w:lang w:val="es-ES"/>
              </w:rPr>
              <w:t>229</w:t>
            </w:r>
          </w:p>
        </w:tc>
        <w:tc>
          <w:tcPr>
            <w:tcW w:w="739" w:type="dxa"/>
            <w:tcBorders>
              <w:top w:val="nil"/>
              <w:bottom w:val="nil"/>
            </w:tcBorders>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21</w:t>
            </w:r>
            <w:r w:rsidR="009578D9" w:rsidRPr="00960E47">
              <w:rPr>
                <w:sz w:val="18"/>
                <w:szCs w:val="18"/>
                <w:lang w:val="es-ES"/>
              </w:rPr>
              <w:t xml:space="preserve"> </w:t>
            </w:r>
            <w:r w:rsidRPr="00960E47">
              <w:rPr>
                <w:sz w:val="18"/>
                <w:szCs w:val="18"/>
                <w:lang w:val="es-ES"/>
              </w:rPr>
              <w:t>975</w:t>
            </w:r>
          </w:p>
        </w:tc>
        <w:tc>
          <w:tcPr>
            <w:tcW w:w="740" w:type="dxa"/>
            <w:tcBorders>
              <w:top w:val="nil"/>
              <w:bottom w:val="nil"/>
            </w:tcBorders>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254</w:t>
            </w:r>
          </w:p>
        </w:tc>
        <w:tc>
          <w:tcPr>
            <w:tcW w:w="675" w:type="dxa"/>
            <w:tcBorders>
              <w:top w:val="nil"/>
              <w:bottom w:val="nil"/>
            </w:tcBorders>
            <w:shd w:val="clear" w:color="auto" w:fill="auto"/>
            <w:noWrap/>
            <w:vAlign w:val="bottom"/>
          </w:tcPr>
          <w:p w:rsidR="00E421FD" w:rsidRPr="00960E47" w:rsidRDefault="00E421FD" w:rsidP="00BD2CEB">
            <w:pPr>
              <w:pStyle w:val="SingleTxtG"/>
              <w:spacing w:before="40" w:after="40" w:line="220" w:lineRule="exact"/>
              <w:ind w:left="0" w:right="0"/>
              <w:jc w:val="right"/>
              <w:rPr>
                <w:b/>
                <w:sz w:val="18"/>
                <w:szCs w:val="18"/>
                <w:lang w:val="es-ES"/>
              </w:rPr>
            </w:pPr>
            <w:r w:rsidRPr="00960E47">
              <w:rPr>
                <w:b/>
                <w:sz w:val="18"/>
                <w:szCs w:val="18"/>
                <w:lang w:val="es-ES"/>
              </w:rPr>
              <w:t>1,9</w:t>
            </w:r>
          </w:p>
        </w:tc>
        <w:tc>
          <w:tcPr>
            <w:tcW w:w="674" w:type="dxa"/>
            <w:tcBorders>
              <w:top w:val="nil"/>
              <w:bottom w:val="nil"/>
            </w:tcBorders>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1,5</w:t>
            </w:r>
          </w:p>
        </w:tc>
        <w:tc>
          <w:tcPr>
            <w:tcW w:w="675" w:type="dxa"/>
            <w:tcBorders>
              <w:top w:val="nil"/>
              <w:bottom w:val="nil"/>
            </w:tcBorders>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2,3</w:t>
            </w:r>
          </w:p>
        </w:tc>
      </w:tr>
      <w:tr w:rsidR="00E421FD" w:rsidRPr="00960E47" w:rsidTr="0068576A">
        <w:trPr>
          <w:jc w:val="center"/>
        </w:trPr>
        <w:tc>
          <w:tcPr>
            <w:tcW w:w="882" w:type="dxa"/>
            <w:tcBorders>
              <w:top w:val="nil"/>
            </w:tcBorders>
            <w:shd w:val="clear" w:color="auto" w:fill="auto"/>
            <w:noWrap/>
            <w:vAlign w:val="bottom"/>
          </w:tcPr>
          <w:p w:rsidR="00E421FD" w:rsidRPr="00960E47" w:rsidRDefault="00E421FD" w:rsidP="00BD2CEB">
            <w:pPr>
              <w:pStyle w:val="SingleTxtG"/>
              <w:spacing w:before="40" w:after="40" w:line="220" w:lineRule="exact"/>
              <w:ind w:left="0" w:right="0"/>
              <w:jc w:val="left"/>
              <w:rPr>
                <w:sz w:val="18"/>
                <w:szCs w:val="18"/>
                <w:lang w:val="es-ES"/>
              </w:rPr>
            </w:pPr>
            <w:r w:rsidRPr="00960E47">
              <w:rPr>
                <w:sz w:val="18"/>
                <w:szCs w:val="18"/>
                <w:lang w:val="es-ES"/>
              </w:rPr>
              <w:t>75 a 79</w:t>
            </w:r>
          </w:p>
        </w:tc>
        <w:tc>
          <w:tcPr>
            <w:tcW w:w="766" w:type="dxa"/>
            <w:tcBorders>
              <w:top w:val="nil"/>
            </w:tcBorders>
            <w:shd w:val="clear" w:color="auto" w:fill="auto"/>
            <w:noWrap/>
            <w:vAlign w:val="bottom"/>
          </w:tcPr>
          <w:p w:rsidR="00E421FD" w:rsidRPr="00960E47" w:rsidRDefault="00E421FD" w:rsidP="00BD2CEB">
            <w:pPr>
              <w:pStyle w:val="SingleTxtG"/>
              <w:spacing w:before="40" w:after="40" w:line="220" w:lineRule="exact"/>
              <w:ind w:left="0" w:right="0"/>
              <w:jc w:val="right"/>
              <w:rPr>
                <w:b/>
                <w:sz w:val="18"/>
                <w:szCs w:val="18"/>
                <w:lang w:val="es-ES"/>
              </w:rPr>
            </w:pPr>
            <w:r w:rsidRPr="00960E47">
              <w:rPr>
                <w:b/>
                <w:sz w:val="18"/>
                <w:szCs w:val="18"/>
                <w:lang w:val="es-ES"/>
              </w:rPr>
              <w:t>18</w:t>
            </w:r>
            <w:r w:rsidR="009578D9" w:rsidRPr="00960E47">
              <w:rPr>
                <w:b/>
                <w:sz w:val="18"/>
                <w:szCs w:val="18"/>
                <w:lang w:val="es-ES"/>
              </w:rPr>
              <w:t xml:space="preserve"> </w:t>
            </w:r>
            <w:r w:rsidRPr="00960E47">
              <w:rPr>
                <w:b/>
                <w:sz w:val="18"/>
                <w:szCs w:val="18"/>
                <w:lang w:val="es-ES"/>
              </w:rPr>
              <w:t>141</w:t>
            </w:r>
          </w:p>
        </w:tc>
        <w:tc>
          <w:tcPr>
            <w:tcW w:w="766" w:type="dxa"/>
            <w:tcBorders>
              <w:top w:val="nil"/>
            </w:tcBorders>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17</w:t>
            </w:r>
            <w:r w:rsidR="009578D9" w:rsidRPr="00960E47">
              <w:rPr>
                <w:sz w:val="18"/>
                <w:szCs w:val="18"/>
                <w:lang w:val="es-ES"/>
              </w:rPr>
              <w:t xml:space="preserve"> </w:t>
            </w:r>
            <w:r w:rsidRPr="00960E47">
              <w:rPr>
                <w:sz w:val="18"/>
                <w:szCs w:val="18"/>
                <w:lang w:val="es-ES"/>
              </w:rPr>
              <w:t>984</w:t>
            </w:r>
          </w:p>
        </w:tc>
        <w:tc>
          <w:tcPr>
            <w:tcW w:w="767" w:type="dxa"/>
            <w:tcBorders>
              <w:top w:val="nil"/>
            </w:tcBorders>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157</w:t>
            </w:r>
          </w:p>
        </w:tc>
        <w:tc>
          <w:tcPr>
            <w:tcW w:w="739" w:type="dxa"/>
            <w:tcBorders>
              <w:top w:val="nil"/>
            </w:tcBorders>
            <w:shd w:val="clear" w:color="auto" w:fill="auto"/>
            <w:noWrap/>
            <w:vAlign w:val="bottom"/>
          </w:tcPr>
          <w:p w:rsidR="00E421FD" w:rsidRPr="00960E47" w:rsidRDefault="00E421FD" w:rsidP="00BD2CEB">
            <w:pPr>
              <w:pStyle w:val="SingleTxtG"/>
              <w:spacing w:before="40" w:after="40" w:line="220" w:lineRule="exact"/>
              <w:ind w:left="0" w:right="0"/>
              <w:jc w:val="right"/>
              <w:rPr>
                <w:b/>
                <w:sz w:val="18"/>
                <w:szCs w:val="18"/>
                <w:lang w:val="es-ES"/>
              </w:rPr>
            </w:pPr>
            <w:r w:rsidRPr="00960E47">
              <w:rPr>
                <w:b/>
                <w:sz w:val="18"/>
                <w:szCs w:val="18"/>
                <w:lang w:val="es-ES"/>
              </w:rPr>
              <w:t>6</w:t>
            </w:r>
            <w:r w:rsidR="009578D9" w:rsidRPr="00960E47">
              <w:rPr>
                <w:b/>
                <w:sz w:val="18"/>
                <w:szCs w:val="18"/>
                <w:lang w:val="es-ES"/>
              </w:rPr>
              <w:t xml:space="preserve"> </w:t>
            </w:r>
            <w:r w:rsidRPr="00960E47">
              <w:rPr>
                <w:b/>
                <w:sz w:val="18"/>
                <w:szCs w:val="18"/>
                <w:lang w:val="es-ES"/>
              </w:rPr>
              <w:t>327</w:t>
            </w:r>
          </w:p>
        </w:tc>
        <w:tc>
          <w:tcPr>
            <w:tcW w:w="739" w:type="dxa"/>
            <w:tcBorders>
              <w:top w:val="nil"/>
            </w:tcBorders>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6</w:t>
            </w:r>
            <w:r w:rsidR="009578D9" w:rsidRPr="00960E47">
              <w:rPr>
                <w:sz w:val="18"/>
                <w:szCs w:val="18"/>
                <w:lang w:val="es-ES"/>
              </w:rPr>
              <w:t xml:space="preserve"> </w:t>
            </w:r>
            <w:r w:rsidRPr="00960E47">
              <w:rPr>
                <w:sz w:val="18"/>
                <w:szCs w:val="18"/>
                <w:lang w:val="es-ES"/>
              </w:rPr>
              <w:t>255</w:t>
            </w:r>
          </w:p>
        </w:tc>
        <w:tc>
          <w:tcPr>
            <w:tcW w:w="739" w:type="dxa"/>
            <w:tcBorders>
              <w:top w:val="nil"/>
            </w:tcBorders>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72</w:t>
            </w:r>
          </w:p>
        </w:tc>
        <w:tc>
          <w:tcPr>
            <w:tcW w:w="739" w:type="dxa"/>
            <w:tcBorders>
              <w:top w:val="nil"/>
            </w:tcBorders>
            <w:shd w:val="clear" w:color="auto" w:fill="auto"/>
            <w:noWrap/>
            <w:vAlign w:val="bottom"/>
          </w:tcPr>
          <w:p w:rsidR="00E421FD" w:rsidRPr="00960E47" w:rsidRDefault="00E421FD" w:rsidP="00BD2CEB">
            <w:pPr>
              <w:pStyle w:val="SingleTxtG"/>
              <w:spacing w:before="40" w:after="40" w:line="220" w:lineRule="exact"/>
              <w:ind w:left="0" w:right="0"/>
              <w:jc w:val="right"/>
              <w:rPr>
                <w:b/>
                <w:sz w:val="18"/>
                <w:szCs w:val="18"/>
                <w:lang w:val="es-ES"/>
              </w:rPr>
            </w:pPr>
            <w:r w:rsidRPr="00960E47">
              <w:rPr>
                <w:b/>
                <w:sz w:val="18"/>
                <w:szCs w:val="18"/>
                <w:lang w:val="es-ES"/>
              </w:rPr>
              <w:t>11</w:t>
            </w:r>
            <w:r w:rsidR="009578D9" w:rsidRPr="00960E47">
              <w:rPr>
                <w:b/>
                <w:sz w:val="18"/>
                <w:szCs w:val="18"/>
                <w:lang w:val="es-ES"/>
              </w:rPr>
              <w:t xml:space="preserve"> </w:t>
            </w:r>
            <w:r w:rsidRPr="00960E47">
              <w:rPr>
                <w:b/>
                <w:sz w:val="18"/>
                <w:szCs w:val="18"/>
                <w:lang w:val="es-ES"/>
              </w:rPr>
              <w:t>814</w:t>
            </w:r>
          </w:p>
        </w:tc>
        <w:tc>
          <w:tcPr>
            <w:tcW w:w="739" w:type="dxa"/>
            <w:tcBorders>
              <w:top w:val="nil"/>
            </w:tcBorders>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11</w:t>
            </w:r>
            <w:r w:rsidR="009578D9" w:rsidRPr="00960E47">
              <w:rPr>
                <w:sz w:val="18"/>
                <w:szCs w:val="18"/>
                <w:lang w:val="es-ES"/>
              </w:rPr>
              <w:t xml:space="preserve"> </w:t>
            </w:r>
            <w:r w:rsidRPr="00960E47">
              <w:rPr>
                <w:sz w:val="18"/>
                <w:szCs w:val="18"/>
                <w:lang w:val="es-ES"/>
              </w:rPr>
              <w:t>729</w:t>
            </w:r>
          </w:p>
        </w:tc>
        <w:tc>
          <w:tcPr>
            <w:tcW w:w="740" w:type="dxa"/>
            <w:tcBorders>
              <w:top w:val="nil"/>
            </w:tcBorders>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85</w:t>
            </w:r>
          </w:p>
        </w:tc>
        <w:tc>
          <w:tcPr>
            <w:tcW w:w="675" w:type="dxa"/>
            <w:tcBorders>
              <w:top w:val="nil"/>
            </w:tcBorders>
            <w:shd w:val="clear" w:color="auto" w:fill="auto"/>
            <w:noWrap/>
            <w:vAlign w:val="bottom"/>
          </w:tcPr>
          <w:p w:rsidR="00E421FD" w:rsidRPr="00960E47" w:rsidRDefault="00E421FD" w:rsidP="00BD2CEB">
            <w:pPr>
              <w:pStyle w:val="SingleTxtG"/>
              <w:spacing w:before="40" w:after="40" w:line="220" w:lineRule="exact"/>
              <w:ind w:left="0" w:right="0"/>
              <w:jc w:val="right"/>
              <w:rPr>
                <w:b/>
                <w:sz w:val="18"/>
                <w:szCs w:val="18"/>
                <w:lang w:val="es-ES"/>
              </w:rPr>
            </w:pPr>
            <w:r w:rsidRPr="00960E47">
              <w:rPr>
                <w:b/>
                <w:sz w:val="18"/>
                <w:szCs w:val="18"/>
                <w:lang w:val="es-ES"/>
              </w:rPr>
              <w:t>1,0</w:t>
            </w:r>
          </w:p>
        </w:tc>
        <w:tc>
          <w:tcPr>
            <w:tcW w:w="674" w:type="dxa"/>
            <w:tcBorders>
              <w:top w:val="nil"/>
            </w:tcBorders>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0,7</w:t>
            </w:r>
          </w:p>
        </w:tc>
        <w:tc>
          <w:tcPr>
            <w:tcW w:w="675" w:type="dxa"/>
            <w:tcBorders>
              <w:top w:val="nil"/>
            </w:tcBorders>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1,2</w:t>
            </w:r>
          </w:p>
        </w:tc>
      </w:tr>
      <w:tr w:rsidR="00E421FD" w:rsidRPr="00960E47" w:rsidTr="005C1385">
        <w:trPr>
          <w:jc w:val="center"/>
        </w:trPr>
        <w:tc>
          <w:tcPr>
            <w:tcW w:w="882" w:type="dxa"/>
            <w:shd w:val="clear" w:color="auto" w:fill="auto"/>
            <w:noWrap/>
            <w:vAlign w:val="bottom"/>
          </w:tcPr>
          <w:p w:rsidR="00E421FD" w:rsidRPr="00960E47" w:rsidRDefault="00E421FD" w:rsidP="00BD2CEB">
            <w:pPr>
              <w:pStyle w:val="SingleTxtG"/>
              <w:spacing w:before="40" w:after="40" w:line="220" w:lineRule="exact"/>
              <w:ind w:left="0" w:right="0"/>
              <w:jc w:val="left"/>
              <w:rPr>
                <w:sz w:val="18"/>
                <w:szCs w:val="18"/>
                <w:lang w:val="es-ES"/>
              </w:rPr>
            </w:pPr>
            <w:r w:rsidRPr="00960E47">
              <w:rPr>
                <w:sz w:val="18"/>
                <w:szCs w:val="18"/>
                <w:lang w:val="es-ES"/>
              </w:rPr>
              <w:t>80 a 84</w:t>
            </w:r>
          </w:p>
        </w:tc>
        <w:tc>
          <w:tcPr>
            <w:tcW w:w="766" w:type="dxa"/>
            <w:shd w:val="clear" w:color="auto" w:fill="auto"/>
            <w:noWrap/>
            <w:vAlign w:val="bottom"/>
          </w:tcPr>
          <w:p w:rsidR="00E421FD" w:rsidRPr="00960E47" w:rsidRDefault="00E421FD" w:rsidP="00BD2CEB">
            <w:pPr>
              <w:pStyle w:val="SingleTxtG"/>
              <w:spacing w:before="40" w:after="40" w:line="220" w:lineRule="exact"/>
              <w:ind w:left="0" w:right="0"/>
              <w:jc w:val="right"/>
              <w:rPr>
                <w:b/>
                <w:sz w:val="18"/>
                <w:szCs w:val="18"/>
                <w:lang w:val="es-ES"/>
              </w:rPr>
            </w:pPr>
            <w:r w:rsidRPr="00960E47">
              <w:rPr>
                <w:b/>
                <w:sz w:val="18"/>
                <w:szCs w:val="18"/>
                <w:lang w:val="es-ES"/>
              </w:rPr>
              <w:t>10</w:t>
            </w:r>
            <w:r w:rsidR="009578D9" w:rsidRPr="00960E47">
              <w:rPr>
                <w:b/>
                <w:sz w:val="18"/>
                <w:szCs w:val="18"/>
                <w:lang w:val="es-ES"/>
              </w:rPr>
              <w:t xml:space="preserve"> </w:t>
            </w:r>
            <w:r w:rsidRPr="00960E47">
              <w:rPr>
                <w:b/>
                <w:sz w:val="18"/>
                <w:szCs w:val="18"/>
                <w:lang w:val="es-ES"/>
              </w:rPr>
              <w:t>498</w:t>
            </w:r>
          </w:p>
        </w:tc>
        <w:tc>
          <w:tcPr>
            <w:tcW w:w="766"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10</w:t>
            </w:r>
            <w:r w:rsidR="009578D9" w:rsidRPr="00960E47">
              <w:rPr>
                <w:sz w:val="18"/>
                <w:szCs w:val="18"/>
                <w:lang w:val="es-ES"/>
              </w:rPr>
              <w:t xml:space="preserve"> </w:t>
            </w:r>
            <w:r w:rsidRPr="00960E47">
              <w:rPr>
                <w:sz w:val="18"/>
                <w:szCs w:val="18"/>
                <w:lang w:val="es-ES"/>
              </w:rPr>
              <w:t>422</w:t>
            </w:r>
          </w:p>
        </w:tc>
        <w:tc>
          <w:tcPr>
            <w:tcW w:w="767"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76</w:t>
            </w:r>
          </w:p>
        </w:tc>
        <w:tc>
          <w:tcPr>
            <w:tcW w:w="739" w:type="dxa"/>
            <w:shd w:val="clear" w:color="auto" w:fill="auto"/>
            <w:noWrap/>
            <w:vAlign w:val="bottom"/>
          </w:tcPr>
          <w:p w:rsidR="00E421FD" w:rsidRPr="00960E47" w:rsidRDefault="00E421FD" w:rsidP="00BD2CEB">
            <w:pPr>
              <w:pStyle w:val="SingleTxtG"/>
              <w:spacing w:before="40" w:after="40" w:line="220" w:lineRule="exact"/>
              <w:ind w:left="0" w:right="0"/>
              <w:jc w:val="right"/>
              <w:rPr>
                <w:b/>
                <w:sz w:val="18"/>
                <w:szCs w:val="18"/>
                <w:lang w:val="es-ES"/>
              </w:rPr>
            </w:pPr>
            <w:r w:rsidRPr="00960E47">
              <w:rPr>
                <w:b/>
                <w:sz w:val="18"/>
                <w:szCs w:val="18"/>
                <w:lang w:val="es-ES"/>
              </w:rPr>
              <w:t>3</w:t>
            </w:r>
            <w:r w:rsidR="009578D9" w:rsidRPr="00960E47">
              <w:rPr>
                <w:b/>
                <w:sz w:val="18"/>
                <w:szCs w:val="18"/>
                <w:lang w:val="es-ES"/>
              </w:rPr>
              <w:t xml:space="preserve"> </w:t>
            </w:r>
            <w:r w:rsidRPr="00960E47">
              <w:rPr>
                <w:b/>
                <w:sz w:val="18"/>
                <w:szCs w:val="18"/>
                <w:lang w:val="es-ES"/>
              </w:rPr>
              <w:t>251</w:t>
            </w:r>
          </w:p>
        </w:tc>
        <w:tc>
          <w:tcPr>
            <w:tcW w:w="739"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3</w:t>
            </w:r>
            <w:r w:rsidR="009578D9" w:rsidRPr="00960E47">
              <w:rPr>
                <w:sz w:val="18"/>
                <w:szCs w:val="18"/>
                <w:lang w:val="es-ES"/>
              </w:rPr>
              <w:t xml:space="preserve"> </w:t>
            </w:r>
            <w:r w:rsidRPr="00960E47">
              <w:rPr>
                <w:sz w:val="18"/>
                <w:szCs w:val="18"/>
                <w:lang w:val="es-ES"/>
              </w:rPr>
              <w:t>213</w:t>
            </w:r>
          </w:p>
        </w:tc>
        <w:tc>
          <w:tcPr>
            <w:tcW w:w="739"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38</w:t>
            </w:r>
          </w:p>
        </w:tc>
        <w:tc>
          <w:tcPr>
            <w:tcW w:w="739" w:type="dxa"/>
            <w:shd w:val="clear" w:color="auto" w:fill="auto"/>
            <w:noWrap/>
            <w:vAlign w:val="bottom"/>
          </w:tcPr>
          <w:p w:rsidR="00E421FD" w:rsidRPr="00960E47" w:rsidRDefault="00E421FD" w:rsidP="00BD2CEB">
            <w:pPr>
              <w:pStyle w:val="SingleTxtG"/>
              <w:spacing w:before="40" w:after="40" w:line="220" w:lineRule="exact"/>
              <w:ind w:left="0" w:right="0"/>
              <w:jc w:val="right"/>
              <w:rPr>
                <w:b/>
                <w:sz w:val="18"/>
                <w:szCs w:val="18"/>
                <w:lang w:val="es-ES"/>
              </w:rPr>
            </w:pPr>
            <w:r w:rsidRPr="00960E47">
              <w:rPr>
                <w:b/>
                <w:sz w:val="18"/>
                <w:szCs w:val="18"/>
                <w:lang w:val="es-ES"/>
              </w:rPr>
              <w:t>7</w:t>
            </w:r>
            <w:r w:rsidR="009578D9" w:rsidRPr="00960E47">
              <w:rPr>
                <w:b/>
                <w:sz w:val="18"/>
                <w:szCs w:val="18"/>
                <w:lang w:val="es-ES"/>
              </w:rPr>
              <w:t xml:space="preserve"> </w:t>
            </w:r>
            <w:r w:rsidRPr="00960E47">
              <w:rPr>
                <w:b/>
                <w:sz w:val="18"/>
                <w:szCs w:val="18"/>
                <w:lang w:val="es-ES"/>
              </w:rPr>
              <w:t>247</w:t>
            </w:r>
          </w:p>
        </w:tc>
        <w:tc>
          <w:tcPr>
            <w:tcW w:w="739"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7</w:t>
            </w:r>
            <w:r w:rsidR="009578D9" w:rsidRPr="00960E47">
              <w:rPr>
                <w:sz w:val="18"/>
                <w:szCs w:val="18"/>
                <w:lang w:val="es-ES"/>
              </w:rPr>
              <w:t xml:space="preserve"> </w:t>
            </w:r>
            <w:r w:rsidRPr="00960E47">
              <w:rPr>
                <w:sz w:val="18"/>
                <w:szCs w:val="18"/>
                <w:lang w:val="es-ES"/>
              </w:rPr>
              <w:t>209</w:t>
            </w:r>
          </w:p>
        </w:tc>
        <w:tc>
          <w:tcPr>
            <w:tcW w:w="740"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38</w:t>
            </w:r>
          </w:p>
        </w:tc>
        <w:tc>
          <w:tcPr>
            <w:tcW w:w="675" w:type="dxa"/>
            <w:shd w:val="clear" w:color="auto" w:fill="auto"/>
            <w:noWrap/>
            <w:vAlign w:val="bottom"/>
          </w:tcPr>
          <w:p w:rsidR="00E421FD" w:rsidRPr="00960E47" w:rsidRDefault="00E421FD" w:rsidP="00BD2CEB">
            <w:pPr>
              <w:pStyle w:val="SingleTxtG"/>
              <w:spacing w:before="40" w:after="40" w:line="220" w:lineRule="exact"/>
              <w:ind w:left="0" w:right="0"/>
              <w:jc w:val="right"/>
              <w:rPr>
                <w:b/>
                <w:sz w:val="18"/>
                <w:szCs w:val="18"/>
                <w:lang w:val="es-ES"/>
              </w:rPr>
            </w:pPr>
            <w:r w:rsidRPr="00960E47">
              <w:rPr>
                <w:b/>
                <w:sz w:val="18"/>
                <w:szCs w:val="18"/>
                <w:lang w:val="es-ES"/>
              </w:rPr>
              <w:t>0,6</w:t>
            </w:r>
          </w:p>
        </w:tc>
        <w:tc>
          <w:tcPr>
            <w:tcW w:w="674"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0,4</w:t>
            </w:r>
          </w:p>
        </w:tc>
        <w:tc>
          <w:tcPr>
            <w:tcW w:w="675" w:type="dxa"/>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0,8</w:t>
            </w:r>
          </w:p>
        </w:tc>
      </w:tr>
      <w:tr w:rsidR="00E421FD" w:rsidRPr="00960E47" w:rsidTr="005C1385">
        <w:trPr>
          <w:jc w:val="center"/>
        </w:trPr>
        <w:tc>
          <w:tcPr>
            <w:tcW w:w="882" w:type="dxa"/>
            <w:tcBorders>
              <w:bottom w:val="single" w:sz="4" w:space="0" w:color="auto"/>
            </w:tcBorders>
            <w:shd w:val="clear" w:color="auto" w:fill="auto"/>
            <w:noWrap/>
            <w:vAlign w:val="bottom"/>
          </w:tcPr>
          <w:p w:rsidR="00E421FD" w:rsidRPr="00960E47" w:rsidRDefault="00E421FD" w:rsidP="00BD2CEB">
            <w:pPr>
              <w:pStyle w:val="SingleTxtG"/>
              <w:spacing w:before="40" w:after="40" w:line="220" w:lineRule="exact"/>
              <w:ind w:left="0" w:right="0"/>
              <w:jc w:val="left"/>
              <w:rPr>
                <w:sz w:val="18"/>
                <w:szCs w:val="18"/>
                <w:lang w:val="es-ES"/>
              </w:rPr>
            </w:pPr>
            <w:r w:rsidRPr="00960E47">
              <w:rPr>
                <w:sz w:val="18"/>
                <w:szCs w:val="18"/>
                <w:lang w:val="es-ES"/>
              </w:rPr>
              <w:t>85 y más</w:t>
            </w:r>
          </w:p>
        </w:tc>
        <w:tc>
          <w:tcPr>
            <w:tcW w:w="766" w:type="dxa"/>
            <w:tcBorders>
              <w:bottom w:val="single" w:sz="4" w:space="0" w:color="auto"/>
            </w:tcBorders>
            <w:shd w:val="clear" w:color="auto" w:fill="auto"/>
            <w:noWrap/>
            <w:vAlign w:val="bottom"/>
          </w:tcPr>
          <w:p w:rsidR="00E421FD" w:rsidRPr="00960E47" w:rsidRDefault="00E421FD" w:rsidP="00BD2CEB">
            <w:pPr>
              <w:pStyle w:val="SingleTxtG"/>
              <w:spacing w:before="40" w:after="40" w:line="220" w:lineRule="exact"/>
              <w:ind w:left="0" w:right="0"/>
              <w:jc w:val="right"/>
              <w:rPr>
                <w:b/>
                <w:sz w:val="18"/>
                <w:szCs w:val="18"/>
                <w:lang w:val="es-ES"/>
              </w:rPr>
            </w:pPr>
            <w:r w:rsidRPr="00960E47">
              <w:rPr>
                <w:b/>
                <w:sz w:val="18"/>
                <w:szCs w:val="18"/>
                <w:lang w:val="es-ES"/>
              </w:rPr>
              <w:t>10</w:t>
            </w:r>
            <w:r w:rsidR="009578D9" w:rsidRPr="00960E47">
              <w:rPr>
                <w:b/>
                <w:sz w:val="18"/>
                <w:szCs w:val="18"/>
                <w:lang w:val="es-ES"/>
              </w:rPr>
              <w:t xml:space="preserve"> </w:t>
            </w:r>
            <w:r w:rsidRPr="00960E47">
              <w:rPr>
                <w:b/>
                <w:sz w:val="18"/>
                <w:szCs w:val="18"/>
                <w:lang w:val="es-ES"/>
              </w:rPr>
              <w:t>515</w:t>
            </w:r>
          </w:p>
        </w:tc>
        <w:tc>
          <w:tcPr>
            <w:tcW w:w="766" w:type="dxa"/>
            <w:tcBorders>
              <w:bottom w:val="single" w:sz="4" w:space="0" w:color="auto"/>
            </w:tcBorders>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10</w:t>
            </w:r>
            <w:r w:rsidR="009578D9" w:rsidRPr="00960E47">
              <w:rPr>
                <w:sz w:val="18"/>
                <w:szCs w:val="18"/>
                <w:lang w:val="es-ES"/>
              </w:rPr>
              <w:t xml:space="preserve"> </w:t>
            </w:r>
            <w:r w:rsidRPr="00960E47">
              <w:rPr>
                <w:sz w:val="18"/>
                <w:szCs w:val="18"/>
                <w:lang w:val="es-ES"/>
              </w:rPr>
              <w:t>431</w:t>
            </w:r>
          </w:p>
        </w:tc>
        <w:tc>
          <w:tcPr>
            <w:tcW w:w="767" w:type="dxa"/>
            <w:tcBorders>
              <w:bottom w:val="single" w:sz="4" w:space="0" w:color="auto"/>
            </w:tcBorders>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84</w:t>
            </w:r>
          </w:p>
        </w:tc>
        <w:tc>
          <w:tcPr>
            <w:tcW w:w="739" w:type="dxa"/>
            <w:tcBorders>
              <w:bottom w:val="single" w:sz="4" w:space="0" w:color="auto"/>
            </w:tcBorders>
            <w:shd w:val="clear" w:color="auto" w:fill="auto"/>
            <w:noWrap/>
            <w:vAlign w:val="bottom"/>
          </w:tcPr>
          <w:p w:rsidR="00E421FD" w:rsidRPr="00960E47" w:rsidRDefault="00E421FD" w:rsidP="00BD2CEB">
            <w:pPr>
              <w:pStyle w:val="SingleTxtG"/>
              <w:spacing w:before="40" w:after="40" w:line="220" w:lineRule="exact"/>
              <w:ind w:left="0" w:right="0"/>
              <w:jc w:val="right"/>
              <w:rPr>
                <w:b/>
                <w:sz w:val="18"/>
                <w:szCs w:val="18"/>
                <w:lang w:val="es-ES"/>
              </w:rPr>
            </w:pPr>
            <w:r w:rsidRPr="00960E47">
              <w:rPr>
                <w:b/>
                <w:sz w:val="18"/>
                <w:szCs w:val="18"/>
                <w:lang w:val="es-ES"/>
              </w:rPr>
              <w:t>2</w:t>
            </w:r>
            <w:r w:rsidR="009578D9" w:rsidRPr="00960E47">
              <w:rPr>
                <w:b/>
                <w:sz w:val="18"/>
                <w:szCs w:val="18"/>
                <w:lang w:val="es-ES"/>
              </w:rPr>
              <w:t xml:space="preserve"> </w:t>
            </w:r>
            <w:r w:rsidRPr="00960E47">
              <w:rPr>
                <w:b/>
                <w:sz w:val="18"/>
                <w:szCs w:val="18"/>
                <w:lang w:val="es-ES"/>
              </w:rPr>
              <w:t>686</w:t>
            </w:r>
          </w:p>
        </w:tc>
        <w:tc>
          <w:tcPr>
            <w:tcW w:w="739" w:type="dxa"/>
            <w:tcBorders>
              <w:bottom w:val="single" w:sz="4" w:space="0" w:color="auto"/>
            </w:tcBorders>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2</w:t>
            </w:r>
            <w:r w:rsidR="009578D9" w:rsidRPr="00960E47">
              <w:rPr>
                <w:sz w:val="18"/>
                <w:szCs w:val="18"/>
                <w:lang w:val="es-ES"/>
              </w:rPr>
              <w:t xml:space="preserve"> </w:t>
            </w:r>
            <w:r w:rsidRPr="00960E47">
              <w:rPr>
                <w:sz w:val="18"/>
                <w:szCs w:val="18"/>
                <w:lang w:val="es-ES"/>
              </w:rPr>
              <w:t>657</w:t>
            </w:r>
          </w:p>
        </w:tc>
        <w:tc>
          <w:tcPr>
            <w:tcW w:w="739" w:type="dxa"/>
            <w:tcBorders>
              <w:bottom w:val="single" w:sz="4" w:space="0" w:color="auto"/>
            </w:tcBorders>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29</w:t>
            </w:r>
          </w:p>
        </w:tc>
        <w:tc>
          <w:tcPr>
            <w:tcW w:w="739" w:type="dxa"/>
            <w:tcBorders>
              <w:bottom w:val="single" w:sz="4" w:space="0" w:color="auto"/>
            </w:tcBorders>
            <w:shd w:val="clear" w:color="auto" w:fill="auto"/>
            <w:noWrap/>
            <w:vAlign w:val="bottom"/>
          </w:tcPr>
          <w:p w:rsidR="00E421FD" w:rsidRPr="00960E47" w:rsidRDefault="00E421FD" w:rsidP="00BD2CEB">
            <w:pPr>
              <w:pStyle w:val="SingleTxtG"/>
              <w:spacing w:before="40" w:after="40" w:line="220" w:lineRule="exact"/>
              <w:ind w:left="0" w:right="0"/>
              <w:jc w:val="right"/>
              <w:rPr>
                <w:b/>
                <w:sz w:val="18"/>
                <w:szCs w:val="18"/>
                <w:lang w:val="es-ES"/>
              </w:rPr>
            </w:pPr>
            <w:r w:rsidRPr="00960E47">
              <w:rPr>
                <w:b/>
                <w:sz w:val="18"/>
                <w:szCs w:val="18"/>
                <w:lang w:val="es-ES"/>
              </w:rPr>
              <w:t>7</w:t>
            </w:r>
            <w:r w:rsidR="009578D9" w:rsidRPr="00960E47">
              <w:rPr>
                <w:b/>
                <w:sz w:val="18"/>
                <w:szCs w:val="18"/>
                <w:lang w:val="es-ES"/>
              </w:rPr>
              <w:t xml:space="preserve"> </w:t>
            </w:r>
            <w:r w:rsidRPr="00960E47">
              <w:rPr>
                <w:b/>
                <w:sz w:val="18"/>
                <w:szCs w:val="18"/>
                <w:lang w:val="es-ES"/>
              </w:rPr>
              <w:t>829</w:t>
            </w:r>
          </w:p>
        </w:tc>
        <w:tc>
          <w:tcPr>
            <w:tcW w:w="739" w:type="dxa"/>
            <w:tcBorders>
              <w:bottom w:val="single" w:sz="4" w:space="0" w:color="auto"/>
            </w:tcBorders>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7</w:t>
            </w:r>
            <w:r w:rsidR="009578D9" w:rsidRPr="00960E47">
              <w:rPr>
                <w:sz w:val="18"/>
                <w:szCs w:val="18"/>
                <w:lang w:val="es-ES"/>
              </w:rPr>
              <w:t xml:space="preserve"> </w:t>
            </w:r>
            <w:r w:rsidRPr="00960E47">
              <w:rPr>
                <w:sz w:val="18"/>
                <w:szCs w:val="18"/>
                <w:lang w:val="es-ES"/>
              </w:rPr>
              <w:t>774</w:t>
            </w:r>
          </w:p>
        </w:tc>
        <w:tc>
          <w:tcPr>
            <w:tcW w:w="740" w:type="dxa"/>
            <w:tcBorders>
              <w:bottom w:val="single" w:sz="4" w:space="0" w:color="auto"/>
            </w:tcBorders>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55</w:t>
            </w:r>
          </w:p>
        </w:tc>
        <w:tc>
          <w:tcPr>
            <w:tcW w:w="675" w:type="dxa"/>
            <w:tcBorders>
              <w:bottom w:val="single" w:sz="4" w:space="0" w:color="auto"/>
            </w:tcBorders>
            <w:shd w:val="clear" w:color="auto" w:fill="auto"/>
            <w:noWrap/>
            <w:vAlign w:val="bottom"/>
          </w:tcPr>
          <w:p w:rsidR="00E421FD" w:rsidRPr="00960E47" w:rsidRDefault="00E421FD" w:rsidP="00BD2CEB">
            <w:pPr>
              <w:pStyle w:val="SingleTxtG"/>
              <w:spacing w:before="40" w:after="40" w:line="220" w:lineRule="exact"/>
              <w:ind w:left="0" w:right="0"/>
              <w:jc w:val="right"/>
              <w:rPr>
                <w:b/>
                <w:sz w:val="18"/>
                <w:szCs w:val="18"/>
                <w:lang w:val="es-ES"/>
              </w:rPr>
            </w:pPr>
            <w:r w:rsidRPr="00960E47">
              <w:rPr>
                <w:b/>
                <w:sz w:val="18"/>
                <w:szCs w:val="18"/>
                <w:lang w:val="es-ES"/>
              </w:rPr>
              <w:t>0,6</w:t>
            </w:r>
          </w:p>
        </w:tc>
        <w:tc>
          <w:tcPr>
            <w:tcW w:w="674" w:type="dxa"/>
            <w:tcBorders>
              <w:bottom w:val="single" w:sz="4" w:space="0" w:color="auto"/>
            </w:tcBorders>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0,3</w:t>
            </w:r>
          </w:p>
        </w:tc>
        <w:tc>
          <w:tcPr>
            <w:tcW w:w="675" w:type="dxa"/>
            <w:tcBorders>
              <w:bottom w:val="single" w:sz="4" w:space="0" w:color="auto"/>
            </w:tcBorders>
            <w:shd w:val="clear" w:color="auto" w:fill="auto"/>
            <w:noWrap/>
            <w:vAlign w:val="bottom"/>
          </w:tcPr>
          <w:p w:rsidR="00E421FD" w:rsidRPr="00960E47" w:rsidRDefault="00E421FD" w:rsidP="00BD2CEB">
            <w:pPr>
              <w:pStyle w:val="SingleTxtG"/>
              <w:spacing w:before="40" w:after="40" w:line="220" w:lineRule="exact"/>
              <w:ind w:left="0" w:right="0"/>
              <w:jc w:val="right"/>
              <w:rPr>
                <w:sz w:val="18"/>
                <w:szCs w:val="18"/>
                <w:lang w:val="es-ES"/>
              </w:rPr>
            </w:pPr>
            <w:r w:rsidRPr="00960E47">
              <w:rPr>
                <w:sz w:val="18"/>
                <w:szCs w:val="18"/>
                <w:lang w:val="es-ES"/>
              </w:rPr>
              <w:t>0,8</w:t>
            </w:r>
          </w:p>
        </w:tc>
      </w:tr>
      <w:tr w:rsidR="00E421FD" w:rsidRPr="00960E47" w:rsidTr="005C1385">
        <w:trPr>
          <w:jc w:val="center"/>
        </w:trPr>
        <w:tc>
          <w:tcPr>
            <w:tcW w:w="882" w:type="dxa"/>
            <w:tcBorders>
              <w:top w:val="single" w:sz="4" w:space="0" w:color="auto"/>
              <w:bottom w:val="single" w:sz="12" w:space="0" w:color="auto"/>
            </w:tcBorders>
            <w:shd w:val="clear" w:color="auto" w:fill="auto"/>
            <w:noWrap/>
            <w:vAlign w:val="bottom"/>
          </w:tcPr>
          <w:p w:rsidR="00E421FD" w:rsidRPr="00960E47" w:rsidRDefault="00E421FD" w:rsidP="00BD2CEB">
            <w:pPr>
              <w:pStyle w:val="SingleTxtG"/>
              <w:spacing w:before="80" w:after="80" w:line="220" w:lineRule="exact"/>
              <w:ind w:left="170" w:right="0"/>
              <w:jc w:val="left"/>
              <w:rPr>
                <w:b/>
                <w:sz w:val="18"/>
                <w:szCs w:val="18"/>
                <w:lang w:val="es-ES"/>
              </w:rPr>
            </w:pPr>
            <w:r w:rsidRPr="00960E47">
              <w:rPr>
                <w:b/>
                <w:sz w:val="18"/>
                <w:szCs w:val="18"/>
                <w:lang w:val="es-ES"/>
              </w:rPr>
              <w:t>Total</w:t>
            </w:r>
          </w:p>
        </w:tc>
        <w:tc>
          <w:tcPr>
            <w:tcW w:w="766" w:type="dxa"/>
            <w:tcBorders>
              <w:top w:val="single" w:sz="4" w:space="0" w:color="auto"/>
              <w:bottom w:val="single" w:sz="12" w:space="0" w:color="auto"/>
            </w:tcBorders>
            <w:shd w:val="clear" w:color="auto" w:fill="auto"/>
            <w:noWrap/>
            <w:vAlign w:val="bottom"/>
          </w:tcPr>
          <w:p w:rsidR="00E421FD" w:rsidRPr="00960E47" w:rsidRDefault="00E421FD" w:rsidP="00BD2CEB">
            <w:pPr>
              <w:pStyle w:val="SingleTxtG"/>
              <w:spacing w:before="80" w:after="80" w:line="220" w:lineRule="exact"/>
              <w:ind w:left="0" w:right="0"/>
              <w:jc w:val="right"/>
              <w:rPr>
                <w:b/>
                <w:sz w:val="18"/>
                <w:szCs w:val="18"/>
                <w:lang w:val="es-ES"/>
              </w:rPr>
            </w:pPr>
            <w:r w:rsidRPr="00960E47">
              <w:rPr>
                <w:b/>
                <w:sz w:val="18"/>
                <w:szCs w:val="18"/>
                <w:lang w:val="es-ES"/>
              </w:rPr>
              <w:t>1</w:t>
            </w:r>
            <w:r w:rsidR="009578D9" w:rsidRPr="00960E47">
              <w:rPr>
                <w:b/>
                <w:sz w:val="18"/>
                <w:szCs w:val="18"/>
                <w:lang w:val="es-ES"/>
              </w:rPr>
              <w:t xml:space="preserve"> </w:t>
            </w:r>
            <w:r w:rsidRPr="00960E47">
              <w:rPr>
                <w:b/>
                <w:sz w:val="18"/>
                <w:szCs w:val="18"/>
                <w:lang w:val="es-ES"/>
              </w:rPr>
              <w:t>862</w:t>
            </w:r>
            <w:r w:rsidR="009578D9" w:rsidRPr="00960E47">
              <w:rPr>
                <w:b/>
                <w:sz w:val="18"/>
                <w:szCs w:val="18"/>
                <w:lang w:val="es-ES"/>
              </w:rPr>
              <w:t xml:space="preserve"> </w:t>
            </w:r>
            <w:r w:rsidRPr="00960E47">
              <w:rPr>
                <w:b/>
                <w:sz w:val="18"/>
                <w:szCs w:val="18"/>
                <w:lang w:val="es-ES"/>
              </w:rPr>
              <w:t>860</w:t>
            </w:r>
          </w:p>
        </w:tc>
        <w:tc>
          <w:tcPr>
            <w:tcW w:w="766" w:type="dxa"/>
            <w:tcBorders>
              <w:top w:val="single" w:sz="4" w:space="0" w:color="auto"/>
              <w:bottom w:val="single" w:sz="12" w:space="0" w:color="auto"/>
            </w:tcBorders>
            <w:shd w:val="clear" w:color="auto" w:fill="auto"/>
            <w:noWrap/>
            <w:vAlign w:val="bottom"/>
          </w:tcPr>
          <w:p w:rsidR="00E421FD" w:rsidRPr="00960E47" w:rsidRDefault="00E421FD" w:rsidP="00BD2CEB">
            <w:pPr>
              <w:pStyle w:val="SingleTxtG"/>
              <w:spacing w:before="80" w:after="80" w:line="220" w:lineRule="exact"/>
              <w:ind w:left="0" w:right="0"/>
              <w:jc w:val="right"/>
              <w:rPr>
                <w:b/>
                <w:sz w:val="18"/>
                <w:szCs w:val="18"/>
                <w:lang w:val="es-ES"/>
              </w:rPr>
            </w:pPr>
            <w:r w:rsidRPr="00960E47">
              <w:rPr>
                <w:b/>
                <w:sz w:val="18"/>
                <w:szCs w:val="18"/>
                <w:lang w:val="es-ES"/>
              </w:rPr>
              <w:t>1</w:t>
            </w:r>
            <w:r w:rsidR="009578D9" w:rsidRPr="00960E47">
              <w:rPr>
                <w:b/>
                <w:sz w:val="18"/>
                <w:szCs w:val="18"/>
                <w:lang w:val="es-ES"/>
              </w:rPr>
              <w:t xml:space="preserve"> </w:t>
            </w:r>
            <w:r w:rsidRPr="00960E47">
              <w:rPr>
                <w:b/>
                <w:sz w:val="18"/>
                <w:szCs w:val="18"/>
                <w:lang w:val="es-ES"/>
              </w:rPr>
              <w:t>735</w:t>
            </w:r>
            <w:r w:rsidR="009578D9" w:rsidRPr="00960E47">
              <w:rPr>
                <w:b/>
                <w:sz w:val="18"/>
                <w:szCs w:val="18"/>
                <w:lang w:val="es-ES"/>
              </w:rPr>
              <w:t xml:space="preserve"> </w:t>
            </w:r>
            <w:r w:rsidRPr="00960E47">
              <w:rPr>
                <w:b/>
                <w:sz w:val="18"/>
                <w:szCs w:val="18"/>
                <w:lang w:val="es-ES"/>
              </w:rPr>
              <w:t>888</w:t>
            </w:r>
          </w:p>
        </w:tc>
        <w:tc>
          <w:tcPr>
            <w:tcW w:w="767" w:type="dxa"/>
            <w:tcBorders>
              <w:top w:val="single" w:sz="4" w:space="0" w:color="auto"/>
              <w:bottom w:val="single" w:sz="12" w:space="0" w:color="auto"/>
            </w:tcBorders>
            <w:shd w:val="clear" w:color="auto" w:fill="auto"/>
            <w:noWrap/>
            <w:vAlign w:val="bottom"/>
          </w:tcPr>
          <w:p w:rsidR="00E421FD" w:rsidRPr="00960E47" w:rsidRDefault="00E421FD" w:rsidP="00BD2CEB">
            <w:pPr>
              <w:pStyle w:val="SingleTxtG"/>
              <w:spacing w:before="80" w:after="80" w:line="220" w:lineRule="exact"/>
              <w:ind w:left="0" w:right="0"/>
              <w:jc w:val="right"/>
              <w:rPr>
                <w:b/>
                <w:sz w:val="18"/>
                <w:szCs w:val="18"/>
                <w:lang w:val="es-ES"/>
              </w:rPr>
            </w:pPr>
            <w:r w:rsidRPr="00960E47">
              <w:rPr>
                <w:b/>
                <w:sz w:val="18"/>
                <w:szCs w:val="18"/>
                <w:lang w:val="es-ES"/>
              </w:rPr>
              <w:t>126</w:t>
            </w:r>
            <w:r w:rsidR="009578D9" w:rsidRPr="00960E47">
              <w:rPr>
                <w:b/>
                <w:sz w:val="18"/>
                <w:szCs w:val="18"/>
                <w:lang w:val="es-ES"/>
              </w:rPr>
              <w:t xml:space="preserve"> </w:t>
            </w:r>
            <w:r w:rsidRPr="00960E47">
              <w:rPr>
                <w:b/>
                <w:sz w:val="18"/>
                <w:szCs w:val="18"/>
                <w:lang w:val="es-ES"/>
              </w:rPr>
              <w:t>972</w:t>
            </w:r>
          </w:p>
        </w:tc>
        <w:tc>
          <w:tcPr>
            <w:tcW w:w="739" w:type="dxa"/>
            <w:tcBorders>
              <w:top w:val="single" w:sz="4" w:space="0" w:color="auto"/>
              <w:bottom w:val="single" w:sz="12" w:space="0" w:color="auto"/>
            </w:tcBorders>
            <w:shd w:val="clear" w:color="auto" w:fill="auto"/>
            <w:noWrap/>
            <w:vAlign w:val="bottom"/>
          </w:tcPr>
          <w:p w:rsidR="00E421FD" w:rsidRPr="00960E47" w:rsidRDefault="00E421FD" w:rsidP="00BD2CEB">
            <w:pPr>
              <w:pStyle w:val="SingleTxtG"/>
              <w:spacing w:before="80" w:after="80" w:line="220" w:lineRule="exact"/>
              <w:ind w:left="0" w:right="0"/>
              <w:jc w:val="right"/>
              <w:rPr>
                <w:b/>
                <w:sz w:val="18"/>
                <w:szCs w:val="18"/>
                <w:lang w:val="es-ES"/>
              </w:rPr>
            </w:pPr>
            <w:r w:rsidRPr="00960E47">
              <w:rPr>
                <w:b/>
                <w:sz w:val="18"/>
                <w:szCs w:val="18"/>
                <w:lang w:val="es-ES"/>
              </w:rPr>
              <w:t>904</w:t>
            </w:r>
            <w:r w:rsidR="009578D9" w:rsidRPr="00960E47">
              <w:rPr>
                <w:b/>
                <w:sz w:val="18"/>
                <w:szCs w:val="18"/>
                <w:lang w:val="es-ES"/>
              </w:rPr>
              <w:t xml:space="preserve"> </w:t>
            </w:r>
            <w:r w:rsidRPr="00960E47">
              <w:rPr>
                <w:b/>
                <w:sz w:val="18"/>
                <w:szCs w:val="18"/>
                <w:lang w:val="es-ES"/>
              </w:rPr>
              <w:t>392</w:t>
            </w:r>
          </w:p>
        </w:tc>
        <w:tc>
          <w:tcPr>
            <w:tcW w:w="739" w:type="dxa"/>
            <w:tcBorders>
              <w:top w:val="single" w:sz="4" w:space="0" w:color="auto"/>
              <w:bottom w:val="single" w:sz="12" w:space="0" w:color="auto"/>
            </w:tcBorders>
            <w:shd w:val="clear" w:color="auto" w:fill="auto"/>
            <w:noWrap/>
            <w:vAlign w:val="bottom"/>
          </w:tcPr>
          <w:p w:rsidR="00E421FD" w:rsidRPr="00960E47" w:rsidRDefault="00E421FD" w:rsidP="00BD2CEB">
            <w:pPr>
              <w:pStyle w:val="SingleTxtG"/>
              <w:spacing w:before="80" w:after="80" w:line="220" w:lineRule="exact"/>
              <w:ind w:left="0" w:right="0"/>
              <w:jc w:val="right"/>
              <w:rPr>
                <w:b/>
                <w:sz w:val="18"/>
                <w:szCs w:val="18"/>
                <w:lang w:val="es-ES"/>
              </w:rPr>
            </w:pPr>
            <w:r w:rsidRPr="00960E47">
              <w:rPr>
                <w:b/>
                <w:sz w:val="18"/>
                <w:szCs w:val="18"/>
                <w:lang w:val="es-ES"/>
              </w:rPr>
              <w:t>816</w:t>
            </w:r>
            <w:r w:rsidR="009578D9" w:rsidRPr="00960E47">
              <w:rPr>
                <w:b/>
                <w:sz w:val="18"/>
                <w:szCs w:val="18"/>
                <w:lang w:val="es-ES"/>
              </w:rPr>
              <w:t xml:space="preserve"> </w:t>
            </w:r>
            <w:r w:rsidRPr="00960E47">
              <w:rPr>
                <w:b/>
                <w:sz w:val="18"/>
                <w:szCs w:val="18"/>
                <w:lang w:val="es-ES"/>
              </w:rPr>
              <w:t>510</w:t>
            </w:r>
          </w:p>
        </w:tc>
        <w:tc>
          <w:tcPr>
            <w:tcW w:w="739" w:type="dxa"/>
            <w:tcBorders>
              <w:top w:val="single" w:sz="4" w:space="0" w:color="auto"/>
              <w:bottom w:val="single" w:sz="12" w:space="0" w:color="auto"/>
            </w:tcBorders>
            <w:shd w:val="clear" w:color="auto" w:fill="auto"/>
            <w:noWrap/>
            <w:vAlign w:val="bottom"/>
          </w:tcPr>
          <w:p w:rsidR="00E421FD" w:rsidRPr="00960E47" w:rsidRDefault="00E421FD" w:rsidP="00BD2CEB">
            <w:pPr>
              <w:pStyle w:val="SingleTxtG"/>
              <w:spacing w:before="80" w:after="80" w:line="220" w:lineRule="exact"/>
              <w:ind w:left="0" w:right="0"/>
              <w:jc w:val="right"/>
              <w:rPr>
                <w:b/>
                <w:sz w:val="18"/>
                <w:szCs w:val="18"/>
                <w:lang w:val="es-ES"/>
              </w:rPr>
            </w:pPr>
            <w:r w:rsidRPr="00960E47">
              <w:rPr>
                <w:b/>
                <w:sz w:val="18"/>
                <w:szCs w:val="18"/>
                <w:lang w:val="es-ES"/>
              </w:rPr>
              <w:t>87</w:t>
            </w:r>
            <w:r w:rsidR="009578D9" w:rsidRPr="00960E47">
              <w:rPr>
                <w:b/>
                <w:sz w:val="18"/>
                <w:szCs w:val="18"/>
                <w:lang w:val="es-ES"/>
              </w:rPr>
              <w:t xml:space="preserve"> </w:t>
            </w:r>
            <w:r w:rsidRPr="00960E47">
              <w:rPr>
                <w:b/>
                <w:sz w:val="18"/>
                <w:szCs w:val="18"/>
                <w:lang w:val="es-ES"/>
              </w:rPr>
              <w:t>882</w:t>
            </w:r>
          </w:p>
        </w:tc>
        <w:tc>
          <w:tcPr>
            <w:tcW w:w="739" w:type="dxa"/>
            <w:tcBorders>
              <w:top w:val="single" w:sz="4" w:space="0" w:color="auto"/>
              <w:bottom w:val="single" w:sz="12" w:space="0" w:color="auto"/>
            </w:tcBorders>
            <w:shd w:val="clear" w:color="auto" w:fill="auto"/>
            <w:noWrap/>
            <w:vAlign w:val="bottom"/>
          </w:tcPr>
          <w:p w:rsidR="00E421FD" w:rsidRPr="00960E47" w:rsidRDefault="00E421FD" w:rsidP="00BD2CEB">
            <w:pPr>
              <w:pStyle w:val="SingleTxtG"/>
              <w:spacing w:before="80" w:after="80" w:line="220" w:lineRule="exact"/>
              <w:ind w:left="0" w:right="0"/>
              <w:jc w:val="right"/>
              <w:rPr>
                <w:b/>
                <w:sz w:val="18"/>
                <w:szCs w:val="18"/>
                <w:lang w:val="es-ES"/>
              </w:rPr>
            </w:pPr>
            <w:r w:rsidRPr="00960E47">
              <w:rPr>
                <w:b/>
                <w:sz w:val="18"/>
                <w:szCs w:val="18"/>
                <w:lang w:val="es-ES"/>
              </w:rPr>
              <w:t>958</w:t>
            </w:r>
            <w:r w:rsidR="009578D9" w:rsidRPr="00960E47">
              <w:rPr>
                <w:b/>
                <w:sz w:val="18"/>
                <w:szCs w:val="18"/>
                <w:lang w:val="es-ES"/>
              </w:rPr>
              <w:t xml:space="preserve"> </w:t>
            </w:r>
            <w:r w:rsidRPr="00960E47">
              <w:rPr>
                <w:b/>
                <w:sz w:val="18"/>
                <w:szCs w:val="18"/>
                <w:lang w:val="es-ES"/>
              </w:rPr>
              <w:t>468</w:t>
            </w:r>
          </w:p>
        </w:tc>
        <w:tc>
          <w:tcPr>
            <w:tcW w:w="739" w:type="dxa"/>
            <w:tcBorders>
              <w:top w:val="single" w:sz="4" w:space="0" w:color="auto"/>
              <w:bottom w:val="single" w:sz="12" w:space="0" w:color="auto"/>
            </w:tcBorders>
            <w:shd w:val="clear" w:color="auto" w:fill="auto"/>
            <w:noWrap/>
            <w:vAlign w:val="bottom"/>
          </w:tcPr>
          <w:p w:rsidR="00E421FD" w:rsidRPr="00960E47" w:rsidRDefault="00E421FD" w:rsidP="00BD2CEB">
            <w:pPr>
              <w:pStyle w:val="SingleTxtG"/>
              <w:spacing w:before="80" w:after="80" w:line="220" w:lineRule="exact"/>
              <w:ind w:left="0" w:right="0"/>
              <w:jc w:val="right"/>
              <w:rPr>
                <w:b/>
                <w:sz w:val="18"/>
                <w:szCs w:val="18"/>
                <w:lang w:val="es-ES"/>
              </w:rPr>
            </w:pPr>
            <w:r w:rsidRPr="00960E47">
              <w:rPr>
                <w:b/>
                <w:sz w:val="18"/>
                <w:szCs w:val="18"/>
                <w:lang w:val="es-ES"/>
              </w:rPr>
              <w:t>919</w:t>
            </w:r>
            <w:r w:rsidR="009578D9" w:rsidRPr="00960E47">
              <w:rPr>
                <w:b/>
                <w:sz w:val="18"/>
                <w:szCs w:val="18"/>
                <w:lang w:val="es-ES"/>
              </w:rPr>
              <w:t xml:space="preserve"> </w:t>
            </w:r>
            <w:r w:rsidRPr="00960E47">
              <w:rPr>
                <w:b/>
                <w:sz w:val="18"/>
                <w:szCs w:val="18"/>
                <w:lang w:val="es-ES"/>
              </w:rPr>
              <w:t>378</w:t>
            </w:r>
          </w:p>
        </w:tc>
        <w:tc>
          <w:tcPr>
            <w:tcW w:w="740" w:type="dxa"/>
            <w:tcBorders>
              <w:top w:val="single" w:sz="4" w:space="0" w:color="auto"/>
              <w:bottom w:val="single" w:sz="12" w:space="0" w:color="auto"/>
            </w:tcBorders>
            <w:shd w:val="clear" w:color="auto" w:fill="auto"/>
            <w:noWrap/>
            <w:vAlign w:val="bottom"/>
          </w:tcPr>
          <w:p w:rsidR="00E421FD" w:rsidRPr="00960E47" w:rsidRDefault="00E421FD" w:rsidP="00BD2CEB">
            <w:pPr>
              <w:pStyle w:val="SingleTxtG"/>
              <w:spacing w:before="80" w:after="80" w:line="220" w:lineRule="exact"/>
              <w:ind w:left="0" w:right="0"/>
              <w:jc w:val="right"/>
              <w:rPr>
                <w:b/>
                <w:sz w:val="18"/>
                <w:szCs w:val="18"/>
                <w:lang w:val="es-ES"/>
              </w:rPr>
            </w:pPr>
            <w:r w:rsidRPr="00960E47">
              <w:rPr>
                <w:b/>
                <w:sz w:val="18"/>
                <w:szCs w:val="18"/>
                <w:lang w:val="es-ES"/>
              </w:rPr>
              <w:t>39</w:t>
            </w:r>
            <w:r w:rsidR="009578D9" w:rsidRPr="00960E47">
              <w:rPr>
                <w:b/>
                <w:sz w:val="18"/>
                <w:szCs w:val="18"/>
                <w:lang w:val="es-ES"/>
              </w:rPr>
              <w:t xml:space="preserve"> </w:t>
            </w:r>
            <w:r w:rsidRPr="00960E47">
              <w:rPr>
                <w:b/>
                <w:sz w:val="18"/>
                <w:szCs w:val="18"/>
                <w:lang w:val="es-ES"/>
              </w:rPr>
              <w:t>090</w:t>
            </w:r>
          </w:p>
        </w:tc>
        <w:tc>
          <w:tcPr>
            <w:tcW w:w="675" w:type="dxa"/>
            <w:tcBorders>
              <w:top w:val="single" w:sz="4" w:space="0" w:color="auto"/>
              <w:bottom w:val="single" w:sz="12" w:space="0" w:color="auto"/>
            </w:tcBorders>
            <w:shd w:val="clear" w:color="auto" w:fill="auto"/>
            <w:noWrap/>
            <w:vAlign w:val="bottom"/>
          </w:tcPr>
          <w:p w:rsidR="00E421FD" w:rsidRPr="00960E47" w:rsidRDefault="00E421FD" w:rsidP="00BD2CEB">
            <w:pPr>
              <w:pStyle w:val="SingleTxtG"/>
              <w:spacing w:before="80" w:after="80" w:line="220" w:lineRule="exact"/>
              <w:ind w:left="0" w:right="0"/>
              <w:jc w:val="right"/>
              <w:rPr>
                <w:b/>
                <w:sz w:val="18"/>
                <w:szCs w:val="18"/>
                <w:lang w:val="es-ES"/>
              </w:rPr>
            </w:pPr>
            <w:r w:rsidRPr="00960E47">
              <w:rPr>
                <w:b/>
                <w:sz w:val="18"/>
                <w:szCs w:val="18"/>
                <w:lang w:val="es-ES"/>
              </w:rPr>
              <w:t>100,0</w:t>
            </w:r>
          </w:p>
        </w:tc>
        <w:tc>
          <w:tcPr>
            <w:tcW w:w="674" w:type="dxa"/>
            <w:tcBorders>
              <w:top w:val="single" w:sz="4" w:space="0" w:color="auto"/>
              <w:bottom w:val="single" w:sz="12" w:space="0" w:color="auto"/>
            </w:tcBorders>
            <w:shd w:val="clear" w:color="auto" w:fill="auto"/>
            <w:noWrap/>
            <w:vAlign w:val="bottom"/>
          </w:tcPr>
          <w:p w:rsidR="00E421FD" w:rsidRPr="00960E47" w:rsidRDefault="00E421FD" w:rsidP="00BD2CEB">
            <w:pPr>
              <w:pStyle w:val="SingleTxtG"/>
              <w:spacing w:before="80" w:after="80" w:line="220" w:lineRule="exact"/>
              <w:ind w:left="0" w:right="0"/>
              <w:jc w:val="right"/>
              <w:rPr>
                <w:b/>
                <w:sz w:val="18"/>
                <w:szCs w:val="18"/>
                <w:lang w:val="es-ES"/>
              </w:rPr>
            </w:pPr>
            <w:r w:rsidRPr="00960E47">
              <w:rPr>
                <w:b/>
                <w:sz w:val="18"/>
                <w:szCs w:val="18"/>
                <w:lang w:val="es-ES"/>
              </w:rPr>
              <w:t>100,0</w:t>
            </w:r>
          </w:p>
        </w:tc>
        <w:tc>
          <w:tcPr>
            <w:tcW w:w="675" w:type="dxa"/>
            <w:tcBorders>
              <w:top w:val="single" w:sz="4" w:space="0" w:color="auto"/>
              <w:bottom w:val="single" w:sz="12" w:space="0" w:color="auto"/>
            </w:tcBorders>
            <w:shd w:val="clear" w:color="auto" w:fill="auto"/>
            <w:noWrap/>
            <w:vAlign w:val="bottom"/>
          </w:tcPr>
          <w:p w:rsidR="00E421FD" w:rsidRPr="00960E47" w:rsidRDefault="00E421FD" w:rsidP="00BD2CEB">
            <w:pPr>
              <w:pStyle w:val="SingleTxtG"/>
              <w:spacing w:before="80" w:after="80" w:line="220" w:lineRule="exact"/>
              <w:ind w:left="0" w:right="0"/>
              <w:jc w:val="right"/>
              <w:rPr>
                <w:b/>
                <w:sz w:val="18"/>
                <w:szCs w:val="18"/>
                <w:lang w:val="es-ES"/>
              </w:rPr>
            </w:pPr>
            <w:r w:rsidRPr="00960E47">
              <w:rPr>
                <w:b/>
                <w:sz w:val="18"/>
                <w:szCs w:val="18"/>
                <w:lang w:val="es-ES"/>
              </w:rPr>
              <w:t>100,0</w:t>
            </w:r>
          </w:p>
        </w:tc>
      </w:tr>
    </w:tbl>
    <w:p w:rsidR="00E421FD" w:rsidRPr="00960E47" w:rsidRDefault="00E421FD" w:rsidP="00BD2CEB">
      <w:pPr>
        <w:spacing w:before="120" w:after="240"/>
        <w:ind w:firstLine="170"/>
        <w:rPr>
          <w:sz w:val="18"/>
          <w:lang w:val="es-ES"/>
        </w:rPr>
      </w:pPr>
      <w:r w:rsidRPr="00960E47">
        <w:rPr>
          <w:i/>
          <w:sz w:val="18"/>
          <w:lang w:val="es-ES"/>
        </w:rPr>
        <w:t>Fuente:</w:t>
      </w:r>
      <w:r w:rsidRPr="00960E47">
        <w:rPr>
          <w:sz w:val="18"/>
          <w:lang w:val="es-ES"/>
        </w:rPr>
        <w:t xml:space="preserve"> Informe del censo de población y la encuesta de hogares de 2006.</w:t>
      </w:r>
    </w:p>
    <w:p w:rsidR="00E421FD" w:rsidRPr="00960E47" w:rsidRDefault="000A5BFC" w:rsidP="00BD2CEB">
      <w:pPr>
        <w:pStyle w:val="H23G"/>
        <w:rPr>
          <w:lang w:val="es-ES"/>
        </w:rPr>
      </w:pPr>
      <w:r w:rsidRPr="00960E47">
        <w:rPr>
          <w:lang w:val="es-ES"/>
        </w:rPr>
        <w:tab/>
      </w:r>
      <w:r w:rsidRPr="00960E47">
        <w:rPr>
          <w:lang w:val="es-ES"/>
        </w:rPr>
        <w:tab/>
      </w:r>
      <w:r w:rsidR="00E421FD" w:rsidRPr="00960E47">
        <w:rPr>
          <w:lang w:val="es-ES"/>
        </w:rPr>
        <w:t>Censo de población de 2006</w:t>
      </w:r>
    </w:p>
    <w:p w:rsidR="00E421FD" w:rsidRPr="00960E47" w:rsidRDefault="000A5BFC" w:rsidP="00BD2CEB">
      <w:pPr>
        <w:pStyle w:val="H4G"/>
        <w:rPr>
          <w:lang w:val="es-ES"/>
        </w:rPr>
      </w:pPr>
      <w:r w:rsidRPr="00960E47">
        <w:rPr>
          <w:lang w:val="es-ES"/>
        </w:rPr>
        <w:tab/>
      </w:r>
      <w:r w:rsidRPr="00960E47">
        <w:rPr>
          <w:lang w:val="es-ES"/>
        </w:rPr>
        <w:tab/>
      </w:r>
      <w:r w:rsidR="00E421FD" w:rsidRPr="00960E47">
        <w:rPr>
          <w:lang w:val="es-ES"/>
        </w:rPr>
        <w:t>Dispersión rural y periurbana</w:t>
      </w:r>
    </w:p>
    <w:p w:rsidR="00E421FD" w:rsidRPr="00960E47" w:rsidRDefault="000A5BFC" w:rsidP="00BD2CEB">
      <w:pPr>
        <w:pStyle w:val="SingleTxtG"/>
        <w:rPr>
          <w:lang w:val="es-ES"/>
        </w:rPr>
      </w:pPr>
      <w:r w:rsidRPr="00960E47">
        <w:rPr>
          <w:lang w:val="es-ES"/>
        </w:rPr>
        <w:t>6.</w:t>
      </w:r>
      <w:r w:rsidRPr="00960E47">
        <w:rPr>
          <w:lang w:val="es-ES"/>
        </w:rPr>
        <w:tab/>
      </w:r>
      <w:r w:rsidR="00E421FD" w:rsidRPr="00960E47">
        <w:rPr>
          <w:lang w:val="es-ES"/>
        </w:rPr>
        <w:t>La mayoría de las personas, aproximadamente el 77% de la población, reside en las zonas rurales del país, mientras que el resto vive en zonas periurbanas. El resultado ha sido un aumento significativo de la población periurbana, desde el 16,9% en 1996 hasta el 22,6% en 2006. Las tierras bajas tienen la proporción más elevada de población en todos los períodos intercensales de 1976 a 2006, mientras que el valle del río Senqu tiene la proporción más baja. Además, en lo que respecta a la distribución por distritos, Maseru es el distrito de crecimiento más rápido de Lesotho en los tres últimos decenios y el de Qacha</w:t>
      </w:r>
      <w:r w:rsidR="00866E12" w:rsidRPr="00960E47">
        <w:rPr>
          <w:lang w:val="es-ES"/>
        </w:rPr>
        <w:t>'</w:t>
      </w:r>
      <w:r w:rsidR="00E421FD" w:rsidRPr="00960E47">
        <w:rPr>
          <w:lang w:val="es-ES"/>
        </w:rPr>
        <w:t>s-Nek ha tenido el crecimiento más bajo durante todo el censo. Entre 1986 y 1996, casi todos los distritos registraron un aumento de población; el mayor correspondió a Berea, seguido de Maseru, mientras que el cambio más pequeño se registró en Butha-Buthe. Entre 1996 y 2006, la población de Mokhotlong aumentó un 13,0%, mientras que la población de Mafeteng disminuyó un 9,8%.</w:t>
      </w:r>
    </w:p>
    <w:p w:rsidR="00E421FD" w:rsidRPr="00960E47" w:rsidRDefault="000A5BFC" w:rsidP="00BD2CEB">
      <w:pPr>
        <w:pStyle w:val="H4G"/>
        <w:rPr>
          <w:lang w:val="es-ES"/>
        </w:rPr>
      </w:pPr>
      <w:r w:rsidRPr="00960E47">
        <w:rPr>
          <w:lang w:val="es-ES"/>
        </w:rPr>
        <w:tab/>
      </w:r>
      <w:r w:rsidRPr="00960E47">
        <w:rPr>
          <w:lang w:val="es-ES"/>
        </w:rPr>
        <w:tab/>
      </w:r>
      <w:r w:rsidR="00E421FD" w:rsidRPr="00960E47">
        <w:rPr>
          <w:lang w:val="es-ES"/>
        </w:rPr>
        <w:t>Población urbana</w:t>
      </w:r>
    </w:p>
    <w:p w:rsidR="00E421FD" w:rsidRPr="00960E47" w:rsidRDefault="000A5BFC" w:rsidP="00BD2CEB">
      <w:pPr>
        <w:pStyle w:val="SingleTxtG"/>
        <w:spacing w:after="240"/>
        <w:rPr>
          <w:lang w:val="es-ES"/>
        </w:rPr>
      </w:pPr>
      <w:r w:rsidRPr="00960E47">
        <w:rPr>
          <w:lang w:val="es-ES"/>
        </w:rPr>
        <w:t>7.</w:t>
      </w:r>
      <w:r w:rsidRPr="00960E47">
        <w:rPr>
          <w:lang w:val="es-ES"/>
        </w:rPr>
        <w:tab/>
      </w:r>
      <w:r w:rsidR="00E421FD" w:rsidRPr="00960E47">
        <w:rPr>
          <w:lang w:val="es-ES"/>
        </w:rPr>
        <w:t>En Lesotho, la mayoría de la población está concentrada en las tierras bajas, lo que da lugar a una densidad de población muy elevada. Por ejemplo, Berea tiene 112 personas por km</w:t>
      </w:r>
      <w:r w:rsidR="00E421FD" w:rsidRPr="00960E47">
        <w:rPr>
          <w:vertAlign w:val="superscript"/>
          <w:lang w:val="es-ES"/>
        </w:rPr>
        <w:t>2</w:t>
      </w:r>
      <w:r w:rsidR="00E421FD" w:rsidRPr="00960E47">
        <w:rPr>
          <w:lang w:val="es-ES"/>
        </w:rPr>
        <w:t>. Maseru, que es la capital de Lesotho, tiene la densidad demográfica más elevada en las tierras de cultivo, 902 personas por km</w:t>
      </w:r>
      <w:r w:rsidR="00E421FD" w:rsidRPr="00960E47">
        <w:rPr>
          <w:vertAlign w:val="superscript"/>
          <w:lang w:val="es-ES"/>
        </w:rPr>
        <w:t>2</w:t>
      </w:r>
      <w:r w:rsidR="00E421FD" w:rsidRPr="00960E47">
        <w:rPr>
          <w:lang w:val="es-ES"/>
        </w:rPr>
        <w:t>, mientras que la más baja, 485 personas por</w:t>
      </w:r>
      <w:r w:rsidR="005E4423" w:rsidRPr="00960E47">
        <w:rPr>
          <w:lang w:val="es-ES"/>
        </w:rPr>
        <w:t> </w:t>
      </w:r>
      <w:r w:rsidR="00E421FD" w:rsidRPr="00960E47">
        <w:rPr>
          <w:lang w:val="es-ES"/>
        </w:rPr>
        <w:t>km</w:t>
      </w:r>
      <w:r w:rsidR="00E421FD" w:rsidRPr="00960E47">
        <w:rPr>
          <w:vertAlign w:val="superscript"/>
          <w:lang w:val="es-ES"/>
        </w:rPr>
        <w:t>2</w:t>
      </w:r>
      <w:r w:rsidR="00E421FD" w:rsidRPr="00960E47">
        <w:rPr>
          <w:lang w:val="es-ES"/>
        </w:rPr>
        <w:t>, corresponde a Thaba-Tseka. En Lesotho, la pauta de asentamiento es predominantemente rural, y la mayoría de la población vive en pequeños asentamientos. El crecimiento demográfico de Lesotho representa un peligro no solo para las tierras de cultivo. Los resultados del censo de población de Lesotho para el año 2006 pueden verse en el cuadro siguiente.</w:t>
      </w:r>
    </w:p>
    <w:p w:rsidR="00E421FD" w:rsidRPr="00960E47" w:rsidRDefault="00E421FD" w:rsidP="00BD2CEB">
      <w:pPr>
        <w:pStyle w:val="Heading1"/>
        <w:rPr>
          <w:lang w:val="es-ES"/>
        </w:rPr>
      </w:pPr>
      <w:r w:rsidRPr="00960E47">
        <w:rPr>
          <w:lang w:val="es-ES"/>
        </w:rPr>
        <w:t>Cuadro 2.2</w:t>
      </w:r>
    </w:p>
    <w:p w:rsidR="00E421FD" w:rsidRPr="00960E47" w:rsidRDefault="00E421FD" w:rsidP="00BD2CEB">
      <w:pPr>
        <w:pStyle w:val="SingleTxtG"/>
        <w:jc w:val="left"/>
        <w:rPr>
          <w:b/>
          <w:lang w:val="es-ES"/>
        </w:rPr>
      </w:pPr>
      <w:r w:rsidRPr="00960E47">
        <w:rPr>
          <w:b/>
          <w:lang w:val="es-ES"/>
        </w:rPr>
        <w:t>Indicadores dem</w:t>
      </w:r>
      <w:r w:rsidR="009B09C0" w:rsidRPr="00960E47">
        <w:rPr>
          <w:b/>
          <w:lang w:val="es-ES"/>
        </w:rPr>
        <w:t>ográficos de Lesotho, 1996-2006</w:t>
      </w:r>
    </w:p>
    <w:tbl>
      <w:tblPr>
        <w:tblW w:w="7371" w:type="dxa"/>
        <w:tblInd w:w="1134" w:type="dxa"/>
        <w:tblBorders>
          <w:top w:val="single" w:sz="4" w:space="0" w:color="auto"/>
        </w:tblBorders>
        <w:tblLayout w:type="fixed"/>
        <w:tblCellMar>
          <w:left w:w="0" w:type="dxa"/>
          <w:right w:w="0" w:type="dxa"/>
        </w:tblCellMar>
        <w:tblLook w:val="04A0"/>
      </w:tblPr>
      <w:tblGrid>
        <w:gridCol w:w="2898"/>
        <w:gridCol w:w="986"/>
        <w:gridCol w:w="1162"/>
        <w:gridCol w:w="1162"/>
        <w:gridCol w:w="1163"/>
      </w:tblGrid>
      <w:tr w:rsidR="00E421FD" w:rsidRPr="00960E47" w:rsidTr="0068576A">
        <w:trPr>
          <w:trHeight w:val="20"/>
          <w:tblHeader/>
        </w:trPr>
        <w:tc>
          <w:tcPr>
            <w:tcW w:w="1966" w:type="pct"/>
            <w:vMerge w:val="restart"/>
            <w:tcBorders>
              <w:top w:val="single" w:sz="4" w:space="0" w:color="000000"/>
            </w:tcBorders>
            <w:shd w:val="clear" w:color="auto" w:fill="auto"/>
            <w:noWrap/>
            <w:vAlign w:val="bottom"/>
          </w:tcPr>
          <w:p w:rsidR="00E421FD" w:rsidRPr="00960E47" w:rsidRDefault="00E421FD" w:rsidP="0068576A">
            <w:pPr>
              <w:pStyle w:val="SingleTxtG"/>
              <w:spacing w:before="60" w:after="60" w:line="200" w:lineRule="exact"/>
              <w:ind w:left="0" w:right="0"/>
              <w:jc w:val="left"/>
              <w:rPr>
                <w:i/>
                <w:sz w:val="16"/>
                <w:szCs w:val="18"/>
                <w:lang w:val="es-ES"/>
              </w:rPr>
            </w:pPr>
            <w:r w:rsidRPr="00960E47">
              <w:rPr>
                <w:i/>
                <w:sz w:val="16"/>
                <w:szCs w:val="18"/>
                <w:lang w:val="es-ES"/>
              </w:rPr>
              <w:t>Indicador</w:t>
            </w:r>
          </w:p>
        </w:tc>
        <w:tc>
          <w:tcPr>
            <w:tcW w:w="3034" w:type="pct"/>
            <w:gridSpan w:val="4"/>
            <w:tcBorders>
              <w:top w:val="single" w:sz="4" w:space="0" w:color="000000"/>
              <w:bottom w:val="single" w:sz="4" w:space="0" w:color="000000"/>
            </w:tcBorders>
            <w:shd w:val="clear" w:color="auto" w:fill="auto"/>
            <w:noWrap/>
          </w:tcPr>
          <w:p w:rsidR="00E421FD" w:rsidRPr="00960E47" w:rsidRDefault="00E421FD" w:rsidP="0068576A">
            <w:pPr>
              <w:pStyle w:val="SingleTxtG"/>
              <w:spacing w:before="60" w:after="60" w:line="200" w:lineRule="exact"/>
              <w:ind w:left="0" w:right="0"/>
              <w:jc w:val="center"/>
              <w:rPr>
                <w:i/>
                <w:sz w:val="16"/>
                <w:szCs w:val="18"/>
                <w:lang w:val="es-ES"/>
              </w:rPr>
            </w:pPr>
            <w:r w:rsidRPr="00960E47">
              <w:rPr>
                <w:i/>
                <w:sz w:val="16"/>
                <w:szCs w:val="18"/>
                <w:lang w:val="es-ES"/>
              </w:rPr>
              <w:t>Año del censo</w:t>
            </w:r>
          </w:p>
        </w:tc>
      </w:tr>
      <w:tr w:rsidR="00E421FD" w:rsidRPr="00960E47" w:rsidTr="0068576A">
        <w:trPr>
          <w:trHeight w:val="20"/>
          <w:tblHeader/>
        </w:trPr>
        <w:tc>
          <w:tcPr>
            <w:tcW w:w="1966" w:type="pct"/>
            <w:vMerge/>
            <w:tcBorders>
              <w:bottom w:val="single" w:sz="12" w:space="0" w:color="000000"/>
            </w:tcBorders>
            <w:shd w:val="clear" w:color="auto" w:fill="auto"/>
            <w:noWrap/>
            <w:vAlign w:val="bottom"/>
          </w:tcPr>
          <w:p w:rsidR="00E421FD" w:rsidRPr="00960E47" w:rsidRDefault="00E421FD" w:rsidP="0068576A">
            <w:pPr>
              <w:pStyle w:val="SingleTxtG"/>
              <w:spacing w:before="60" w:after="60" w:line="200" w:lineRule="exact"/>
              <w:ind w:left="0" w:right="0"/>
              <w:jc w:val="left"/>
              <w:rPr>
                <w:i/>
                <w:sz w:val="16"/>
                <w:szCs w:val="18"/>
                <w:lang w:val="es-ES"/>
              </w:rPr>
            </w:pPr>
          </w:p>
        </w:tc>
        <w:tc>
          <w:tcPr>
            <w:tcW w:w="669" w:type="pct"/>
            <w:tcBorders>
              <w:top w:val="single" w:sz="4" w:space="0" w:color="000000"/>
              <w:bottom w:val="single" w:sz="12" w:space="0" w:color="000000"/>
            </w:tcBorders>
            <w:shd w:val="clear" w:color="auto" w:fill="auto"/>
            <w:noWrap/>
            <w:vAlign w:val="bottom"/>
          </w:tcPr>
          <w:p w:rsidR="00E421FD" w:rsidRPr="00960E47" w:rsidRDefault="00E421FD" w:rsidP="0068576A">
            <w:pPr>
              <w:pStyle w:val="SingleTxtG"/>
              <w:spacing w:before="60" w:after="60" w:line="200" w:lineRule="exact"/>
              <w:ind w:left="0" w:right="0"/>
              <w:jc w:val="right"/>
              <w:rPr>
                <w:i/>
                <w:sz w:val="16"/>
                <w:szCs w:val="18"/>
                <w:lang w:val="es-ES"/>
              </w:rPr>
            </w:pPr>
            <w:r w:rsidRPr="00960E47">
              <w:rPr>
                <w:i/>
                <w:sz w:val="16"/>
                <w:szCs w:val="18"/>
                <w:lang w:val="es-ES"/>
              </w:rPr>
              <w:t>1976</w:t>
            </w:r>
          </w:p>
        </w:tc>
        <w:tc>
          <w:tcPr>
            <w:tcW w:w="788" w:type="pct"/>
            <w:tcBorders>
              <w:top w:val="single" w:sz="4" w:space="0" w:color="000000"/>
              <w:bottom w:val="single" w:sz="12" w:space="0" w:color="000000"/>
            </w:tcBorders>
            <w:shd w:val="clear" w:color="auto" w:fill="auto"/>
            <w:noWrap/>
            <w:vAlign w:val="bottom"/>
          </w:tcPr>
          <w:p w:rsidR="00E421FD" w:rsidRPr="00960E47" w:rsidRDefault="00E421FD" w:rsidP="0068576A">
            <w:pPr>
              <w:pStyle w:val="SingleTxtG"/>
              <w:spacing w:before="60" w:after="60" w:line="200" w:lineRule="exact"/>
              <w:ind w:left="0" w:right="0"/>
              <w:jc w:val="right"/>
              <w:rPr>
                <w:i/>
                <w:sz w:val="16"/>
                <w:szCs w:val="18"/>
                <w:lang w:val="es-ES"/>
              </w:rPr>
            </w:pPr>
            <w:r w:rsidRPr="00960E47">
              <w:rPr>
                <w:i/>
                <w:sz w:val="16"/>
                <w:szCs w:val="18"/>
                <w:lang w:val="es-ES"/>
              </w:rPr>
              <w:t>1986</w:t>
            </w:r>
          </w:p>
        </w:tc>
        <w:tc>
          <w:tcPr>
            <w:tcW w:w="788" w:type="pct"/>
            <w:tcBorders>
              <w:top w:val="single" w:sz="4" w:space="0" w:color="000000"/>
              <w:bottom w:val="single" w:sz="12" w:space="0" w:color="000000"/>
            </w:tcBorders>
            <w:shd w:val="clear" w:color="auto" w:fill="auto"/>
            <w:noWrap/>
            <w:vAlign w:val="bottom"/>
          </w:tcPr>
          <w:p w:rsidR="00E421FD" w:rsidRPr="00960E47" w:rsidRDefault="00E421FD" w:rsidP="0068576A">
            <w:pPr>
              <w:pStyle w:val="SingleTxtG"/>
              <w:spacing w:before="60" w:after="60" w:line="200" w:lineRule="exact"/>
              <w:ind w:left="0" w:right="0"/>
              <w:jc w:val="right"/>
              <w:rPr>
                <w:i/>
                <w:sz w:val="16"/>
                <w:szCs w:val="18"/>
                <w:lang w:val="es-ES"/>
              </w:rPr>
            </w:pPr>
            <w:r w:rsidRPr="00960E47">
              <w:rPr>
                <w:i/>
                <w:sz w:val="16"/>
                <w:szCs w:val="18"/>
                <w:lang w:val="es-ES"/>
              </w:rPr>
              <w:t>1996</w:t>
            </w:r>
          </w:p>
        </w:tc>
        <w:tc>
          <w:tcPr>
            <w:tcW w:w="789" w:type="pct"/>
            <w:tcBorders>
              <w:top w:val="single" w:sz="4" w:space="0" w:color="000000"/>
              <w:bottom w:val="single" w:sz="12" w:space="0" w:color="000000"/>
            </w:tcBorders>
            <w:shd w:val="clear" w:color="auto" w:fill="auto"/>
            <w:noWrap/>
            <w:vAlign w:val="bottom"/>
          </w:tcPr>
          <w:p w:rsidR="00E421FD" w:rsidRPr="00960E47" w:rsidRDefault="00E421FD" w:rsidP="0068576A">
            <w:pPr>
              <w:pStyle w:val="SingleTxtG"/>
              <w:spacing w:before="60" w:after="60" w:line="200" w:lineRule="exact"/>
              <w:ind w:left="0" w:right="0"/>
              <w:jc w:val="right"/>
              <w:rPr>
                <w:i/>
                <w:sz w:val="16"/>
                <w:szCs w:val="18"/>
                <w:lang w:val="es-ES"/>
              </w:rPr>
            </w:pPr>
            <w:r w:rsidRPr="00960E47">
              <w:rPr>
                <w:i/>
                <w:sz w:val="16"/>
                <w:szCs w:val="18"/>
                <w:lang w:val="es-ES"/>
              </w:rPr>
              <w:t>2006</w:t>
            </w:r>
          </w:p>
        </w:tc>
      </w:tr>
      <w:tr w:rsidR="00E421FD" w:rsidRPr="00960E47" w:rsidTr="0068576A">
        <w:trPr>
          <w:trHeight w:val="20"/>
        </w:trPr>
        <w:tc>
          <w:tcPr>
            <w:tcW w:w="1966" w:type="pct"/>
            <w:tcBorders>
              <w:top w:val="single" w:sz="12" w:space="0" w:color="000000"/>
            </w:tcBorders>
            <w:shd w:val="clear" w:color="auto" w:fill="auto"/>
            <w:noWrap/>
            <w:vAlign w:val="bottom"/>
          </w:tcPr>
          <w:p w:rsidR="00E421FD" w:rsidRPr="00960E47" w:rsidRDefault="00E421FD" w:rsidP="0068576A">
            <w:pPr>
              <w:pStyle w:val="SingleTxtG"/>
              <w:spacing w:before="40" w:after="40" w:line="220" w:lineRule="exact"/>
              <w:ind w:left="0" w:right="0"/>
              <w:jc w:val="left"/>
              <w:rPr>
                <w:sz w:val="18"/>
                <w:szCs w:val="18"/>
                <w:lang w:val="es-ES"/>
              </w:rPr>
            </w:pPr>
            <w:r w:rsidRPr="00960E47">
              <w:rPr>
                <w:sz w:val="18"/>
                <w:szCs w:val="18"/>
                <w:lang w:val="es-ES"/>
              </w:rPr>
              <w:t>% de población</w:t>
            </w:r>
            <w:r w:rsidR="0068576A" w:rsidRPr="00960E47">
              <w:rPr>
                <w:sz w:val="18"/>
                <w:szCs w:val="18"/>
                <w:lang w:val="es-ES"/>
              </w:rPr>
              <w:t xml:space="preserve"> </w:t>
            </w:r>
            <w:r w:rsidRPr="00960E47">
              <w:rPr>
                <w:sz w:val="18"/>
                <w:szCs w:val="18"/>
                <w:lang w:val="es-ES"/>
              </w:rPr>
              <w:t>&lt;15</w:t>
            </w:r>
          </w:p>
        </w:tc>
        <w:tc>
          <w:tcPr>
            <w:tcW w:w="669" w:type="pct"/>
            <w:tcBorders>
              <w:top w:val="single" w:sz="12" w:space="0" w:color="000000"/>
            </w:tcBorders>
            <w:shd w:val="clear" w:color="auto" w:fill="auto"/>
            <w:noWrap/>
            <w:vAlign w:val="bottom"/>
          </w:tcPr>
          <w:p w:rsidR="00E421FD" w:rsidRPr="00960E47" w:rsidRDefault="00E421FD" w:rsidP="0068576A">
            <w:pPr>
              <w:pStyle w:val="SingleTxtG"/>
              <w:spacing w:before="40" w:after="40" w:line="220" w:lineRule="exact"/>
              <w:ind w:left="0" w:right="0"/>
              <w:jc w:val="right"/>
              <w:rPr>
                <w:sz w:val="18"/>
                <w:szCs w:val="18"/>
                <w:lang w:val="es-ES"/>
              </w:rPr>
            </w:pPr>
            <w:r w:rsidRPr="00960E47">
              <w:rPr>
                <w:sz w:val="18"/>
                <w:szCs w:val="18"/>
                <w:lang w:val="es-ES"/>
              </w:rPr>
              <w:t>40,9</w:t>
            </w:r>
          </w:p>
        </w:tc>
        <w:tc>
          <w:tcPr>
            <w:tcW w:w="788" w:type="pct"/>
            <w:tcBorders>
              <w:top w:val="single" w:sz="12" w:space="0" w:color="000000"/>
            </w:tcBorders>
            <w:shd w:val="clear" w:color="auto" w:fill="auto"/>
            <w:noWrap/>
            <w:vAlign w:val="bottom"/>
          </w:tcPr>
          <w:p w:rsidR="00E421FD" w:rsidRPr="00960E47" w:rsidRDefault="00E421FD" w:rsidP="0068576A">
            <w:pPr>
              <w:pStyle w:val="SingleTxtG"/>
              <w:spacing w:before="40" w:after="40" w:line="220" w:lineRule="exact"/>
              <w:ind w:left="0" w:right="0"/>
              <w:jc w:val="right"/>
              <w:rPr>
                <w:sz w:val="18"/>
                <w:szCs w:val="18"/>
                <w:lang w:val="es-ES"/>
              </w:rPr>
            </w:pPr>
            <w:r w:rsidRPr="00960E47">
              <w:rPr>
                <w:sz w:val="18"/>
                <w:szCs w:val="18"/>
                <w:lang w:val="es-ES"/>
              </w:rPr>
              <w:t>41,5</w:t>
            </w:r>
          </w:p>
        </w:tc>
        <w:tc>
          <w:tcPr>
            <w:tcW w:w="788" w:type="pct"/>
            <w:tcBorders>
              <w:top w:val="single" w:sz="12" w:space="0" w:color="000000"/>
            </w:tcBorders>
            <w:shd w:val="clear" w:color="auto" w:fill="auto"/>
            <w:noWrap/>
            <w:vAlign w:val="bottom"/>
          </w:tcPr>
          <w:p w:rsidR="00E421FD" w:rsidRPr="00960E47" w:rsidRDefault="00E421FD" w:rsidP="0068576A">
            <w:pPr>
              <w:pStyle w:val="SingleTxtG"/>
              <w:spacing w:before="40" w:after="40" w:line="220" w:lineRule="exact"/>
              <w:ind w:left="0" w:right="0"/>
              <w:jc w:val="right"/>
              <w:rPr>
                <w:sz w:val="18"/>
                <w:szCs w:val="18"/>
                <w:lang w:val="es-ES"/>
              </w:rPr>
            </w:pPr>
            <w:r w:rsidRPr="00960E47">
              <w:rPr>
                <w:sz w:val="18"/>
                <w:szCs w:val="18"/>
                <w:lang w:val="es-ES"/>
              </w:rPr>
              <w:t>38,6</w:t>
            </w:r>
          </w:p>
        </w:tc>
        <w:tc>
          <w:tcPr>
            <w:tcW w:w="789" w:type="pct"/>
            <w:tcBorders>
              <w:top w:val="single" w:sz="12" w:space="0" w:color="000000"/>
            </w:tcBorders>
            <w:shd w:val="clear" w:color="auto" w:fill="auto"/>
            <w:noWrap/>
            <w:vAlign w:val="bottom"/>
          </w:tcPr>
          <w:p w:rsidR="00E421FD" w:rsidRPr="00960E47" w:rsidRDefault="00E421FD" w:rsidP="0068576A">
            <w:pPr>
              <w:pStyle w:val="SingleTxtG"/>
              <w:spacing w:before="40" w:after="40" w:line="220" w:lineRule="exact"/>
              <w:ind w:left="0" w:right="0"/>
              <w:jc w:val="right"/>
              <w:rPr>
                <w:sz w:val="18"/>
                <w:szCs w:val="18"/>
                <w:lang w:val="es-ES"/>
              </w:rPr>
            </w:pPr>
            <w:r w:rsidRPr="00960E47">
              <w:rPr>
                <w:sz w:val="18"/>
                <w:szCs w:val="18"/>
                <w:lang w:val="es-ES"/>
              </w:rPr>
              <w:t>34,1</w:t>
            </w:r>
          </w:p>
        </w:tc>
      </w:tr>
      <w:tr w:rsidR="00E421FD" w:rsidRPr="00960E47" w:rsidTr="0068576A">
        <w:trPr>
          <w:trHeight w:val="20"/>
        </w:trPr>
        <w:tc>
          <w:tcPr>
            <w:tcW w:w="1966" w:type="pct"/>
            <w:shd w:val="clear" w:color="auto" w:fill="auto"/>
            <w:noWrap/>
            <w:vAlign w:val="bottom"/>
          </w:tcPr>
          <w:p w:rsidR="00E421FD" w:rsidRPr="00960E47" w:rsidRDefault="00E421FD" w:rsidP="0068576A">
            <w:pPr>
              <w:pStyle w:val="SingleTxtG"/>
              <w:spacing w:before="40" w:after="40" w:line="220" w:lineRule="exact"/>
              <w:ind w:left="0" w:right="0"/>
              <w:jc w:val="left"/>
              <w:rPr>
                <w:sz w:val="18"/>
                <w:szCs w:val="18"/>
                <w:lang w:val="es-ES"/>
              </w:rPr>
            </w:pPr>
            <w:r w:rsidRPr="00960E47">
              <w:rPr>
                <w:sz w:val="18"/>
                <w:szCs w:val="18"/>
                <w:lang w:val="es-ES"/>
              </w:rPr>
              <w:t>% de población de 65 o más años</w:t>
            </w:r>
          </w:p>
        </w:tc>
        <w:tc>
          <w:tcPr>
            <w:tcW w:w="669" w:type="pct"/>
            <w:shd w:val="clear" w:color="auto" w:fill="auto"/>
            <w:noWrap/>
            <w:vAlign w:val="bottom"/>
          </w:tcPr>
          <w:p w:rsidR="00E421FD" w:rsidRPr="00960E47" w:rsidRDefault="00E421FD" w:rsidP="0068576A">
            <w:pPr>
              <w:pStyle w:val="SingleTxtG"/>
              <w:spacing w:before="40" w:after="40" w:line="220" w:lineRule="exact"/>
              <w:ind w:left="0" w:right="0"/>
              <w:jc w:val="right"/>
              <w:rPr>
                <w:sz w:val="18"/>
                <w:szCs w:val="18"/>
                <w:lang w:val="es-ES"/>
              </w:rPr>
            </w:pPr>
            <w:r w:rsidRPr="00960E47">
              <w:rPr>
                <w:sz w:val="18"/>
                <w:szCs w:val="18"/>
                <w:lang w:val="es-ES"/>
              </w:rPr>
              <w:t>5,3</w:t>
            </w:r>
          </w:p>
        </w:tc>
        <w:tc>
          <w:tcPr>
            <w:tcW w:w="788" w:type="pct"/>
            <w:shd w:val="clear" w:color="auto" w:fill="auto"/>
            <w:noWrap/>
            <w:vAlign w:val="bottom"/>
          </w:tcPr>
          <w:p w:rsidR="00E421FD" w:rsidRPr="00960E47" w:rsidRDefault="00E421FD" w:rsidP="0068576A">
            <w:pPr>
              <w:pStyle w:val="SingleTxtG"/>
              <w:spacing w:before="40" w:after="40" w:line="220" w:lineRule="exact"/>
              <w:ind w:left="0" w:right="0"/>
              <w:jc w:val="right"/>
              <w:rPr>
                <w:sz w:val="18"/>
                <w:szCs w:val="18"/>
                <w:lang w:val="es-ES"/>
              </w:rPr>
            </w:pPr>
            <w:r w:rsidRPr="00960E47">
              <w:rPr>
                <w:sz w:val="18"/>
                <w:szCs w:val="18"/>
                <w:lang w:val="es-ES"/>
              </w:rPr>
              <w:t>5,3</w:t>
            </w:r>
          </w:p>
        </w:tc>
        <w:tc>
          <w:tcPr>
            <w:tcW w:w="788" w:type="pct"/>
            <w:shd w:val="clear" w:color="auto" w:fill="auto"/>
            <w:noWrap/>
            <w:vAlign w:val="bottom"/>
          </w:tcPr>
          <w:p w:rsidR="00E421FD" w:rsidRPr="00960E47" w:rsidRDefault="00E421FD" w:rsidP="0068576A">
            <w:pPr>
              <w:pStyle w:val="SingleTxtG"/>
              <w:spacing w:before="40" w:after="40" w:line="220" w:lineRule="exact"/>
              <w:ind w:left="0" w:right="0"/>
              <w:jc w:val="right"/>
              <w:rPr>
                <w:sz w:val="18"/>
                <w:szCs w:val="18"/>
                <w:lang w:val="es-ES"/>
              </w:rPr>
            </w:pPr>
            <w:r w:rsidRPr="00960E47">
              <w:rPr>
                <w:sz w:val="18"/>
                <w:szCs w:val="18"/>
                <w:lang w:val="es-ES"/>
              </w:rPr>
              <w:t>4,9</w:t>
            </w:r>
          </w:p>
        </w:tc>
        <w:tc>
          <w:tcPr>
            <w:tcW w:w="789" w:type="pct"/>
            <w:shd w:val="clear" w:color="auto" w:fill="auto"/>
            <w:noWrap/>
            <w:vAlign w:val="bottom"/>
          </w:tcPr>
          <w:p w:rsidR="00E421FD" w:rsidRPr="00960E47" w:rsidRDefault="00E421FD" w:rsidP="0068576A">
            <w:pPr>
              <w:pStyle w:val="SingleTxtG"/>
              <w:spacing w:before="40" w:after="40" w:line="220" w:lineRule="exact"/>
              <w:ind w:left="0" w:right="0"/>
              <w:jc w:val="right"/>
              <w:rPr>
                <w:sz w:val="18"/>
                <w:szCs w:val="18"/>
                <w:lang w:val="es-ES"/>
              </w:rPr>
            </w:pPr>
            <w:r w:rsidRPr="00960E47">
              <w:rPr>
                <w:sz w:val="18"/>
                <w:szCs w:val="18"/>
                <w:lang w:val="es-ES"/>
              </w:rPr>
              <w:t>5,7</w:t>
            </w:r>
          </w:p>
        </w:tc>
      </w:tr>
      <w:tr w:rsidR="00E421FD" w:rsidRPr="00960E47" w:rsidTr="0068576A">
        <w:trPr>
          <w:trHeight w:val="20"/>
        </w:trPr>
        <w:tc>
          <w:tcPr>
            <w:tcW w:w="1966" w:type="pct"/>
            <w:shd w:val="clear" w:color="auto" w:fill="auto"/>
            <w:noWrap/>
            <w:vAlign w:val="bottom"/>
          </w:tcPr>
          <w:p w:rsidR="00E421FD" w:rsidRPr="00960E47" w:rsidRDefault="00E421FD" w:rsidP="0068576A">
            <w:pPr>
              <w:pStyle w:val="SingleTxtG"/>
              <w:spacing w:before="40" w:after="40" w:line="220" w:lineRule="exact"/>
              <w:ind w:left="0" w:right="0"/>
              <w:jc w:val="left"/>
              <w:rPr>
                <w:sz w:val="18"/>
                <w:szCs w:val="18"/>
                <w:lang w:val="es-ES"/>
              </w:rPr>
            </w:pPr>
            <w:r w:rsidRPr="00960E47">
              <w:rPr>
                <w:sz w:val="18"/>
                <w:szCs w:val="18"/>
                <w:lang w:val="es-ES"/>
              </w:rPr>
              <w:t>Índice de masculinidad general</w:t>
            </w:r>
          </w:p>
        </w:tc>
        <w:tc>
          <w:tcPr>
            <w:tcW w:w="669" w:type="pct"/>
            <w:shd w:val="clear" w:color="auto" w:fill="auto"/>
            <w:noWrap/>
            <w:vAlign w:val="bottom"/>
          </w:tcPr>
          <w:p w:rsidR="00E421FD" w:rsidRPr="00960E47" w:rsidRDefault="00E421FD" w:rsidP="0068576A">
            <w:pPr>
              <w:pStyle w:val="SingleTxtG"/>
              <w:spacing w:before="40" w:after="40" w:line="220" w:lineRule="exact"/>
              <w:ind w:left="0" w:right="0"/>
              <w:jc w:val="right"/>
              <w:rPr>
                <w:sz w:val="18"/>
                <w:szCs w:val="18"/>
                <w:lang w:val="es-ES"/>
              </w:rPr>
            </w:pPr>
            <w:r w:rsidRPr="00960E47">
              <w:rPr>
                <w:sz w:val="18"/>
                <w:szCs w:val="18"/>
                <w:lang w:val="es-ES"/>
              </w:rPr>
              <w:t>93,3</w:t>
            </w:r>
          </w:p>
        </w:tc>
        <w:tc>
          <w:tcPr>
            <w:tcW w:w="788" w:type="pct"/>
            <w:shd w:val="clear" w:color="auto" w:fill="auto"/>
            <w:noWrap/>
            <w:vAlign w:val="bottom"/>
          </w:tcPr>
          <w:p w:rsidR="00E421FD" w:rsidRPr="00960E47" w:rsidRDefault="00E421FD" w:rsidP="0068576A">
            <w:pPr>
              <w:pStyle w:val="SingleTxtG"/>
              <w:spacing w:before="40" w:after="40" w:line="220" w:lineRule="exact"/>
              <w:ind w:left="0" w:right="0"/>
              <w:jc w:val="right"/>
              <w:rPr>
                <w:sz w:val="18"/>
                <w:szCs w:val="18"/>
                <w:lang w:val="es-ES"/>
              </w:rPr>
            </w:pPr>
            <w:r w:rsidRPr="00960E47">
              <w:rPr>
                <w:sz w:val="18"/>
                <w:szCs w:val="18"/>
                <w:lang w:val="es-ES"/>
              </w:rPr>
              <w:t>95,5</w:t>
            </w:r>
          </w:p>
        </w:tc>
        <w:tc>
          <w:tcPr>
            <w:tcW w:w="788" w:type="pct"/>
            <w:shd w:val="clear" w:color="auto" w:fill="auto"/>
            <w:noWrap/>
            <w:vAlign w:val="bottom"/>
          </w:tcPr>
          <w:p w:rsidR="00E421FD" w:rsidRPr="00960E47" w:rsidRDefault="00E421FD" w:rsidP="0068576A">
            <w:pPr>
              <w:pStyle w:val="SingleTxtG"/>
              <w:spacing w:before="40" w:after="40" w:line="220" w:lineRule="exact"/>
              <w:ind w:left="0" w:right="0"/>
              <w:jc w:val="right"/>
              <w:rPr>
                <w:sz w:val="18"/>
                <w:szCs w:val="18"/>
                <w:lang w:val="es-ES"/>
              </w:rPr>
            </w:pPr>
            <w:r w:rsidRPr="00960E47">
              <w:rPr>
                <w:sz w:val="18"/>
                <w:szCs w:val="18"/>
                <w:lang w:val="es-ES"/>
              </w:rPr>
              <w:t>95,6</w:t>
            </w:r>
          </w:p>
        </w:tc>
        <w:tc>
          <w:tcPr>
            <w:tcW w:w="789" w:type="pct"/>
            <w:shd w:val="clear" w:color="auto" w:fill="auto"/>
            <w:noWrap/>
            <w:vAlign w:val="bottom"/>
          </w:tcPr>
          <w:p w:rsidR="00E421FD" w:rsidRPr="00960E47" w:rsidRDefault="00E421FD" w:rsidP="0068576A">
            <w:pPr>
              <w:pStyle w:val="SingleTxtG"/>
              <w:spacing w:before="40" w:after="40" w:line="220" w:lineRule="exact"/>
              <w:ind w:left="0" w:right="0"/>
              <w:jc w:val="right"/>
              <w:rPr>
                <w:sz w:val="18"/>
                <w:szCs w:val="18"/>
                <w:lang w:val="es-ES"/>
              </w:rPr>
            </w:pPr>
            <w:r w:rsidRPr="00960E47">
              <w:rPr>
                <w:sz w:val="18"/>
                <w:szCs w:val="18"/>
                <w:lang w:val="es-ES"/>
              </w:rPr>
              <w:t>94,7</w:t>
            </w:r>
          </w:p>
        </w:tc>
      </w:tr>
      <w:tr w:rsidR="00E421FD" w:rsidRPr="00960E47" w:rsidTr="0068576A">
        <w:trPr>
          <w:trHeight w:val="20"/>
        </w:trPr>
        <w:tc>
          <w:tcPr>
            <w:tcW w:w="1966" w:type="pct"/>
            <w:shd w:val="clear" w:color="auto" w:fill="auto"/>
            <w:noWrap/>
            <w:vAlign w:val="bottom"/>
          </w:tcPr>
          <w:p w:rsidR="00E421FD" w:rsidRPr="00960E47" w:rsidRDefault="00E421FD" w:rsidP="0068576A">
            <w:pPr>
              <w:pStyle w:val="SingleTxtG"/>
              <w:spacing w:before="40" w:after="40" w:line="220" w:lineRule="exact"/>
              <w:ind w:left="0" w:right="0"/>
              <w:jc w:val="left"/>
              <w:rPr>
                <w:sz w:val="18"/>
                <w:szCs w:val="18"/>
                <w:lang w:val="es-ES"/>
              </w:rPr>
            </w:pPr>
            <w:r w:rsidRPr="00960E47">
              <w:rPr>
                <w:sz w:val="18"/>
                <w:szCs w:val="18"/>
                <w:lang w:val="es-ES"/>
              </w:rPr>
              <w:t>Índice de masculinidad al nacer</w:t>
            </w:r>
          </w:p>
        </w:tc>
        <w:tc>
          <w:tcPr>
            <w:tcW w:w="669" w:type="pct"/>
            <w:shd w:val="clear" w:color="auto" w:fill="auto"/>
            <w:noWrap/>
            <w:vAlign w:val="bottom"/>
          </w:tcPr>
          <w:p w:rsidR="00E421FD" w:rsidRPr="00960E47" w:rsidRDefault="00E421FD" w:rsidP="0068576A">
            <w:pPr>
              <w:pStyle w:val="SingleTxtG"/>
              <w:spacing w:before="40" w:after="40" w:line="220" w:lineRule="exact"/>
              <w:ind w:left="0" w:right="0"/>
              <w:jc w:val="right"/>
              <w:rPr>
                <w:sz w:val="18"/>
                <w:szCs w:val="18"/>
                <w:lang w:val="es-ES"/>
              </w:rPr>
            </w:pPr>
          </w:p>
        </w:tc>
        <w:tc>
          <w:tcPr>
            <w:tcW w:w="788" w:type="pct"/>
            <w:shd w:val="clear" w:color="auto" w:fill="auto"/>
            <w:noWrap/>
            <w:vAlign w:val="bottom"/>
          </w:tcPr>
          <w:p w:rsidR="00E421FD" w:rsidRPr="00960E47" w:rsidRDefault="00E421FD" w:rsidP="0068576A">
            <w:pPr>
              <w:pStyle w:val="SingleTxtG"/>
              <w:spacing w:before="40" w:after="40" w:line="220" w:lineRule="exact"/>
              <w:ind w:left="0" w:right="0"/>
              <w:jc w:val="right"/>
              <w:rPr>
                <w:sz w:val="18"/>
                <w:szCs w:val="18"/>
                <w:lang w:val="es-ES"/>
              </w:rPr>
            </w:pPr>
            <w:r w:rsidRPr="00960E47">
              <w:rPr>
                <w:sz w:val="18"/>
                <w:szCs w:val="18"/>
                <w:lang w:val="es-ES"/>
              </w:rPr>
              <w:t>102,2</w:t>
            </w:r>
          </w:p>
        </w:tc>
        <w:tc>
          <w:tcPr>
            <w:tcW w:w="788" w:type="pct"/>
            <w:shd w:val="clear" w:color="auto" w:fill="auto"/>
            <w:noWrap/>
            <w:vAlign w:val="bottom"/>
          </w:tcPr>
          <w:p w:rsidR="00E421FD" w:rsidRPr="00960E47" w:rsidRDefault="00E421FD" w:rsidP="0068576A">
            <w:pPr>
              <w:pStyle w:val="SingleTxtG"/>
              <w:spacing w:before="40" w:after="40" w:line="220" w:lineRule="exact"/>
              <w:ind w:left="0" w:right="0"/>
              <w:jc w:val="right"/>
              <w:rPr>
                <w:sz w:val="18"/>
                <w:szCs w:val="18"/>
                <w:lang w:val="es-ES"/>
              </w:rPr>
            </w:pPr>
            <w:r w:rsidRPr="00960E47">
              <w:rPr>
                <w:sz w:val="18"/>
                <w:szCs w:val="18"/>
                <w:lang w:val="es-ES"/>
              </w:rPr>
              <w:t>102,4</w:t>
            </w:r>
          </w:p>
        </w:tc>
        <w:tc>
          <w:tcPr>
            <w:tcW w:w="789" w:type="pct"/>
            <w:shd w:val="clear" w:color="auto" w:fill="auto"/>
            <w:noWrap/>
            <w:vAlign w:val="bottom"/>
          </w:tcPr>
          <w:p w:rsidR="00E421FD" w:rsidRPr="00960E47" w:rsidRDefault="00E421FD" w:rsidP="0068576A">
            <w:pPr>
              <w:pStyle w:val="SingleTxtG"/>
              <w:spacing w:before="40" w:after="40" w:line="220" w:lineRule="exact"/>
              <w:ind w:left="0" w:right="0"/>
              <w:jc w:val="right"/>
              <w:rPr>
                <w:sz w:val="18"/>
                <w:szCs w:val="18"/>
                <w:lang w:val="es-ES"/>
              </w:rPr>
            </w:pPr>
            <w:r w:rsidRPr="00960E47">
              <w:rPr>
                <w:sz w:val="18"/>
                <w:szCs w:val="18"/>
                <w:lang w:val="es-ES"/>
              </w:rPr>
              <w:t>102,4</w:t>
            </w:r>
          </w:p>
        </w:tc>
      </w:tr>
      <w:tr w:rsidR="00E421FD" w:rsidRPr="00960E47" w:rsidTr="0068576A">
        <w:trPr>
          <w:trHeight w:val="20"/>
        </w:trPr>
        <w:tc>
          <w:tcPr>
            <w:tcW w:w="1966" w:type="pct"/>
            <w:shd w:val="clear" w:color="auto" w:fill="auto"/>
            <w:noWrap/>
            <w:vAlign w:val="bottom"/>
          </w:tcPr>
          <w:p w:rsidR="00E421FD" w:rsidRPr="00960E47" w:rsidRDefault="00E421FD" w:rsidP="0068576A">
            <w:pPr>
              <w:pStyle w:val="SingleTxtG"/>
              <w:spacing w:before="40" w:after="40" w:line="220" w:lineRule="exact"/>
              <w:ind w:left="0" w:right="0"/>
              <w:jc w:val="left"/>
              <w:rPr>
                <w:sz w:val="18"/>
                <w:szCs w:val="18"/>
                <w:lang w:val="es-ES"/>
              </w:rPr>
            </w:pPr>
            <w:r w:rsidRPr="00960E47">
              <w:rPr>
                <w:sz w:val="18"/>
                <w:szCs w:val="18"/>
                <w:lang w:val="es-ES"/>
              </w:rPr>
              <w:t>Tamaño medio de los hogares</w:t>
            </w:r>
          </w:p>
        </w:tc>
        <w:tc>
          <w:tcPr>
            <w:tcW w:w="669" w:type="pct"/>
            <w:shd w:val="clear" w:color="auto" w:fill="auto"/>
            <w:noWrap/>
            <w:vAlign w:val="bottom"/>
          </w:tcPr>
          <w:p w:rsidR="00E421FD" w:rsidRPr="00960E47" w:rsidRDefault="00E421FD" w:rsidP="0068576A">
            <w:pPr>
              <w:pStyle w:val="SingleTxtG"/>
              <w:spacing w:before="40" w:after="40" w:line="220" w:lineRule="exact"/>
              <w:ind w:left="0" w:right="0"/>
              <w:jc w:val="right"/>
              <w:rPr>
                <w:sz w:val="18"/>
                <w:szCs w:val="18"/>
                <w:lang w:val="es-ES"/>
              </w:rPr>
            </w:pPr>
            <w:r w:rsidRPr="00960E47">
              <w:rPr>
                <w:sz w:val="18"/>
                <w:szCs w:val="18"/>
                <w:lang w:val="es-ES"/>
              </w:rPr>
              <w:t>5,0</w:t>
            </w:r>
          </w:p>
        </w:tc>
        <w:tc>
          <w:tcPr>
            <w:tcW w:w="788" w:type="pct"/>
            <w:shd w:val="clear" w:color="auto" w:fill="auto"/>
            <w:noWrap/>
            <w:vAlign w:val="bottom"/>
          </w:tcPr>
          <w:p w:rsidR="00E421FD" w:rsidRPr="00960E47" w:rsidRDefault="00E421FD" w:rsidP="0068576A">
            <w:pPr>
              <w:pStyle w:val="SingleTxtG"/>
              <w:spacing w:before="40" w:after="40" w:line="220" w:lineRule="exact"/>
              <w:ind w:left="0" w:right="0"/>
              <w:jc w:val="right"/>
              <w:rPr>
                <w:sz w:val="18"/>
                <w:szCs w:val="18"/>
                <w:lang w:val="es-ES"/>
              </w:rPr>
            </w:pPr>
            <w:r w:rsidRPr="00960E47">
              <w:rPr>
                <w:sz w:val="18"/>
                <w:szCs w:val="18"/>
                <w:lang w:val="es-ES"/>
              </w:rPr>
              <w:t>5,1</w:t>
            </w:r>
          </w:p>
        </w:tc>
        <w:tc>
          <w:tcPr>
            <w:tcW w:w="788" w:type="pct"/>
            <w:shd w:val="clear" w:color="auto" w:fill="auto"/>
            <w:noWrap/>
            <w:vAlign w:val="bottom"/>
          </w:tcPr>
          <w:p w:rsidR="00E421FD" w:rsidRPr="00960E47" w:rsidRDefault="00E421FD" w:rsidP="0068576A">
            <w:pPr>
              <w:pStyle w:val="SingleTxtG"/>
              <w:spacing w:before="40" w:after="40" w:line="220" w:lineRule="exact"/>
              <w:ind w:left="0" w:right="0"/>
              <w:jc w:val="right"/>
              <w:rPr>
                <w:sz w:val="18"/>
                <w:szCs w:val="18"/>
                <w:lang w:val="es-ES"/>
              </w:rPr>
            </w:pPr>
            <w:r w:rsidRPr="00960E47">
              <w:rPr>
                <w:sz w:val="18"/>
                <w:szCs w:val="18"/>
                <w:lang w:val="es-ES"/>
              </w:rPr>
              <w:t>5,0</w:t>
            </w:r>
          </w:p>
        </w:tc>
        <w:tc>
          <w:tcPr>
            <w:tcW w:w="789" w:type="pct"/>
            <w:shd w:val="clear" w:color="auto" w:fill="auto"/>
            <w:noWrap/>
            <w:vAlign w:val="bottom"/>
          </w:tcPr>
          <w:p w:rsidR="00E421FD" w:rsidRPr="00960E47" w:rsidRDefault="00E421FD" w:rsidP="0068576A">
            <w:pPr>
              <w:pStyle w:val="SingleTxtG"/>
              <w:spacing w:before="40" w:after="40" w:line="220" w:lineRule="exact"/>
              <w:ind w:left="0" w:right="0"/>
              <w:jc w:val="right"/>
              <w:rPr>
                <w:sz w:val="18"/>
                <w:szCs w:val="18"/>
                <w:lang w:val="es-ES"/>
              </w:rPr>
            </w:pPr>
            <w:r w:rsidRPr="00960E47">
              <w:rPr>
                <w:sz w:val="18"/>
                <w:szCs w:val="18"/>
                <w:lang w:val="es-ES"/>
              </w:rPr>
              <w:t>4,4</w:t>
            </w:r>
          </w:p>
        </w:tc>
      </w:tr>
      <w:tr w:rsidR="00E421FD" w:rsidRPr="00960E47" w:rsidTr="0068576A">
        <w:trPr>
          <w:trHeight w:val="20"/>
        </w:trPr>
        <w:tc>
          <w:tcPr>
            <w:tcW w:w="1966" w:type="pct"/>
            <w:shd w:val="clear" w:color="auto" w:fill="auto"/>
            <w:noWrap/>
            <w:vAlign w:val="bottom"/>
          </w:tcPr>
          <w:p w:rsidR="00E421FD" w:rsidRPr="00960E47" w:rsidRDefault="00E421FD" w:rsidP="0068576A">
            <w:pPr>
              <w:pStyle w:val="SingleTxtG"/>
              <w:spacing w:before="40" w:after="40" w:line="220" w:lineRule="exact"/>
              <w:ind w:left="0" w:right="0"/>
              <w:jc w:val="left"/>
              <w:rPr>
                <w:sz w:val="18"/>
                <w:szCs w:val="18"/>
                <w:lang w:val="es-ES"/>
              </w:rPr>
            </w:pPr>
            <w:r w:rsidRPr="00960E47">
              <w:rPr>
                <w:sz w:val="18"/>
                <w:szCs w:val="18"/>
                <w:lang w:val="es-ES"/>
              </w:rPr>
              <w:t>% de</w:t>
            </w:r>
            <w:r w:rsidR="0068576A" w:rsidRPr="00960E47">
              <w:rPr>
                <w:sz w:val="18"/>
                <w:szCs w:val="18"/>
                <w:lang w:val="es-ES"/>
              </w:rPr>
              <w:t xml:space="preserve"> población en las zonas urbanas</w:t>
            </w:r>
          </w:p>
        </w:tc>
        <w:tc>
          <w:tcPr>
            <w:tcW w:w="669" w:type="pct"/>
            <w:shd w:val="clear" w:color="auto" w:fill="auto"/>
            <w:noWrap/>
            <w:vAlign w:val="bottom"/>
          </w:tcPr>
          <w:p w:rsidR="00E421FD" w:rsidRPr="00960E47" w:rsidRDefault="00E421FD" w:rsidP="0068576A">
            <w:pPr>
              <w:pStyle w:val="SingleTxtG"/>
              <w:spacing w:before="40" w:after="40" w:line="220" w:lineRule="exact"/>
              <w:ind w:left="0" w:right="0"/>
              <w:jc w:val="right"/>
              <w:rPr>
                <w:sz w:val="18"/>
                <w:szCs w:val="18"/>
                <w:lang w:val="es-ES"/>
              </w:rPr>
            </w:pPr>
            <w:r w:rsidRPr="00960E47">
              <w:rPr>
                <w:sz w:val="18"/>
                <w:szCs w:val="18"/>
                <w:lang w:val="es-ES"/>
              </w:rPr>
              <w:t>11,5</w:t>
            </w:r>
          </w:p>
        </w:tc>
        <w:tc>
          <w:tcPr>
            <w:tcW w:w="788" w:type="pct"/>
            <w:shd w:val="clear" w:color="auto" w:fill="auto"/>
            <w:noWrap/>
            <w:vAlign w:val="bottom"/>
          </w:tcPr>
          <w:p w:rsidR="00E421FD" w:rsidRPr="00960E47" w:rsidRDefault="00E421FD" w:rsidP="0068576A">
            <w:pPr>
              <w:pStyle w:val="SingleTxtG"/>
              <w:spacing w:before="40" w:after="40" w:line="220" w:lineRule="exact"/>
              <w:ind w:left="0" w:right="0"/>
              <w:jc w:val="right"/>
              <w:rPr>
                <w:sz w:val="18"/>
                <w:szCs w:val="18"/>
                <w:lang w:val="es-ES"/>
              </w:rPr>
            </w:pPr>
            <w:r w:rsidRPr="00960E47">
              <w:rPr>
                <w:sz w:val="18"/>
                <w:szCs w:val="18"/>
                <w:lang w:val="es-ES"/>
              </w:rPr>
              <w:t>15,0</w:t>
            </w:r>
          </w:p>
        </w:tc>
        <w:tc>
          <w:tcPr>
            <w:tcW w:w="788" w:type="pct"/>
            <w:shd w:val="clear" w:color="auto" w:fill="auto"/>
            <w:noWrap/>
            <w:vAlign w:val="bottom"/>
          </w:tcPr>
          <w:p w:rsidR="00E421FD" w:rsidRPr="00960E47" w:rsidRDefault="00E421FD" w:rsidP="0068576A">
            <w:pPr>
              <w:pStyle w:val="SingleTxtG"/>
              <w:spacing w:before="40" w:after="40" w:line="220" w:lineRule="exact"/>
              <w:ind w:left="0" w:right="0"/>
              <w:jc w:val="right"/>
              <w:rPr>
                <w:sz w:val="18"/>
                <w:szCs w:val="18"/>
                <w:lang w:val="es-ES"/>
              </w:rPr>
            </w:pPr>
            <w:r w:rsidRPr="00960E47">
              <w:rPr>
                <w:sz w:val="18"/>
                <w:szCs w:val="18"/>
                <w:lang w:val="es-ES"/>
              </w:rPr>
              <w:t>17,1</w:t>
            </w:r>
          </w:p>
        </w:tc>
        <w:tc>
          <w:tcPr>
            <w:tcW w:w="789" w:type="pct"/>
            <w:shd w:val="clear" w:color="auto" w:fill="auto"/>
            <w:noWrap/>
            <w:vAlign w:val="bottom"/>
          </w:tcPr>
          <w:p w:rsidR="00E421FD" w:rsidRPr="00960E47" w:rsidRDefault="00E421FD" w:rsidP="0068576A">
            <w:pPr>
              <w:pStyle w:val="SingleTxtG"/>
              <w:spacing w:before="40" w:after="40" w:line="220" w:lineRule="exact"/>
              <w:ind w:left="0" w:right="0"/>
              <w:jc w:val="right"/>
              <w:rPr>
                <w:sz w:val="18"/>
                <w:szCs w:val="18"/>
                <w:lang w:val="es-ES"/>
              </w:rPr>
            </w:pPr>
            <w:r w:rsidRPr="00960E47">
              <w:rPr>
                <w:sz w:val="18"/>
                <w:szCs w:val="18"/>
                <w:lang w:val="es-ES"/>
              </w:rPr>
              <w:t>22,6</w:t>
            </w:r>
          </w:p>
        </w:tc>
      </w:tr>
      <w:tr w:rsidR="00E421FD" w:rsidRPr="00960E47" w:rsidTr="0068576A">
        <w:trPr>
          <w:trHeight w:val="20"/>
        </w:trPr>
        <w:tc>
          <w:tcPr>
            <w:tcW w:w="1966" w:type="pct"/>
            <w:tcBorders>
              <w:bottom w:val="single" w:sz="12" w:space="0" w:color="000000"/>
            </w:tcBorders>
            <w:shd w:val="clear" w:color="auto" w:fill="auto"/>
            <w:noWrap/>
            <w:vAlign w:val="bottom"/>
          </w:tcPr>
          <w:p w:rsidR="00E421FD" w:rsidRPr="00960E47" w:rsidRDefault="00E421FD" w:rsidP="0068576A">
            <w:pPr>
              <w:pStyle w:val="SingleTxtG"/>
              <w:spacing w:before="40" w:after="40" w:line="220" w:lineRule="exact"/>
              <w:ind w:left="0" w:right="0"/>
              <w:jc w:val="left"/>
              <w:rPr>
                <w:sz w:val="18"/>
                <w:szCs w:val="18"/>
                <w:lang w:val="es-ES"/>
              </w:rPr>
            </w:pPr>
            <w:r w:rsidRPr="00960E47">
              <w:rPr>
                <w:sz w:val="18"/>
                <w:szCs w:val="18"/>
                <w:lang w:val="es-ES"/>
              </w:rPr>
              <w:t xml:space="preserve">Relación de personas a cargo </w:t>
            </w:r>
          </w:p>
        </w:tc>
        <w:tc>
          <w:tcPr>
            <w:tcW w:w="669" w:type="pct"/>
            <w:tcBorders>
              <w:bottom w:val="single" w:sz="12" w:space="0" w:color="000000"/>
            </w:tcBorders>
            <w:shd w:val="clear" w:color="auto" w:fill="auto"/>
            <w:noWrap/>
            <w:vAlign w:val="bottom"/>
          </w:tcPr>
          <w:p w:rsidR="00E421FD" w:rsidRPr="00960E47" w:rsidRDefault="00E421FD" w:rsidP="0068576A">
            <w:pPr>
              <w:pStyle w:val="SingleTxtG"/>
              <w:spacing w:before="40" w:after="40" w:line="220" w:lineRule="exact"/>
              <w:ind w:left="0" w:right="0"/>
              <w:jc w:val="right"/>
              <w:rPr>
                <w:sz w:val="18"/>
                <w:szCs w:val="18"/>
                <w:lang w:val="es-ES"/>
              </w:rPr>
            </w:pPr>
            <w:r w:rsidRPr="00960E47">
              <w:rPr>
                <w:sz w:val="18"/>
                <w:szCs w:val="18"/>
                <w:lang w:val="es-ES"/>
              </w:rPr>
              <w:t>45,2</w:t>
            </w:r>
          </w:p>
        </w:tc>
        <w:tc>
          <w:tcPr>
            <w:tcW w:w="788" w:type="pct"/>
            <w:tcBorders>
              <w:bottom w:val="single" w:sz="12" w:space="0" w:color="000000"/>
            </w:tcBorders>
            <w:shd w:val="clear" w:color="auto" w:fill="auto"/>
            <w:noWrap/>
            <w:vAlign w:val="bottom"/>
          </w:tcPr>
          <w:p w:rsidR="00E421FD" w:rsidRPr="00960E47" w:rsidRDefault="00E421FD" w:rsidP="0068576A">
            <w:pPr>
              <w:pStyle w:val="SingleTxtG"/>
              <w:spacing w:before="40" w:after="40" w:line="220" w:lineRule="exact"/>
              <w:ind w:left="0" w:right="0"/>
              <w:jc w:val="right"/>
              <w:rPr>
                <w:sz w:val="18"/>
                <w:szCs w:val="18"/>
                <w:lang w:val="es-ES"/>
              </w:rPr>
            </w:pPr>
            <w:r w:rsidRPr="00960E47">
              <w:rPr>
                <w:sz w:val="18"/>
                <w:szCs w:val="18"/>
                <w:lang w:val="es-ES"/>
              </w:rPr>
              <w:t>46,4</w:t>
            </w:r>
          </w:p>
        </w:tc>
        <w:tc>
          <w:tcPr>
            <w:tcW w:w="788" w:type="pct"/>
            <w:tcBorders>
              <w:bottom w:val="single" w:sz="12" w:space="0" w:color="000000"/>
            </w:tcBorders>
            <w:shd w:val="clear" w:color="auto" w:fill="auto"/>
            <w:noWrap/>
            <w:vAlign w:val="bottom"/>
          </w:tcPr>
          <w:p w:rsidR="00E421FD" w:rsidRPr="00960E47" w:rsidRDefault="00E421FD" w:rsidP="0068576A">
            <w:pPr>
              <w:pStyle w:val="SingleTxtG"/>
              <w:spacing w:before="40" w:after="40" w:line="220" w:lineRule="exact"/>
              <w:ind w:left="0" w:right="0"/>
              <w:jc w:val="right"/>
              <w:rPr>
                <w:sz w:val="18"/>
                <w:szCs w:val="18"/>
                <w:lang w:val="es-ES"/>
              </w:rPr>
            </w:pPr>
            <w:r w:rsidRPr="00960E47">
              <w:rPr>
                <w:sz w:val="18"/>
                <w:szCs w:val="18"/>
                <w:lang w:val="es-ES"/>
              </w:rPr>
              <w:t>43,0</w:t>
            </w:r>
          </w:p>
        </w:tc>
        <w:tc>
          <w:tcPr>
            <w:tcW w:w="789" w:type="pct"/>
            <w:tcBorders>
              <w:bottom w:val="single" w:sz="12" w:space="0" w:color="000000"/>
            </w:tcBorders>
            <w:shd w:val="clear" w:color="auto" w:fill="auto"/>
            <w:noWrap/>
            <w:vAlign w:val="bottom"/>
          </w:tcPr>
          <w:p w:rsidR="00E421FD" w:rsidRPr="00960E47" w:rsidRDefault="00E421FD" w:rsidP="0068576A">
            <w:pPr>
              <w:pStyle w:val="SingleTxtG"/>
              <w:spacing w:before="40" w:after="40" w:line="220" w:lineRule="exact"/>
              <w:ind w:left="0" w:right="0"/>
              <w:jc w:val="right"/>
              <w:rPr>
                <w:sz w:val="18"/>
                <w:szCs w:val="18"/>
                <w:lang w:val="es-ES"/>
              </w:rPr>
            </w:pPr>
            <w:r w:rsidRPr="00960E47">
              <w:rPr>
                <w:sz w:val="18"/>
                <w:szCs w:val="18"/>
                <w:lang w:val="es-ES"/>
              </w:rPr>
              <w:t>40,0</w:t>
            </w:r>
          </w:p>
        </w:tc>
      </w:tr>
    </w:tbl>
    <w:p w:rsidR="00763481" w:rsidRPr="00960E47" w:rsidRDefault="00E421FD" w:rsidP="00BD2CEB">
      <w:pPr>
        <w:pStyle w:val="Heading1"/>
        <w:spacing w:before="240"/>
        <w:rPr>
          <w:rFonts w:eastAsia="Calibri"/>
          <w:lang w:val="es-ES"/>
        </w:rPr>
      </w:pPr>
      <w:r w:rsidRPr="00960E47">
        <w:rPr>
          <w:lang w:val="es-ES"/>
        </w:rPr>
        <w:t xml:space="preserve">Cuadro </w:t>
      </w:r>
      <w:r w:rsidRPr="00960E47">
        <w:rPr>
          <w:rFonts w:eastAsia="Calibri"/>
          <w:lang w:val="es-ES"/>
        </w:rPr>
        <w:t>2.3</w:t>
      </w:r>
    </w:p>
    <w:p w:rsidR="00E421FD" w:rsidRPr="00960E47" w:rsidRDefault="00E421FD" w:rsidP="00BD2CEB">
      <w:pPr>
        <w:pStyle w:val="SingleTxtG"/>
        <w:jc w:val="left"/>
        <w:rPr>
          <w:rFonts w:eastAsia="Calibri"/>
          <w:b/>
          <w:lang w:val="es-ES"/>
        </w:rPr>
      </w:pPr>
      <w:r w:rsidRPr="00960E47">
        <w:rPr>
          <w:rFonts w:eastAsia="Calibri"/>
          <w:b/>
          <w:lang w:val="es-ES"/>
        </w:rPr>
        <w:t xml:space="preserve">Distribución porcentual de la población de menos de </w:t>
      </w:r>
      <w:r w:rsidR="000B2D2D" w:rsidRPr="00960E47">
        <w:rPr>
          <w:rFonts w:eastAsia="Calibri"/>
          <w:b/>
          <w:lang w:val="es-ES"/>
        </w:rPr>
        <w:t>10 años de edad, por sexo: 1986</w:t>
      </w:r>
      <w:r w:rsidR="000B2D2D" w:rsidRPr="00960E47">
        <w:rPr>
          <w:rFonts w:eastAsia="Calibri"/>
          <w:b/>
          <w:lang w:val="es-ES"/>
        </w:rPr>
        <w:noBreakHyphen/>
      </w:r>
      <w:r w:rsidRPr="00960E47">
        <w:rPr>
          <w:rFonts w:eastAsia="Calibri"/>
          <w:b/>
          <w:lang w:val="es-ES"/>
        </w:rPr>
        <w:t>2006</w:t>
      </w:r>
    </w:p>
    <w:tbl>
      <w:tblPr>
        <w:tblW w:w="8507" w:type="dxa"/>
        <w:tblInd w:w="1134" w:type="dxa"/>
        <w:tblBorders>
          <w:top w:val="single" w:sz="4" w:space="0" w:color="auto"/>
        </w:tblBorders>
        <w:tblLayout w:type="fixed"/>
        <w:tblCellMar>
          <w:left w:w="0" w:type="dxa"/>
          <w:right w:w="0" w:type="dxa"/>
        </w:tblCellMar>
        <w:tblLook w:val="04A0"/>
      </w:tblPr>
      <w:tblGrid>
        <w:gridCol w:w="868"/>
        <w:gridCol w:w="774"/>
        <w:gridCol w:w="858"/>
        <w:gridCol w:w="858"/>
        <w:gridCol w:w="114"/>
        <w:gridCol w:w="744"/>
        <w:gridCol w:w="858"/>
        <w:gridCol w:w="858"/>
        <w:gridCol w:w="115"/>
        <w:gridCol w:w="743"/>
        <w:gridCol w:w="858"/>
        <w:gridCol w:w="859"/>
      </w:tblGrid>
      <w:tr w:rsidR="004E4234" w:rsidRPr="00960E47" w:rsidTr="00FA7460">
        <w:trPr>
          <w:tblHeader/>
        </w:trPr>
        <w:tc>
          <w:tcPr>
            <w:tcW w:w="868" w:type="dxa"/>
            <w:vMerge w:val="restart"/>
            <w:tcBorders>
              <w:top w:val="single" w:sz="4" w:space="0" w:color="000000"/>
            </w:tcBorders>
            <w:shd w:val="clear" w:color="auto" w:fill="auto"/>
            <w:noWrap/>
            <w:vAlign w:val="bottom"/>
          </w:tcPr>
          <w:p w:rsidR="004E4234" w:rsidRPr="00960E47" w:rsidRDefault="004E4234" w:rsidP="004E4234">
            <w:pPr>
              <w:pStyle w:val="SingleTxtG"/>
              <w:spacing w:before="80" w:after="80" w:line="200" w:lineRule="exact"/>
              <w:ind w:left="0" w:right="0"/>
              <w:jc w:val="left"/>
              <w:rPr>
                <w:rFonts w:eastAsia="Calibri"/>
                <w:i/>
                <w:sz w:val="16"/>
                <w:szCs w:val="18"/>
                <w:lang w:val="es-ES"/>
              </w:rPr>
            </w:pPr>
            <w:r w:rsidRPr="00960E47">
              <w:rPr>
                <w:rFonts w:eastAsia="Calibri"/>
                <w:i/>
                <w:sz w:val="16"/>
                <w:szCs w:val="18"/>
                <w:lang w:val="es-ES"/>
              </w:rPr>
              <w:t xml:space="preserve">Edad </w:t>
            </w:r>
            <w:r w:rsidRPr="00960E47">
              <w:rPr>
                <w:rFonts w:eastAsia="Calibri"/>
                <w:i/>
                <w:sz w:val="16"/>
                <w:szCs w:val="18"/>
                <w:lang w:val="es-ES"/>
              </w:rPr>
              <w:br/>
              <w:t>(años)</w:t>
            </w:r>
          </w:p>
        </w:tc>
        <w:tc>
          <w:tcPr>
            <w:tcW w:w="2490" w:type="dxa"/>
            <w:gridSpan w:val="3"/>
            <w:tcBorders>
              <w:top w:val="single" w:sz="4" w:space="0" w:color="000000"/>
              <w:bottom w:val="single" w:sz="4" w:space="0" w:color="000000"/>
            </w:tcBorders>
            <w:shd w:val="clear" w:color="auto" w:fill="auto"/>
            <w:noWrap/>
          </w:tcPr>
          <w:p w:rsidR="004E4234" w:rsidRPr="00960E47" w:rsidRDefault="004E4234" w:rsidP="00010657">
            <w:pPr>
              <w:pStyle w:val="SingleTxtG"/>
              <w:spacing w:before="80" w:after="80" w:line="200" w:lineRule="exact"/>
              <w:ind w:left="0" w:right="0"/>
              <w:jc w:val="center"/>
              <w:rPr>
                <w:rFonts w:eastAsia="Calibri"/>
                <w:i/>
                <w:sz w:val="16"/>
                <w:szCs w:val="18"/>
                <w:lang w:val="es-ES"/>
              </w:rPr>
            </w:pPr>
            <w:r w:rsidRPr="00960E47">
              <w:rPr>
                <w:rFonts w:eastAsia="Calibri"/>
                <w:i/>
                <w:sz w:val="16"/>
                <w:szCs w:val="18"/>
                <w:lang w:val="es-ES"/>
              </w:rPr>
              <w:t>1986</w:t>
            </w:r>
          </w:p>
        </w:tc>
        <w:tc>
          <w:tcPr>
            <w:tcW w:w="114" w:type="dxa"/>
            <w:tcBorders>
              <w:top w:val="single" w:sz="4" w:space="0" w:color="000000"/>
              <w:bottom w:val="nil"/>
            </w:tcBorders>
            <w:shd w:val="clear" w:color="auto" w:fill="auto"/>
            <w:noWrap/>
          </w:tcPr>
          <w:p w:rsidR="004E4234" w:rsidRPr="00960E47" w:rsidRDefault="004E4234" w:rsidP="00010657">
            <w:pPr>
              <w:pStyle w:val="SingleTxtG"/>
              <w:spacing w:before="80" w:after="80" w:line="200" w:lineRule="exact"/>
              <w:ind w:left="0" w:right="0"/>
              <w:jc w:val="center"/>
              <w:rPr>
                <w:rFonts w:eastAsia="Calibri"/>
                <w:i/>
                <w:sz w:val="16"/>
                <w:szCs w:val="18"/>
                <w:lang w:val="es-ES"/>
              </w:rPr>
            </w:pPr>
          </w:p>
        </w:tc>
        <w:tc>
          <w:tcPr>
            <w:tcW w:w="2460" w:type="dxa"/>
            <w:gridSpan w:val="3"/>
            <w:tcBorders>
              <w:top w:val="single" w:sz="4" w:space="0" w:color="000000"/>
              <w:bottom w:val="single" w:sz="4" w:space="0" w:color="000000"/>
            </w:tcBorders>
            <w:shd w:val="clear" w:color="auto" w:fill="auto"/>
          </w:tcPr>
          <w:p w:rsidR="004E4234" w:rsidRPr="00960E47" w:rsidRDefault="004E4234" w:rsidP="00010657">
            <w:pPr>
              <w:pStyle w:val="SingleTxtG"/>
              <w:spacing w:before="80" w:after="80" w:line="200" w:lineRule="exact"/>
              <w:ind w:left="0" w:right="0"/>
              <w:jc w:val="center"/>
              <w:rPr>
                <w:rFonts w:eastAsia="Calibri"/>
                <w:i/>
                <w:sz w:val="16"/>
                <w:szCs w:val="18"/>
                <w:lang w:val="es-ES"/>
              </w:rPr>
            </w:pPr>
            <w:r w:rsidRPr="00960E47">
              <w:rPr>
                <w:rFonts w:eastAsia="Calibri"/>
                <w:i/>
                <w:sz w:val="16"/>
                <w:szCs w:val="18"/>
                <w:lang w:val="es-ES"/>
              </w:rPr>
              <w:t>1996</w:t>
            </w:r>
          </w:p>
        </w:tc>
        <w:tc>
          <w:tcPr>
            <w:tcW w:w="115" w:type="dxa"/>
            <w:tcBorders>
              <w:top w:val="single" w:sz="4" w:space="0" w:color="000000"/>
              <w:bottom w:val="nil"/>
            </w:tcBorders>
            <w:shd w:val="clear" w:color="auto" w:fill="auto"/>
            <w:noWrap/>
          </w:tcPr>
          <w:p w:rsidR="004E4234" w:rsidRPr="00960E47" w:rsidRDefault="004E4234" w:rsidP="00010657">
            <w:pPr>
              <w:pStyle w:val="SingleTxtG"/>
              <w:spacing w:before="80" w:after="80" w:line="200" w:lineRule="exact"/>
              <w:ind w:left="0" w:right="0"/>
              <w:jc w:val="center"/>
              <w:rPr>
                <w:rFonts w:eastAsia="Calibri"/>
                <w:i/>
                <w:sz w:val="16"/>
                <w:szCs w:val="18"/>
                <w:lang w:val="es-ES"/>
              </w:rPr>
            </w:pPr>
          </w:p>
        </w:tc>
        <w:tc>
          <w:tcPr>
            <w:tcW w:w="2460" w:type="dxa"/>
            <w:gridSpan w:val="3"/>
            <w:tcBorders>
              <w:top w:val="single" w:sz="4" w:space="0" w:color="000000"/>
              <w:bottom w:val="single" w:sz="4" w:space="0" w:color="000000"/>
            </w:tcBorders>
            <w:shd w:val="clear" w:color="auto" w:fill="auto"/>
          </w:tcPr>
          <w:p w:rsidR="004E4234" w:rsidRPr="00960E47" w:rsidRDefault="004E4234" w:rsidP="00010657">
            <w:pPr>
              <w:pStyle w:val="SingleTxtG"/>
              <w:spacing w:before="80" w:after="80" w:line="200" w:lineRule="exact"/>
              <w:ind w:left="0" w:right="0"/>
              <w:jc w:val="center"/>
              <w:rPr>
                <w:rFonts w:eastAsia="Calibri"/>
                <w:i/>
                <w:sz w:val="16"/>
                <w:szCs w:val="18"/>
                <w:lang w:val="es-ES"/>
              </w:rPr>
            </w:pPr>
            <w:r w:rsidRPr="00960E47">
              <w:rPr>
                <w:rFonts w:eastAsia="Calibri"/>
                <w:i/>
                <w:sz w:val="16"/>
                <w:szCs w:val="18"/>
                <w:lang w:val="es-ES"/>
              </w:rPr>
              <w:t>2006</w:t>
            </w:r>
          </w:p>
        </w:tc>
      </w:tr>
      <w:tr w:rsidR="004E4234" w:rsidRPr="00960E47" w:rsidTr="00FA7460">
        <w:trPr>
          <w:tblHeader/>
        </w:trPr>
        <w:tc>
          <w:tcPr>
            <w:tcW w:w="868" w:type="dxa"/>
            <w:vMerge/>
            <w:tcBorders>
              <w:bottom w:val="single" w:sz="12" w:space="0" w:color="000000"/>
            </w:tcBorders>
            <w:shd w:val="clear" w:color="auto" w:fill="auto"/>
            <w:noWrap/>
            <w:vAlign w:val="bottom"/>
          </w:tcPr>
          <w:p w:rsidR="004E4234" w:rsidRPr="00960E47" w:rsidRDefault="004E4234" w:rsidP="004E4234">
            <w:pPr>
              <w:pStyle w:val="SingleTxtG"/>
              <w:spacing w:before="80" w:after="80" w:line="200" w:lineRule="exact"/>
              <w:ind w:left="0" w:right="0"/>
              <w:jc w:val="left"/>
              <w:rPr>
                <w:rFonts w:eastAsia="Calibri"/>
                <w:i/>
                <w:sz w:val="16"/>
                <w:szCs w:val="18"/>
                <w:lang w:val="es-ES"/>
              </w:rPr>
            </w:pPr>
          </w:p>
        </w:tc>
        <w:tc>
          <w:tcPr>
            <w:tcW w:w="774" w:type="dxa"/>
            <w:tcBorders>
              <w:top w:val="single" w:sz="4" w:space="0" w:color="000000"/>
              <w:bottom w:val="single" w:sz="12" w:space="0" w:color="000000"/>
            </w:tcBorders>
            <w:shd w:val="clear" w:color="auto" w:fill="auto"/>
            <w:noWrap/>
            <w:vAlign w:val="bottom"/>
          </w:tcPr>
          <w:p w:rsidR="004E4234" w:rsidRPr="00960E47" w:rsidRDefault="004E4234" w:rsidP="00010657">
            <w:pPr>
              <w:pStyle w:val="SingleTxtG"/>
              <w:spacing w:before="80" w:after="80" w:line="200" w:lineRule="exact"/>
              <w:ind w:left="0" w:right="0"/>
              <w:jc w:val="right"/>
              <w:rPr>
                <w:rFonts w:eastAsia="Calibri"/>
                <w:b/>
                <w:i/>
                <w:sz w:val="16"/>
                <w:szCs w:val="18"/>
                <w:lang w:val="es-ES"/>
              </w:rPr>
            </w:pPr>
            <w:r w:rsidRPr="00960E47">
              <w:rPr>
                <w:rFonts w:eastAsia="Calibri"/>
                <w:b/>
                <w:i/>
                <w:sz w:val="16"/>
                <w:szCs w:val="18"/>
                <w:lang w:val="es-ES"/>
              </w:rPr>
              <w:t>Total</w:t>
            </w:r>
          </w:p>
        </w:tc>
        <w:tc>
          <w:tcPr>
            <w:tcW w:w="858" w:type="dxa"/>
            <w:tcBorders>
              <w:top w:val="single" w:sz="4" w:space="0" w:color="000000"/>
              <w:bottom w:val="single" w:sz="12" w:space="0" w:color="000000"/>
            </w:tcBorders>
            <w:shd w:val="clear" w:color="auto" w:fill="auto"/>
            <w:noWrap/>
            <w:vAlign w:val="bottom"/>
          </w:tcPr>
          <w:p w:rsidR="004E4234" w:rsidRPr="00960E47" w:rsidRDefault="004E4234" w:rsidP="00010657">
            <w:pPr>
              <w:pStyle w:val="SingleTxtG"/>
              <w:spacing w:before="80" w:after="80" w:line="200" w:lineRule="exact"/>
              <w:ind w:left="0" w:right="0"/>
              <w:jc w:val="right"/>
              <w:rPr>
                <w:rFonts w:eastAsia="Calibri"/>
                <w:i/>
                <w:sz w:val="16"/>
                <w:szCs w:val="18"/>
                <w:lang w:val="es-ES"/>
              </w:rPr>
            </w:pPr>
            <w:r w:rsidRPr="00960E47">
              <w:rPr>
                <w:rFonts w:eastAsia="Calibri"/>
                <w:i/>
                <w:sz w:val="16"/>
                <w:szCs w:val="18"/>
                <w:lang w:val="es-ES"/>
              </w:rPr>
              <w:t>Varones</w:t>
            </w:r>
          </w:p>
        </w:tc>
        <w:tc>
          <w:tcPr>
            <w:tcW w:w="858" w:type="dxa"/>
            <w:tcBorders>
              <w:top w:val="single" w:sz="4" w:space="0" w:color="000000"/>
              <w:bottom w:val="single" w:sz="12" w:space="0" w:color="000000"/>
            </w:tcBorders>
            <w:shd w:val="clear" w:color="auto" w:fill="auto"/>
            <w:noWrap/>
            <w:vAlign w:val="bottom"/>
          </w:tcPr>
          <w:p w:rsidR="004E4234" w:rsidRPr="00960E47" w:rsidRDefault="004E4234" w:rsidP="00010657">
            <w:pPr>
              <w:pStyle w:val="SingleTxtG"/>
              <w:spacing w:before="80" w:after="80" w:line="200" w:lineRule="exact"/>
              <w:ind w:left="0" w:right="0"/>
              <w:jc w:val="right"/>
              <w:rPr>
                <w:rFonts w:eastAsia="Calibri"/>
                <w:i/>
                <w:sz w:val="16"/>
                <w:szCs w:val="18"/>
                <w:lang w:val="es-ES"/>
              </w:rPr>
            </w:pPr>
            <w:r w:rsidRPr="00960E47">
              <w:rPr>
                <w:rFonts w:eastAsia="Calibri"/>
                <w:i/>
                <w:sz w:val="16"/>
                <w:szCs w:val="18"/>
                <w:lang w:val="es-ES"/>
              </w:rPr>
              <w:t>Mujeres</w:t>
            </w:r>
          </w:p>
        </w:tc>
        <w:tc>
          <w:tcPr>
            <w:tcW w:w="114" w:type="dxa"/>
            <w:tcBorders>
              <w:top w:val="nil"/>
              <w:bottom w:val="single" w:sz="12" w:space="0" w:color="000000"/>
            </w:tcBorders>
            <w:shd w:val="clear" w:color="auto" w:fill="auto"/>
            <w:noWrap/>
            <w:vAlign w:val="bottom"/>
          </w:tcPr>
          <w:p w:rsidR="004E4234" w:rsidRPr="00960E47" w:rsidRDefault="004E4234" w:rsidP="00010657">
            <w:pPr>
              <w:pStyle w:val="SingleTxtG"/>
              <w:spacing w:before="80" w:after="80" w:line="200" w:lineRule="exact"/>
              <w:ind w:left="0" w:right="0"/>
              <w:jc w:val="right"/>
              <w:rPr>
                <w:rFonts w:eastAsia="Calibri"/>
                <w:b/>
                <w:i/>
                <w:sz w:val="16"/>
                <w:szCs w:val="18"/>
                <w:lang w:val="es-ES"/>
              </w:rPr>
            </w:pPr>
          </w:p>
        </w:tc>
        <w:tc>
          <w:tcPr>
            <w:tcW w:w="744" w:type="dxa"/>
            <w:tcBorders>
              <w:top w:val="single" w:sz="4" w:space="0" w:color="000000"/>
              <w:bottom w:val="single" w:sz="12" w:space="0" w:color="000000"/>
            </w:tcBorders>
            <w:shd w:val="clear" w:color="auto" w:fill="auto"/>
            <w:vAlign w:val="bottom"/>
          </w:tcPr>
          <w:p w:rsidR="004E4234" w:rsidRPr="00960E47" w:rsidRDefault="004E4234" w:rsidP="00010657">
            <w:pPr>
              <w:pStyle w:val="SingleTxtG"/>
              <w:spacing w:before="80" w:after="80" w:line="200" w:lineRule="exact"/>
              <w:ind w:left="0" w:right="0"/>
              <w:jc w:val="right"/>
              <w:rPr>
                <w:rFonts w:eastAsia="Calibri"/>
                <w:b/>
                <w:i/>
                <w:sz w:val="16"/>
                <w:szCs w:val="18"/>
                <w:lang w:val="es-ES"/>
              </w:rPr>
            </w:pPr>
            <w:r w:rsidRPr="00960E47">
              <w:rPr>
                <w:rFonts w:eastAsia="Calibri"/>
                <w:b/>
                <w:i/>
                <w:sz w:val="16"/>
                <w:szCs w:val="18"/>
                <w:lang w:val="es-ES"/>
              </w:rPr>
              <w:t>Total</w:t>
            </w:r>
          </w:p>
        </w:tc>
        <w:tc>
          <w:tcPr>
            <w:tcW w:w="858" w:type="dxa"/>
            <w:tcBorders>
              <w:top w:val="single" w:sz="4" w:space="0" w:color="000000"/>
              <w:bottom w:val="single" w:sz="12" w:space="0" w:color="000000"/>
            </w:tcBorders>
            <w:shd w:val="clear" w:color="auto" w:fill="auto"/>
            <w:noWrap/>
            <w:vAlign w:val="bottom"/>
          </w:tcPr>
          <w:p w:rsidR="004E4234" w:rsidRPr="00960E47" w:rsidRDefault="004E4234" w:rsidP="00010657">
            <w:pPr>
              <w:pStyle w:val="SingleTxtG"/>
              <w:spacing w:before="80" w:after="80" w:line="200" w:lineRule="exact"/>
              <w:ind w:left="0" w:right="0"/>
              <w:jc w:val="right"/>
              <w:rPr>
                <w:rFonts w:eastAsia="Calibri"/>
                <w:i/>
                <w:sz w:val="16"/>
                <w:szCs w:val="18"/>
                <w:lang w:val="es-ES"/>
              </w:rPr>
            </w:pPr>
            <w:r w:rsidRPr="00960E47">
              <w:rPr>
                <w:rFonts w:eastAsia="Calibri"/>
                <w:i/>
                <w:sz w:val="16"/>
                <w:szCs w:val="18"/>
                <w:lang w:val="es-ES"/>
              </w:rPr>
              <w:t>Varones</w:t>
            </w:r>
          </w:p>
        </w:tc>
        <w:tc>
          <w:tcPr>
            <w:tcW w:w="858" w:type="dxa"/>
            <w:tcBorders>
              <w:top w:val="single" w:sz="4" w:space="0" w:color="000000"/>
              <w:bottom w:val="single" w:sz="12" w:space="0" w:color="000000"/>
            </w:tcBorders>
            <w:shd w:val="clear" w:color="auto" w:fill="auto"/>
            <w:noWrap/>
            <w:vAlign w:val="bottom"/>
          </w:tcPr>
          <w:p w:rsidR="004E4234" w:rsidRPr="00960E47" w:rsidRDefault="004E4234" w:rsidP="00010657">
            <w:pPr>
              <w:pStyle w:val="SingleTxtG"/>
              <w:spacing w:before="80" w:after="80" w:line="200" w:lineRule="exact"/>
              <w:ind w:left="0" w:right="0"/>
              <w:jc w:val="right"/>
              <w:rPr>
                <w:rFonts w:eastAsia="Calibri"/>
                <w:i/>
                <w:sz w:val="16"/>
                <w:szCs w:val="18"/>
                <w:lang w:val="es-ES"/>
              </w:rPr>
            </w:pPr>
            <w:r w:rsidRPr="00960E47">
              <w:rPr>
                <w:rFonts w:eastAsia="Calibri"/>
                <w:i/>
                <w:sz w:val="16"/>
                <w:szCs w:val="18"/>
                <w:lang w:val="es-ES"/>
              </w:rPr>
              <w:t>Mujeres</w:t>
            </w:r>
          </w:p>
        </w:tc>
        <w:tc>
          <w:tcPr>
            <w:tcW w:w="115" w:type="dxa"/>
            <w:tcBorders>
              <w:top w:val="nil"/>
              <w:bottom w:val="single" w:sz="12" w:space="0" w:color="000000"/>
            </w:tcBorders>
            <w:shd w:val="clear" w:color="auto" w:fill="auto"/>
            <w:noWrap/>
            <w:vAlign w:val="bottom"/>
          </w:tcPr>
          <w:p w:rsidR="004E4234" w:rsidRPr="00960E47" w:rsidRDefault="004E4234" w:rsidP="00010657">
            <w:pPr>
              <w:pStyle w:val="SingleTxtG"/>
              <w:spacing w:before="80" w:after="80" w:line="200" w:lineRule="exact"/>
              <w:ind w:left="0" w:right="0"/>
              <w:jc w:val="right"/>
              <w:rPr>
                <w:rFonts w:eastAsia="Calibri"/>
                <w:b/>
                <w:i/>
                <w:sz w:val="16"/>
                <w:szCs w:val="18"/>
                <w:lang w:val="es-ES"/>
              </w:rPr>
            </w:pPr>
          </w:p>
        </w:tc>
        <w:tc>
          <w:tcPr>
            <w:tcW w:w="743" w:type="dxa"/>
            <w:tcBorders>
              <w:top w:val="single" w:sz="4" w:space="0" w:color="000000"/>
              <w:bottom w:val="single" w:sz="12" w:space="0" w:color="000000"/>
            </w:tcBorders>
            <w:shd w:val="clear" w:color="auto" w:fill="auto"/>
            <w:vAlign w:val="bottom"/>
          </w:tcPr>
          <w:p w:rsidR="004E4234" w:rsidRPr="00960E47" w:rsidRDefault="004E4234" w:rsidP="00010657">
            <w:pPr>
              <w:pStyle w:val="SingleTxtG"/>
              <w:spacing w:before="80" w:after="80" w:line="200" w:lineRule="exact"/>
              <w:ind w:left="0" w:right="0"/>
              <w:jc w:val="right"/>
              <w:rPr>
                <w:rFonts w:eastAsia="Calibri"/>
                <w:b/>
                <w:i/>
                <w:sz w:val="16"/>
                <w:szCs w:val="18"/>
                <w:lang w:val="es-ES"/>
              </w:rPr>
            </w:pPr>
            <w:r w:rsidRPr="00960E47">
              <w:rPr>
                <w:rFonts w:eastAsia="Calibri"/>
                <w:b/>
                <w:i/>
                <w:sz w:val="16"/>
                <w:szCs w:val="18"/>
                <w:lang w:val="es-ES"/>
              </w:rPr>
              <w:t>Total</w:t>
            </w:r>
          </w:p>
        </w:tc>
        <w:tc>
          <w:tcPr>
            <w:tcW w:w="858" w:type="dxa"/>
            <w:tcBorders>
              <w:top w:val="single" w:sz="4" w:space="0" w:color="000000"/>
              <w:bottom w:val="single" w:sz="12" w:space="0" w:color="000000"/>
            </w:tcBorders>
            <w:shd w:val="clear" w:color="auto" w:fill="auto"/>
            <w:noWrap/>
            <w:vAlign w:val="bottom"/>
          </w:tcPr>
          <w:p w:rsidR="004E4234" w:rsidRPr="00960E47" w:rsidRDefault="004E4234" w:rsidP="00010657">
            <w:pPr>
              <w:pStyle w:val="SingleTxtG"/>
              <w:spacing w:before="80" w:after="80" w:line="200" w:lineRule="exact"/>
              <w:ind w:left="0" w:right="0"/>
              <w:jc w:val="right"/>
              <w:rPr>
                <w:rFonts w:eastAsia="Calibri"/>
                <w:i/>
                <w:sz w:val="16"/>
                <w:szCs w:val="18"/>
                <w:lang w:val="es-ES"/>
              </w:rPr>
            </w:pPr>
            <w:r w:rsidRPr="00960E47">
              <w:rPr>
                <w:rFonts w:eastAsia="Calibri"/>
                <w:i/>
                <w:sz w:val="16"/>
                <w:szCs w:val="18"/>
                <w:lang w:val="es-ES"/>
              </w:rPr>
              <w:t>Varones</w:t>
            </w:r>
          </w:p>
        </w:tc>
        <w:tc>
          <w:tcPr>
            <w:tcW w:w="859" w:type="dxa"/>
            <w:tcBorders>
              <w:top w:val="single" w:sz="4" w:space="0" w:color="000000"/>
              <w:bottom w:val="single" w:sz="12" w:space="0" w:color="000000"/>
            </w:tcBorders>
            <w:shd w:val="clear" w:color="auto" w:fill="auto"/>
            <w:noWrap/>
            <w:vAlign w:val="bottom"/>
          </w:tcPr>
          <w:p w:rsidR="004E4234" w:rsidRPr="00960E47" w:rsidRDefault="004E4234" w:rsidP="00010657">
            <w:pPr>
              <w:pStyle w:val="SingleTxtG"/>
              <w:spacing w:before="80" w:after="80" w:line="200" w:lineRule="exact"/>
              <w:ind w:left="0" w:right="0"/>
              <w:jc w:val="right"/>
              <w:rPr>
                <w:rFonts w:eastAsia="Calibri"/>
                <w:i/>
                <w:sz w:val="16"/>
                <w:szCs w:val="18"/>
                <w:lang w:val="es-ES"/>
              </w:rPr>
            </w:pPr>
            <w:r w:rsidRPr="00960E47">
              <w:rPr>
                <w:rFonts w:eastAsia="Calibri"/>
                <w:i/>
                <w:sz w:val="16"/>
                <w:szCs w:val="18"/>
                <w:lang w:val="es-ES"/>
              </w:rPr>
              <w:t>Mujeres</w:t>
            </w:r>
          </w:p>
        </w:tc>
      </w:tr>
      <w:tr w:rsidR="00E421FD" w:rsidRPr="00960E47" w:rsidTr="00FA7460">
        <w:tc>
          <w:tcPr>
            <w:tcW w:w="868" w:type="dxa"/>
            <w:tcBorders>
              <w:top w:val="single" w:sz="12" w:space="0" w:color="000000"/>
              <w:bottom w:val="single" w:sz="4" w:space="0" w:color="000000"/>
            </w:tcBorders>
            <w:shd w:val="clear" w:color="auto" w:fill="auto"/>
            <w:noWrap/>
            <w:vAlign w:val="bottom"/>
          </w:tcPr>
          <w:p w:rsidR="00E421FD" w:rsidRPr="00960E47" w:rsidRDefault="00E421FD" w:rsidP="004E4234">
            <w:pPr>
              <w:pStyle w:val="SingleTxtG"/>
              <w:spacing w:before="80" w:after="80" w:line="220" w:lineRule="exact"/>
              <w:ind w:left="170" w:right="0"/>
              <w:jc w:val="left"/>
              <w:rPr>
                <w:rFonts w:eastAsia="Calibri"/>
                <w:b/>
                <w:sz w:val="18"/>
                <w:szCs w:val="18"/>
                <w:lang w:val="es-ES"/>
              </w:rPr>
            </w:pPr>
            <w:r w:rsidRPr="00960E47">
              <w:rPr>
                <w:rFonts w:eastAsia="Calibri"/>
                <w:b/>
                <w:sz w:val="18"/>
                <w:szCs w:val="18"/>
                <w:lang w:val="es-ES"/>
              </w:rPr>
              <w:t>Total</w:t>
            </w:r>
          </w:p>
        </w:tc>
        <w:tc>
          <w:tcPr>
            <w:tcW w:w="774" w:type="dxa"/>
            <w:tcBorders>
              <w:top w:val="single" w:sz="12" w:space="0" w:color="000000"/>
              <w:bottom w:val="single" w:sz="4" w:space="0" w:color="000000"/>
            </w:tcBorders>
            <w:shd w:val="clear" w:color="auto" w:fill="auto"/>
            <w:noWrap/>
            <w:vAlign w:val="bottom"/>
          </w:tcPr>
          <w:p w:rsidR="00E421FD" w:rsidRPr="00960E47" w:rsidRDefault="00E421FD" w:rsidP="00010657">
            <w:pPr>
              <w:pStyle w:val="SingleTxtG"/>
              <w:spacing w:before="80" w:after="80" w:line="220" w:lineRule="exact"/>
              <w:ind w:left="0" w:right="0"/>
              <w:jc w:val="right"/>
              <w:rPr>
                <w:rFonts w:eastAsia="Calibri"/>
                <w:b/>
                <w:sz w:val="18"/>
                <w:szCs w:val="18"/>
                <w:lang w:val="es-ES"/>
              </w:rPr>
            </w:pPr>
            <w:r w:rsidRPr="00960E47">
              <w:rPr>
                <w:rFonts w:eastAsia="Calibri"/>
                <w:b/>
                <w:sz w:val="18"/>
                <w:szCs w:val="18"/>
                <w:lang w:val="es-ES"/>
              </w:rPr>
              <w:t>449</w:t>
            </w:r>
            <w:r w:rsidR="00010657" w:rsidRPr="00960E47">
              <w:rPr>
                <w:rFonts w:eastAsia="Calibri"/>
                <w:b/>
                <w:sz w:val="18"/>
                <w:szCs w:val="18"/>
                <w:lang w:val="es-ES"/>
              </w:rPr>
              <w:t xml:space="preserve"> </w:t>
            </w:r>
            <w:r w:rsidRPr="00960E47">
              <w:rPr>
                <w:rFonts w:eastAsia="Calibri"/>
                <w:b/>
                <w:sz w:val="18"/>
                <w:szCs w:val="18"/>
                <w:lang w:val="es-ES"/>
              </w:rPr>
              <w:t>383</w:t>
            </w:r>
          </w:p>
        </w:tc>
        <w:tc>
          <w:tcPr>
            <w:tcW w:w="858" w:type="dxa"/>
            <w:tcBorders>
              <w:top w:val="single" w:sz="12" w:space="0" w:color="000000"/>
              <w:bottom w:val="single" w:sz="4" w:space="0" w:color="000000"/>
            </w:tcBorders>
            <w:shd w:val="clear" w:color="auto" w:fill="auto"/>
            <w:noWrap/>
            <w:vAlign w:val="bottom"/>
          </w:tcPr>
          <w:p w:rsidR="00E421FD" w:rsidRPr="00960E47" w:rsidRDefault="00E421FD" w:rsidP="00010657">
            <w:pPr>
              <w:pStyle w:val="SingleTxtG"/>
              <w:spacing w:before="80" w:after="80" w:line="220" w:lineRule="exact"/>
              <w:ind w:left="0" w:right="0"/>
              <w:jc w:val="right"/>
              <w:rPr>
                <w:rFonts w:eastAsia="Calibri"/>
                <w:b/>
                <w:sz w:val="18"/>
                <w:szCs w:val="18"/>
                <w:lang w:val="es-ES"/>
              </w:rPr>
            </w:pPr>
            <w:r w:rsidRPr="00960E47">
              <w:rPr>
                <w:rFonts w:eastAsia="Calibri"/>
                <w:b/>
                <w:sz w:val="18"/>
                <w:szCs w:val="18"/>
                <w:lang w:val="es-ES"/>
              </w:rPr>
              <w:t>226</w:t>
            </w:r>
            <w:r w:rsidR="00010657" w:rsidRPr="00960E47">
              <w:rPr>
                <w:rFonts w:eastAsia="Calibri"/>
                <w:b/>
                <w:sz w:val="18"/>
                <w:szCs w:val="18"/>
                <w:lang w:val="es-ES"/>
              </w:rPr>
              <w:t xml:space="preserve"> </w:t>
            </w:r>
            <w:r w:rsidRPr="00960E47">
              <w:rPr>
                <w:rFonts w:eastAsia="Calibri"/>
                <w:b/>
                <w:sz w:val="18"/>
                <w:szCs w:val="18"/>
                <w:lang w:val="es-ES"/>
              </w:rPr>
              <w:t>251</w:t>
            </w:r>
          </w:p>
        </w:tc>
        <w:tc>
          <w:tcPr>
            <w:tcW w:w="858" w:type="dxa"/>
            <w:tcBorders>
              <w:top w:val="single" w:sz="12" w:space="0" w:color="000000"/>
              <w:bottom w:val="single" w:sz="4" w:space="0" w:color="000000"/>
            </w:tcBorders>
            <w:shd w:val="clear" w:color="auto" w:fill="auto"/>
            <w:noWrap/>
            <w:vAlign w:val="bottom"/>
          </w:tcPr>
          <w:p w:rsidR="00E421FD" w:rsidRPr="00960E47" w:rsidRDefault="00E421FD" w:rsidP="00010657">
            <w:pPr>
              <w:pStyle w:val="SingleTxtG"/>
              <w:spacing w:before="80" w:after="80" w:line="220" w:lineRule="exact"/>
              <w:ind w:left="0" w:right="0"/>
              <w:jc w:val="right"/>
              <w:rPr>
                <w:rFonts w:eastAsia="Calibri"/>
                <w:b/>
                <w:sz w:val="18"/>
                <w:szCs w:val="18"/>
                <w:lang w:val="es-ES"/>
              </w:rPr>
            </w:pPr>
            <w:r w:rsidRPr="00960E47">
              <w:rPr>
                <w:rFonts w:eastAsia="Calibri"/>
                <w:b/>
                <w:sz w:val="18"/>
                <w:szCs w:val="18"/>
                <w:lang w:val="es-ES"/>
              </w:rPr>
              <w:t>223</w:t>
            </w:r>
            <w:r w:rsidR="00010657" w:rsidRPr="00960E47">
              <w:rPr>
                <w:rFonts w:eastAsia="Calibri"/>
                <w:b/>
                <w:sz w:val="18"/>
                <w:szCs w:val="18"/>
                <w:lang w:val="es-ES"/>
              </w:rPr>
              <w:t xml:space="preserve"> </w:t>
            </w:r>
            <w:r w:rsidRPr="00960E47">
              <w:rPr>
                <w:rFonts w:eastAsia="Calibri"/>
                <w:b/>
                <w:sz w:val="18"/>
                <w:szCs w:val="18"/>
                <w:lang w:val="es-ES"/>
              </w:rPr>
              <w:t>132</w:t>
            </w:r>
          </w:p>
        </w:tc>
        <w:tc>
          <w:tcPr>
            <w:tcW w:w="858" w:type="dxa"/>
            <w:gridSpan w:val="2"/>
            <w:tcBorders>
              <w:top w:val="single" w:sz="12" w:space="0" w:color="000000"/>
              <w:bottom w:val="single" w:sz="4" w:space="0" w:color="000000"/>
            </w:tcBorders>
            <w:shd w:val="clear" w:color="auto" w:fill="auto"/>
            <w:noWrap/>
            <w:vAlign w:val="bottom"/>
          </w:tcPr>
          <w:p w:rsidR="00E421FD" w:rsidRPr="00960E47" w:rsidRDefault="00E421FD" w:rsidP="00010657">
            <w:pPr>
              <w:pStyle w:val="SingleTxtG"/>
              <w:spacing w:before="80" w:after="80" w:line="220" w:lineRule="exact"/>
              <w:ind w:left="0" w:right="0"/>
              <w:jc w:val="right"/>
              <w:rPr>
                <w:rFonts w:eastAsia="Calibri"/>
                <w:b/>
                <w:sz w:val="18"/>
                <w:szCs w:val="18"/>
                <w:lang w:val="es-ES"/>
              </w:rPr>
            </w:pPr>
            <w:r w:rsidRPr="00960E47">
              <w:rPr>
                <w:rFonts w:eastAsia="Calibri"/>
                <w:b/>
                <w:sz w:val="18"/>
                <w:szCs w:val="18"/>
                <w:lang w:val="es-ES"/>
              </w:rPr>
              <w:t>433</w:t>
            </w:r>
            <w:r w:rsidR="00010657" w:rsidRPr="00960E47">
              <w:rPr>
                <w:rFonts w:eastAsia="Calibri"/>
                <w:b/>
                <w:sz w:val="18"/>
                <w:szCs w:val="18"/>
                <w:lang w:val="es-ES"/>
              </w:rPr>
              <w:t xml:space="preserve"> </w:t>
            </w:r>
            <w:r w:rsidRPr="00960E47">
              <w:rPr>
                <w:rFonts w:eastAsia="Calibri"/>
                <w:b/>
                <w:sz w:val="18"/>
                <w:szCs w:val="18"/>
                <w:lang w:val="es-ES"/>
              </w:rPr>
              <w:t>078</w:t>
            </w:r>
          </w:p>
        </w:tc>
        <w:tc>
          <w:tcPr>
            <w:tcW w:w="858" w:type="dxa"/>
            <w:tcBorders>
              <w:top w:val="single" w:sz="12" w:space="0" w:color="000000"/>
              <w:bottom w:val="single" w:sz="4" w:space="0" w:color="000000"/>
            </w:tcBorders>
            <w:shd w:val="clear" w:color="auto" w:fill="auto"/>
            <w:noWrap/>
            <w:vAlign w:val="bottom"/>
          </w:tcPr>
          <w:p w:rsidR="00E421FD" w:rsidRPr="00960E47" w:rsidRDefault="00E421FD" w:rsidP="00010657">
            <w:pPr>
              <w:pStyle w:val="SingleTxtG"/>
              <w:spacing w:before="80" w:after="80" w:line="220" w:lineRule="exact"/>
              <w:ind w:left="0" w:right="0"/>
              <w:jc w:val="right"/>
              <w:rPr>
                <w:rFonts w:eastAsia="Calibri"/>
                <w:b/>
                <w:sz w:val="18"/>
                <w:szCs w:val="18"/>
                <w:lang w:val="es-ES"/>
              </w:rPr>
            </w:pPr>
            <w:r w:rsidRPr="00960E47">
              <w:rPr>
                <w:rFonts w:eastAsia="Calibri"/>
                <w:b/>
                <w:sz w:val="18"/>
                <w:szCs w:val="18"/>
                <w:lang w:val="es-ES"/>
              </w:rPr>
              <w:t>218</w:t>
            </w:r>
            <w:r w:rsidR="00010657" w:rsidRPr="00960E47">
              <w:rPr>
                <w:rFonts w:eastAsia="Calibri"/>
                <w:b/>
                <w:sz w:val="18"/>
                <w:szCs w:val="18"/>
                <w:lang w:val="es-ES"/>
              </w:rPr>
              <w:t xml:space="preserve"> </w:t>
            </w:r>
            <w:r w:rsidRPr="00960E47">
              <w:rPr>
                <w:rFonts w:eastAsia="Calibri"/>
                <w:b/>
                <w:sz w:val="18"/>
                <w:szCs w:val="18"/>
                <w:lang w:val="es-ES"/>
              </w:rPr>
              <w:t>700</w:t>
            </w:r>
          </w:p>
        </w:tc>
        <w:tc>
          <w:tcPr>
            <w:tcW w:w="858" w:type="dxa"/>
            <w:tcBorders>
              <w:top w:val="single" w:sz="12" w:space="0" w:color="000000"/>
              <w:bottom w:val="single" w:sz="4" w:space="0" w:color="000000"/>
            </w:tcBorders>
            <w:shd w:val="clear" w:color="auto" w:fill="auto"/>
            <w:noWrap/>
            <w:vAlign w:val="bottom"/>
          </w:tcPr>
          <w:p w:rsidR="00E421FD" w:rsidRPr="00960E47" w:rsidRDefault="00E421FD" w:rsidP="00010657">
            <w:pPr>
              <w:pStyle w:val="SingleTxtG"/>
              <w:spacing w:before="80" w:after="80" w:line="220" w:lineRule="exact"/>
              <w:ind w:left="0" w:right="0"/>
              <w:jc w:val="right"/>
              <w:rPr>
                <w:rFonts w:eastAsia="Calibri"/>
                <w:b/>
                <w:sz w:val="18"/>
                <w:szCs w:val="18"/>
                <w:lang w:val="es-ES"/>
              </w:rPr>
            </w:pPr>
            <w:r w:rsidRPr="00960E47">
              <w:rPr>
                <w:rFonts w:eastAsia="Calibri"/>
                <w:b/>
                <w:sz w:val="18"/>
                <w:szCs w:val="18"/>
                <w:lang w:val="es-ES"/>
              </w:rPr>
              <w:t>215</w:t>
            </w:r>
            <w:r w:rsidR="00010657" w:rsidRPr="00960E47">
              <w:rPr>
                <w:rFonts w:eastAsia="Calibri"/>
                <w:b/>
                <w:sz w:val="18"/>
                <w:szCs w:val="18"/>
                <w:lang w:val="es-ES"/>
              </w:rPr>
              <w:t xml:space="preserve"> </w:t>
            </w:r>
            <w:r w:rsidRPr="00960E47">
              <w:rPr>
                <w:rFonts w:eastAsia="Calibri"/>
                <w:b/>
                <w:sz w:val="18"/>
                <w:szCs w:val="18"/>
                <w:lang w:val="es-ES"/>
              </w:rPr>
              <w:t>378</w:t>
            </w:r>
          </w:p>
        </w:tc>
        <w:tc>
          <w:tcPr>
            <w:tcW w:w="858" w:type="dxa"/>
            <w:gridSpan w:val="2"/>
            <w:tcBorders>
              <w:top w:val="single" w:sz="12" w:space="0" w:color="000000"/>
              <w:bottom w:val="single" w:sz="4" w:space="0" w:color="000000"/>
            </w:tcBorders>
            <w:shd w:val="clear" w:color="auto" w:fill="auto"/>
            <w:noWrap/>
            <w:vAlign w:val="bottom"/>
          </w:tcPr>
          <w:p w:rsidR="00E421FD" w:rsidRPr="00960E47" w:rsidRDefault="00E421FD" w:rsidP="00010657">
            <w:pPr>
              <w:pStyle w:val="SingleTxtG"/>
              <w:spacing w:before="80" w:after="80" w:line="220" w:lineRule="exact"/>
              <w:ind w:left="0" w:right="0"/>
              <w:jc w:val="right"/>
              <w:rPr>
                <w:rFonts w:eastAsia="Calibri"/>
                <w:b/>
                <w:sz w:val="18"/>
                <w:szCs w:val="18"/>
                <w:lang w:val="es-ES"/>
              </w:rPr>
            </w:pPr>
            <w:r w:rsidRPr="00960E47">
              <w:rPr>
                <w:rFonts w:eastAsia="Calibri"/>
                <w:b/>
                <w:sz w:val="18"/>
                <w:szCs w:val="18"/>
                <w:lang w:val="es-ES"/>
              </w:rPr>
              <w:t>415</w:t>
            </w:r>
            <w:r w:rsidR="00010657" w:rsidRPr="00960E47">
              <w:rPr>
                <w:rFonts w:eastAsia="Calibri"/>
                <w:b/>
                <w:sz w:val="18"/>
                <w:szCs w:val="18"/>
                <w:lang w:val="es-ES"/>
              </w:rPr>
              <w:t xml:space="preserve"> </w:t>
            </w:r>
            <w:r w:rsidRPr="00960E47">
              <w:rPr>
                <w:rFonts w:eastAsia="Calibri"/>
                <w:b/>
                <w:sz w:val="18"/>
                <w:szCs w:val="18"/>
                <w:lang w:val="es-ES"/>
              </w:rPr>
              <w:t>022</w:t>
            </w:r>
          </w:p>
        </w:tc>
        <w:tc>
          <w:tcPr>
            <w:tcW w:w="858" w:type="dxa"/>
            <w:tcBorders>
              <w:top w:val="single" w:sz="12" w:space="0" w:color="000000"/>
              <w:bottom w:val="single" w:sz="4" w:space="0" w:color="000000"/>
            </w:tcBorders>
            <w:shd w:val="clear" w:color="auto" w:fill="auto"/>
            <w:noWrap/>
            <w:vAlign w:val="bottom"/>
          </w:tcPr>
          <w:p w:rsidR="00E421FD" w:rsidRPr="00960E47" w:rsidRDefault="00E421FD" w:rsidP="00010657">
            <w:pPr>
              <w:pStyle w:val="SingleTxtG"/>
              <w:spacing w:before="80" w:after="80" w:line="220" w:lineRule="exact"/>
              <w:ind w:left="0" w:right="0"/>
              <w:jc w:val="right"/>
              <w:rPr>
                <w:rFonts w:eastAsia="Calibri"/>
                <w:b/>
                <w:sz w:val="18"/>
                <w:szCs w:val="18"/>
                <w:lang w:val="es-ES"/>
              </w:rPr>
            </w:pPr>
            <w:r w:rsidRPr="00960E47">
              <w:rPr>
                <w:rFonts w:eastAsia="Calibri"/>
                <w:b/>
                <w:sz w:val="18"/>
                <w:szCs w:val="18"/>
                <w:lang w:val="es-ES"/>
              </w:rPr>
              <w:t>208</w:t>
            </w:r>
            <w:r w:rsidR="00010657" w:rsidRPr="00960E47">
              <w:rPr>
                <w:rFonts w:eastAsia="Calibri"/>
                <w:b/>
                <w:sz w:val="18"/>
                <w:szCs w:val="18"/>
                <w:lang w:val="es-ES"/>
              </w:rPr>
              <w:t xml:space="preserve"> </w:t>
            </w:r>
            <w:r w:rsidRPr="00960E47">
              <w:rPr>
                <w:rFonts w:eastAsia="Calibri"/>
                <w:b/>
                <w:sz w:val="18"/>
                <w:szCs w:val="18"/>
                <w:lang w:val="es-ES"/>
              </w:rPr>
              <w:t>634</w:t>
            </w:r>
          </w:p>
        </w:tc>
        <w:tc>
          <w:tcPr>
            <w:tcW w:w="859" w:type="dxa"/>
            <w:tcBorders>
              <w:top w:val="single" w:sz="12" w:space="0" w:color="000000"/>
              <w:bottom w:val="single" w:sz="4" w:space="0" w:color="000000"/>
            </w:tcBorders>
            <w:shd w:val="clear" w:color="auto" w:fill="auto"/>
            <w:noWrap/>
            <w:vAlign w:val="bottom"/>
          </w:tcPr>
          <w:p w:rsidR="00E421FD" w:rsidRPr="00960E47" w:rsidRDefault="00E421FD" w:rsidP="00010657">
            <w:pPr>
              <w:pStyle w:val="SingleTxtG"/>
              <w:spacing w:before="80" w:after="80" w:line="220" w:lineRule="exact"/>
              <w:ind w:left="0" w:right="0"/>
              <w:jc w:val="right"/>
              <w:rPr>
                <w:rFonts w:eastAsia="Calibri"/>
                <w:b/>
                <w:sz w:val="18"/>
                <w:szCs w:val="18"/>
                <w:lang w:val="es-ES"/>
              </w:rPr>
            </w:pPr>
            <w:r w:rsidRPr="00960E47">
              <w:rPr>
                <w:rFonts w:eastAsia="Calibri"/>
                <w:b/>
                <w:sz w:val="18"/>
                <w:szCs w:val="18"/>
                <w:lang w:val="es-ES"/>
              </w:rPr>
              <w:t>206</w:t>
            </w:r>
            <w:r w:rsidR="00010657" w:rsidRPr="00960E47">
              <w:rPr>
                <w:rFonts w:eastAsia="Calibri"/>
                <w:b/>
                <w:sz w:val="18"/>
                <w:szCs w:val="18"/>
                <w:lang w:val="es-ES"/>
              </w:rPr>
              <w:t xml:space="preserve"> </w:t>
            </w:r>
            <w:r w:rsidRPr="00960E47">
              <w:rPr>
                <w:rFonts w:eastAsia="Calibri"/>
                <w:b/>
                <w:sz w:val="18"/>
                <w:szCs w:val="18"/>
                <w:lang w:val="es-ES"/>
              </w:rPr>
              <w:t>388</w:t>
            </w:r>
          </w:p>
        </w:tc>
      </w:tr>
      <w:tr w:rsidR="00E421FD" w:rsidRPr="00960E47" w:rsidTr="00FA7460">
        <w:tc>
          <w:tcPr>
            <w:tcW w:w="868" w:type="dxa"/>
            <w:tcBorders>
              <w:top w:val="single" w:sz="4" w:space="0" w:color="000000"/>
            </w:tcBorders>
            <w:shd w:val="clear" w:color="auto" w:fill="auto"/>
            <w:noWrap/>
            <w:vAlign w:val="bottom"/>
          </w:tcPr>
          <w:p w:rsidR="00E421FD" w:rsidRPr="00960E47" w:rsidRDefault="00E421FD" w:rsidP="004E4234">
            <w:pPr>
              <w:pStyle w:val="SingleTxtG"/>
              <w:spacing w:before="40" w:after="40" w:line="220" w:lineRule="exact"/>
              <w:ind w:left="0" w:right="0"/>
              <w:jc w:val="left"/>
              <w:rPr>
                <w:rFonts w:eastAsia="Calibri"/>
                <w:sz w:val="18"/>
                <w:szCs w:val="18"/>
                <w:lang w:val="es-ES"/>
              </w:rPr>
            </w:pPr>
            <w:r w:rsidRPr="00960E47">
              <w:rPr>
                <w:rFonts w:eastAsia="Calibri"/>
                <w:sz w:val="18"/>
                <w:szCs w:val="18"/>
                <w:lang w:val="es-ES"/>
              </w:rPr>
              <w:t>0</w:t>
            </w:r>
          </w:p>
        </w:tc>
        <w:tc>
          <w:tcPr>
            <w:tcW w:w="774" w:type="dxa"/>
            <w:tcBorders>
              <w:top w:val="single" w:sz="4" w:space="0" w:color="000000"/>
            </w:tcBorders>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b/>
                <w:sz w:val="18"/>
                <w:szCs w:val="18"/>
                <w:lang w:val="es-ES"/>
              </w:rPr>
            </w:pPr>
            <w:r w:rsidRPr="00960E47">
              <w:rPr>
                <w:rFonts w:eastAsia="Calibri"/>
                <w:b/>
                <w:sz w:val="18"/>
                <w:szCs w:val="18"/>
                <w:lang w:val="es-ES"/>
              </w:rPr>
              <w:t>50</w:t>
            </w:r>
            <w:r w:rsidR="00010657" w:rsidRPr="00960E47">
              <w:rPr>
                <w:rFonts w:eastAsia="Calibri"/>
                <w:b/>
                <w:sz w:val="18"/>
                <w:szCs w:val="18"/>
                <w:lang w:val="es-ES"/>
              </w:rPr>
              <w:t xml:space="preserve"> </w:t>
            </w:r>
            <w:r w:rsidRPr="00960E47">
              <w:rPr>
                <w:rFonts w:eastAsia="Calibri"/>
                <w:b/>
                <w:sz w:val="18"/>
                <w:szCs w:val="18"/>
                <w:lang w:val="es-ES"/>
              </w:rPr>
              <w:t>965</w:t>
            </w:r>
          </w:p>
        </w:tc>
        <w:tc>
          <w:tcPr>
            <w:tcW w:w="858" w:type="dxa"/>
            <w:tcBorders>
              <w:top w:val="single" w:sz="4" w:space="0" w:color="000000"/>
            </w:tcBorders>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25</w:t>
            </w:r>
            <w:r w:rsidR="00010657" w:rsidRPr="00960E47">
              <w:rPr>
                <w:rFonts w:eastAsia="Calibri"/>
                <w:sz w:val="18"/>
                <w:szCs w:val="18"/>
                <w:lang w:val="es-ES"/>
              </w:rPr>
              <w:t xml:space="preserve"> </w:t>
            </w:r>
            <w:r w:rsidRPr="00960E47">
              <w:rPr>
                <w:rFonts w:eastAsia="Calibri"/>
                <w:sz w:val="18"/>
                <w:szCs w:val="18"/>
                <w:lang w:val="es-ES"/>
              </w:rPr>
              <w:t>756</w:t>
            </w:r>
          </w:p>
        </w:tc>
        <w:tc>
          <w:tcPr>
            <w:tcW w:w="858" w:type="dxa"/>
            <w:tcBorders>
              <w:top w:val="single" w:sz="4" w:space="0" w:color="000000"/>
            </w:tcBorders>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25</w:t>
            </w:r>
            <w:r w:rsidR="00010657" w:rsidRPr="00960E47">
              <w:rPr>
                <w:rFonts w:eastAsia="Calibri"/>
                <w:sz w:val="18"/>
                <w:szCs w:val="18"/>
                <w:lang w:val="es-ES"/>
              </w:rPr>
              <w:t xml:space="preserve"> </w:t>
            </w:r>
            <w:r w:rsidRPr="00960E47">
              <w:rPr>
                <w:rFonts w:eastAsia="Calibri"/>
                <w:sz w:val="18"/>
                <w:szCs w:val="18"/>
                <w:lang w:val="es-ES"/>
              </w:rPr>
              <w:t>209</w:t>
            </w:r>
          </w:p>
        </w:tc>
        <w:tc>
          <w:tcPr>
            <w:tcW w:w="858" w:type="dxa"/>
            <w:gridSpan w:val="2"/>
            <w:tcBorders>
              <w:top w:val="single" w:sz="4" w:space="0" w:color="000000"/>
            </w:tcBorders>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b/>
                <w:sz w:val="18"/>
                <w:szCs w:val="18"/>
                <w:lang w:val="es-ES"/>
              </w:rPr>
            </w:pPr>
            <w:r w:rsidRPr="00960E47">
              <w:rPr>
                <w:rFonts w:eastAsia="Calibri"/>
                <w:b/>
                <w:sz w:val="18"/>
                <w:szCs w:val="18"/>
                <w:lang w:val="es-ES"/>
              </w:rPr>
              <w:t>38</w:t>
            </w:r>
            <w:r w:rsidR="00010657" w:rsidRPr="00960E47">
              <w:rPr>
                <w:rFonts w:eastAsia="Calibri"/>
                <w:b/>
                <w:sz w:val="18"/>
                <w:szCs w:val="18"/>
                <w:lang w:val="es-ES"/>
              </w:rPr>
              <w:t xml:space="preserve"> </w:t>
            </w:r>
            <w:r w:rsidRPr="00960E47">
              <w:rPr>
                <w:rFonts w:eastAsia="Calibri"/>
                <w:b/>
                <w:sz w:val="18"/>
                <w:szCs w:val="18"/>
                <w:lang w:val="es-ES"/>
              </w:rPr>
              <w:t>325</w:t>
            </w:r>
          </w:p>
        </w:tc>
        <w:tc>
          <w:tcPr>
            <w:tcW w:w="858" w:type="dxa"/>
            <w:tcBorders>
              <w:top w:val="single" w:sz="4" w:space="0" w:color="000000"/>
            </w:tcBorders>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19</w:t>
            </w:r>
            <w:r w:rsidR="00010657" w:rsidRPr="00960E47">
              <w:rPr>
                <w:rFonts w:eastAsia="Calibri"/>
                <w:sz w:val="18"/>
                <w:szCs w:val="18"/>
                <w:lang w:val="es-ES"/>
              </w:rPr>
              <w:t xml:space="preserve"> </w:t>
            </w:r>
            <w:r w:rsidRPr="00960E47">
              <w:rPr>
                <w:rFonts w:eastAsia="Calibri"/>
                <w:sz w:val="18"/>
                <w:szCs w:val="18"/>
                <w:lang w:val="es-ES"/>
              </w:rPr>
              <w:t>388</w:t>
            </w:r>
          </w:p>
        </w:tc>
        <w:tc>
          <w:tcPr>
            <w:tcW w:w="858" w:type="dxa"/>
            <w:tcBorders>
              <w:top w:val="single" w:sz="4" w:space="0" w:color="000000"/>
            </w:tcBorders>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18</w:t>
            </w:r>
            <w:r w:rsidR="00010657" w:rsidRPr="00960E47">
              <w:rPr>
                <w:rFonts w:eastAsia="Calibri"/>
                <w:sz w:val="18"/>
                <w:szCs w:val="18"/>
                <w:lang w:val="es-ES"/>
              </w:rPr>
              <w:t xml:space="preserve"> </w:t>
            </w:r>
            <w:r w:rsidRPr="00960E47">
              <w:rPr>
                <w:rFonts w:eastAsia="Calibri"/>
                <w:sz w:val="18"/>
                <w:szCs w:val="18"/>
                <w:lang w:val="es-ES"/>
              </w:rPr>
              <w:t>937</w:t>
            </w:r>
          </w:p>
        </w:tc>
        <w:tc>
          <w:tcPr>
            <w:tcW w:w="858" w:type="dxa"/>
            <w:gridSpan w:val="2"/>
            <w:tcBorders>
              <w:top w:val="single" w:sz="4" w:space="0" w:color="000000"/>
            </w:tcBorders>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b/>
                <w:sz w:val="18"/>
                <w:szCs w:val="18"/>
                <w:lang w:val="es-ES"/>
              </w:rPr>
            </w:pPr>
            <w:r w:rsidRPr="00960E47">
              <w:rPr>
                <w:rFonts w:eastAsia="Calibri"/>
                <w:b/>
                <w:sz w:val="18"/>
                <w:szCs w:val="18"/>
                <w:lang w:val="es-ES"/>
              </w:rPr>
              <w:t>43</w:t>
            </w:r>
            <w:r w:rsidR="00010657" w:rsidRPr="00960E47">
              <w:rPr>
                <w:rFonts w:eastAsia="Calibri"/>
                <w:b/>
                <w:sz w:val="18"/>
                <w:szCs w:val="18"/>
                <w:lang w:val="es-ES"/>
              </w:rPr>
              <w:t xml:space="preserve"> </w:t>
            </w:r>
            <w:r w:rsidRPr="00960E47">
              <w:rPr>
                <w:rFonts w:eastAsia="Calibri"/>
                <w:b/>
                <w:sz w:val="18"/>
                <w:szCs w:val="18"/>
                <w:lang w:val="es-ES"/>
              </w:rPr>
              <w:t>549</w:t>
            </w:r>
          </w:p>
        </w:tc>
        <w:tc>
          <w:tcPr>
            <w:tcW w:w="858" w:type="dxa"/>
            <w:tcBorders>
              <w:top w:val="single" w:sz="4" w:space="0" w:color="000000"/>
            </w:tcBorders>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22</w:t>
            </w:r>
            <w:r w:rsidR="00010657" w:rsidRPr="00960E47">
              <w:rPr>
                <w:rFonts w:eastAsia="Calibri"/>
                <w:sz w:val="18"/>
                <w:szCs w:val="18"/>
                <w:lang w:val="es-ES"/>
              </w:rPr>
              <w:t xml:space="preserve"> </w:t>
            </w:r>
            <w:r w:rsidRPr="00960E47">
              <w:rPr>
                <w:rFonts w:eastAsia="Calibri"/>
                <w:sz w:val="18"/>
                <w:szCs w:val="18"/>
                <w:lang w:val="es-ES"/>
              </w:rPr>
              <w:t>031</w:t>
            </w:r>
          </w:p>
        </w:tc>
        <w:tc>
          <w:tcPr>
            <w:tcW w:w="859" w:type="dxa"/>
            <w:tcBorders>
              <w:top w:val="single" w:sz="4" w:space="0" w:color="000000"/>
            </w:tcBorders>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21</w:t>
            </w:r>
            <w:r w:rsidR="00010657" w:rsidRPr="00960E47">
              <w:rPr>
                <w:rFonts w:eastAsia="Calibri"/>
                <w:sz w:val="18"/>
                <w:szCs w:val="18"/>
                <w:lang w:val="es-ES"/>
              </w:rPr>
              <w:t xml:space="preserve"> </w:t>
            </w:r>
            <w:r w:rsidRPr="00960E47">
              <w:rPr>
                <w:rFonts w:eastAsia="Calibri"/>
                <w:sz w:val="18"/>
                <w:szCs w:val="18"/>
                <w:lang w:val="es-ES"/>
              </w:rPr>
              <w:t>518</w:t>
            </w:r>
          </w:p>
        </w:tc>
      </w:tr>
      <w:tr w:rsidR="00E421FD" w:rsidRPr="00960E47" w:rsidTr="00FA7460">
        <w:tc>
          <w:tcPr>
            <w:tcW w:w="868" w:type="dxa"/>
            <w:shd w:val="clear" w:color="auto" w:fill="auto"/>
            <w:noWrap/>
            <w:vAlign w:val="bottom"/>
          </w:tcPr>
          <w:p w:rsidR="00E421FD" w:rsidRPr="00960E47" w:rsidRDefault="00E421FD" w:rsidP="004E4234">
            <w:pPr>
              <w:pStyle w:val="SingleTxtG"/>
              <w:spacing w:before="40" w:after="40" w:line="220" w:lineRule="exact"/>
              <w:ind w:left="0" w:right="0"/>
              <w:jc w:val="left"/>
              <w:rPr>
                <w:rFonts w:eastAsia="Calibri"/>
                <w:sz w:val="18"/>
                <w:szCs w:val="18"/>
                <w:lang w:val="es-ES"/>
              </w:rPr>
            </w:pPr>
            <w:r w:rsidRPr="00960E47">
              <w:rPr>
                <w:rFonts w:eastAsia="Calibri"/>
                <w:sz w:val="18"/>
                <w:szCs w:val="18"/>
                <w:lang w:val="es-ES"/>
              </w:rPr>
              <w:t>1</w:t>
            </w:r>
          </w:p>
        </w:tc>
        <w:tc>
          <w:tcPr>
            <w:tcW w:w="774" w:type="dxa"/>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b/>
                <w:sz w:val="18"/>
                <w:szCs w:val="18"/>
                <w:lang w:val="es-ES"/>
              </w:rPr>
            </w:pPr>
            <w:r w:rsidRPr="00960E47">
              <w:rPr>
                <w:rFonts w:eastAsia="Calibri"/>
                <w:b/>
                <w:sz w:val="18"/>
                <w:szCs w:val="18"/>
                <w:lang w:val="es-ES"/>
              </w:rPr>
              <w:t>37</w:t>
            </w:r>
            <w:r w:rsidR="00010657" w:rsidRPr="00960E47">
              <w:rPr>
                <w:rFonts w:eastAsia="Calibri"/>
                <w:b/>
                <w:sz w:val="18"/>
                <w:szCs w:val="18"/>
                <w:lang w:val="es-ES"/>
              </w:rPr>
              <w:t xml:space="preserve"> </w:t>
            </w:r>
            <w:r w:rsidRPr="00960E47">
              <w:rPr>
                <w:rFonts w:eastAsia="Calibri"/>
                <w:b/>
                <w:sz w:val="18"/>
                <w:szCs w:val="18"/>
                <w:lang w:val="es-ES"/>
              </w:rPr>
              <w:t>773</w:t>
            </w:r>
          </w:p>
        </w:tc>
        <w:tc>
          <w:tcPr>
            <w:tcW w:w="858" w:type="dxa"/>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19</w:t>
            </w:r>
            <w:r w:rsidR="00010657" w:rsidRPr="00960E47">
              <w:rPr>
                <w:rFonts w:eastAsia="Calibri"/>
                <w:sz w:val="18"/>
                <w:szCs w:val="18"/>
                <w:lang w:val="es-ES"/>
              </w:rPr>
              <w:t xml:space="preserve"> </w:t>
            </w:r>
            <w:r w:rsidRPr="00960E47">
              <w:rPr>
                <w:rFonts w:eastAsia="Calibri"/>
                <w:sz w:val="18"/>
                <w:szCs w:val="18"/>
                <w:lang w:val="es-ES"/>
              </w:rPr>
              <w:t>289</w:t>
            </w:r>
          </w:p>
        </w:tc>
        <w:tc>
          <w:tcPr>
            <w:tcW w:w="858" w:type="dxa"/>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18</w:t>
            </w:r>
            <w:r w:rsidR="00010657" w:rsidRPr="00960E47">
              <w:rPr>
                <w:rFonts w:eastAsia="Calibri"/>
                <w:sz w:val="18"/>
                <w:szCs w:val="18"/>
                <w:lang w:val="es-ES"/>
              </w:rPr>
              <w:t xml:space="preserve"> </w:t>
            </w:r>
            <w:r w:rsidRPr="00960E47">
              <w:rPr>
                <w:rFonts w:eastAsia="Calibri"/>
                <w:sz w:val="18"/>
                <w:szCs w:val="18"/>
                <w:lang w:val="es-ES"/>
              </w:rPr>
              <w:t>484</w:t>
            </w:r>
          </w:p>
        </w:tc>
        <w:tc>
          <w:tcPr>
            <w:tcW w:w="858" w:type="dxa"/>
            <w:gridSpan w:val="2"/>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b/>
                <w:sz w:val="18"/>
                <w:szCs w:val="18"/>
                <w:lang w:val="es-ES"/>
              </w:rPr>
            </w:pPr>
            <w:r w:rsidRPr="00960E47">
              <w:rPr>
                <w:rFonts w:eastAsia="Calibri"/>
                <w:b/>
                <w:sz w:val="18"/>
                <w:szCs w:val="18"/>
                <w:lang w:val="es-ES"/>
              </w:rPr>
              <w:t>35</w:t>
            </w:r>
            <w:r w:rsidR="00010657" w:rsidRPr="00960E47">
              <w:rPr>
                <w:rFonts w:eastAsia="Calibri"/>
                <w:b/>
                <w:sz w:val="18"/>
                <w:szCs w:val="18"/>
                <w:lang w:val="es-ES"/>
              </w:rPr>
              <w:t xml:space="preserve"> </w:t>
            </w:r>
            <w:r w:rsidRPr="00960E47">
              <w:rPr>
                <w:rFonts w:eastAsia="Calibri"/>
                <w:b/>
                <w:sz w:val="18"/>
                <w:szCs w:val="18"/>
                <w:lang w:val="es-ES"/>
              </w:rPr>
              <w:t>372</w:t>
            </w:r>
          </w:p>
        </w:tc>
        <w:tc>
          <w:tcPr>
            <w:tcW w:w="858" w:type="dxa"/>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18</w:t>
            </w:r>
            <w:r w:rsidR="00010657" w:rsidRPr="00960E47">
              <w:rPr>
                <w:rFonts w:eastAsia="Calibri"/>
                <w:sz w:val="18"/>
                <w:szCs w:val="18"/>
                <w:lang w:val="es-ES"/>
              </w:rPr>
              <w:t xml:space="preserve"> </w:t>
            </w:r>
            <w:r w:rsidRPr="00960E47">
              <w:rPr>
                <w:rFonts w:eastAsia="Calibri"/>
                <w:sz w:val="18"/>
                <w:szCs w:val="18"/>
                <w:lang w:val="es-ES"/>
              </w:rPr>
              <w:t>392</w:t>
            </w:r>
          </w:p>
        </w:tc>
        <w:tc>
          <w:tcPr>
            <w:tcW w:w="858" w:type="dxa"/>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17</w:t>
            </w:r>
            <w:r w:rsidR="00010657" w:rsidRPr="00960E47">
              <w:rPr>
                <w:rFonts w:eastAsia="Calibri"/>
                <w:sz w:val="18"/>
                <w:szCs w:val="18"/>
                <w:lang w:val="es-ES"/>
              </w:rPr>
              <w:t xml:space="preserve"> </w:t>
            </w:r>
            <w:r w:rsidRPr="00960E47">
              <w:rPr>
                <w:rFonts w:eastAsia="Calibri"/>
                <w:sz w:val="18"/>
                <w:szCs w:val="18"/>
                <w:lang w:val="es-ES"/>
              </w:rPr>
              <w:t>980</w:t>
            </w:r>
          </w:p>
        </w:tc>
        <w:tc>
          <w:tcPr>
            <w:tcW w:w="858" w:type="dxa"/>
            <w:gridSpan w:val="2"/>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b/>
                <w:sz w:val="18"/>
                <w:szCs w:val="18"/>
                <w:lang w:val="es-ES"/>
              </w:rPr>
            </w:pPr>
            <w:r w:rsidRPr="00960E47">
              <w:rPr>
                <w:rFonts w:eastAsia="Calibri"/>
                <w:b/>
                <w:sz w:val="18"/>
                <w:szCs w:val="18"/>
                <w:lang w:val="es-ES"/>
              </w:rPr>
              <w:t>41</w:t>
            </w:r>
            <w:r w:rsidR="00010657" w:rsidRPr="00960E47">
              <w:rPr>
                <w:rFonts w:eastAsia="Calibri"/>
                <w:b/>
                <w:sz w:val="18"/>
                <w:szCs w:val="18"/>
                <w:lang w:val="es-ES"/>
              </w:rPr>
              <w:t xml:space="preserve"> </w:t>
            </w:r>
            <w:r w:rsidRPr="00960E47">
              <w:rPr>
                <w:rFonts w:eastAsia="Calibri"/>
                <w:b/>
                <w:sz w:val="18"/>
                <w:szCs w:val="18"/>
                <w:lang w:val="es-ES"/>
              </w:rPr>
              <w:t>280</w:t>
            </w:r>
          </w:p>
        </w:tc>
        <w:tc>
          <w:tcPr>
            <w:tcW w:w="858" w:type="dxa"/>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20</w:t>
            </w:r>
            <w:r w:rsidR="00010657" w:rsidRPr="00960E47">
              <w:rPr>
                <w:rFonts w:eastAsia="Calibri"/>
                <w:sz w:val="18"/>
                <w:szCs w:val="18"/>
                <w:lang w:val="es-ES"/>
              </w:rPr>
              <w:t xml:space="preserve"> </w:t>
            </w:r>
            <w:r w:rsidRPr="00960E47">
              <w:rPr>
                <w:rFonts w:eastAsia="Calibri"/>
                <w:sz w:val="18"/>
                <w:szCs w:val="18"/>
                <w:lang w:val="es-ES"/>
              </w:rPr>
              <w:t>732</w:t>
            </w:r>
          </w:p>
        </w:tc>
        <w:tc>
          <w:tcPr>
            <w:tcW w:w="859" w:type="dxa"/>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20</w:t>
            </w:r>
            <w:r w:rsidR="00010657" w:rsidRPr="00960E47">
              <w:rPr>
                <w:rFonts w:eastAsia="Calibri"/>
                <w:sz w:val="18"/>
                <w:szCs w:val="18"/>
                <w:lang w:val="es-ES"/>
              </w:rPr>
              <w:t xml:space="preserve"> </w:t>
            </w:r>
            <w:r w:rsidRPr="00960E47">
              <w:rPr>
                <w:rFonts w:eastAsia="Calibri"/>
                <w:sz w:val="18"/>
                <w:szCs w:val="18"/>
                <w:lang w:val="es-ES"/>
              </w:rPr>
              <w:t>548</w:t>
            </w:r>
          </w:p>
        </w:tc>
      </w:tr>
      <w:tr w:rsidR="00E421FD" w:rsidRPr="00960E47" w:rsidTr="00FA7460">
        <w:tc>
          <w:tcPr>
            <w:tcW w:w="868" w:type="dxa"/>
            <w:shd w:val="clear" w:color="auto" w:fill="auto"/>
            <w:noWrap/>
            <w:vAlign w:val="bottom"/>
          </w:tcPr>
          <w:p w:rsidR="00E421FD" w:rsidRPr="00960E47" w:rsidRDefault="00E421FD" w:rsidP="004E4234">
            <w:pPr>
              <w:pStyle w:val="SingleTxtG"/>
              <w:spacing w:before="40" w:after="40" w:line="220" w:lineRule="exact"/>
              <w:ind w:left="0" w:right="0"/>
              <w:jc w:val="left"/>
              <w:rPr>
                <w:rFonts w:eastAsia="Calibri"/>
                <w:sz w:val="18"/>
                <w:szCs w:val="18"/>
                <w:lang w:val="es-ES"/>
              </w:rPr>
            </w:pPr>
            <w:r w:rsidRPr="00960E47">
              <w:rPr>
                <w:rFonts w:eastAsia="Calibri"/>
                <w:sz w:val="18"/>
                <w:szCs w:val="18"/>
                <w:lang w:val="es-ES"/>
              </w:rPr>
              <w:t>2</w:t>
            </w:r>
          </w:p>
        </w:tc>
        <w:tc>
          <w:tcPr>
            <w:tcW w:w="774" w:type="dxa"/>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b/>
                <w:sz w:val="18"/>
                <w:szCs w:val="18"/>
                <w:lang w:val="es-ES"/>
              </w:rPr>
            </w:pPr>
            <w:r w:rsidRPr="00960E47">
              <w:rPr>
                <w:rFonts w:eastAsia="Calibri"/>
                <w:b/>
                <w:sz w:val="18"/>
                <w:szCs w:val="18"/>
                <w:lang w:val="es-ES"/>
              </w:rPr>
              <w:t>42</w:t>
            </w:r>
            <w:r w:rsidR="00010657" w:rsidRPr="00960E47">
              <w:rPr>
                <w:rFonts w:eastAsia="Calibri"/>
                <w:b/>
                <w:sz w:val="18"/>
                <w:szCs w:val="18"/>
                <w:lang w:val="es-ES"/>
              </w:rPr>
              <w:t xml:space="preserve"> </w:t>
            </w:r>
            <w:r w:rsidRPr="00960E47">
              <w:rPr>
                <w:rFonts w:eastAsia="Calibri"/>
                <w:b/>
                <w:sz w:val="18"/>
                <w:szCs w:val="18"/>
                <w:lang w:val="es-ES"/>
              </w:rPr>
              <w:t>550</w:t>
            </w:r>
          </w:p>
        </w:tc>
        <w:tc>
          <w:tcPr>
            <w:tcW w:w="858" w:type="dxa"/>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21</w:t>
            </w:r>
            <w:r w:rsidR="00010657" w:rsidRPr="00960E47">
              <w:rPr>
                <w:rFonts w:eastAsia="Calibri"/>
                <w:sz w:val="18"/>
                <w:szCs w:val="18"/>
                <w:lang w:val="es-ES"/>
              </w:rPr>
              <w:t xml:space="preserve"> </w:t>
            </w:r>
            <w:r w:rsidRPr="00960E47">
              <w:rPr>
                <w:rFonts w:eastAsia="Calibri"/>
                <w:sz w:val="18"/>
                <w:szCs w:val="18"/>
                <w:lang w:val="es-ES"/>
              </w:rPr>
              <w:t>567</w:t>
            </w:r>
          </w:p>
        </w:tc>
        <w:tc>
          <w:tcPr>
            <w:tcW w:w="858" w:type="dxa"/>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20</w:t>
            </w:r>
            <w:r w:rsidR="00010657" w:rsidRPr="00960E47">
              <w:rPr>
                <w:rFonts w:eastAsia="Calibri"/>
                <w:sz w:val="18"/>
                <w:szCs w:val="18"/>
                <w:lang w:val="es-ES"/>
              </w:rPr>
              <w:t xml:space="preserve"> </w:t>
            </w:r>
            <w:r w:rsidRPr="00960E47">
              <w:rPr>
                <w:rFonts w:eastAsia="Calibri"/>
                <w:sz w:val="18"/>
                <w:szCs w:val="18"/>
                <w:lang w:val="es-ES"/>
              </w:rPr>
              <w:t>983</w:t>
            </w:r>
          </w:p>
        </w:tc>
        <w:tc>
          <w:tcPr>
            <w:tcW w:w="858" w:type="dxa"/>
            <w:gridSpan w:val="2"/>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b/>
                <w:sz w:val="18"/>
                <w:szCs w:val="18"/>
                <w:lang w:val="es-ES"/>
              </w:rPr>
            </w:pPr>
            <w:r w:rsidRPr="00960E47">
              <w:rPr>
                <w:rFonts w:eastAsia="Calibri"/>
                <w:b/>
                <w:sz w:val="18"/>
                <w:szCs w:val="18"/>
                <w:lang w:val="es-ES"/>
              </w:rPr>
              <w:t>38</w:t>
            </w:r>
            <w:r w:rsidR="00010657" w:rsidRPr="00960E47">
              <w:rPr>
                <w:rFonts w:eastAsia="Calibri"/>
                <w:b/>
                <w:sz w:val="18"/>
                <w:szCs w:val="18"/>
                <w:lang w:val="es-ES"/>
              </w:rPr>
              <w:t xml:space="preserve"> </w:t>
            </w:r>
            <w:r w:rsidRPr="00960E47">
              <w:rPr>
                <w:rFonts w:eastAsia="Calibri"/>
                <w:b/>
                <w:sz w:val="18"/>
                <w:szCs w:val="18"/>
                <w:lang w:val="es-ES"/>
              </w:rPr>
              <w:t>991</w:t>
            </w:r>
          </w:p>
        </w:tc>
        <w:tc>
          <w:tcPr>
            <w:tcW w:w="858" w:type="dxa"/>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19</w:t>
            </w:r>
            <w:r w:rsidR="00010657" w:rsidRPr="00960E47">
              <w:rPr>
                <w:rFonts w:eastAsia="Calibri"/>
                <w:sz w:val="18"/>
                <w:szCs w:val="18"/>
                <w:lang w:val="es-ES"/>
              </w:rPr>
              <w:t xml:space="preserve"> </w:t>
            </w:r>
            <w:r w:rsidRPr="00960E47">
              <w:rPr>
                <w:rFonts w:eastAsia="Calibri"/>
                <w:sz w:val="18"/>
                <w:szCs w:val="18"/>
                <w:lang w:val="es-ES"/>
              </w:rPr>
              <w:t>590</w:t>
            </w:r>
          </w:p>
        </w:tc>
        <w:tc>
          <w:tcPr>
            <w:tcW w:w="858" w:type="dxa"/>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19</w:t>
            </w:r>
            <w:r w:rsidR="00010657" w:rsidRPr="00960E47">
              <w:rPr>
                <w:rFonts w:eastAsia="Calibri"/>
                <w:sz w:val="18"/>
                <w:szCs w:val="18"/>
                <w:lang w:val="es-ES"/>
              </w:rPr>
              <w:t xml:space="preserve"> </w:t>
            </w:r>
            <w:r w:rsidRPr="00960E47">
              <w:rPr>
                <w:rFonts w:eastAsia="Calibri"/>
                <w:sz w:val="18"/>
                <w:szCs w:val="18"/>
                <w:lang w:val="es-ES"/>
              </w:rPr>
              <w:t>401</w:t>
            </w:r>
          </w:p>
        </w:tc>
        <w:tc>
          <w:tcPr>
            <w:tcW w:w="858" w:type="dxa"/>
            <w:gridSpan w:val="2"/>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b/>
                <w:sz w:val="18"/>
                <w:szCs w:val="18"/>
                <w:lang w:val="es-ES"/>
              </w:rPr>
            </w:pPr>
            <w:r w:rsidRPr="00960E47">
              <w:rPr>
                <w:rFonts w:eastAsia="Calibri"/>
                <w:b/>
                <w:sz w:val="18"/>
                <w:szCs w:val="18"/>
                <w:lang w:val="es-ES"/>
              </w:rPr>
              <w:t>40</w:t>
            </w:r>
            <w:r w:rsidR="00010657" w:rsidRPr="00960E47">
              <w:rPr>
                <w:rFonts w:eastAsia="Calibri"/>
                <w:b/>
                <w:sz w:val="18"/>
                <w:szCs w:val="18"/>
                <w:lang w:val="es-ES"/>
              </w:rPr>
              <w:t xml:space="preserve"> </w:t>
            </w:r>
            <w:r w:rsidRPr="00960E47">
              <w:rPr>
                <w:rFonts w:eastAsia="Calibri"/>
                <w:b/>
                <w:sz w:val="18"/>
                <w:szCs w:val="18"/>
                <w:lang w:val="es-ES"/>
              </w:rPr>
              <w:t>274</w:t>
            </w:r>
          </w:p>
        </w:tc>
        <w:tc>
          <w:tcPr>
            <w:tcW w:w="858" w:type="dxa"/>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20</w:t>
            </w:r>
            <w:r w:rsidR="00010657" w:rsidRPr="00960E47">
              <w:rPr>
                <w:rFonts w:eastAsia="Calibri"/>
                <w:sz w:val="18"/>
                <w:szCs w:val="18"/>
                <w:lang w:val="es-ES"/>
              </w:rPr>
              <w:t xml:space="preserve"> </w:t>
            </w:r>
            <w:r w:rsidRPr="00960E47">
              <w:rPr>
                <w:rFonts w:eastAsia="Calibri"/>
                <w:sz w:val="18"/>
                <w:szCs w:val="18"/>
                <w:lang w:val="es-ES"/>
              </w:rPr>
              <w:t>174</w:t>
            </w:r>
          </w:p>
        </w:tc>
        <w:tc>
          <w:tcPr>
            <w:tcW w:w="859" w:type="dxa"/>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20</w:t>
            </w:r>
            <w:r w:rsidR="00010657" w:rsidRPr="00960E47">
              <w:rPr>
                <w:rFonts w:eastAsia="Calibri"/>
                <w:sz w:val="18"/>
                <w:szCs w:val="18"/>
                <w:lang w:val="es-ES"/>
              </w:rPr>
              <w:t xml:space="preserve"> </w:t>
            </w:r>
            <w:r w:rsidRPr="00960E47">
              <w:rPr>
                <w:rFonts w:eastAsia="Calibri"/>
                <w:sz w:val="18"/>
                <w:szCs w:val="18"/>
                <w:lang w:val="es-ES"/>
              </w:rPr>
              <w:t>100</w:t>
            </w:r>
          </w:p>
        </w:tc>
      </w:tr>
      <w:tr w:rsidR="00E421FD" w:rsidRPr="00960E47" w:rsidTr="00FA7460">
        <w:tc>
          <w:tcPr>
            <w:tcW w:w="868" w:type="dxa"/>
            <w:shd w:val="clear" w:color="auto" w:fill="auto"/>
            <w:noWrap/>
            <w:vAlign w:val="bottom"/>
          </w:tcPr>
          <w:p w:rsidR="00E421FD" w:rsidRPr="00960E47" w:rsidRDefault="00E421FD" w:rsidP="004E4234">
            <w:pPr>
              <w:pStyle w:val="SingleTxtG"/>
              <w:spacing w:before="40" w:after="40" w:line="220" w:lineRule="exact"/>
              <w:ind w:left="0" w:right="0"/>
              <w:jc w:val="left"/>
              <w:rPr>
                <w:rFonts w:eastAsia="Calibri"/>
                <w:sz w:val="18"/>
                <w:szCs w:val="18"/>
                <w:lang w:val="es-ES"/>
              </w:rPr>
            </w:pPr>
            <w:r w:rsidRPr="00960E47">
              <w:rPr>
                <w:rFonts w:eastAsia="Calibri"/>
                <w:sz w:val="18"/>
                <w:szCs w:val="18"/>
                <w:lang w:val="es-ES"/>
              </w:rPr>
              <w:t>3</w:t>
            </w:r>
          </w:p>
        </w:tc>
        <w:tc>
          <w:tcPr>
            <w:tcW w:w="774" w:type="dxa"/>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b/>
                <w:sz w:val="18"/>
                <w:szCs w:val="18"/>
                <w:lang w:val="es-ES"/>
              </w:rPr>
            </w:pPr>
            <w:r w:rsidRPr="00960E47">
              <w:rPr>
                <w:rFonts w:eastAsia="Calibri"/>
                <w:b/>
                <w:sz w:val="18"/>
                <w:szCs w:val="18"/>
                <w:lang w:val="es-ES"/>
              </w:rPr>
              <w:t>47</w:t>
            </w:r>
            <w:r w:rsidR="00010657" w:rsidRPr="00960E47">
              <w:rPr>
                <w:rFonts w:eastAsia="Calibri"/>
                <w:b/>
                <w:sz w:val="18"/>
                <w:szCs w:val="18"/>
                <w:lang w:val="es-ES"/>
              </w:rPr>
              <w:t xml:space="preserve"> </w:t>
            </w:r>
            <w:r w:rsidRPr="00960E47">
              <w:rPr>
                <w:rFonts w:eastAsia="Calibri"/>
                <w:b/>
                <w:sz w:val="18"/>
                <w:szCs w:val="18"/>
                <w:lang w:val="es-ES"/>
              </w:rPr>
              <w:t>300</w:t>
            </w:r>
          </w:p>
        </w:tc>
        <w:tc>
          <w:tcPr>
            <w:tcW w:w="858" w:type="dxa"/>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23</w:t>
            </w:r>
            <w:r w:rsidR="00010657" w:rsidRPr="00960E47">
              <w:rPr>
                <w:rFonts w:eastAsia="Calibri"/>
                <w:sz w:val="18"/>
                <w:szCs w:val="18"/>
                <w:lang w:val="es-ES"/>
              </w:rPr>
              <w:t xml:space="preserve"> </w:t>
            </w:r>
            <w:r w:rsidRPr="00960E47">
              <w:rPr>
                <w:rFonts w:eastAsia="Calibri"/>
                <w:sz w:val="18"/>
                <w:szCs w:val="18"/>
                <w:lang w:val="es-ES"/>
              </w:rPr>
              <w:t>753</w:t>
            </w:r>
          </w:p>
        </w:tc>
        <w:tc>
          <w:tcPr>
            <w:tcW w:w="858" w:type="dxa"/>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23</w:t>
            </w:r>
            <w:r w:rsidR="00010657" w:rsidRPr="00960E47">
              <w:rPr>
                <w:rFonts w:eastAsia="Calibri"/>
                <w:sz w:val="18"/>
                <w:szCs w:val="18"/>
                <w:lang w:val="es-ES"/>
              </w:rPr>
              <w:t xml:space="preserve"> </w:t>
            </w:r>
            <w:r w:rsidRPr="00960E47">
              <w:rPr>
                <w:rFonts w:eastAsia="Calibri"/>
                <w:sz w:val="18"/>
                <w:szCs w:val="18"/>
                <w:lang w:val="es-ES"/>
              </w:rPr>
              <w:t>547</w:t>
            </w:r>
          </w:p>
        </w:tc>
        <w:tc>
          <w:tcPr>
            <w:tcW w:w="858" w:type="dxa"/>
            <w:gridSpan w:val="2"/>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b/>
                <w:sz w:val="18"/>
                <w:szCs w:val="18"/>
                <w:lang w:val="es-ES"/>
              </w:rPr>
            </w:pPr>
            <w:r w:rsidRPr="00960E47">
              <w:rPr>
                <w:rFonts w:eastAsia="Calibri"/>
                <w:b/>
                <w:sz w:val="18"/>
                <w:szCs w:val="18"/>
                <w:lang w:val="es-ES"/>
              </w:rPr>
              <w:t>41</w:t>
            </w:r>
            <w:r w:rsidR="00010657" w:rsidRPr="00960E47">
              <w:rPr>
                <w:rFonts w:eastAsia="Calibri"/>
                <w:b/>
                <w:sz w:val="18"/>
                <w:szCs w:val="18"/>
                <w:lang w:val="es-ES"/>
              </w:rPr>
              <w:t xml:space="preserve"> </w:t>
            </w:r>
            <w:r w:rsidRPr="00960E47">
              <w:rPr>
                <w:rFonts w:eastAsia="Calibri"/>
                <w:b/>
                <w:sz w:val="18"/>
                <w:szCs w:val="18"/>
                <w:lang w:val="es-ES"/>
              </w:rPr>
              <w:t>410</w:t>
            </w:r>
          </w:p>
        </w:tc>
        <w:tc>
          <w:tcPr>
            <w:tcW w:w="858" w:type="dxa"/>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20</w:t>
            </w:r>
            <w:r w:rsidR="00010657" w:rsidRPr="00960E47">
              <w:rPr>
                <w:rFonts w:eastAsia="Calibri"/>
                <w:sz w:val="18"/>
                <w:szCs w:val="18"/>
                <w:lang w:val="es-ES"/>
              </w:rPr>
              <w:t xml:space="preserve"> </w:t>
            </w:r>
            <w:r w:rsidRPr="00960E47">
              <w:rPr>
                <w:rFonts w:eastAsia="Calibri"/>
                <w:sz w:val="18"/>
                <w:szCs w:val="18"/>
                <w:lang w:val="es-ES"/>
              </w:rPr>
              <w:t>695</w:t>
            </w:r>
          </w:p>
        </w:tc>
        <w:tc>
          <w:tcPr>
            <w:tcW w:w="858" w:type="dxa"/>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20</w:t>
            </w:r>
            <w:r w:rsidR="00010657" w:rsidRPr="00960E47">
              <w:rPr>
                <w:rFonts w:eastAsia="Calibri"/>
                <w:sz w:val="18"/>
                <w:szCs w:val="18"/>
                <w:lang w:val="es-ES"/>
              </w:rPr>
              <w:t xml:space="preserve"> </w:t>
            </w:r>
            <w:r w:rsidRPr="00960E47">
              <w:rPr>
                <w:rFonts w:eastAsia="Calibri"/>
                <w:sz w:val="18"/>
                <w:szCs w:val="18"/>
                <w:lang w:val="es-ES"/>
              </w:rPr>
              <w:t>715</w:t>
            </w:r>
          </w:p>
        </w:tc>
        <w:tc>
          <w:tcPr>
            <w:tcW w:w="858" w:type="dxa"/>
            <w:gridSpan w:val="2"/>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b/>
                <w:sz w:val="18"/>
                <w:szCs w:val="18"/>
                <w:lang w:val="es-ES"/>
              </w:rPr>
            </w:pPr>
            <w:r w:rsidRPr="00960E47">
              <w:rPr>
                <w:rFonts w:eastAsia="Calibri"/>
                <w:b/>
                <w:sz w:val="18"/>
                <w:szCs w:val="18"/>
                <w:lang w:val="es-ES"/>
              </w:rPr>
              <w:t>39</w:t>
            </w:r>
            <w:r w:rsidR="00010657" w:rsidRPr="00960E47">
              <w:rPr>
                <w:rFonts w:eastAsia="Calibri"/>
                <w:b/>
                <w:sz w:val="18"/>
                <w:szCs w:val="18"/>
                <w:lang w:val="es-ES"/>
              </w:rPr>
              <w:t xml:space="preserve"> </w:t>
            </w:r>
            <w:r w:rsidRPr="00960E47">
              <w:rPr>
                <w:rFonts w:eastAsia="Calibri"/>
                <w:b/>
                <w:sz w:val="18"/>
                <w:szCs w:val="18"/>
                <w:lang w:val="es-ES"/>
              </w:rPr>
              <w:t>674</w:t>
            </w:r>
          </w:p>
        </w:tc>
        <w:tc>
          <w:tcPr>
            <w:tcW w:w="858" w:type="dxa"/>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19</w:t>
            </w:r>
            <w:r w:rsidR="00010657" w:rsidRPr="00960E47">
              <w:rPr>
                <w:rFonts w:eastAsia="Calibri"/>
                <w:sz w:val="18"/>
                <w:szCs w:val="18"/>
                <w:lang w:val="es-ES"/>
              </w:rPr>
              <w:t xml:space="preserve"> </w:t>
            </w:r>
            <w:r w:rsidRPr="00960E47">
              <w:rPr>
                <w:rFonts w:eastAsia="Calibri"/>
                <w:sz w:val="18"/>
                <w:szCs w:val="18"/>
                <w:lang w:val="es-ES"/>
              </w:rPr>
              <w:t>821</w:t>
            </w:r>
          </w:p>
        </w:tc>
        <w:tc>
          <w:tcPr>
            <w:tcW w:w="859" w:type="dxa"/>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19</w:t>
            </w:r>
            <w:r w:rsidR="00010657" w:rsidRPr="00960E47">
              <w:rPr>
                <w:rFonts w:eastAsia="Calibri"/>
                <w:sz w:val="18"/>
                <w:szCs w:val="18"/>
                <w:lang w:val="es-ES"/>
              </w:rPr>
              <w:t xml:space="preserve"> </w:t>
            </w:r>
            <w:r w:rsidRPr="00960E47">
              <w:rPr>
                <w:rFonts w:eastAsia="Calibri"/>
                <w:sz w:val="18"/>
                <w:szCs w:val="18"/>
                <w:lang w:val="es-ES"/>
              </w:rPr>
              <w:t>853</w:t>
            </w:r>
          </w:p>
        </w:tc>
      </w:tr>
      <w:tr w:rsidR="00E421FD" w:rsidRPr="00960E47" w:rsidTr="00FA7460">
        <w:tc>
          <w:tcPr>
            <w:tcW w:w="868" w:type="dxa"/>
            <w:shd w:val="clear" w:color="auto" w:fill="auto"/>
            <w:noWrap/>
            <w:vAlign w:val="bottom"/>
          </w:tcPr>
          <w:p w:rsidR="00E421FD" w:rsidRPr="00960E47" w:rsidRDefault="00E421FD" w:rsidP="004E4234">
            <w:pPr>
              <w:pStyle w:val="SingleTxtG"/>
              <w:spacing w:before="40" w:after="40" w:line="220" w:lineRule="exact"/>
              <w:ind w:left="0" w:right="0"/>
              <w:jc w:val="left"/>
              <w:rPr>
                <w:rFonts w:eastAsia="Calibri"/>
                <w:sz w:val="18"/>
                <w:szCs w:val="18"/>
                <w:lang w:val="es-ES"/>
              </w:rPr>
            </w:pPr>
            <w:r w:rsidRPr="00960E47">
              <w:rPr>
                <w:rFonts w:eastAsia="Calibri"/>
                <w:sz w:val="18"/>
                <w:szCs w:val="18"/>
                <w:lang w:val="es-ES"/>
              </w:rPr>
              <w:t>4</w:t>
            </w:r>
          </w:p>
        </w:tc>
        <w:tc>
          <w:tcPr>
            <w:tcW w:w="774" w:type="dxa"/>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b/>
                <w:sz w:val="18"/>
                <w:szCs w:val="18"/>
                <w:lang w:val="es-ES"/>
              </w:rPr>
            </w:pPr>
            <w:r w:rsidRPr="00960E47">
              <w:rPr>
                <w:rFonts w:eastAsia="Calibri"/>
                <w:b/>
                <w:sz w:val="18"/>
                <w:szCs w:val="18"/>
                <w:lang w:val="es-ES"/>
              </w:rPr>
              <w:t>46</w:t>
            </w:r>
            <w:r w:rsidR="00010657" w:rsidRPr="00960E47">
              <w:rPr>
                <w:rFonts w:eastAsia="Calibri"/>
                <w:b/>
                <w:sz w:val="18"/>
                <w:szCs w:val="18"/>
                <w:lang w:val="es-ES"/>
              </w:rPr>
              <w:t xml:space="preserve"> </w:t>
            </w:r>
            <w:r w:rsidRPr="00960E47">
              <w:rPr>
                <w:rFonts w:eastAsia="Calibri"/>
                <w:b/>
                <w:sz w:val="18"/>
                <w:szCs w:val="18"/>
                <w:lang w:val="es-ES"/>
              </w:rPr>
              <w:t>763</w:t>
            </w:r>
          </w:p>
        </w:tc>
        <w:tc>
          <w:tcPr>
            <w:tcW w:w="858" w:type="dxa"/>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23</w:t>
            </w:r>
            <w:r w:rsidR="00010657" w:rsidRPr="00960E47">
              <w:rPr>
                <w:rFonts w:eastAsia="Calibri"/>
                <w:sz w:val="18"/>
                <w:szCs w:val="18"/>
                <w:lang w:val="es-ES"/>
              </w:rPr>
              <w:t xml:space="preserve"> </w:t>
            </w:r>
            <w:r w:rsidRPr="00960E47">
              <w:rPr>
                <w:rFonts w:eastAsia="Calibri"/>
                <w:sz w:val="18"/>
                <w:szCs w:val="18"/>
                <w:lang w:val="es-ES"/>
              </w:rPr>
              <w:t>318</w:t>
            </w:r>
          </w:p>
        </w:tc>
        <w:tc>
          <w:tcPr>
            <w:tcW w:w="858" w:type="dxa"/>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23</w:t>
            </w:r>
            <w:r w:rsidR="00010657" w:rsidRPr="00960E47">
              <w:rPr>
                <w:rFonts w:eastAsia="Calibri"/>
                <w:sz w:val="18"/>
                <w:szCs w:val="18"/>
                <w:lang w:val="es-ES"/>
              </w:rPr>
              <w:t xml:space="preserve"> </w:t>
            </w:r>
            <w:r w:rsidRPr="00960E47">
              <w:rPr>
                <w:rFonts w:eastAsia="Calibri"/>
                <w:sz w:val="18"/>
                <w:szCs w:val="18"/>
                <w:lang w:val="es-ES"/>
              </w:rPr>
              <w:t>445</w:t>
            </w:r>
          </w:p>
        </w:tc>
        <w:tc>
          <w:tcPr>
            <w:tcW w:w="858" w:type="dxa"/>
            <w:gridSpan w:val="2"/>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b/>
                <w:sz w:val="18"/>
                <w:szCs w:val="18"/>
                <w:lang w:val="es-ES"/>
              </w:rPr>
            </w:pPr>
            <w:r w:rsidRPr="00960E47">
              <w:rPr>
                <w:rFonts w:eastAsia="Calibri"/>
                <w:b/>
                <w:sz w:val="18"/>
                <w:szCs w:val="18"/>
                <w:lang w:val="es-ES"/>
              </w:rPr>
              <w:t>44</w:t>
            </w:r>
            <w:r w:rsidR="00010657" w:rsidRPr="00960E47">
              <w:rPr>
                <w:rFonts w:eastAsia="Calibri"/>
                <w:b/>
                <w:sz w:val="18"/>
                <w:szCs w:val="18"/>
                <w:lang w:val="es-ES"/>
              </w:rPr>
              <w:t xml:space="preserve"> </w:t>
            </w:r>
            <w:r w:rsidRPr="00960E47">
              <w:rPr>
                <w:rFonts w:eastAsia="Calibri"/>
                <w:b/>
                <w:sz w:val="18"/>
                <w:szCs w:val="18"/>
                <w:lang w:val="es-ES"/>
              </w:rPr>
              <w:t>411</w:t>
            </w:r>
          </w:p>
        </w:tc>
        <w:tc>
          <w:tcPr>
            <w:tcW w:w="858" w:type="dxa"/>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22</w:t>
            </w:r>
            <w:r w:rsidR="00010657" w:rsidRPr="00960E47">
              <w:rPr>
                <w:rFonts w:eastAsia="Calibri"/>
                <w:sz w:val="18"/>
                <w:szCs w:val="18"/>
                <w:lang w:val="es-ES"/>
              </w:rPr>
              <w:t xml:space="preserve"> </w:t>
            </w:r>
            <w:r w:rsidRPr="00960E47">
              <w:rPr>
                <w:rFonts w:eastAsia="Calibri"/>
                <w:sz w:val="18"/>
                <w:szCs w:val="18"/>
                <w:lang w:val="es-ES"/>
              </w:rPr>
              <w:t>284</w:t>
            </w:r>
          </w:p>
        </w:tc>
        <w:tc>
          <w:tcPr>
            <w:tcW w:w="858" w:type="dxa"/>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22</w:t>
            </w:r>
            <w:r w:rsidR="00010657" w:rsidRPr="00960E47">
              <w:rPr>
                <w:rFonts w:eastAsia="Calibri"/>
                <w:sz w:val="18"/>
                <w:szCs w:val="18"/>
                <w:lang w:val="es-ES"/>
              </w:rPr>
              <w:t xml:space="preserve"> </w:t>
            </w:r>
            <w:r w:rsidRPr="00960E47">
              <w:rPr>
                <w:rFonts w:eastAsia="Calibri"/>
                <w:sz w:val="18"/>
                <w:szCs w:val="18"/>
                <w:lang w:val="es-ES"/>
              </w:rPr>
              <w:t>127</w:t>
            </w:r>
          </w:p>
        </w:tc>
        <w:tc>
          <w:tcPr>
            <w:tcW w:w="858" w:type="dxa"/>
            <w:gridSpan w:val="2"/>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b/>
                <w:sz w:val="18"/>
                <w:szCs w:val="18"/>
                <w:lang w:val="es-ES"/>
              </w:rPr>
            </w:pPr>
            <w:r w:rsidRPr="00960E47">
              <w:rPr>
                <w:rFonts w:eastAsia="Calibri"/>
                <w:b/>
                <w:sz w:val="18"/>
                <w:szCs w:val="18"/>
                <w:lang w:val="es-ES"/>
              </w:rPr>
              <w:t>38</w:t>
            </w:r>
            <w:r w:rsidR="00010657" w:rsidRPr="00960E47">
              <w:rPr>
                <w:rFonts w:eastAsia="Calibri"/>
                <w:b/>
                <w:sz w:val="18"/>
                <w:szCs w:val="18"/>
                <w:lang w:val="es-ES"/>
              </w:rPr>
              <w:t xml:space="preserve"> </w:t>
            </w:r>
            <w:r w:rsidRPr="00960E47">
              <w:rPr>
                <w:rFonts w:eastAsia="Calibri"/>
                <w:b/>
                <w:sz w:val="18"/>
                <w:szCs w:val="18"/>
                <w:lang w:val="es-ES"/>
              </w:rPr>
              <w:t>077</w:t>
            </w:r>
          </w:p>
        </w:tc>
        <w:tc>
          <w:tcPr>
            <w:tcW w:w="858" w:type="dxa"/>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19</w:t>
            </w:r>
            <w:r w:rsidR="00010657" w:rsidRPr="00960E47">
              <w:rPr>
                <w:rFonts w:eastAsia="Calibri"/>
                <w:sz w:val="18"/>
                <w:szCs w:val="18"/>
                <w:lang w:val="es-ES"/>
              </w:rPr>
              <w:t xml:space="preserve"> </w:t>
            </w:r>
            <w:r w:rsidRPr="00960E47">
              <w:rPr>
                <w:rFonts w:eastAsia="Calibri"/>
                <w:sz w:val="18"/>
                <w:szCs w:val="18"/>
                <w:lang w:val="es-ES"/>
              </w:rPr>
              <w:t>085</w:t>
            </w:r>
          </w:p>
        </w:tc>
        <w:tc>
          <w:tcPr>
            <w:tcW w:w="859" w:type="dxa"/>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18</w:t>
            </w:r>
            <w:r w:rsidR="00010657" w:rsidRPr="00960E47">
              <w:rPr>
                <w:rFonts w:eastAsia="Calibri"/>
                <w:sz w:val="18"/>
                <w:szCs w:val="18"/>
                <w:lang w:val="es-ES"/>
              </w:rPr>
              <w:t xml:space="preserve"> </w:t>
            </w:r>
            <w:r w:rsidRPr="00960E47">
              <w:rPr>
                <w:rFonts w:eastAsia="Calibri"/>
                <w:sz w:val="18"/>
                <w:szCs w:val="18"/>
                <w:lang w:val="es-ES"/>
              </w:rPr>
              <w:t>992</w:t>
            </w:r>
          </w:p>
        </w:tc>
      </w:tr>
      <w:tr w:rsidR="00E421FD" w:rsidRPr="00960E47" w:rsidTr="00FA7460">
        <w:tc>
          <w:tcPr>
            <w:tcW w:w="868" w:type="dxa"/>
            <w:shd w:val="clear" w:color="auto" w:fill="auto"/>
            <w:noWrap/>
            <w:vAlign w:val="bottom"/>
          </w:tcPr>
          <w:p w:rsidR="00E421FD" w:rsidRPr="00960E47" w:rsidRDefault="00E421FD" w:rsidP="004E4234">
            <w:pPr>
              <w:pStyle w:val="SingleTxtG"/>
              <w:spacing w:before="40" w:after="40" w:line="220" w:lineRule="exact"/>
              <w:ind w:left="0" w:right="0"/>
              <w:jc w:val="left"/>
              <w:rPr>
                <w:rFonts w:eastAsia="Calibri"/>
                <w:sz w:val="18"/>
                <w:szCs w:val="18"/>
                <w:lang w:val="es-ES"/>
              </w:rPr>
            </w:pPr>
            <w:r w:rsidRPr="00960E47">
              <w:rPr>
                <w:rFonts w:eastAsia="Calibri"/>
                <w:sz w:val="18"/>
                <w:szCs w:val="18"/>
                <w:lang w:val="es-ES"/>
              </w:rPr>
              <w:t>0 a 4</w:t>
            </w:r>
          </w:p>
        </w:tc>
        <w:tc>
          <w:tcPr>
            <w:tcW w:w="774" w:type="dxa"/>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b/>
                <w:sz w:val="18"/>
                <w:szCs w:val="18"/>
                <w:lang w:val="es-ES"/>
              </w:rPr>
            </w:pPr>
            <w:r w:rsidRPr="00960E47">
              <w:rPr>
                <w:rFonts w:eastAsia="Calibri"/>
                <w:b/>
                <w:sz w:val="18"/>
                <w:szCs w:val="18"/>
                <w:lang w:val="es-ES"/>
              </w:rPr>
              <w:t>225</w:t>
            </w:r>
            <w:r w:rsidR="00010657" w:rsidRPr="00960E47">
              <w:rPr>
                <w:rFonts w:eastAsia="Calibri"/>
                <w:b/>
                <w:sz w:val="18"/>
                <w:szCs w:val="18"/>
                <w:lang w:val="es-ES"/>
              </w:rPr>
              <w:t xml:space="preserve"> </w:t>
            </w:r>
            <w:r w:rsidRPr="00960E47">
              <w:rPr>
                <w:rFonts w:eastAsia="Calibri"/>
                <w:b/>
                <w:sz w:val="18"/>
                <w:szCs w:val="18"/>
                <w:lang w:val="es-ES"/>
              </w:rPr>
              <w:t>351</w:t>
            </w:r>
          </w:p>
        </w:tc>
        <w:tc>
          <w:tcPr>
            <w:tcW w:w="858" w:type="dxa"/>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113</w:t>
            </w:r>
            <w:r w:rsidR="00010657" w:rsidRPr="00960E47">
              <w:rPr>
                <w:rFonts w:eastAsia="Calibri"/>
                <w:sz w:val="18"/>
                <w:szCs w:val="18"/>
                <w:lang w:val="es-ES"/>
              </w:rPr>
              <w:t xml:space="preserve"> </w:t>
            </w:r>
            <w:r w:rsidRPr="00960E47">
              <w:rPr>
                <w:rFonts w:eastAsia="Calibri"/>
                <w:sz w:val="18"/>
                <w:szCs w:val="18"/>
                <w:lang w:val="es-ES"/>
              </w:rPr>
              <w:t>683</w:t>
            </w:r>
          </w:p>
        </w:tc>
        <w:tc>
          <w:tcPr>
            <w:tcW w:w="858" w:type="dxa"/>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111</w:t>
            </w:r>
            <w:r w:rsidR="00010657" w:rsidRPr="00960E47">
              <w:rPr>
                <w:rFonts w:eastAsia="Calibri"/>
                <w:sz w:val="18"/>
                <w:szCs w:val="18"/>
                <w:lang w:val="es-ES"/>
              </w:rPr>
              <w:t xml:space="preserve"> </w:t>
            </w:r>
            <w:r w:rsidRPr="00960E47">
              <w:rPr>
                <w:rFonts w:eastAsia="Calibri"/>
                <w:sz w:val="18"/>
                <w:szCs w:val="18"/>
                <w:lang w:val="es-ES"/>
              </w:rPr>
              <w:t>668</w:t>
            </w:r>
          </w:p>
        </w:tc>
        <w:tc>
          <w:tcPr>
            <w:tcW w:w="858" w:type="dxa"/>
            <w:gridSpan w:val="2"/>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b/>
                <w:sz w:val="18"/>
                <w:szCs w:val="18"/>
                <w:lang w:val="es-ES"/>
              </w:rPr>
            </w:pPr>
            <w:r w:rsidRPr="00960E47">
              <w:rPr>
                <w:rFonts w:eastAsia="Calibri"/>
                <w:b/>
                <w:sz w:val="18"/>
                <w:szCs w:val="18"/>
                <w:lang w:val="es-ES"/>
              </w:rPr>
              <w:t>198</w:t>
            </w:r>
            <w:r w:rsidR="00010657" w:rsidRPr="00960E47">
              <w:rPr>
                <w:rFonts w:eastAsia="Calibri"/>
                <w:b/>
                <w:sz w:val="18"/>
                <w:szCs w:val="18"/>
                <w:lang w:val="es-ES"/>
              </w:rPr>
              <w:t xml:space="preserve"> </w:t>
            </w:r>
            <w:r w:rsidRPr="00960E47">
              <w:rPr>
                <w:rFonts w:eastAsia="Calibri"/>
                <w:b/>
                <w:sz w:val="18"/>
                <w:szCs w:val="18"/>
                <w:lang w:val="es-ES"/>
              </w:rPr>
              <w:t>509</w:t>
            </w:r>
          </w:p>
        </w:tc>
        <w:tc>
          <w:tcPr>
            <w:tcW w:w="858" w:type="dxa"/>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100</w:t>
            </w:r>
            <w:r w:rsidR="00010657" w:rsidRPr="00960E47">
              <w:rPr>
                <w:rFonts w:eastAsia="Calibri"/>
                <w:sz w:val="18"/>
                <w:szCs w:val="18"/>
                <w:lang w:val="es-ES"/>
              </w:rPr>
              <w:t xml:space="preserve"> </w:t>
            </w:r>
            <w:r w:rsidRPr="00960E47">
              <w:rPr>
                <w:rFonts w:eastAsia="Calibri"/>
                <w:sz w:val="18"/>
                <w:szCs w:val="18"/>
                <w:lang w:val="es-ES"/>
              </w:rPr>
              <w:t>349</w:t>
            </w:r>
          </w:p>
        </w:tc>
        <w:tc>
          <w:tcPr>
            <w:tcW w:w="858" w:type="dxa"/>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99</w:t>
            </w:r>
            <w:r w:rsidR="00010657" w:rsidRPr="00960E47">
              <w:rPr>
                <w:rFonts w:eastAsia="Calibri"/>
                <w:sz w:val="18"/>
                <w:szCs w:val="18"/>
                <w:lang w:val="es-ES"/>
              </w:rPr>
              <w:t xml:space="preserve"> </w:t>
            </w:r>
            <w:r w:rsidRPr="00960E47">
              <w:rPr>
                <w:rFonts w:eastAsia="Calibri"/>
                <w:sz w:val="18"/>
                <w:szCs w:val="18"/>
                <w:lang w:val="es-ES"/>
              </w:rPr>
              <w:t>160</w:t>
            </w:r>
          </w:p>
        </w:tc>
        <w:tc>
          <w:tcPr>
            <w:tcW w:w="858" w:type="dxa"/>
            <w:gridSpan w:val="2"/>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b/>
                <w:sz w:val="18"/>
                <w:szCs w:val="18"/>
                <w:lang w:val="es-ES"/>
              </w:rPr>
            </w:pPr>
            <w:r w:rsidRPr="00960E47">
              <w:rPr>
                <w:rFonts w:eastAsia="Calibri"/>
                <w:b/>
                <w:sz w:val="18"/>
                <w:szCs w:val="18"/>
                <w:lang w:val="es-ES"/>
              </w:rPr>
              <w:t>202</w:t>
            </w:r>
            <w:r w:rsidR="00010657" w:rsidRPr="00960E47">
              <w:rPr>
                <w:rFonts w:eastAsia="Calibri"/>
                <w:b/>
                <w:sz w:val="18"/>
                <w:szCs w:val="18"/>
                <w:lang w:val="es-ES"/>
              </w:rPr>
              <w:t xml:space="preserve"> </w:t>
            </w:r>
            <w:r w:rsidRPr="00960E47">
              <w:rPr>
                <w:rFonts w:eastAsia="Calibri"/>
                <w:b/>
                <w:sz w:val="18"/>
                <w:szCs w:val="18"/>
                <w:lang w:val="es-ES"/>
              </w:rPr>
              <w:t>854</w:t>
            </w:r>
          </w:p>
        </w:tc>
        <w:tc>
          <w:tcPr>
            <w:tcW w:w="858" w:type="dxa"/>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101</w:t>
            </w:r>
            <w:r w:rsidR="00010657" w:rsidRPr="00960E47">
              <w:rPr>
                <w:rFonts w:eastAsia="Calibri"/>
                <w:sz w:val="18"/>
                <w:szCs w:val="18"/>
                <w:lang w:val="es-ES"/>
              </w:rPr>
              <w:t xml:space="preserve"> </w:t>
            </w:r>
            <w:r w:rsidRPr="00960E47">
              <w:rPr>
                <w:rFonts w:eastAsia="Calibri"/>
                <w:sz w:val="18"/>
                <w:szCs w:val="18"/>
                <w:lang w:val="es-ES"/>
              </w:rPr>
              <w:t>843</w:t>
            </w:r>
          </w:p>
        </w:tc>
        <w:tc>
          <w:tcPr>
            <w:tcW w:w="859" w:type="dxa"/>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101</w:t>
            </w:r>
            <w:r w:rsidR="00010657" w:rsidRPr="00960E47">
              <w:rPr>
                <w:rFonts w:eastAsia="Calibri"/>
                <w:sz w:val="18"/>
                <w:szCs w:val="18"/>
                <w:lang w:val="es-ES"/>
              </w:rPr>
              <w:t xml:space="preserve"> </w:t>
            </w:r>
            <w:r w:rsidRPr="00960E47">
              <w:rPr>
                <w:rFonts w:eastAsia="Calibri"/>
                <w:sz w:val="18"/>
                <w:szCs w:val="18"/>
                <w:lang w:val="es-ES"/>
              </w:rPr>
              <w:t>011</w:t>
            </w:r>
          </w:p>
        </w:tc>
      </w:tr>
      <w:tr w:rsidR="00E421FD" w:rsidRPr="00960E47" w:rsidTr="00FA7460">
        <w:tc>
          <w:tcPr>
            <w:tcW w:w="868" w:type="dxa"/>
            <w:tcBorders>
              <w:bottom w:val="single" w:sz="4" w:space="0" w:color="000000"/>
            </w:tcBorders>
            <w:shd w:val="clear" w:color="auto" w:fill="auto"/>
            <w:noWrap/>
            <w:vAlign w:val="bottom"/>
          </w:tcPr>
          <w:p w:rsidR="00E421FD" w:rsidRPr="00960E47" w:rsidRDefault="00E421FD" w:rsidP="004E4234">
            <w:pPr>
              <w:pStyle w:val="SingleTxtG"/>
              <w:spacing w:before="40" w:after="40" w:line="220" w:lineRule="exact"/>
              <w:ind w:left="0" w:right="0"/>
              <w:jc w:val="left"/>
              <w:rPr>
                <w:rFonts w:eastAsia="Calibri"/>
                <w:sz w:val="18"/>
                <w:szCs w:val="18"/>
                <w:lang w:val="es-ES"/>
              </w:rPr>
            </w:pPr>
            <w:r w:rsidRPr="00960E47">
              <w:rPr>
                <w:rFonts w:eastAsia="Calibri"/>
                <w:sz w:val="18"/>
                <w:szCs w:val="18"/>
                <w:lang w:val="es-ES"/>
              </w:rPr>
              <w:t>5 a 9</w:t>
            </w:r>
          </w:p>
        </w:tc>
        <w:tc>
          <w:tcPr>
            <w:tcW w:w="774" w:type="dxa"/>
            <w:tcBorders>
              <w:bottom w:val="single" w:sz="4" w:space="0" w:color="000000"/>
            </w:tcBorders>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b/>
                <w:sz w:val="18"/>
                <w:szCs w:val="18"/>
                <w:lang w:val="es-ES"/>
              </w:rPr>
            </w:pPr>
            <w:r w:rsidRPr="00960E47">
              <w:rPr>
                <w:rFonts w:eastAsia="Calibri"/>
                <w:b/>
                <w:sz w:val="18"/>
                <w:szCs w:val="18"/>
                <w:lang w:val="es-ES"/>
              </w:rPr>
              <w:t>224</w:t>
            </w:r>
            <w:r w:rsidR="00010657" w:rsidRPr="00960E47">
              <w:rPr>
                <w:rFonts w:eastAsia="Calibri"/>
                <w:b/>
                <w:sz w:val="18"/>
                <w:szCs w:val="18"/>
                <w:lang w:val="es-ES"/>
              </w:rPr>
              <w:t xml:space="preserve"> </w:t>
            </w:r>
            <w:r w:rsidRPr="00960E47">
              <w:rPr>
                <w:rFonts w:eastAsia="Calibri"/>
                <w:b/>
                <w:sz w:val="18"/>
                <w:szCs w:val="18"/>
                <w:lang w:val="es-ES"/>
              </w:rPr>
              <w:t>032</w:t>
            </w:r>
          </w:p>
        </w:tc>
        <w:tc>
          <w:tcPr>
            <w:tcW w:w="858" w:type="dxa"/>
            <w:tcBorders>
              <w:bottom w:val="single" w:sz="4" w:space="0" w:color="000000"/>
            </w:tcBorders>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112</w:t>
            </w:r>
            <w:r w:rsidR="00010657" w:rsidRPr="00960E47">
              <w:rPr>
                <w:rFonts w:eastAsia="Calibri"/>
                <w:sz w:val="18"/>
                <w:szCs w:val="18"/>
                <w:lang w:val="es-ES"/>
              </w:rPr>
              <w:t xml:space="preserve"> </w:t>
            </w:r>
            <w:r w:rsidRPr="00960E47">
              <w:rPr>
                <w:rFonts w:eastAsia="Calibri"/>
                <w:sz w:val="18"/>
                <w:szCs w:val="18"/>
                <w:lang w:val="es-ES"/>
              </w:rPr>
              <w:t>568</w:t>
            </w:r>
          </w:p>
        </w:tc>
        <w:tc>
          <w:tcPr>
            <w:tcW w:w="858" w:type="dxa"/>
            <w:tcBorders>
              <w:bottom w:val="single" w:sz="4" w:space="0" w:color="000000"/>
            </w:tcBorders>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111</w:t>
            </w:r>
            <w:r w:rsidR="00010657" w:rsidRPr="00960E47">
              <w:rPr>
                <w:rFonts w:eastAsia="Calibri"/>
                <w:sz w:val="18"/>
                <w:szCs w:val="18"/>
                <w:lang w:val="es-ES"/>
              </w:rPr>
              <w:t xml:space="preserve"> </w:t>
            </w:r>
            <w:r w:rsidRPr="00960E47">
              <w:rPr>
                <w:rFonts w:eastAsia="Calibri"/>
                <w:sz w:val="18"/>
                <w:szCs w:val="18"/>
                <w:lang w:val="es-ES"/>
              </w:rPr>
              <w:t>464</w:t>
            </w:r>
          </w:p>
        </w:tc>
        <w:tc>
          <w:tcPr>
            <w:tcW w:w="858" w:type="dxa"/>
            <w:gridSpan w:val="2"/>
            <w:tcBorders>
              <w:bottom w:val="single" w:sz="4" w:space="0" w:color="000000"/>
            </w:tcBorders>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b/>
                <w:sz w:val="18"/>
                <w:szCs w:val="18"/>
                <w:lang w:val="es-ES"/>
              </w:rPr>
            </w:pPr>
            <w:r w:rsidRPr="00960E47">
              <w:rPr>
                <w:rFonts w:eastAsia="Calibri"/>
                <w:b/>
                <w:sz w:val="18"/>
                <w:szCs w:val="18"/>
                <w:lang w:val="es-ES"/>
              </w:rPr>
              <w:t>234</w:t>
            </w:r>
            <w:r w:rsidR="00010657" w:rsidRPr="00960E47">
              <w:rPr>
                <w:rFonts w:eastAsia="Calibri"/>
                <w:b/>
                <w:sz w:val="18"/>
                <w:szCs w:val="18"/>
                <w:lang w:val="es-ES"/>
              </w:rPr>
              <w:t xml:space="preserve"> </w:t>
            </w:r>
            <w:r w:rsidRPr="00960E47">
              <w:rPr>
                <w:rFonts w:eastAsia="Calibri"/>
                <w:b/>
                <w:sz w:val="18"/>
                <w:szCs w:val="18"/>
                <w:lang w:val="es-ES"/>
              </w:rPr>
              <w:t>569</w:t>
            </w:r>
          </w:p>
        </w:tc>
        <w:tc>
          <w:tcPr>
            <w:tcW w:w="858" w:type="dxa"/>
            <w:tcBorders>
              <w:bottom w:val="single" w:sz="4" w:space="0" w:color="000000"/>
            </w:tcBorders>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118</w:t>
            </w:r>
            <w:r w:rsidR="00010657" w:rsidRPr="00960E47">
              <w:rPr>
                <w:rFonts w:eastAsia="Calibri"/>
                <w:sz w:val="18"/>
                <w:szCs w:val="18"/>
                <w:lang w:val="es-ES"/>
              </w:rPr>
              <w:t xml:space="preserve"> </w:t>
            </w:r>
            <w:r w:rsidRPr="00960E47">
              <w:rPr>
                <w:rFonts w:eastAsia="Calibri"/>
                <w:sz w:val="18"/>
                <w:szCs w:val="18"/>
                <w:lang w:val="es-ES"/>
              </w:rPr>
              <w:t>351</w:t>
            </w:r>
          </w:p>
        </w:tc>
        <w:tc>
          <w:tcPr>
            <w:tcW w:w="858" w:type="dxa"/>
            <w:tcBorders>
              <w:bottom w:val="single" w:sz="4" w:space="0" w:color="000000"/>
            </w:tcBorders>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116</w:t>
            </w:r>
            <w:r w:rsidR="00010657" w:rsidRPr="00960E47">
              <w:rPr>
                <w:rFonts w:eastAsia="Calibri"/>
                <w:sz w:val="18"/>
                <w:szCs w:val="18"/>
                <w:lang w:val="es-ES"/>
              </w:rPr>
              <w:t xml:space="preserve"> </w:t>
            </w:r>
            <w:r w:rsidRPr="00960E47">
              <w:rPr>
                <w:rFonts w:eastAsia="Calibri"/>
                <w:sz w:val="18"/>
                <w:szCs w:val="18"/>
                <w:lang w:val="es-ES"/>
              </w:rPr>
              <w:t>218</w:t>
            </w:r>
          </w:p>
        </w:tc>
        <w:tc>
          <w:tcPr>
            <w:tcW w:w="858" w:type="dxa"/>
            <w:gridSpan w:val="2"/>
            <w:tcBorders>
              <w:bottom w:val="single" w:sz="4" w:space="0" w:color="000000"/>
            </w:tcBorders>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b/>
                <w:sz w:val="18"/>
                <w:szCs w:val="18"/>
                <w:lang w:val="es-ES"/>
              </w:rPr>
            </w:pPr>
            <w:r w:rsidRPr="00960E47">
              <w:rPr>
                <w:rFonts w:eastAsia="Calibri"/>
                <w:b/>
                <w:sz w:val="18"/>
                <w:szCs w:val="18"/>
                <w:lang w:val="es-ES"/>
              </w:rPr>
              <w:t>212</w:t>
            </w:r>
            <w:r w:rsidR="00010657" w:rsidRPr="00960E47">
              <w:rPr>
                <w:rFonts w:eastAsia="Calibri"/>
                <w:b/>
                <w:sz w:val="18"/>
                <w:szCs w:val="18"/>
                <w:lang w:val="es-ES"/>
              </w:rPr>
              <w:t xml:space="preserve"> </w:t>
            </w:r>
            <w:r w:rsidRPr="00960E47">
              <w:rPr>
                <w:rFonts w:eastAsia="Calibri"/>
                <w:b/>
                <w:sz w:val="18"/>
                <w:szCs w:val="18"/>
                <w:lang w:val="es-ES"/>
              </w:rPr>
              <w:t>168</w:t>
            </w:r>
          </w:p>
        </w:tc>
        <w:tc>
          <w:tcPr>
            <w:tcW w:w="858" w:type="dxa"/>
            <w:tcBorders>
              <w:bottom w:val="single" w:sz="4" w:space="0" w:color="000000"/>
            </w:tcBorders>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106</w:t>
            </w:r>
            <w:r w:rsidR="00010657" w:rsidRPr="00960E47">
              <w:rPr>
                <w:rFonts w:eastAsia="Calibri"/>
                <w:sz w:val="18"/>
                <w:szCs w:val="18"/>
                <w:lang w:val="es-ES"/>
              </w:rPr>
              <w:t xml:space="preserve"> </w:t>
            </w:r>
            <w:r w:rsidRPr="00960E47">
              <w:rPr>
                <w:rFonts w:eastAsia="Calibri"/>
                <w:sz w:val="18"/>
                <w:szCs w:val="18"/>
                <w:lang w:val="es-ES"/>
              </w:rPr>
              <w:t>791</w:t>
            </w:r>
          </w:p>
        </w:tc>
        <w:tc>
          <w:tcPr>
            <w:tcW w:w="859" w:type="dxa"/>
            <w:tcBorders>
              <w:bottom w:val="single" w:sz="4" w:space="0" w:color="000000"/>
            </w:tcBorders>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105</w:t>
            </w:r>
            <w:r w:rsidR="00010657" w:rsidRPr="00960E47">
              <w:rPr>
                <w:rFonts w:eastAsia="Calibri"/>
                <w:sz w:val="18"/>
                <w:szCs w:val="18"/>
                <w:lang w:val="es-ES"/>
              </w:rPr>
              <w:t xml:space="preserve"> </w:t>
            </w:r>
            <w:r w:rsidRPr="00960E47">
              <w:rPr>
                <w:rFonts w:eastAsia="Calibri"/>
                <w:sz w:val="18"/>
                <w:szCs w:val="18"/>
                <w:lang w:val="es-ES"/>
              </w:rPr>
              <w:t>377</w:t>
            </w:r>
          </w:p>
        </w:tc>
      </w:tr>
      <w:tr w:rsidR="004E4234" w:rsidRPr="00960E47" w:rsidTr="00FA7460">
        <w:tc>
          <w:tcPr>
            <w:tcW w:w="868" w:type="dxa"/>
            <w:tcBorders>
              <w:top w:val="single" w:sz="4" w:space="0" w:color="000000"/>
              <w:bottom w:val="single" w:sz="4" w:space="0" w:color="000000"/>
            </w:tcBorders>
            <w:shd w:val="clear" w:color="auto" w:fill="auto"/>
            <w:noWrap/>
            <w:vAlign w:val="bottom"/>
          </w:tcPr>
          <w:p w:rsidR="004E4234" w:rsidRPr="00960E47" w:rsidRDefault="004E4234" w:rsidP="004E4234">
            <w:pPr>
              <w:pStyle w:val="SingleTxtG"/>
              <w:spacing w:before="80" w:after="80" w:line="220" w:lineRule="exact"/>
              <w:ind w:left="0" w:right="0"/>
              <w:jc w:val="left"/>
              <w:rPr>
                <w:rFonts w:eastAsia="Calibri"/>
                <w:b/>
                <w:sz w:val="18"/>
                <w:szCs w:val="18"/>
                <w:lang w:val="es-ES"/>
              </w:rPr>
            </w:pPr>
          </w:p>
        </w:tc>
        <w:tc>
          <w:tcPr>
            <w:tcW w:w="7639" w:type="dxa"/>
            <w:gridSpan w:val="11"/>
            <w:tcBorders>
              <w:top w:val="single" w:sz="4" w:space="0" w:color="000000"/>
              <w:bottom w:val="single" w:sz="4" w:space="0" w:color="000000"/>
            </w:tcBorders>
            <w:shd w:val="clear" w:color="auto" w:fill="auto"/>
            <w:noWrap/>
            <w:vAlign w:val="bottom"/>
          </w:tcPr>
          <w:p w:rsidR="004E4234" w:rsidRPr="00960E47" w:rsidRDefault="004E4234" w:rsidP="00010657">
            <w:pPr>
              <w:pStyle w:val="SingleTxtG"/>
              <w:spacing w:before="80" w:after="80" w:line="220" w:lineRule="exact"/>
              <w:ind w:left="0" w:right="0"/>
              <w:jc w:val="center"/>
              <w:rPr>
                <w:rFonts w:eastAsia="Calibri"/>
                <w:b/>
                <w:sz w:val="18"/>
                <w:szCs w:val="18"/>
                <w:lang w:val="es-ES"/>
              </w:rPr>
            </w:pPr>
            <w:r w:rsidRPr="00960E47">
              <w:rPr>
                <w:rFonts w:eastAsia="Calibri"/>
                <w:b/>
                <w:sz w:val="18"/>
                <w:szCs w:val="18"/>
                <w:lang w:val="es-ES"/>
              </w:rPr>
              <w:t>Distribución porcentual</w:t>
            </w:r>
          </w:p>
        </w:tc>
      </w:tr>
      <w:tr w:rsidR="00E421FD" w:rsidRPr="00960E47" w:rsidTr="00FA7460">
        <w:tc>
          <w:tcPr>
            <w:tcW w:w="868" w:type="dxa"/>
            <w:tcBorders>
              <w:top w:val="single" w:sz="4" w:space="0" w:color="000000"/>
              <w:bottom w:val="single" w:sz="4" w:space="0" w:color="000000"/>
            </w:tcBorders>
            <w:shd w:val="clear" w:color="auto" w:fill="auto"/>
            <w:noWrap/>
            <w:vAlign w:val="bottom"/>
          </w:tcPr>
          <w:p w:rsidR="00E421FD" w:rsidRPr="00960E47" w:rsidRDefault="00E421FD" w:rsidP="004E4234">
            <w:pPr>
              <w:pStyle w:val="SingleTxtG"/>
              <w:spacing w:before="80" w:after="80" w:line="200" w:lineRule="exact"/>
              <w:ind w:left="170" w:right="0"/>
              <w:jc w:val="left"/>
              <w:rPr>
                <w:rFonts w:eastAsia="Calibri"/>
                <w:b/>
                <w:sz w:val="18"/>
                <w:szCs w:val="18"/>
                <w:lang w:val="es-ES"/>
              </w:rPr>
            </w:pPr>
            <w:r w:rsidRPr="00960E47">
              <w:rPr>
                <w:rFonts w:eastAsia="Calibri"/>
                <w:b/>
                <w:sz w:val="18"/>
                <w:szCs w:val="18"/>
                <w:lang w:val="es-ES"/>
              </w:rPr>
              <w:t>Total</w:t>
            </w:r>
          </w:p>
        </w:tc>
        <w:tc>
          <w:tcPr>
            <w:tcW w:w="774" w:type="dxa"/>
            <w:tcBorders>
              <w:top w:val="single" w:sz="4" w:space="0" w:color="000000"/>
              <w:bottom w:val="single" w:sz="4" w:space="0" w:color="000000"/>
            </w:tcBorders>
            <w:shd w:val="clear" w:color="auto" w:fill="auto"/>
            <w:noWrap/>
            <w:vAlign w:val="bottom"/>
          </w:tcPr>
          <w:p w:rsidR="00E421FD" w:rsidRPr="00960E47" w:rsidRDefault="00E421FD" w:rsidP="00010657">
            <w:pPr>
              <w:pStyle w:val="SingleTxtG"/>
              <w:spacing w:before="80" w:after="80" w:line="200" w:lineRule="exact"/>
              <w:ind w:left="0" w:right="0"/>
              <w:jc w:val="right"/>
              <w:rPr>
                <w:rFonts w:eastAsia="Calibri"/>
                <w:b/>
                <w:sz w:val="18"/>
                <w:szCs w:val="18"/>
                <w:lang w:val="es-ES"/>
              </w:rPr>
            </w:pPr>
            <w:r w:rsidRPr="00960E47">
              <w:rPr>
                <w:rFonts w:eastAsia="Calibri"/>
                <w:b/>
                <w:sz w:val="18"/>
                <w:szCs w:val="18"/>
                <w:lang w:val="es-ES"/>
              </w:rPr>
              <w:t>100</w:t>
            </w:r>
          </w:p>
        </w:tc>
        <w:tc>
          <w:tcPr>
            <w:tcW w:w="858" w:type="dxa"/>
            <w:tcBorders>
              <w:top w:val="single" w:sz="4" w:space="0" w:color="000000"/>
              <w:bottom w:val="single" w:sz="4" w:space="0" w:color="000000"/>
            </w:tcBorders>
            <w:shd w:val="clear" w:color="auto" w:fill="auto"/>
            <w:noWrap/>
            <w:vAlign w:val="bottom"/>
          </w:tcPr>
          <w:p w:rsidR="00E421FD" w:rsidRPr="00960E47" w:rsidRDefault="00E421FD" w:rsidP="00010657">
            <w:pPr>
              <w:pStyle w:val="SingleTxtG"/>
              <w:spacing w:before="80" w:after="80" w:line="200" w:lineRule="exact"/>
              <w:ind w:left="0" w:right="0"/>
              <w:jc w:val="right"/>
              <w:rPr>
                <w:rFonts w:eastAsia="Calibri"/>
                <w:b/>
                <w:sz w:val="18"/>
                <w:szCs w:val="18"/>
                <w:lang w:val="es-ES"/>
              </w:rPr>
            </w:pPr>
            <w:r w:rsidRPr="00960E47">
              <w:rPr>
                <w:rFonts w:eastAsia="Calibri"/>
                <w:b/>
                <w:sz w:val="18"/>
                <w:szCs w:val="18"/>
                <w:lang w:val="es-ES"/>
              </w:rPr>
              <w:t>100</w:t>
            </w:r>
          </w:p>
        </w:tc>
        <w:tc>
          <w:tcPr>
            <w:tcW w:w="858" w:type="dxa"/>
            <w:tcBorders>
              <w:top w:val="single" w:sz="4" w:space="0" w:color="000000"/>
              <w:bottom w:val="single" w:sz="4" w:space="0" w:color="000000"/>
            </w:tcBorders>
            <w:shd w:val="clear" w:color="auto" w:fill="auto"/>
            <w:noWrap/>
            <w:vAlign w:val="bottom"/>
          </w:tcPr>
          <w:p w:rsidR="00E421FD" w:rsidRPr="00960E47" w:rsidRDefault="00E421FD" w:rsidP="00010657">
            <w:pPr>
              <w:pStyle w:val="SingleTxtG"/>
              <w:spacing w:before="80" w:after="80" w:line="200" w:lineRule="exact"/>
              <w:ind w:left="0" w:right="0"/>
              <w:jc w:val="right"/>
              <w:rPr>
                <w:rFonts w:eastAsia="Calibri"/>
                <w:b/>
                <w:sz w:val="18"/>
                <w:szCs w:val="18"/>
                <w:lang w:val="es-ES"/>
              </w:rPr>
            </w:pPr>
            <w:r w:rsidRPr="00960E47">
              <w:rPr>
                <w:rFonts w:eastAsia="Calibri"/>
                <w:b/>
                <w:sz w:val="18"/>
                <w:szCs w:val="18"/>
                <w:lang w:val="es-ES"/>
              </w:rPr>
              <w:t>100</w:t>
            </w:r>
          </w:p>
        </w:tc>
        <w:tc>
          <w:tcPr>
            <w:tcW w:w="858" w:type="dxa"/>
            <w:gridSpan w:val="2"/>
            <w:tcBorders>
              <w:top w:val="single" w:sz="4" w:space="0" w:color="000000"/>
              <w:bottom w:val="single" w:sz="4" w:space="0" w:color="000000"/>
            </w:tcBorders>
            <w:shd w:val="clear" w:color="auto" w:fill="auto"/>
            <w:noWrap/>
            <w:vAlign w:val="bottom"/>
          </w:tcPr>
          <w:p w:rsidR="00E421FD" w:rsidRPr="00960E47" w:rsidRDefault="00E421FD" w:rsidP="00010657">
            <w:pPr>
              <w:pStyle w:val="SingleTxtG"/>
              <w:spacing w:before="80" w:after="80" w:line="200" w:lineRule="exact"/>
              <w:ind w:left="0" w:right="0"/>
              <w:jc w:val="right"/>
              <w:rPr>
                <w:rFonts w:eastAsia="Calibri"/>
                <w:b/>
                <w:sz w:val="18"/>
                <w:szCs w:val="18"/>
                <w:lang w:val="es-ES"/>
              </w:rPr>
            </w:pPr>
            <w:r w:rsidRPr="00960E47">
              <w:rPr>
                <w:rFonts w:eastAsia="Calibri"/>
                <w:b/>
                <w:sz w:val="18"/>
                <w:szCs w:val="18"/>
                <w:lang w:val="es-ES"/>
              </w:rPr>
              <w:t>100</w:t>
            </w:r>
          </w:p>
        </w:tc>
        <w:tc>
          <w:tcPr>
            <w:tcW w:w="858" w:type="dxa"/>
            <w:tcBorders>
              <w:top w:val="single" w:sz="4" w:space="0" w:color="000000"/>
              <w:bottom w:val="single" w:sz="4" w:space="0" w:color="000000"/>
            </w:tcBorders>
            <w:shd w:val="clear" w:color="auto" w:fill="auto"/>
            <w:noWrap/>
            <w:vAlign w:val="bottom"/>
          </w:tcPr>
          <w:p w:rsidR="00E421FD" w:rsidRPr="00960E47" w:rsidRDefault="00E421FD" w:rsidP="00010657">
            <w:pPr>
              <w:pStyle w:val="SingleTxtG"/>
              <w:spacing w:before="80" w:after="80" w:line="200" w:lineRule="exact"/>
              <w:ind w:left="0" w:right="0"/>
              <w:jc w:val="right"/>
              <w:rPr>
                <w:rFonts w:eastAsia="Calibri"/>
                <w:b/>
                <w:sz w:val="18"/>
                <w:szCs w:val="18"/>
                <w:lang w:val="es-ES"/>
              </w:rPr>
            </w:pPr>
            <w:r w:rsidRPr="00960E47">
              <w:rPr>
                <w:rFonts w:eastAsia="Calibri"/>
                <w:b/>
                <w:sz w:val="18"/>
                <w:szCs w:val="18"/>
                <w:lang w:val="es-ES"/>
              </w:rPr>
              <w:t>100</w:t>
            </w:r>
          </w:p>
        </w:tc>
        <w:tc>
          <w:tcPr>
            <w:tcW w:w="858" w:type="dxa"/>
            <w:tcBorders>
              <w:top w:val="single" w:sz="4" w:space="0" w:color="000000"/>
              <w:bottom w:val="single" w:sz="4" w:space="0" w:color="000000"/>
            </w:tcBorders>
            <w:shd w:val="clear" w:color="auto" w:fill="auto"/>
            <w:noWrap/>
            <w:vAlign w:val="bottom"/>
          </w:tcPr>
          <w:p w:rsidR="00E421FD" w:rsidRPr="00960E47" w:rsidRDefault="00E421FD" w:rsidP="00010657">
            <w:pPr>
              <w:pStyle w:val="SingleTxtG"/>
              <w:spacing w:before="80" w:after="80" w:line="200" w:lineRule="exact"/>
              <w:ind w:left="0" w:right="0"/>
              <w:jc w:val="right"/>
              <w:rPr>
                <w:rFonts w:eastAsia="Calibri"/>
                <w:b/>
                <w:sz w:val="18"/>
                <w:szCs w:val="18"/>
                <w:lang w:val="es-ES"/>
              </w:rPr>
            </w:pPr>
            <w:r w:rsidRPr="00960E47">
              <w:rPr>
                <w:rFonts w:eastAsia="Calibri"/>
                <w:b/>
                <w:sz w:val="18"/>
                <w:szCs w:val="18"/>
                <w:lang w:val="es-ES"/>
              </w:rPr>
              <w:t>100</w:t>
            </w:r>
          </w:p>
        </w:tc>
        <w:tc>
          <w:tcPr>
            <w:tcW w:w="858" w:type="dxa"/>
            <w:gridSpan w:val="2"/>
            <w:tcBorders>
              <w:top w:val="single" w:sz="4" w:space="0" w:color="000000"/>
              <w:bottom w:val="single" w:sz="4" w:space="0" w:color="000000"/>
            </w:tcBorders>
            <w:shd w:val="clear" w:color="auto" w:fill="auto"/>
            <w:noWrap/>
            <w:vAlign w:val="bottom"/>
          </w:tcPr>
          <w:p w:rsidR="00E421FD" w:rsidRPr="00960E47" w:rsidRDefault="00E421FD" w:rsidP="00010657">
            <w:pPr>
              <w:pStyle w:val="SingleTxtG"/>
              <w:spacing w:before="80" w:after="80" w:line="200" w:lineRule="exact"/>
              <w:ind w:left="0" w:right="0"/>
              <w:jc w:val="right"/>
              <w:rPr>
                <w:rFonts w:eastAsia="Calibri"/>
                <w:b/>
                <w:sz w:val="18"/>
                <w:szCs w:val="18"/>
                <w:lang w:val="es-ES"/>
              </w:rPr>
            </w:pPr>
            <w:r w:rsidRPr="00960E47">
              <w:rPr>
                <w:rFonts w:eastAsia="Calibri"/>
                <w:b/>
                <w:sz w:val="18"/>
                <w:szCs w:val="18"/>
                <w:lang w:val="es-ES"/>
              </w:rPr>
              <w:t>100</w:t>
            </w:r>
          </w:p>
        </w:tc>
        <w:tc>
          <w:tcPr>
            <w:tcW w:w="858" w:type="dxa"/>
            <w:tcBorders>
              <w:top w:val="single" w:sz="4" w:space="0" w:color="000000"/>
              <w:bottom w:val="single" w:sz="4" w:space="0" w:color="000000"/>
            </w:tcBorders>
            <w:shd w:val="clear" w:color="auto" w:fill="auto"/>
            <w:noWrap/>
            <w:vAlign w:val="bottom"/>
          </w:tcPr>
          <w:p w:rsidR="00E421FD" w:rsidRPr="00960E47" w:rsidRDefault="00E421FD" w:rsidP="00010657">
            <w:pPr>
              <w:pStyle w:val="SingleTxtG"/>
              <w:spacing w:before="80" w:after="80" w:line="200" w:lineRule="exact"/>
              <w:ind w:left="0" w:right="0"/>
              <w:jc w:val="right"/>
              <w:rPr>
                <w:rFonts w:eastAsia="Calibri"/>
                <w:b/>
                <w:sz w:val="18"/>
                <w:szCs w:val="18"/>
                <w:lang w:val="es-ES"/>
              </w:rPr>
            </w:pPr>
            <w:r w:rsidRPr="00960E47">
              <w:rPr>
                <w:rFonts w:eastAsia="Calibri"/>
                <w:b/>
                <w:sz w:val="18"/>
                <w:szCs w:val="18"/>
                <w:lang w:val="es-ES"/>
              </w:rPr>
              <w:t>100</w:t>
            </w:r>
          </w:p>
        </w:tc>
        <w:tc>
          <w:tcPr>
            <w:tcW w:w="859" w:type="dxa"/>
            <w:tcBorders>
              <w:top w:val="single" w:sz="4" w:space="0" w:color="000000"/>
              <w:bottom w:val="single" w:sz="4" w:space="0" w:color="000000"/>
            </w:tcBorders>
            <w:shd w:val="clear" w:color="auto" w:fill="auto"/>
            <w:noWrap/>
            <w:vAlign w:val="bottom"/>
          </w:tcPr>
          <w:p w:rsidR="00E421FD" w:rsidRPr="00960E47" w:rsidRDefault="00E421FD" w:rsidP="00010657">
            <w:pPr>
              <w:pStyle w:val="SingleTxtG"/>
              <w:spacing w:before="80" w:after="80" w:line="200" w:lineRule="exact"/>
              <w:ind w:left="0" w:right="0"/>
              <w:jc w:val="right"/>
              <w:rPr>
                <w:rFonts w:eastAsia="Calibri"/>
                <w:b/>
                <w:sz w:val="18"/>
                <w:szCs w:val="18"/>
                <w:lang w:val="es-ES"/>
              </w:rPr>
            </w:pPr>
            <w:r w:rsidRPr="00960E47">
              <w:rPr>
                <w:rFonts w:eastAsia="Calibri"/>
                <w:b/>
                <w:sz w:val="18"/>
                <w:szCs w:val="18"/>
                <w:lang w:val="es-ES"/>
              </w:rPr>
              <w:t>100</w:t>
            </w:r>
          </w:p>
        </w:tc>
      </w:tr>
      <w:tr w:rsidR="00E421FD" w:rsidRPr="00960E47" w:rsidTr="00FA7460">
        <w:tc>
          <w:tcPr>
            <w:tcW w:w="868" w:type="dxa"/>
            <w:tcBorders>
              <w:top w:val="single" w:sz="4" w:space="0" w:color="000000"/>
            </w:tcBorders>
            <w:shd w:val="clear" w:color="auto" w:fill="auto"/>
            <w:noWrap/>
            <w:vAlign w:val="bottom"/>
          </w:tcPr>
          <w:p w:rsidR="00E421FD" w:rsidRPr="00960E47" w:rsidRDefault="00E421FD" w:rsidP="004E4234">
            <w:pPr>
              <w:pStyle w:val="SingleTxtG"/>
              <w:spacing w:before="40" w:after="40" w:line="220" w:lineRule="exact"/>
              <w:ind w:left="0" w:right="0"/>
              <w:jc w:val="left"/>
              <w:rPr>
                <w:rFonts w:eastAsia="Calibri"/>
                <w:sz w:val="18"/>
                <w:szCs w:val="18"/>
                <w:lang w:val="es-ES"/>
              </w:rPr>
            </w:pPr>
            <w:r w:rsidRPr="00960E47">
              <w:rPr>
                <w:rFonts w:eastAsia="Calibri"/>
                <w:sz w:val="18"/>
                <w:szCs w:val="18"/>
                <w:lang w:val="es-ES"/>
              </w:rPr>
              <w:t>0</w:t>
            </w:r>
          </w:p>
        </w:tc>
        <w:tc>
          <w:tcPr>
            <w:tcW w:w="774" w:type="dxa"/>
            <w:tcBorders>
              <w:top w:val="single" w:sz="4" w:space="0" w:color="000000"/>
            </w:tcBorders>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b/>
                <w:sz w:val="18"/>
                <w:szCs w:val="18"/>
                <w:lang w:val="es-ES"/>
              </w:rPr>
            </w:pPr>
            <w:r w:rsidRPr="00960E47">
              <w:rPr>
                <w:rFonts w:eastAsia="Calibri"/>
                <w:b/>
                <w:sz w:val="18"/>
                <w:szCs w:val="18"/>
                <w:lang w:val="es-ES"/>
              </w:rPr>
              <w:t>11,3</w:t>
            </w:r>
          </w:p>
        </w:tc>
        <w:tc>
          <w:tcPr>
            <w:tcW w:w="858" w:type="dxa"/>
            <w:tcBorders>
              <w:top w:val="single" w:sz="4" w:space="0" w:color="000000"/>
            </w:tcBorders>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11,4</w:t>
            </w:r>
          </w:p>
        </w:tc>
        <w:tc>
          <w:tcPr>
            <w:tcW w:w="858" w:type="dxa"/>
            <w:tcBorders>
              <w:top w:val="single" w:sz="4" w:space="0" w:color="000000"/>
            </w:tcBorders>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11,3</w:t>
            </w:r>
          </w:p>
        </w:tc>
        <w:tc>
          <w:tcPr>
            <w:tcW w:w="858" w:type="dxa"/>
            <w:gridSpan w:val="2"/>
            <w:tcBorders>
              <w:top w:val="single" w:sz="4" w:space="0" w:color="000000"/>
            </w:tcBorders>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b/>
                <w:sz w:val="18"/>
                <w:szCs w:val="18"/>
                <w:lang w:val="es-ES"/>
              </w:rPr>
            </w:pPr>
            <w:r w:rsidRPr="00960E47">
              <w:rPr>
                <w:rFonts w:eastAsia="Calibri"/>
                <w:b/>
                <w:sz w:val="18"/>
                <w:szCs w:val="18"/>
                <w:lang w:val="es-ES"/>
              </w:rPr>
              <w:t>8,8</w:t>
            </w:r>
          </w:p>
        </w:tc>
        <w:tc>
          <w:tcPr>
            <w:tcW w:w="858" w:type="dxa"/>
            <w:tcBorders>
              <w:top w:val="single" w:sz="4" w:space="0" w:color="000000"/>
            </w:tcBorders>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8,9</w:t>
            </w:r>
          </w:p>
        </w:tc>
        <w:tc>
          <w:tcPr>
            <w:tcW w:w="858" w:type="dxa"/>
            <w:tcBorders>
              <w:top w:val="single" w:sz="4" w:space="0" w:color="000000"/>
            </w:tcBorders>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8,8</w:t>
            </w:r>
          </w:p>
        </w:tc>
        <w:tc>
          <w:tcPr>
            <w:tcW w:w="858" w:type="dxa"/>
            <w:gridSpan w:val="2"/>
            <w:tcBorders>
              <w:top w:val="single" w:sz="4" w:space="0" w:color="000000"/>
            </w:tcBorders>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b/>
                <w:sz w:val="18"/>
                <w:szCs w:val="18"/>
                <w:lang w:val="es-ES"/>
              </w:rPr>
            </w:pPr>
            <w:r w:rsidRPr="00960E47">
              <w:rPr>
                <w:rFonts w:eastAsia="Calibri"/>
                <w:b/>
                <w:sz w:val="18"/>
                <w:szCs w:val="18"/>
                <w:lang w:val="es-ES"/>
              </w:rPr>
              <w:t>10,5</w:t>
            </w:r>
          </w:p>
        </w:tc>
        <w:tc>
          <w:tcPr>
            <w:tcW w:w="858" w:type="dxa"/>
            <w:tcBorders>
              <w:top w:val="single" w:sz="4" w:space="0" w:color="000000"/>
            </w:tcBorders>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10,6</w:t>
            </w:r>
          </w:p>
        </w:tc>
        <w:tc>
          <w:tcPr>
            <w:tcW w:w="859" w:type="dxa"/>
            <w:tcBorders>
              <w:top w:val="single" w:sz="4" w:space="0" w:color="000000"/>
            </w:tcBorders>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10,4</w:t>
            </w:r>
          </w:p>
        </w:tc>
      </w:tr>
      <w:tr w:rsidR="00E421FD" w:rsidRPr="00960E47" w:rsidTr="00FA7460">
        <w:tc>
          <w:tcPr>
            <w:tcW w:w="868" w:type="dxa"/>
            <w:shd w:val="clear" w:color="auto" w:fill="auto"/>
            <w:noWrap/>
            <w:vAlign w:val="bottom"/>
          </w:tcPr>
          <w:p w:rsidR="00E421FD" w:rsidRPr="00960E47" w:rsidRDefault="00E421FD" w:rsidP="004E4234">
            <w:pPr>
              <w:pStyle w:val="SingleTxtG"/>
              <w:spacing w:before="40" w:after="40" w:line="220" w:lineRule="exact"/>
              <w:ind w:left="0" w:right="0"/>
              <w:jc w:val="left"/>
              <w:rPr>
                <w:rFonts w:eastAsia="Calibri"/>
                <w:sz w:val="18"/>
                <w:szCs w:val="18"/>
                <w:lang w:val="es-ES"/>
              </w:rPr>
            </w:pPr>
            <w:r w:rsidRPr="00960E47">
              <w:rPr>
                <w:rFonts w:eastAsia="Calibri"/>
                <w:sz w:val="18"/>
                <w:szCs w:val="18"/>
                <w:lang w:val="es-ES"/>
              </w:rPr>
              <w:t>1</w:t>
            </w:r>
          </w:p>
        </w:tc>
        <w:tc>
          <w:tcPr>
            <w:tcW w:w="774" w:type="dxa"/>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b/>
                <w:sz w:val="18"/>
                <w:szCs w:val="18"/>
                <w:lang w:val="es-ES"/>
              </w:rPr>
            </w:pPr>
            <w:r w:rsidRPr="00960E47">
              <w:rPr>
                <w:rFonts w:eastAsia="Calibri"/>
                <w:b/>
                <w:sz w:val="18"/>
                <w:szCs w:val="18"/>
                <w:lang w:val="es-ES"/>
              </w:rPr>
              <w:t>8,4</w:t>
            </w:r>
          </w:p>
        </w:tc>
        <w:tc>
          <w:tcPr>
            <w:tcW w:w="858" w:type="dxa"/>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8,5</w:t>
            </w:r>
          </w:p>
        </w:tc>
        <w:tc>
          <w:tcPr>
            <w:tcW w:w="858" w:type="dxa"/>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8,3</w:t>
            </w:r>
          </w:p>
        </w:tc>
        <w:tc>
          <w:tcPr>
            <w:tcW w:w="858" w:type="dxa"/>
            <w:gridSpan w:val="2"/>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b/>
                <w:sz w:val="18"/>
                <w:szCs w:val="18"/>
                <w:lang w:val="es-ES"/>
              </w:rPr>
            </w:pPr>
            <w:r w:rsidRPr="00960E47">
              <w:rPr>
                <w:rFonts w:eastAsia="Calibri"/>
                <w:b/>
                <w:sz w:val="18"/>
                <w:szCs w:val="18"/>
                <w:lang w:val="es-ES"/>
              </w:rPr>
              <w:t>8,2</w:t>
            </w:r>
          </w:p>
        </w:tc>
        <w:tc>
          <w:tcPr>
            <w:tcW w:w="858" w:type="dxa"/>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8,4</w:t>
            </w:r>
          </w:p>
        </w:tc>
        <w:tc>
          <w:tcPr>
            <w:tcW w:w="858" w:type="dxa"/>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8,3</w:t>
            </w:r>
          </w:p>
        </w:tc>
        <w:tc>
          <w:tcPr>
            <w:tcW w:w="858" w:type="dxa"/>
            <w:gridSpan w:val="2"/>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b/>
                <w:sz w:val="18"/>
                <w:szCs w:val="18"/>
                <w:lang w:val="es-ES"/>
              </w:rPr>
            </w:pPr>
            <w:r w:rsidRPr="00960E47">
              <w:rPr>
                <w:rFonts w:eastAsia="Calibri"/>
                <w:b/>
                <w:sz w:val="18"/>
                <w:szCs w:val="18"/>
                <w:lang w:val="es-ES"/>
              </w:rPr>
              <w:t>9,9</w:t>
            </w:r>
          </w:p>
        </w:tc>
        <w:tc>
          <w:tcPr>
            <w:tcW w:w="858" w:type="dxa"/>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9,9</w:t>
            </w:r>
          </w:p>
        </w:tc>
        <w:tc>
          <w:tcPr>
            <w:tcW w:w="859" w:type="dxa"/>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10,0</w:t>
            </w:r>
          </w:p>
        </w:tc>
      </w:tr>
      <w:tr w:rsidR="00E421FD" w:rsidRPr="00960E47" w:rsidTr="00FA7460">
        <w:tc>
          <w:tcPr>
            <w:tcW w:w="868" w:type="dxa"/>
            <w:shd w:val="clear" w:color="auto" w:fill="auto"/>
            <w:noWrap/>
            <w:vAlign w:val="bottom"/>
          </w:tcPr>
          <w:p w:rsidR="00E421FD" w:rsidRPr="00960E47" w:rsidRDefault="00E421FD" w:rsidP="004E4234">
            <w:pPr>
              <w:pStyle w:val="SingleTxtG"/>
              <w:spacing w:before="40" w:after="40" w:line="220" w:lineRule="exact"/>
              <w:ind w:left="0" w:right="0"/>
              <w:jc w:val="left"/>
              <w:rPr>
                <w:rFonts w:eastAsia="Calibri"/>
                <w:sz w:val="18"/>
                <w:szCs w:val="18"/>
                <w:lang w:val="es-ES"/>
              </w:rPr>
            </w:pPr>
            <w:r w:rsidRPr="00960E47">
              <w:rPr>
                <w:rFonts w:eastAsia="Calibri"/>
                <w:sz w:val="18"/>
                <w:szCs w:val="18"/>
                <w:lang w:val="es-ES"/>
              </w:rPr>
              <w:t>2</w:t>
            </w:r>
          </w:p>
        </w:tc>
        <w:tc>
          <w:tcPr>
            <w:tcW w:w="774" w:type="dxa"/>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b/>
                <w:sz w:val="18"/>
                <w:szCs w:val="18"/>
                <w:lang w:val="es-ES"/>
              </w:rPr>
            </w:pPr>
            <w:r w:rsidRPr="00960E47">
              <w:rPr>
                <w:rFonts w:eastAsia="Calibri"/>
                <w:b/>
                <w:sz w:val="18"/>
                <w:szCs w:val="18"/>
                <w:lang w:val="es-ES"/>
              </w:rPr>
              <w:t>9,5</w:t>
            </w:r>
          </w:p>
        </w:tc>
        <w:tc>
          <w:tcPr>
            <w:tcW w:w="858" w:type="dxa"/>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9,5</w:t>
            </w:r>
          </w:p>
        </w:tc>
        <w:tc>
          <w:tcPr>
            <w:tcW w:w="858" w:type="dxa"/>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9,4</w:t>
            </w:r>
          </w:p>
        </w:tc>
        <w:tc>
          <w:tcPr>
            <w:tcW w:w="858" w:type="dxa"/>
            <w:gridSpan w:val="2"/>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b/>
                <w:sz w:val="18"/>
                <w:szCs w:val="18"/>
                <w:lang w:val="es-ES"/>
              </w:rPr>
            </w:pPr>
            <w:r w:rsidRPr="00960E47">
              <w:rPr>
                <w:rFonts w:eastAsia="Calibri"/>
                <w:b/>
                <w:sz w:val="18"/>
                <w:szCs w:val="18"/>
                <w:lang w:val="es-ES"/>
              </w:rPr>
              <w:t>9,0</w:t>
            </w:r>
          </w:p>
        </w:tc>
        <w:tc>
          <w:tcPr>
            <w:tcW w:w="858" w:type="dxa"/>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9,0</w:t>
            </w:r>
          </w:p>
        </w:tc>
        <w:tc>
          <w:tcPr>
            <w:tcW w:w="858" w:type="dxa"/>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9,0</w:t>
            </w:r>
          </w:p>
        </w:tc>
        <w:tc>
          <w:tcPr>
            <w:tcW w:w="858" w:type="dxa"/>
            <w:gridSpan w:val="2"/>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b/>
                <w:sz w:val="18"/>
                <w:szCs w:val="18"/>
                <w:lang w:val="es-ES"/>
              </w:rPr>
            </w:pPr>
            <w:r w:rsidRPr="00960E47">
              <w:rPr>
                <w:rFonts w:eastAsia="Calibri"/>
                <w:b/>
                <w:sz w:val="18"/>
                <w:szCs w:val="18"/>
                <w:lang w:val="es-ES"/>
              </w:rPr>
              <w:t>9,7</w:t>
            </w:r>
          </w:p>
        </w:tc>
        <w:tc>
          <w:tcPr>
            <w:tcW w:w="858" w:type="dxa"/>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9,7</w:t>
            </w:r>
          </w:p>
        </w:tc>
        <w:tc>
          <w:tcPr>
            <w:tcW w:w="859" w:type="dxa"/>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9,7</w:t>
            </w:r>
          </w:p>
        </w:tc>
      </w:tr>
      <w:tr w:rsidR="00E421FD" w:rsidRPr="00960E47" w:rsidTr="00FA7460">
        <w:tc>
          <w:tcPr>
            <w:tcW w:w="868" w:type="dxa"/>
            <w:shd w:val="clear" w:color="auto" w:fill="auto"/>
            <w:noWrap/>
            <w:vAlign w:val="bottom"/>
          </w:tcPr>
          <w:p w:rsidR="00E421FD" w:rsidRPr="00960E47" w:rsidRDefault="00E421FD" w:rsidP="004E4234">
            <w:pPr>
              <w:pStyle w:val="SingleTxtG"/>
              <w:spacing w:before="40" w:after="40" w:line="220" w:lineRule="exact"/>
              <w:ind w:left="0" w:right="0"/>
              <w:jc w:val="left"/>
              <w:rPr>
                <w:rFonts w:eastAsia="Calibri"/>
                <w:sz w:val="18"/>
                <w:szCs w:val="18"/>
                <w:lang w:val="es-ES"/>
              </w:rPr>
            </w:pPr>
            <w:r w:rsidRPr="00960E47">
              <w:rPr>
                <w:rFonts w:eastAsia="Calibri"/>
                <w:sz w:val="18"/>
                <w:szCs w:val="18"/>
                <w:lang w:val="es-ES"/>
              </w:rPr>
              <w:t>3</w:t>
            </w:r>
          </w:p>
        </w:tc>
        <w:tc>
          <w:tcPr>
            <w:tcW w:w="774" w:type="dxa"/>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b/>
                <w:sz w:val="18"/>
                <w:szCs w:val="18"/>
                <w:lang w:val="es-ES"/>
              </w:rPr>
            </w:pPr>
            <w:r w:rsidRPr="00960E47">
              <w:rPr>
                <w:rFonts w:eastAsia="Calibri"/>
                <w:b/>
                <w:sz w:val="18"/>
                <w:szCs w:val="18"/>
                <w:lang w:val="es-ES"/>
              </w:rPr>
              <w:t>10,5</w:t>
            </w:r>
          </w:p>
        </w:tc>
        <w:tc>
          <w:tcPr>
            <w:tcW w:w="858" w:type="dxa"/>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10,5</w:t>
            </w:r>
          </w:p>
        </w:tc>
        <w:tc>
          <w:tcPr>
            <w:tcW w:w="858" w:type="dxa"/>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10,6</w:t>
            </w:r>
          </w:p>
        </w:tc>
        <w:tc>
          <w:tcPr>
            <w:tcW w:w="858" w:type="dxa"/>
            <w:gridSpan w:val="2"/>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b/>
                <w:sz w:val="18"/>
                <w:szCs w:val="18"/>
                <w:lang w:val="es-ES"/>
              </w:rPr>
            </w:pPr>
            <w:r w:rsidRPr="00960E47">
              <w:rPr>
                <w:rFonts w:eastAsia="Calibri"/>
                <w:b/>
                <w:sz w:val="18"/>
                <w:szCs w:val="18"/>
                <w:lang w:val="es-ES"/>
              </w:rPr>
              <w:t>9,6</w:t>
            </w:r>
          </w:p>
        </w:tc>
        <w:tc>
          <w:tcPr>
            <w:tcW w:w="858" w:type="dxa"/>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9,5</w:t>
            </w:r>
          </w:p>
        </w:tc>
        <w:tc>
          <w:tcPr>
            <w:tcW w:w="858" w:type="dxa"/>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9,6</w:t>
            </w:r>
          </w:p>
        </w:tc>
        <w:tc>
          <w:tcPr>
            <w:tcW w:w="858" w:type="dxa"/>
            <w:gridSpan w:val="2"/>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b/>
                <w:sz w:val="18"/>
                <w:szCs w:val="18"/>
                <w:lang w:val="es-ES"/>
              </w:rPr>
            </w:pPr>
            <w:r w:rsidRPr="00960E47">
              <w:rPr>
                <w:rFonts w:eastAsia="Calibri"/>
                <w:b/>
                <w:sz w:val="18"/>
                <w:szCs w:val="18"/>
                <w:lang w:val="es-ES"/>
              </w:rPr>
              <w:t>9,6</w:t>
            </w:r>
          </w:p>
        </w:tc>
        <w:tc>
          <w:tcPr>
            <w:tcW w:w="858" w:type="dxa"/>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9,5</w:t>
            </w:r>
          </w:p>
        </w:tc>
        <w:tc>
          <w:tcPr>
            <w:tcW w:w="859" w:type="dxa"/>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9,6</w:t>
            </w:r>
          </w:p>
        </w:tc>
      </w:tr>
      <w:tr w:rsidR="00E421FD" w:rsidRPr="00960E47" w:rsidTr="00FA7460">
        <w:tc>
          <w:tcPr>
            <w:tcW w:w="868" w:type="dxa"/>
            <w:shd w:val="clear" w:color="auto" w:fill="auto"/>
            <w:noWrap/>
            <w:vAlign w:val="bottom"/>
          </w:tcPr>
          <w:p w:rsidR="00E421FD" w:rsidRPr="00960E47" w:rsidRDefault="00E421FD" w:rsidP="004E4234">
            <w:pPr>
              <w:pStyle w:val="SingleTxtG"/>
              <w:spacing w:before="40" w:after="40" w:line="220" w:lineRule="exact"/>
              <w:ind w:left="0" w:right="0"/>
              <w:jc w:val="left"/>
              <w:rPr>
                <w:rFonts w:eastAsia="Calibri"/>
                <w:sz w:val="18"/>
                <w:szCs w:val="18"/>
                <w:lang w:val="es-ES"/>
              </w:rPr>
            </w:pPr>
            <w:r w:rsidRPr="00960E47">
              <w:rPr>
                <w:rFonts w:eastAsia="Calibri"/>
                <w:sz w:val="18"/>
                <w:szCs w:val="18"/>
                <w:lang w:val="es-ES"/>
              </w:rPr>
              <w:t>4</w:t>
            </w:r>
          </w:p>
        </w:tc>
        <w:tc>
          <w:tcPr>
            <w:tcW w:w="774" w:type="dxa"/>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b/>
                <w:sz w:val="18"/>
                <w:szCs w:val="18"/>
                <w:lang w:val="es-ES"/>
              </w:rPr>
            </w:pPr>
            <w:r w:rsidRPr="00960E47">
              <w:rPr>
                <w:rFonts w:eastAsia="Calibri"/>
                <w:b/>
                <w:sz w:val="18"/>
                <w:szCs w:val="18"/>
                <w:lang w:val="es-ES"/>
              </w:rPr>
              <w:t>10,4</w:t>
            </w:r>
          </w:p>
        </w:tc>
        <w:tc>
          <w:tcPr>
            <w:tcW w:w="858" w:type="dxa"/>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10,3</w:t>
            </w:r>
          </w:p>
        </w:tc>
        <w:tc>
          <w:tcPr>
            <w:tcW w:w="858" w:type="dxa"/>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10,5</w:t>
            </w:r>
          </w:p>
        </w:tc>
        <w:tc>
          <w:tcPr>
            <w:tcW w:w="858" w:type="dxa"/>
            <w:gridSpan w:val="2"/>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b/>
                <w:sz w:val="18"/>
                <w:szCs w:val="18"/>
                <w:lang w:val="es-ES"/>
              </w:rPr>
            </w:pPr>
            <w:r w:rsidRPr="00960E47">
              <w:rPr>
                <w:rFonts w:eastAsia="Calibri"/>
                <w:b/>
                <w:sz w:val="18"/>
                <w:szCs w:val="18"/>
                <w:lang w:val="es-ES"/>
              </w:rPr>
              <w:t>10,3</w:t>
            </w:r>
          </w:p>
        </w:tc>
        <w:tc>
          <w:tcPr>
            <w:tcW w:w="858" w:type="dxa"/>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10,2</w:t>
            </w:r>
          </w:p>
        </w:tc>
        <w:tc>
          <w:tcPr>
            <w:tcW w:w="858" w:type="dxa"/>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10,3</w:t>
            </w:r>
          </w:p>
        </w:tc>
        <w:tc>
          <w:tcPr>
            <w:tcW w:w="858" w:type="dxa"/>
            <w:gridSpan w:val="2"/>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b/>
                <w:sz w:val="18"/>
                <w:szCs w:val="18"/>
                <w:lang w:val="es-ES"/>
              </w:rPr>
            </w:pPr>
            <w:r w:rsidRPr="00960E47">
              <w:rPr>
                <w:rFonts w:eastAsia="Calibri"/>
                <w:b/>
                <w:sz w:val="18"/>
                <w:szCs w:val="18"/>
                <w:lang w:val="es-ES"/>
              </w:rPr>
              <w:t>9,2</w:t>
            </w:r>
          </w:p>
        </w:tc>
        <w:tc>
          <w:tcPr>
            <w:tcW w:w="858" w:type="dxa"/>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9,1</w:t>
            </w:r>
          </w:p>
        </w:tc>
        <w:tc>
          <w:tcPr>
            <w:tcW w:w="859" w:type="dxa"/>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9,2</w:t>
            </w:r>
          </w:p>
        </w:tc>
      </w:tr>
      <w:tr w:rsidR="00E421FD" w:rsidRPr="00960E47" w:rsidTr="00FA7460">
        <w:tc>
          <w:tcPr>
            <w:tcW w:w="868" w:type="dxa"/>
            <w:shd w:val="clear" w:color="auto" w:fill="auto"/>
            <w:noWrap/>
            <w:vAlign w:val="bottom"/>
          </w:tcPr>
          <w:p w:rsidR="00E421FD" w:rsidRPr="00960E47" w:rsidRDefault="00E421FD" w:rsidP="004E4234">
            <w:pPr>
              <w:pStyle w:val="SingleTxtG"/>
              <w:spacing w:before="40" w:after="40" w:line="220" w:lineRule="exact"/>
              <w:ind w:left="0" w:right="0"/>
              <w:jc w:val="left"/>
              <w:rPr>
                <w:rFonts w:eastAsia="Calibri"/>
                <w:sz w:val="18"/>
                <w:szCs w:val="18"/>
                <w:lang w:val="es-ES"/>
              </w:rPr>
            </w:pPr>
            <w:r w:rsidRPr="00960E47">
              <w:rPr>
                <w:rFonts w:eastAsia="Calibri"/>
                <w:sz w:val="18"/>
                <w:szCs w:val="18"/>
                <w:lang w:val="es-ES"/>
              </w:rPr>
              <w:t>0 a 4</w:t>
            </w:r>
          </w:p>
        </w:tc>
        <w:tc>
          <w:tcPr>
            <w:tcW w:w="774" w:type="dxa"/>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b/>
                <w:sz w:val="18"/>
                <w:szCs w:val="18"/>
                <w:lang w:val="es-ES"/>
              </w:rPr>
            </w:pPr>
            <w:r w:rsidRPr="00960E47">
              <w:rPr>
                <w:rFonts w:eastAsia="Calibri"/>
                <w:b/>
                <w:sz w:val="18"/>
                <w:szCs w:val="18"/>
                <w:lang w:val="es-ES"/>
              </w:rPr>
              <w:t>50,1</w:t>
            </w:r>
          </w:p>
        </w:tc>
        <w:tc>
          <w:tcPr>
            <w:tcW w:w="858" w:type="dxa"/>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50,2</w:t>
            </w:r>
          </w:p>
        </w:tc>
        <w:tc>
          <w:tcPr>
            <w:tcW w:w="858" w:type="dxa"/>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50,0</w:t>
            </w:r>
          </w:p>
        </w:tc>
        <w:tc>
          <w:tcPr>
            <w:tcW w:w="858" w:type="dxa"/>
            <w:gridSpan w:val="2"/>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b/>
                <w:sz w:val="18"/>
                <w:szCs w:val="18"/>
                <w:lang w:val="es-ES"/>
              </w:rPr>
            </w:pPr>
            <w:r w:rsidRPr="00960E47">
              <w:rPr>
                <w:rFonts w:eastAsia="Calibri"/>
                <w:b/>
                <w:sz w:val="18"/>
                <w:szCs w:val="18"/>
                <w:lang w:val="es-ES"/>
              </w:rPr>
              <w:t>45,8</w:t>
            </w:r>
          </w:p>
        </w:tc>
        <w:tc>
          <w:tcPr>
            <w:tcW w:w="858" w:type="dxa"/>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45,9</w:t>
            </w:r>
          </w:p>
        </w:tc>
        <w:tc>
          <w:tcPr>
            <w:tcW w:w="858" w:type="dxa"/>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46,0</w:t>
            </w:r>
          </w:p>
        </w:tc>
        <w:tc>
          <w:tcPr>
            <w:tcW w:w="858" w:type="dxa"/>
            <w:gridSpan w:val="2"/>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b/>
                <w:sz w:val="18"/>
                <w:szCs w:val="18"/>
                <w:lang w:val="es-ES"/>
              </w:rPr>
            </w:pPr>
            <w:r w:rsidRPr="00960E47">
              <w:rPr>
                <w:rFonts w:eastAsia="Calibri"/>
                <w:b/>
                <w:sz w:val="18"/>
                <w:szCs w:val="18"/>
                <w:lang w:val="es-ES"/>
              </w:rPr>
              <w:t>48,9</w:t>
            </w:r>
          </w:p>
        </w:tc>
        <w:tc>
          <w:tcPr>
            <w:tcW w:w="858" w:type="dxa"/>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48,8</w:t>
            </w:r>
          </w:p>
        </w:tc>
        <w:tc>
          <w:tcPr>
            <w:tcW w:w="859" w:type="dxa"/>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48,9</w:t>
            </w:r>
          </w:p>
        </w:tc>
      </w:tr>
      <w:tr w:rsidR="00E421FD" w:rsidRPr="00960E47" w:rsidTr="00FA7460">
        <w:tc>
          <w:tcPr>
            <w:tcW w:w="868" w:type="dxa"/>
            <w:tcBorders>
              <w:bottom w:val="single" w:sz="12" w:space="0" w:color="000000"/>
            </w:tcBorders>
            <w:shd w:val="clear" w:color="auto" w:fill="auto"/>
            <w:noWrap/>
            <w:vAlign w:val="bottom"/>
          </w:tcPr>
          <w:p w:rsidR="00E421FD" w:rsidRPr="00960E47" w:rsidRDefault="00E421FD" w:rsidP="004E4234">
            <w:pPr>
              <w:pStyle w:val="SingleTxtG"/>
              <w:spacing w:before="40" w:after="40" w:line="220" w:lineRule="exact"/>
              <w:ind w:left="0" w:right="0"/>
              <w:jc w:val="left"/>
              <w:rPr>
                <w:rFonts w:eastAsia="Calibri"/>
                <w:sz w:val="18"/>
                <w:szCs w:val="18"/>
                <w:lang w:val="es-ES"/>
              </w:rPr>
            </w:pPr>
            <w:r w:rsidRPr="00960E47">
              <w:rPr>
                <w:rFonts w:eastAsia="Calibri"/>
                <w:sz w:val="18"/>
                <w:szCs w:val="18"/>
                <w:lang w:val="es-ES"/>
              </w:rPr>
              <w:t>5 a 9</w:t>
            </w:r>
          </w:p>
        </w:tc>
        <w:tc>
          <w:tcPr>
            <w:tcW w:w="774" w:type="dxa"/>
            <w:tcBorders>
              <w:bottom w:val="single" w:sz="12" w:space="0" w:color="000000"/>
            </w:tcBorders>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b/>
                <w:sz w:val="18"/>
                <w:szCs w:val="18"/>
                <w:lang w:val="es-ES"/>
              </w:rPr>
            </w:pPr>
            <w:r w:rsidRPr="00960E47">
              <w:rPr>
                <w:rFonts w:eastAsia="Calibri"/>
                <w:b/>
                <w:sz w:val="18"/>
                <w:szCs w:val="18"/>
                <w:lang w:val="es-ES"/>
              </w:rPr>
              <w:t>49,9</w:t>
            </w:r>
          </w:p>
        </w:tc>
        <w:tc>
          <w:tcPr>
            <w:tcW w:w="858" w:type="dxa"/>
            <w:tcBorders>
              <w:bottom w:val="single" w:sz="12" w:space="0" w:color="000000"/>
            </w:tcBorders>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49,8</w:t>
            </w:r>
          </w:p>
        </w:tc>
        <w:tc>
          <w:tcPr>
            <w:tcW w:w="858" w:type="dxa"/>
            <w:tcBorders>
              <w:bottom w:val="single" w:sz="12" w:space="0" w:color="000000"/>
            </w:tcBorders>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50,0</w:t>
            </w:r>
          </w:p>
        </w:tc>
        <w:tc>
          <w:tcPr>
            <w:tcW w:w="858" w:type="dxa"/>
            <w:gridSpan w:val="2"/>
            <w:tcBorders>
              <w:bottom w:val="single" w:sz="12" w:space="0" w:color="000000"/>
            </w:tcBorders>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b/>
                <w:sz w:val="18"/>
                <w:szCs w:val="18"/>
                <w:lang w:val="es-ES"/>
              </w:rPr>
            </w:pPr>
            <w:r w:rsidRPr="00960E47">
              <w:rPr>
                <w:rFonts w:eastAsia="Calibri"/>
                <w:b/>
                <w:sz w:val="18"/>
                <w:szCs w:val="18"/>
                <w:lang w:val="es-ES"/>
              </w:rPr>
              <w:t>54,2</w:t>
            </w:r>
          </w:p>
        </w:tc>
        <w:tc>
          <w:tcPr>
            <w:tcW w:w="858" w:type="dxa"/>
            <w:tcBorders>
              <w:bottom w:val="single" w:sz="12" w:space="0" w:color="000000"/>
            </w:tcBorders>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54,1</w:t>
            </w:r>
          </w:p>
        </w:tc>
        <w:tc>
          <w:tcPr>
            <w:tcW w:w="858" w:type="dxa"/>
            <w:tcBorders>
              <w:bottom w:val="single" w:sz="12" w:space="0" w:color="000000"/>
            </w:tcBorders>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54,0</w:t>
            </w:r>
          </w:p>
        </w:tc>
        <w:tc>
          <w:tcPr>
            <w:tcW w:w="858" w:type="dxa"/>
            <w:gridSpan w:val="2"/>
            <w:tcBorders>
              <w:bottom w:val="single" w:sz="12" w:space="0" w:color="000000"/>
            </w:tcBorders>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b/>
                <w:sz w:val="18"/>
                <w:szCs w:val="18"/>
                <w:lang w:val="es-ES"/>
              </w:rPr>
            </w:pPr>
            <w:r w:rsidRPr="00960E47">
              <w:rPr>
                <w:rFonts w:eastAsia="Calibri"/>
                <w:b/>
                <w:sz w:val="18"/>
                <w:szCs w:val="18"/>
                <w:lang w:val="es-ES"/>
              </w:rPr>
              <w:t>51,1</w:t>
            </w:r>
          </w:p>
        </w:tc>
        <w:tc>
          <w:tcPr>
            <w:tcW w:w="858" w:type="dxa"/>
            <w:tcBorders>
              <w:bottom w:val="single" w:sz="12" w:space="0" w:color="000000"/>
            </w:tcBorders>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51,2</w:t>
            </w:r>
          </w:p>
        </w:tc>
        <w:tc>
          <w:tcPr>
            <w:tcW w:w="859" w:type="dxa"/>
            <w:tcBorders>
              <w:bottom w:val="single" w:sz="12" w:space="0" w:color="000000"/>
            </w:tcBorders>
            <w:shd w:val="clear" w:color="auto" w:fill="auto"/>
            <w:noWrap/>
            <w:vAlign w:val="bottom"/>
          </w:tcPr>
          <w:p w:rsidR="00E421FD" w:rsidRPr="00960E47" w:rsidRDefault="00E421FD" w:rsidP="00010657">
            <w:pPr>
              <w:pStyle w:val="SingleTxtG"/>
              <w:spacing w:before="40" w:after="40" w:line="220" w:lineRule="exact"/>
              <w:ind w:left="0" w:right="0"/>
              <w:jc w:val="right"/>
              <w:rPr>
                <w:rFonts w:eastAsia="Calibri"/>
                <w:sz w:val="18"/>
                <w:szCs w:val="18"/>
                <w:lang w:val="es-ES"/>
              </w:rPr>
            </w:pPr>
            <w:r w:rsidRPr="00960E47">
              <w:rPr>
                <w:rFonts w:eastAsia="Calibri"/>
                <w:sz w:val="18"/>
                <w:szCs w:val="18"/>
                <w:lang w:val="es-ES"/>
              </w:rPr>
              <w:t>51,1</w:t>
            </w:r>
          </w:p>
        </w:tc>
      </w:tr>
    </w:tbl>
    <w:p w:rsidR="00E421FD" w:rsidRPr="00960E47" w:rsidRDefault="00E421FD" w:rsidP="00BD2CEB">
      <w:pPr>
        <w:spacing w:before="120" w:after="240"/>
        <w:ind w:left="1134" w:firstLine="170"/>
        <w:rPr>
          <w:sz w:val="16"/>
          <w:lang w:val="es-ES"/>
        </w:rPr>
      </w:pPr>
      <w:r w:rsidRPr="00960E47">
        <w:rPr>
          <w:i/>
          <w:sz w:val="18"/>
          <w:lang w:val="es-ES"/>
        </w:rPr>
        <w:t>Fuente:</w:t>
      </w:r>
      <w:r w:rsidRPr="00960E47">
        <w:rPr>
          <w:sz w:val="18"/>
          <w:lang w:val="es-ES"/>
        </w:rPr>
        <w:t xml:space="preserve"> Censos de población y vivienda de Lesotho, 1986, 1996 y 2006.</w:t>
      </w:r>
    </w:p>
    <w:p w:rsidR="00E421FD" w:rsidRPr="00960E47" w:rsidRDefault="00E421FD" w:rsidP="00BD2CEB">
      <w:pPr>
        <w:pStyle w:val="H23G"/>
        <w:rPr>
          <w:lang w:val="es-ES"/>
        </w:rPr>
      </w:pPr>
      <w:r w:rsidRPr="00960E47">
        <w:rPr>
          <w:lang w:val="es-ES"/>
        </w:rPr>
        <w:tab/>
      </w:r>
      <w:r w:rsidRPr="00960E47">
        <w:rPr>
          <w:lang w:val="es-ES"/>
        </w:rPr>
        <w:tab/>
        <w:t>Indicadores vitales en 1986, 1996 y 2006</w:t>
      </w:r>
    </w:p>
    <w:tbl>
      <w:tblPr>
        <w:tblW w:w="8505" w:type="dxa"/>
        <w:tblInd w:w="1134" w:type="dxa"/>
        <w:tblBorders>
          <w:top w:val="single" w:sz="4" w:space="0" w:color="auto"/>
          <w:bottom w:val="single" w:sz="12" w:space="0" w:color="auto"/>
        </w:tblBorders>
        <w:tblLayout w:type="fixed"/>
        <w:tblCellMar>
          <w:left w:w="0" w:type="dxa"/>
          <w:right w:w="0" w:type="dxa"/>
        </w:tblCellMar>
        <w:tblLook w:val="04A0"/>
      </w:tblPr>
      <w:tblGrid>
        <w:gridCol w:w="5781"/>
        <w:gridCol w:w="908"/>
        <w:gridCol w:w="908"/>
        <w:gridCol w:w="908"/>
      </w:tblGrid>
      <w:tr w:rsidR="00E421FD" w:rsidRPr="00960E47" w:rsidTr="002A2234">
        <w:trPr>
          <w:tblHeader/>
        </w:trPr>
        <w:tc>
          <w:tcPr>
            <w:tcW w:w="5781" w:type="dxa"/>
            <w:tcBorders>
              <w:top w:val="single" w:sz="4" w:space="0" w:color="auto"/>
              <w:bottom w:val="single" w:sz="12" w:space="0" w:color="auto"/>
            </w:tcBorders>
            <w:shd w:val="clear" w:color="auto" w:fill="auto"/>
            <w:vAlign w:val="bottom"/>
          </w:tcPr>
          <w:p w:rsidR="00E421FD" w:rsidRPr="00960E47" w:rsidRDefault="00E421FD" w:rsidP="002A2234">
            <w:pPr>
              <w:pStyle w:val="SingleTxtG"/>
              <w:spacing w:before="80" w:after="80" w:line="200" w:lineRule="exact"/>
              <w:ind w:left="0" w:right="0"/>
              <w:jc w:val="left"/>
              <w:rPr>
                <w:i/>
                <w:sz w:val="16"/>
                <w:szCs w:val="18"/>
                <w:lang w:val="es-ES"/>
              </w:rPr>
            </w:pPr>
          </w:p>
        </w:tc>
        <w:tc>
          <w:tcPr>
            <w:tcW w:w="908" w:type="dxa"/>
            <w:tcBorders>
              <w:top w:val="single" w:sz="4" w:space="0" w:color="auto"/>
              <w:bottom w:val="single" w:sz="12" w:space="0" w:color="auto"/>
            </w:tcBorders>
            <w:shd w:val="clear" w:color="auto" w:fill="auto"/>
            <w:vAlign w:val="bottom"/>
          </w:tcPr>
          <w:p w:rsidR="00E421FD" w:rsidRPr="00960E47" w:rsidRDefault="00E421FD" w:rsidP="002A2234">
            <w:pPr>
              <w:pStyle w:val="SingleTxtG"/>
              <w:spacing w:before="80" w:after="80" w:line="200" w:lineRule="exact"/>
              <w:ind w:left="0" w:right="0"/>
              <w:jc w:val="right"/>
              <w:rPr>
                <w:i/>
                <w:sz w:val="16"/>
                <w:szCs w:val="18"/>
                <w:lang w:val="es-ES"/>
              </w:rPr>
            </w:pPr>
            <w:r w:rsidRPr="00960E47">
              <w:rPr>
                <w:i/>
                <w:sz w:val="16"/>
                <w:szCs w:val="18"/>
                <w:lang w:val="es-ES"/>
              </w:rPr>
              <w:t>1986</w:t>
            </w:r>
          </w:p>
        </w:tc>
        <w:tc>
          <w:tcPr>
            <w:tcW w:w="908" w:type="dxa"/>
            <w:tcBorders>
              <w:top w:val="single" w:sz="4" w:space="0" w:color="auto"/>
              <w:bottom w:val="single" w:sz="12" w:space="0" w:color="auto"/>
            </w:tcBorders>
            <w:shd w:val="clear" w:color="auto" w:fill="auto"/>
            <w:vAlign w:val="bottom"/>
          </w:tcPr>
          <w:p w:rsidR="00E421FD" w:rsidRPr="00960E47" w:rsidRDefault="00E421FD" w:rsidP="002A2234">
            <w:pPr>
              <w:pStyle w:val="SingleTxtG"/>
              <w:spacing w:before="80" w:after="80" w:line="200" w:lineRule="exact"/>
              <w:ind w:left="0" w:right="0"/>
              <w:jc w:val="right"/>
              <w:rPr>
                <w:i/>
                <w:sz w:val="16"/>
                <w:szCs w:val="18"/>
                <w:lang w:val="es-ES"/>
              </w:rPr>
            </w:pPr>
            <w:r w:rsidRPr="00960E47">
              <w:rPr>
                <w:i/>
                <w:sz w:val="16"/>
                <w:szCs w:val="18"/>
                <w:lang w:val="es-ES"/>
              </w:rPr>
              <w:t>1996</w:t>
            </w:r>
          </w:p>
        </w:tc>
        <w:tc>
          <w:tcPr>
            <w:tcW w:w="908" w:type="dxa"/>
            <w:tcBorders>
              <w:top w:val="single" w:sz="4" w:space="0" w:color="auto"/>
              <w:bottom w:val="single" w:sz="12" w:space="0" w:color="auto"/>
            </w:tcBorders>
            <w:shd w:val="clear" w:color="auto" w:fill="auto"/>
            <w:vAlign w:val="bottom"/>
          </w:tcPr>
          <w:p w:rsidR="00E421FD" w:rsidRPr="00960E47" w:rsidRDefault="00E421FD" w:rsidP="002A2234">
            <w:pPr>
              <w:pStyle w:val="SingleTxtG"/>
              <w:spacing w:before="80" w:after="80" w:line="200" w:lineRule="exact"/>
              <w:ind w:left="0" w:right="0"/>
              <w:jc w:val="right"/>
              <w:rPr>
                <w:i/>
                <w:sz w:val="16"/>
                <w:szCs w:val="18"/>
                <w:lang w:val="es-ES"/>
              </w:rPr>
            </w:pPr>
            <w:r w:rsidRPr="00960E47">
              <w:rPr>
                <w:i/>
                <w:sz w:val="16"/>
                <w:szCs w:val="18"/>
                <w:lang w:val="es-ES"/>
              </w:rPr>
              <w:t>2006</w:t>
            </w:r>
          </w:p>
        </w:tc>
      </w:tr>
      <w:tr w:rsidR="00E421FD" w:rsidRPr="00960E47" w:rsidTr="002A2234">
        <w:tc>
          <w:tcPr>
            <w:tcW w:w="5781" w:type="dxa"/>
            <w:tcBorders>
              <w:top w:val="single" w:sz="12" w:space="0" w:color="auto"/>
            </w:tcBorders>
            <w:shd w:val="clear" w:color="auto" w:fill="auto"/>
            <w:vAlign w:val="bottom"/>
          </w:tcPr>
          <w:p w:rsidR="00E421FD" w:rsidRPr="00960E47" w:rsidRDefault="00E421FD" w:rsidP="00D8710E">
            <w:pPr>
              <w:pStyle w:val="SingleTxtG"/>
              <w:spacing w:before="40" w:after="40" w:line="220" w:lineRule="exact"/>
              <w:ind w:left="284" w:right="0" w:hanging="284"/>
              <w:jc w:val="left"/>
              <w:rPr>
                <w:sz w:val="18"/>
                <w:szCs w:val="18"/>
                <w:lang w:val="es-ES"/>
              </w:rPr>
            </w:pPr>
            <w:r w:rsidRPr="00960E47">
              <w:rPr>
                <w:sz w:val="18"/>
                <w:szCs w:val="18"/>
                <w:lang w:val="es-ES"/>
              </w:rPr>
              <w:t>a)</w:t>
            </w:r>
            <w:r w:rsidRPr="00960E47">
              <w:rPr>
                <w:sz w:val="18"/>
                <w:szCs w:val="18"/>
                <w:lang w:val="es-ES"/>
              </w:rPr>
              <w:tab/>
              <w:t>Tasa bruta de natalidad (por cada 100 habitantes)</w:t>
            </w:r>
          </w:p>
        </w:tc>
        <w:tc>
          <w:tcPr>
            <w:tcW w:w="908" w:type="dxa"/>
            <w:tcBorders>
              <w:top w:val="single" w:sz="12" w:space="0" w:color="auto"/>
            </w:tcBorders>
            <w:shd w:val="clear" w:color="auto" w:fill="auto"/>
            <w:vAlign w:val="bottom"/>
          </w:tcPr>
          <w:p w:rsidR="00E421FD" w:rsidRPr="00960E47" w:rsidRDefault="00E421FD" w:rsidP="002A2234">
            <w:pPr>
              <w:pStyle w:val="SingleTxtG"/>
              <w:spacing w:before="40" w:after="40" w:line="220" w:lineRule="exact"/>
              <w:ind w:left="0" w:right="0"/>
              <w:jc w:val="right"/>
              <w:rPr>
                <w:sz w:val="18"/>
                <w:szCs w:val="18"/>
                <w:lang w:val="es-ES"/>
              </w:rPr>
            </w:pPr>
            <w:r w:rsidRPr="00960E47">
              <w:rPr>
                <w:sz w:val="18"/>
                <w:szCs w:val="18"/>
                <w:lang w:val="es-ES"/>
              </w:rPr>
              <w:t>37</w:t>
            </w:r>
          </w:p>
        </w:tc>
        <w:tc>
          <w:tcPr>
            <w:tcW w:w="908" w:type="dxa"/>
            <w:tcBorders>
              <w:top w:val="single" w:sz="12" w:space="0" w:color="auto"/>
            </w:tcBorders>
            <w:shd w:val="clear" w:color="auto" w:fill="auto"/>
            <w:vAlign w:val="bottom"/>
          </w:tcPr>
          <w:p w:rsidR="00E421FD" w:rsidRPr="00960E47" w:rsidRDefault="00E421FD" w:rsidP="002A2234">
            <w:pPr>
              <w:pStyle w:val="SingleTxtG"/>
              <w:spacing w:before="40" w:after="40" w:line="220" w:lineRule="exact"/>
              <w:ind w:left="0" w:right="0"/>
              <w:jc w:val="right"/>
              <w:rPr>
                <w:sz w:val="18"/>
                <w:szCs w:val="18"/>
                <w:lang w:val="es-ES"/>
              </w:rPr>
            </w:pPr>
            <w:r w:rsidRPr="00960E47">
              <w:rPr>
                <w:sz w:val="18"/>
                <w:szCs w:val="18"/>
                <w:lang w:val="es-ES"/>
              </w:rPr>
              <w:t>30</w:t>
            </w:r>
            <w:r w:rsidR="002A2234" w:rsidRPr="00960E47">
              <w:rPr>
                <w:sz w:val="18"/>
                <w:szCs w:val="18"/>
                <w:lang w:val="es-ES"/>
              </w:rPr>
              <w:t>,</w:t>
            </w:r>
            <w:r w:rsidRPr="00960E47">
              <w:rPr>
                <w:sz w:val="18"/>
                <w:szCs w:val="18"/>
                <w:lang w:val="es-ES"/>
              </w:rPr>
              <w:t>0</w:t>
            </w:r>
          </w:p>
        </w:tc>
        <w:tc>
          <w:tcPr>
            <w:tcW w:w="908" w:type="dxa"/>
            <w:tcBorders>
              <w:top w:val="single" w:sz="12" w:space="0" w:color="auto"/>
            </w:tcBorders>
            <w:shd w:val="clear" w:color="auto" w:fill="auto"/>
            <w:vAlign w:val="bottom"/>
          </w:tcPr>
          <w:p w:rsidR="00E421FD" w:rsidRPr="00960E47" w:rsidRDefault="00E421FD" w:rsidP="002A2234">
            <w:pPr>
              <w:pStyle w:val="SingleTxtG"/>
              <w:spacing w:before="40" w:after="40" w:line="220" w:lineRule="exact"/>
              <w:ind w:left="0" w:right="0"/>
              <w:jc w:val="right"/>
              <w:rPr>
                <w:sz w:val="18"/>
                <w:szCs w:val="18"/>
                <w:lang w:val="es-ES"/>
              </w:rPr>
            </w:pPr>
          </w:p>
        </w:tc>
      </w:tr>
      <w:tr w:rsidR="00E421FD" w:rsidRPr="00960E47" w:rsidTr="002A2234">
        <w:tc>
          <w:tcPr>
            <w:tcW w:w="5781" w:type="dxa"/>
            <w:shd w:val="clear" w:color="auto" w:fill="auto"/>
            <w:vAlign w:val="bottom"/>
          </w:tcPr>
          <w:p w:rsidR="00E421FD" w:rsidRPr="00960E47" w:rsidRDefault="00E421FD" w:rsidP="00D8710E">
            <w:pPr>
              <w:pStyle w:val="SingleTxtG"/>
              <w:spacing w:before="40" w:after="40" w:line="220" w:lineRule="exact"/>
              <w:ind w:left="284" w:right="0" w:hanging="284"/>
              <w:jc w:val="left"/>
              <w:rPr>
                <w:sz w:val="18"/>
                <w:szCs w:val="18"/>
                <w:lang w:val="es-ES"/>
              </w:rPr>
            </w:pPr>
            <w:r w:rsidRPr="00960E47">
              <w:rPr>
                <w:sz w:val="18"/>
                <w:szCs w:val="18"/>
                <w:lang w:val="es-ES"/>
              </w:rPr>
              <w:t>b)</w:t>
            </w:r>
            <w:r w:rsidRPr="00960E47">
              <w:rPr>
                <w:sz w:val="18"/>
                <w:szCs w:val="18"/>
                <w:lang w:val="es-ES"/>
              </w:rPr>
              <w:tab/>
              <w:t>Tasa bruta de mortalidad (por cada 100 habitantes)</w:t>
            </w:r>
          </w:p>
        </w:tc>
        <w:tc>
          <w:tcPr>
            <w:tcW w:w="908" w:type="dxa"/>
            <w:shd w:val="clear" w:color="auto" w:fill="auto"/>
            <w:vAlign w:val="bottom"/>
          </w:tcPr>
          <w:p w:rsidR="00E421FD" w:rsidRPr="00960E47" w:rsidRDefault="00E421FD" w:rsidP="002A2234">
            <w:pPr>
              <w:pStyle w:val="SingleTxtG"/>
              <w:spacing w:before="40" w:after="40" w:line="220" w:lineRule="exact"/>
              <w:ind w:left="0" w:right="0"/>
              <w:jc w:val="right"/>
              <w:rPr>
                <w:sz w:val="18"/>
                <w:szCs w:val="18"/>
                <w:lang w:val="es-ES"/>
              </w:rPr>
            </w:pPr>
            <w:r w:rsidRPr="00960E47">
              <w:rPr>
                <w:sz w:val="18"/>
                <w:szCs w:val="18"/>
                <w:lang w:val="es-ES"/>
              </w:rPr>
              <w:t>11</w:t>
            </w:r>
            <w:r w:rsidR="002A2234" w:rsidRPr="00960E47">
              <w:rPr>
                <w:sz w:val="18"/>
                <w:szCs w:val="18"/>
                <w:lang w:val="es-ES"/>
              </w:rPr>
              <w:t>,</w:t>
            </w:r>
            <w:r w:rsidRPr="00960E47">
              <w:rPr>
                <w:sz w:val="18"/>
                <w:szCs w:val="18"/>
                <w:lang w:val="es-ES"/>
              </w:rPr>
              <w:t>6</w:t>
            </w:r>
          </w:p>
        </w:tc>
        <w:tc>
          <w:tcPr>
            <w:tcW w:w="908" w:type="dxa"/>
            <w:shd w:val="clear" w:color="auto" w:fill="auto"/>
            <w:vAlign w:val="bottom"/>
          </w:tcPr>
          <w:p w:rsidR="00E421FD" w:rsidRPr="00960E47" w:rsidRDefault="00E421FD" w:rsidP="002A2234">
            <w:pPr>
              <w:pStyle w:val="SingleTxtG"/>
              <w:spacing w:before="40" w:after="40" w:line="220" w:lineRule="exact"/>
              <w:ind w:left="0" w:right="0"/>
              <w:jc w:val="right"/>
              <w:rPr>
                <w:sz w:val="18"/>
                <w:szCs w:val="18"/>
                <w:lang w:val="es-ES"/>
              </w:rPr>
            </w:pPr>
            <w:r w:rsidRPr="00960E47">
              <w:rPr>
                <w:sz w:val="18"/>
                <w:szCs w:val="18"/>
                <w:lang w:val="es-ES"/>
              </w:rPr>
              <w:t>12</w:t>
            </w:r>
            <w:r w:rsidR="002A2234" w:rsidRPr="00960E47">
              <w:rPr>
                <w:sz w:val="18"/>
                <w:szCs w:val="18"/>
                <w:lang w:val="es-ES"/>
              </w:rPr>
              <w:t>,</w:t>
            </w:r>
            <w:r w:rsidRPr="00960E47">
              <w:rPr>
                <w:sz w:val="18"/>
                <w:szCs w:val="18"/>
                <w:lang w:val="es-ES"/>
              </w:rPr>
              <w:t>8</w:t>
            </w:r>
          </w:p>
        </w:tc>
        <w:tc>
          <w:tcPr>
            <w:tcW w:w="908" w:type="dxa"/>
            <w:shd w:val="clear" w:color="auto" w:fill="auto"/>
            <w:vAlign w:val="bottom"/>
          </w:tcPr>
          <w:p w:rsidR="00E421FD" w:rsidRPr="00960E47" w:rsidRDefault="00E421FD" w:rsidP="002A2234">
            <w:pPr>
              <w:pStyle w:val="SingleTxtG"/>
              <w:spacing w:before="40" w:after="40" w:line="220" w:lineRule="exact"/>
              <w:ind w:left="0" w:right="0"/>
              <w:jc w:val="right"/>
              <w:rPr>
                <w:sz w:val="18"/>
                <w:szCs w:val="18"/>
                <w:lang w:val="es-ES"/>
              </w:rPr>
            </w:pPr>
          </w:p>
        </w:tc>
      </w:tr>
      <w:tr w:rsidR="00E421FD" w:rsidRPr="00960E47" w:rsidTr="002A2234">
        <w:tc>
          <w:tcPr>
            <w:tcW w:w="5781" w:type="dxa"/>
            <w:shd w:val="clear" w:color="auto" w:fill="auto"/>
            <w:vAlign w:val="bottom"/>
          </w:tcPr>
          <w:p w:rsidR="00E421FD" w:rsidRPr="00960E47" w:rsidRDefault="00E421FD" w:rsidP="00D8710E">
            <w:pPr>
              <w:pStyle w:val="SingleTxtG"/>
              <w:spacing w:before="40" w:after="40" w:line="220" w:lineRule="exact"/>
              <w:ind w:left="284" w:right="0" w:hanging="284"/>
              <w:jc w:val="left"/>
              <w:rPr>
                <w:sz w:val="18"/>
                <w:szCs w:val="18"/>
                <w:lang w:val="es-ES"/>
              </w:rPr>
            </w:pPr>
            <w:r w:rsidRPr="00960E47">
              <w:rPr>
                <w:sz w:val="18"/>
                <w:szCs w:val="18"/>
                <w:lang w:val="es-ES"/>
              </w:rPr>
              <w:t>c)</w:t>
            </w:r>
            <w:r w:rsidRPr="00960E47">
              <w:rPr>
                <w:sz w:val="18"/>
                <w:szCs w:val="18"/>
                <w:lang w:val="es-ES"/>
              </w:rPr>
              <w:tab/>
              <w:t>Tasa de aumento na</w:t>
            </w:r>
            <w:r w:rsidR="00A63AB1" w:rsidRPr="00960E47">
              <w:rPr>
                <w:sz w:val="18"/>
                <w:szCs w:val="18"/>
                <w:lang w:val="es-ES"/>
              </w:rPr>
              <w:t>tural (por cada 100 habitantes)</w:t>
            </w:r>
          </w:p>
        </w:tc>
        <w:tc>
          <w:tcPr>
            <w:tcW w:w="908" w:type="dxa"/>
            <w:shd w:val="clear" w:color="auto" w:fill="auto"/>
            <w:vAlign w:val="bottom"/>
          </w:tcPr>
          <w:p w:rsidR="00E421FD" w:rsidRPr="00960E47" w:rsidRDefault="00E421FD" w:rsidP="002A2234">
            <w:pPr>
              <w:pStyle w:val="SingleTxtG"/>
              <w:spacing w:before="40" w:after="40" w:line="220" w:lineRule="exact"/>
              <w:ind w:left="0" w:right="0"/>
              <w:jc w:val="right"/>
              <w:rPr>
                <w:sz w:val="18"/>
                <w:szCs w:val="18"/>
                <w:lang w:val="es-ES"/>
              </w:rPr>
            </w:pPr>
          </w:p>
        </w:tc>
        <w:tc>
          <w:tcPr>
            <w:tcW w:w="908" w:type="dxa"/>
            <w:shd w:val="clear" w:color="auto" w:fill="auto"/>
            <w:vAlign w:val="bottom"/>
          </w:tcPr>
          <w:p w:rsidR="00E421FD" w:rsidRPr="00960E47" w:rsidRDefault="00E421FD" w:rsidP="002A2234">
            <w:pPr>
              <w:pStyle w:val="SingleTxtG"/>
              <w:spacing w:before="40" w:after="40" w:line="220" w:lineRule="exact"/>
              <w:ind w:left="0" w:right="0"/>
              <w:jc w:val="right"/>
              <w:rPr>
                <w:sz w:val="18"/>
                <w:szCs w:val="18"/>
                <w:lang w:val="es-ES"/>
              </w:rPr>
            </w:pPr>
          </w:p>
        </w:tc>
        <w:tc>
          <w:tcPr>
            <w:tcW w:w="908" w:type="dxa"/>
            <w:shd w:val="clear" w:color="auto" w:fill="auto"/>
            <w:vAlign w:val="bottom"/>
          </w:tcPr>
          <w:p w:rsidR="00E421FD" w:rsidRPr="00960E47" w:rsidRDefault="00E421FD" w:rsidP="002A2234">
            <w:pPr>
              <w:pStyle w:val="SingleTxtG"/>
              <w:spacing w:before="40" w:after="40" w:line="220" w:lineRule="exact"/>
              <w:ind w:left="0" w:right="0"/>
              <w:jc w:val="right"/>
              <w:rPr>
                <w:sz w:val="18"/>
                <w:szCs w:val="18"/>
                <w:lang w:val="es-ES"/>
              </w:rPr>
            </w:pPr>
          </w:p>
        </w:tc>
      </w:tr>
      <w:tr w:rsidR="00E421FD" w:rsidRPr="00960E47" w:rsidTr="002A2234">
        <w:tc>
          <w:tcPr>
            <w:tcW w:w="5781" w:type="dxa"/>
            <w:shd w:val="clear" w:color="auto" w:fill="auto"/>
            <w:vAlign w:val="bottom"/>
          </w:tcPr>
          <w:p w:rsidR="00E421FD" w:rsidRPr="00960E47" w:rsidRDefault="00E421FD" w:rsidP="00D8710E">
            <w:pPr>
              <w:pStyle w:val="SingleTxtG"/>
              <w:spacing w:before="40" w:after="40" w:line="220" w:lineRule="exact"/>
              <w:ind w:left="284" w:right="0" w:hanging="284"/>
              <w:jc w:val="left"/>
              <w:rPr>
                <w:sz w:val="18"/>
                <w:szCs w:val="18"/>
                <w:lang w:val="es-ES"/>
              </w:rPr>
            </w:pPr>
            <w:r w:rsidRPr="00960E47">
              <w:rPr>
                <w:sz w:val="18"/>
                <w:szCs w:val="18"/>
                <w:lang w:val="es-ES"/>
              </w:rPr>
              <w:t>d)</w:t>
            </w:r>
            <w:r w:rsidRPr="00960E47">
              <w:rPr>
                <w:sz w:val="18"/>
                <w:szCs w:val="18"/>
                <w:lang w:val="es-ES"/>
              </w:rPr>
              <w:tab/>
              <w:t>Tiempo de duplicación (en años)</w:t>
            </w:r>
          </w:p>
        </w:tc>
        <w:tc>
          <w:tcPr>
            <w:tcW w:w="908" w:type="dxa"/>
            <w:shd w:val="clear" w:color="auto" w:fill="auto"/>
            <w:vAlign w:val="bottom"/>
          </w:tcPr>
          <w:p w:rsidR="00E421FD" w:rsidRPr="00960E47" w:rsidRDefault="00E421FD" w:rsidP="002A2234">
            <w:pPr>
              <w:pStyle w:val="SingleTxtG"/>
              <w:spacing w:before="40" w:after="40" w:line="220" w:lineRule="exact"/>
              <w:ind w:left="0" w:right="0"/>
              <w:jc w:val="right"/>
              <w:rPr>
                <w:sz w:val="18"/>
                <w:szCs w:val="18"/>
                <w:lang w:val="es-ES"/>
              </w:rPr>
            </w:pPr>
          </w:p>
        </w:tc>
        <w:tc>
          <w:tcPr>
            <w:tcW w:w="908" w:type="dxa"/>
            <w:shd w:val="clear" w:color="auto" w:fill="auto"/>
            <w:vAlign w:val="bottom"/>
          </w:tcPr>
          <w:p w:rsidR="00E421FD" w:rsidRPr="00960E47" w:rsidRDefault="00E421FD" w:rsidP="002A2234">
            <w:pPr>
              <w:pStyle w:val="SingleTxtG"/>
              <w:spacing w:before="40" w:after="40" w:line="220" w:lineRule="exact"/>
              <w:ind w:left="0" w:right="0"/>
              <w:jc w:val="right"/>
              <w:rPr>
                <w:sz w:val="18"/>
                <w:szCs w:val="18"/>
                <w:lang w:val="es-ES"/>
              </w:rPr>
            </w:pPr>
          </w:p>
        </w:tc>
        <w:tc>
          <w:tcPr>
            <w:tcW w:w="908" w:type="dxa"/>
            <w:shd w:val="clear" w:color="auto" w:fill="auto"/>
            <w:vAlign w:val="bottom"/>
          </w:tcPr>
          <w:p w:rsidR="00E421FD" w:rsidRPr="00960E47" w:rsidRDefault="00E421FD" w:rsidP="002A2234">
            <w:pPr>
              <w:pStyle w:val="SingleTxtG"/>
              <w:spacing w:before="40" w:after="40" w:line="220" w:lineRule="exact"/>
              <w:ind w:left="0" w:right="0"/>
              <w:jc w:val="right"/>
              <w:rPr>
                <w:sz w:val="18"/>
                <w:szCs w:val="18"/>
                <w:lang w:val="es-ES"/>
              </w:rPr>
            </w:pPr>
          </w:p>
        </w:tc>
      </w:tr>
      <w:tr w:rsidR="00E421FD" w:rsidRPr="00960E47" w:rsidTr="002A2234">
        <w:tc>
          <w:tcPr>
            <w:tcW w:w="5781" w:type="dxa"/>
            <w:shd w:val="clear" w:color="auto" w:fill="auto"/>
            <w:vAlign w:val="bottom"/>
          </w:tcPr>
          <w:p w:rsidR="00E421FD" w:rsidRPr="00960E47" w:rsidRDefault="00E421FD" w:rsidP="00D8710E">
            <w:pPr>
              <w:pStyle w:val="SingleTxtG"/>
              <w:spacing w:before="40" w:after="40" w:line="220" w:lineRule="exact"/>
              <w:ind w:left="284" w:right="0" w:hanging="284"/>
              <w:jc w:val="left"/>
              <w:rPr>
                <w:sz w:val="18"/>
                <w:szCs w:val="18"/>
                <w:lang w:val="es-ES"/>
              </w:rPr>
            </w:pPr>
            <w:r w:rsidRPr="00960E47">
              <w:rPr>
                <w:sz w:val="18"/>
                <w:szCs w:val="18"/>
                <w:lang w:val="es-ES"/>
              </w:rPr>
              <w:t>e)</w:t>
            </w:r>
            <w:r w:rsidRPr="00960E47">
              <w:rPr>
                <w:sz w:val="18"/>
                <w:szCs w:val="18"/>
                <w:lang w:val="es-ES"/>
              </w:rPr>
              <w:tab/>
              <w:t xml:space="preserve">Número </w:t>
            </w:r>
            <w:r w:rsidR="00A63AB1" w:rsidRPr="00960E47">
              <w:rPr>
                <w:sz w:val="18"/>
                <w:szCs w:val="18"/>
                <w:lang w:val="es-ES"/>
              </w:rPr>
              <w:t>total estimado de nacidos vivos</w:t>
            </w:r>
          </w:p>
        </w:tc>
        <w:tc>
          <w:tcPr>
            <w:tcW w:w="908" w:type="dxa"/>
            <w:shd w:val="clear" w:color="auto" w:fill="auto"/>
            <w:vAlign w:val="bottom"/>
          </w:tcPr>
          <w:p w:rsidR="00E421FD" w:rsidRPr="00960E47" w:rsidRDefault="00E421FD" w:rsidP="002A2234">
            <w:pPr>
              <w:pStyle w:val="SingleTxtG"/>
              <w:spacing w:before="40" w:after="40" w:line="220" w:lineRule="exact"/>
              <w:ind w:left="0" w:right="0"/>
              <w:jc w:val="right"/>
              <w:rPr>
                <w:sz w:val="18"/>
                <w:szCs w:val="18"/>
                <w:lang w:val="es-ES"/>
              </w:rPr>
            </w:pPr>
          </w:p>
        </w:tc>
        <w:tc>
          <w:tcPr>
            <w:tcW w:w="908" w:type="dxa"/>
            <w:shd w:val="clear" w:color="auto" w:fill="auto"/>
            <w:vAlign w:val="bottom"/>
          </w:tcPr>
          <w:p w:rsidR="00E421FD" w:rsidRPr="00960E47" w:rsidRDefault="00E421FD" w:rsidP="002A2234">
            <w:pPr>
              <w:pStyle w:val="SingleTxtG"/>
              <w:spacing w:before="40" w:after="40" w:line="220" w:lineRule="exact"/>
              <w:ind w:left="0" w:right="0"/>
              <w:jc w:val="right"/>
              <w:rPr>
                <w:sz w:val="18"/>
                <w:szCs w:val="18"/>
                <w:lang w:val="es-ES"/>
              </w:rPr>
            </w:pPr>
          </w:p>
        </w:tc>
        <w:tc>
          <w:tcPr>
            <w:tcW w:w="908" w:type="dxa"/>
            <w:shd w:val="clear" w:color="auto" w:fill="auto"/>
            <w:vAlign w:val="bottom"/>
          </w:tcPr>
          <w:p w:rsidR="00E421FD" w:rsidRPr="00960E47" w:rsidRDefault="00E421FD" w:rsidP="002A2234">
            <w:pPr>
              <w:pStyle w:val="SingleTxtG"/>
              <w:spacing w:before="40" w:after="40" w:line="220" w:lineRule="exact"/>
              <w:ind w:left="0" w:right="0"/>
              <w:jc w:val="right"/>
              <w:rPr>
                <w:sz w:val="18"/>
                <w:szCs w:val="18"/>
                <w:lang w:val="es-ES"/>
              </w:rPr>
            </w:pPr>
          </w:p>
        </w:tc>
      </w:tr>
      <w:tr w:rsidR="00E421FD" w:rsidRPr="00960E47" w:rsidTr="002A2234">
        <w:tc>
          <w:tcPr>
            <w:tcW w:w="5781" w:type="dxa"/>
            <w:shd w:val="clear" w:color="auto" w:fill="auto"/>
            <w:vAlign w:val="bottom"/>
          </w:tcPr>
          <w:p w:rsidR="00E421FD" w:rsidRPr="00960E47" w:rsidRDefault="00E421FD" w:rsidP="00D8710E">
            <w:pPr>
              <w:pStyle w:val="SingleTxtG"/>
              <w:spacing w:before="40" w:after="40" w:line="220" w:lineRule="exact"/>
              <w:ind w:left="284" w:right="0" w:hanging="284"/>
              <w:jc w:val="left"/>
              <w:rPr>
                <w:sz w:val="18"/>
                <w:szCs w:val="18"/>
                <w:lang w:val="es-ES"/>
              </w:rPr>
            </w:pPr>
            <w:r w:rsidRPr="00960E47">
              <w:rPr>
                <w:sz w:val="18"/>
                <w:szCs w:val="18"/>
                <w:lang w:val="es-ES"/>
              </w:rPr>
              <w:t>f)</w:t>
            </w:r>
            <w:r w:rsidRPr="00960E47">
              <w:rPr>
                <w:sz w:val="18"/>
                <w:szCs w:val="18"/>
                <w:lang w:val="es-ES"/>
              </w:rPr>
              <w:tab/>
              <w:t>Esper</w:t>
            </w:r>
            <w:r w:rsidR="00D8710E" w:rsidRPr="00960E47">
              <w:rPr>
                <w:sz w:val="18"/>
                <w:szCs w:val="18"/>
                <w:lang w:val="es-ES"/>
              </w:rPr>
              <w:t>anza de vida al nacer</w:t>
            </w:r>
          </w:p>
        </w:tc>
        <w:tc>
          <w:tcPr>
            <w:tcW w:w="908" w:type="dxa"/>
            <w:shd w:val="clear" w:color="auto" w:fill="auto"/>
            <w:vAlign w:val="bottom"/>
          </w:tcPr>
          <w:p w:rsidR="00E421FD" w:rsidRPr="00960E47" w:rsidRDefault="00E421FD" w:rsidP="002A2234">
            <w:pPr>
              <w:pStyle w:val="SingleTxtG"/>
              <w:spacing w:before="40" w:after="40" w:line="220" w:lineRule="exact"/>
              <w:ind w:left="0" w:right="0"/>
              <w:jc w:val="right"/>
              <w:rPr>
                <w:sz w:val="18"/>
                <w:szCs w:val="18"/>
                <w:lang w:val="es-ES"/>
              </w:rPr>
            </w:pPr>
            <w:r w:rsidRPr="00960E47">
              <w:rPr>
                <w:sz w:val="18"/>
                <w:szCs w:val="18"/>
                <w:lang w:val="es-ES"/>
              </w:rPr>
              <w:t>55</w:t>
            </w:r>
          </w:p>
        </w:tc>
        <w:tc>
          <w:tcPr>
            <w:tcW w:w="908" w:type="dxa"/>
            <w:shd w:val="clear" w:color="auto" w:fill="auto"/>
            <w:vAlign w:val="bottom"/>
          </w:tcPr>
          <w:p w:rsidR="00E421FD" w:rsidRPr="00960E47" w:rsidRDefault="00E421FD" w:rsidP="002A2234">
            <w:pPr>
              <w:pStyle w:val="SingleTxtG"/>
              <w:spacing w:before="40" w:after="40" w:line="220" w:lineRule="exact"/>
              <w:ind w:left="0" w:right="0"/>
              <w:jc w:val="right"/>
              <w:rPr>
                <w:sz w:val="18"/>
                <w:szCs w:val="18"/>
                <w:lang w:val="es-ES"/>
              </w:rPr>
            </w:pPr>
            <w:r w:rsidRPr="00960E47">
              <w:rPr>
                <w:sz w:val="18"/>
                <w:szCs w:val="18"/>
                <w:lang w:val="es-ES"/>
              </w:rPr>
              <w:t>59</w:t>
            </w:r>
          </w:p>
        </w:tc>
        <w:tc>
          <w:tcPr>
            <w:tcW w:w="908" w:type="dxa"/>
            <w:shd w:val="clear" w:color="auto" w:fill="auto"/>
            <w:vAlign w:val="bottom"/>
          </w:tcPr>
          <w:p w:rsidR="00E421FD" w:rsidRPr="00960E47" w:rsidRDefault="00E421FD" w:rsidP="002A2234">
            <w:pPr>
              <w:pStyle w:val="SingleTxtG"/>
              <w:spacing w:before="40" w:after="40" w:line="220" w:lineRule="exact"/>
              <w:ind w:left="0" w:right="0"/>
              <w:jc w:val="right"/>
              <w:rPr>
                <w:sz w:val="18"/>
                <w:szCs w:val="18"/>
                <w:lang w:val="es-ES"/>
              </w:rPr>
            </w:pPr>
          </w:p>
        </w:tc>
      </w:tr>
      <w:tr w:rsidR="00E421FD" w:rsidRPr="00960E47" w:rsidTr="002A2234">
        <w:tc>
          <w:tcPr>
            <w:tcW w:w="5781" w:type="dxa"/>
            <w:shd w:val="clear" w:color="auto" w:fill="auto"/>
            <w:vAlign w:val="bottom"/>
          </w:tcPr>
          <w:p w:rsidR="00E421FD" w:rsidRPr="00960E47" w:rsidRDefault="00E421FD" w:rsidP="00A63AB1">
            <w:pPr>
              <w:pStyle w:val="SingleTxtG"/>
              <w:spacing w:before="40" w:after="40" w:line="220" w:lineRule="exact"/>
              <w:ind w:left="284" w:right="0"/>
              <w:jc w:val="left"/>
              <w:rPr>
                <w:sz w:val="18"/>
                <w:szCs w:val="18"/>
                <w:lang w:val="es-ES"/>
              </w:rPr>
            </w:pPr>
            <w:r w:rsidRPr="00960E47">
              <w:rPr>
                <w:sz w:val="18"/>
                <w:szCs w:val="18"/>
                <w:lang w:val="es-ES"/>
              </w:rPr>
              <w:t>Mujeres</w:t>
            </w:r>
          </w:p>
        </w:tc>
        <w:tc>
          <w:tcPr>
            <w:tcW w:w="908" w:type="dxa"/>
            <w:shd w:val="clear" w:color="auto" w:fill="auto"/>
            <w:vAlign w:val="bottom"/>
          </w:tcPr>
          <w:p w:rsidR="00E421FD" w:rsidRPr="00960E47" w:rsidRDefault="00E421FD" w:rsidP="002A2234">
            <w:pPr>
              <w:pStyle w:val="SingleTxtG"/>
              <w:spacing w:before="40" w:after="40" w:line="220" w:lineRule="exact"/>
              <w:ind w:left="0" w:right="0"/>
              <w:jc w:val="right"/>
              <w:rPr>
                <w:sz w:val="18"/>
                <w:szCs w:val="18"/>
                <w:lang w:val="es-ES"/>
              </w:rPr>
            </w:pPr>
            <w:r w:rsidRPr="00960E47">
              <w:rPr>
                <w:sz w:val="18"/>
                <w:szCs w:val="18"/>
                <w:lang w:val="es-ES"/>
              </w:rPr>
              <w:t>56,7</w:t>
            </w:r>
          </w:p>
        </w:tc>
        <w:tc>
          <w:tcPr>
            <w:tcW w:w="908" w:type="dxa"/>
            <w:shd w:val="clear" w:color="auto" w:fill="auto"/>
            <w:vAlign w:val="bottom"/>
          </w:tcPr>
          <w:p w:rsidR="00E421FD" w:rsidRPr="00960E47" w:rsidRDefault="00E421FD" w:rsidP="002A2234">
            <w:pPr>
              <w:pStyle w:val="SingleTxtG"/>
              <w:spacing w:before="40" w:after="40" w:line="220" w:lineRule="exact"/>
              <w:ind w:left="0" w:right="0"/>
              <w:jc w:val="right"/>
              <w:rPr>
                <w:sz w:val="18"/>
                <w:szCs w:val="18"/>
                <w:lang w:val="es-ES"/>
              </w:rPr>
            </w:pPr>
            <w:r w:rsidRPr="00960E47">
              <w:rPr>
                <w:sz w:val="18"/>
                <w:szCs w:val="18"/>
                <w:lang w:val="es-ES"/>
              </w:rPr>
              <w:t>60,2</w:t>
            </w:r>
          </w:p>
        </w:tc>
        <w:tc>
          <w:tcPr>
            <w:tcW w:w="908" w:type="dxa"/>
            <w:shd w:val="clear" w:color="auto" w:fill="auto"/>
            <w:vAlign w:val="bottom"/>
          </w:tcPr>
          <w:p w:rsidR="00E421FD" w:rsidRPr="00960E47" w:rsidRDefault="00E421FD" w:rsidP="002A2234">
            <w:pPr>
              <w:pStyle w:val="SingleTxtG"/>
              <w:spacing w:before="40" w:after="40" w:line="220" w:lineRule="exact"/>
              <w:ind w:left="0" w:right="0"/>
              <w:jc w:val="right"/>
              <w:rPr>
                <w:sz w:val="18"/>
                <w:szCs w:val="18"/>
                <w:lang w:val="es-ES"/>
              </w:rPr>
            </w:pPr>
          </w:p>
        </w:tc>
      </w:tr>
      <w:tr w:rsidR="00E421FD" w:rsidRPr="00960E47" w:rsidTr="002A2234">
        <w:tc>
          <w:tcPr>
            <w:tcW w:w="5781" w:type="dxa"/>
            <w:shd w:val="clear" w:color="auto" w:fill="auto"/>
            <w:vAlign w:val="bottom"/>
          </w:tcPr>
          <w:p w:rsidR="00E421FD" w:rsidRPr="00960E47" w:rsidRDefault="00E421FD" w:rsidP="00A63AB1">
            <w:pPr>
              <w:pStyle w:val="SingleTxtG"/>
              <w:spacing w:before="40" w:after="40" w:line="220" w:lineRule="exact"/>
              <w:ind w:left="284" w:right="0"/>
              <w:jc w:val="left"/>
              <w:rPr>
                <w:sz w:val="18"/>
                <w:szCs w:val="18"/>
                <w:lang w:val="es-ES"/>
              </w:rPr>
            </w:pPr>
            <w:r w:rsidRPr="00960E47">
              <w:rPr>
                <w:sz w:val="18"/>
                <w:szCs w:val="18"/>
                <w:lang w:val="es-ES"/>
              </w:rPr>
              <w:t>Varones</w:t>
            </w:r>
          </w:p>
        </w:tc>
        <w:tc>
          <w:tcPr>
            <w:tcW w:w="908" w:type="dxa"/>
            <w:shd w:val="clear" w:color="auto" w:fill="auto"/>
            <w:vAlign w:val="bottom"/>
          </w:tcPr>
          <w:p w:rsidR="00E421FD" w:rsidRPr="00960E47" w:rsidRDefault="00E421FD" w:rsidP="002A2234">
            <w:pPr>
              <w:pStyle w:val="SingleTxtG"/>
              <w:spacing w:before="40" w:after="40" w:line="220" w:lineRule="exact"/>
              <w:ind w:left="0" w:right="0"/>
              <w:jc w:val="right"/>
              <w:rPr>
                <w:sz w:val="18"/>
                <w:szCs w:val="18"/>
                <w:lang w:val="es-ES"/>
              </w:rPr>
            </w:pPr>
            <w:r w:rsidRPr="00960E47">
              <w:rPr>
                <w:sz w:val="18"/>
                <w:szCs w:val="18"/>
                <w:lang w:val="es-ES"/>
              </w:rPr>
              <w:t>49,3</w:t>
            </w:r>
          </w:p>
        </w:tc>
        <w:tc>
          <w:tcPr>
            <w:tcW w:w="908" w:type="dxa"/>
            <w:shd w:val="clear" w:color="auto" w:fill="auto"/>
            <w:vAlign w:val="bottom"/>
          </w:tcPr>
          <w:p w:rsidR="00E421FD" w:rsidRPr="00960E47" w:rsidRDefault="00E421FD" w:rsidP="002A2234">
            <w:pPr>
              <w:pStyle w:val="SingleTxtG"/>
              <w:spacing w:before="40" w:after="40" w:line="220" w:lineRule="exact"/>
              <w:ind w:left="0" w:right="0"/>
              <w:jc w:val="right"/>
              <w:rPr>
                <w:sz w:val="18"/>
                <w:szCs w:val="18"/>
                <w:lang w:val="es-ES"/>
              </w:rPr>
            </w:pPr>
            <w:r w:rsidRPr="00960E47">
              <w:rPr>
                <w:sz w:val="18"/>
                <w:szCs w:val="18"/>
                <w:lang w:val="es-ES"/>
              </w:rPr>
              <w:t>58,6</w:t>
            </w:r>
          </w:p>
        </w:tc>
        <w:tc>
          <w:tcPr>
            <w:tcW w:w="908" w:type="dxa"/>
            <w:shd w:val="clear" w:color="auto" w:fill="auto"/>
            <w:vAlign w:val="bottom"/>
          </w:tcPr>
          <w:p w:rsidR="00E421FD" w:rsidRPr="00960E47" w:rsidRDefault="00E421FD" w:rsidP="002A2234">
            <w:pPr>
              <w:pStyle w:val="SingleTxtG"/>
              <w:spacing w:before="40" w:after="40" w:line="220" w:lineRule="exact"/>
              <w:ind w:left="0" w:right="0"/>
              <w:jc w:val="right"/>
              <w:rPr>
                <w:sz w:val="18"/>
                <w:szCs w:val="18"/>
                <w:lang w:val="es-ES"/>
              </w:rPr>
            </w:pPr>
          </w:p>
        </w:tc>
      </w:tr>
      <w:tr w:rsidR="00E421FD" w:rsidRPr="00960E47" w:rsidTr="002A2234">
        <w:tc>
          <w:tcPr>
            <w:tcW w:w="5781" w:type="dxa"/>
            <w:shd w:val="clear" w:color="auto" w:fill="auto"/>
            <w:vAlign w:val="bottom"/>
          </w:tcPr>
          <w:p w:rsidR="00E421FD" w:rsidRPr="00960E47" w:rsidRDefault="00E421FD" w:rsidP="00A63AB1">
            <w:pPr>
              <w:pStyle w:val="SingleTxtG"/>
              <w:spacing w:before="40" w:after="40" w:line="220" w:lineRule="exact"/>
              <w:ind w:left="284" w:right="0" w:hanging="284"/>
              <w:jc w:val="left"/>
              <w:rPr>
                <w:sz w:val="18"/>
                <w:szCs w:val="18"/>
                <w:lang w:val="es-ES"/>
              </w:rPr>
            </w:pPr>
            <w:r w:rsidRPr="00960E47">
              <w:rPr>
                <w:sz w:val="18"/>
                <w:szCs w:val="18"/>
                <w:lang w:val="es-ES"/>
              </w:rPr>
              <w:t>g)</w:t>
            </w:r>
            <w:r w:rsidRPr="00960E47">
              <w:rPr>
                <w:sz w:val="18"/>
                <w:szCs w:val="18"/>
                <w:lang w:val="es-ES"/>
              </w:rPr>
              <w:tab/>
              <w:t xml:space="preserve">Tasa de mortalidad infantil (menores de </w:t>
            </w:r>
            <w:r w:rsidR="00D8710E" w:rsidRPr="00960E47">
              <w:rPr>
                <w:sz w:val="18"/>
                <w:szCs w:val="18"/>
                <w:lang w:val="es-ES"/>
              </w:rPr>
              <w:t xml:space="preserve">1 </w:t>
            </w:r>
            <w:r w:rsidRPr="00960E47">
              <w:rPr>
                <w:sz w:val="18"/>
                <w:szCs w:val="18"/>
                <w:lang w:val="es-ES"/>
              </w:rPr>
              <w:t>año) (por cada 1.000 niños)</w:t>
            </w:r>
          </w:p>
        </w:tc>
        <w:tc>
          <w:tcPr>
            <w:tcW w:w="908" w:type="dxa"/>
            <w:shd w:val="clear" w:color="auto" w:fill="auto"/>
            <w:vAlign w:val="bottom"/>
          </w:tcPr>
          <w:p w:rsidR="00E421FD" w:rsidRPr="00960E47" w:rsidRDefault="00E421FD" w:rsidP="002A2234">
            <w:pPr>
              <w:pStyle w:val="SingleTxtG"/>
              <w:spacing w:before="40" w:after="40" w:line="220" w:lineRule="exact"/>
              <w:ind w:left="0" w:right="0"/>
              <w:jc w:val="right"/>
              <w:rPr>
                <w:sz w:val="18"/>
                <w:szCs w:val="18"/>
                <w:lang w:val="es-ES"/>
              </w:rPr>
            </w:pPr>
            <w:r w:rsidRPr="00960E47">
              <w:rPr>
                <w:sz w:val="18"/>
                <w:szCs w:val="18"/>
                <w:lang w:val="es-ES"/>
              </w:rPr>
              <w:t>85</w:t>
            </w:r>
          </w:p>
        </w:tc>
        <w:tc>
          <w:tcPr>
            <w:tcW w:w="908" w:type="dxa"/>
            <w:shd w:val="clear" w:color="auto" w:fill="auto"/>
            <w:vAlign w:val="bottom"/>
          </w:tcPr>
          <w:p w:rsidR="00E421FD" w:rsidRPr="00960E47" w:rsidRDefault="00E421FD" w:rsidP="002A2234">
            <w:pPr>
              <w:pStyle w:val="SingleTxtG"/>
              <w:spacing w:before="40" w:after="40" w:line="220" w:lineRule="exact"/>
              <w:ind w:left="0" w:right="0"/>
              <w:jc w:val="right"/>
              <w:rPr>
                <w:sz w:val="18"/>
                <w:szCs w:val="18"/>
                <w:lang w:val="es-ES"/>
              </w:rPr>
            </w:pPr>
            <w:r w:rsidRPr="00960E47">
              <w:rPr>
                <w:sz w:val="18"/>
                <w:szCs w:val="18"/>
                <w:lang w:val="es-ES"/>
              </w:rPr>
              <w:t>74</w:t>
            </w:r>
          </w:p>
        </w:tc>
        <w:tc>
          <w:tcPr>
            <w:tcW w:w="908" w:type="dxa"/>
            <w:shd w:val="clear" w:color="auto" w:fill="auto"/>
            <w:vAlign w:val="bottom"/>
          </w:tcPr>
          <w:p w:rsidR="00E421FD" w:rsidRPr="00960E47" w:rsidRDefault="00E421FD" w:rsidP="002A2234">
            <w:pPr>
              <w:pStyle w:val="SingleTxtG"/>
              <w:spacing w:before="40" w:after="40" w:line="220" w:lineRule="exact"/>
              <w:ind w:left="0" w:right="0"/>
              <w:jc w:val="right"/>
              <w:rPr>
                <w:sz w:val="18"/>
                <w:szCs w:val="18"/>
                <w:lang w:val="es-ES"/>
              </w:rPr>
            </w:pPr>
          </w:p>
        </w:tc>
      </w:tr>
      <w:tr w:rsidR="00E421FD" w:rsidRPr="00960E47" w:rsidTr="002A2234">
        <w:tc>
          <w:tcPr>
            <w:tcW w:w="5781" w:type="dxa"/>
            <w:shd w:val="clear" w:color="auto" w:fill="auto"/>
            <w:vAlign w:val="bottom"/>
          </w:tcPr>
          <w:p w:rsidR="00E421FD" w:rsidRPr="00960E47" w:rsidRDefault="00E421FD" w:rsidP="00A63AB1">
            <w:pPr>
              <w:pStyle w:val="SingleTxtG"/>
              <w:spacing w:before="40" w:after="40" w:line="220" w:lineRule="exact"/>
              <w:ind w:left="284" w:right="0" w:hanging="284"/>
              <w:jc w:val="left"/>
              <w:rPr>
                <w:sz w:val="18"/>
                <w:szCs w:val="18"/>
                <w:lang w:val="es-ES"/>
              </w:rPr>
            </w:pPr>
            <w:r w:rsidRPr="00960E47">
              <w:rPr>
                <w:sz w:val="18"/>
                <w:szCs w:val="18"/>
                <w:lang w:val="es-ES"/>
              </w:rPr>
              <w:t>h)</w:t>
            </w:r>
            <w:r w:rsidRPr="00960E47">
              <w:rPr>
                <w:sz w:val="18"/>
                <w:szCs w:val="18"/>
                <w:lang w:val="es-ES"/>
              </w:rPr>
              <w:tab/>
              <w:t>Tasa de mortalidad de niños de 1 a 5 años (por cada 1.000 niños)</w:t>
            </w:r>
          </w:p>
        </w:tc>
        <w:tc>
          <w:tcPr>
            <w:tcW w:w="908" w:type="dxa"/>
            <w:shd w:val="clear" w:color="auto" w:fill="auto"/>
            <w:vAlign w:val="bottom"/>
          </w:tcPr>
          <w:p w:rsidR="00E421FD" w:rsidRPr="00960E47" w:rsidRDefault="00E421FD" w:rsidP="002A2234">
            <w:pPr>
              <w:pStyle w:val="SingleTxtG"/>
              <w:spacing w:before="40" w:after="40" w:line="220" w:lineRule="exact"/>
              <w:ind w:left="0" w:right="0"/>
              <w:jc w:val="right"/>
              <w:rPr>
                <w:sz w:val="18"/>
                <w:szCs w:val="18"/>
                <w:lang w:val="es-ES"/>
              </w:rPr>
            </w:pPr>
          </w:p>
        </w:tc>
        <w:tc>
          <w:tcPr>
            <w:tcW w:w="908" w:type="dxa"/>
            <w:shd w:val="clear" w:color="auto" w:fill="auto"/>
            <w:vAlign w:val="bottom"/>
          </w:tcPr>
          <w:p w:rsidR="00E421FD" w:rsidRPr="00960E47" w:rsidRDefault="00E421FD" w:rsidP="002A2234">
            <w:pPr>
              <w:pStyle w:val="SingleTxtG"/>
              <w:spacing w:before="40" w:after="40" w:line="220" w:lineRule="exact"/>
              <w:ind w:left="0" w:right="0"/>
              <w:jc w:val="right"/>
              <w:rPr>
                <w:sz w:val="18"/>
                <w:szCs w:val="18"/>
                <w:lang w:val="es-ES"/>
              </w:rPr>
            </w:pPr>
          </w:p>
        </w:tc>
        <w:tc>
          <w:tcPr>
            <w:tcW w:w="908" w:type="dxa"/>
            <w:shd w:val="clear" w:color="auto" w:fill="auto"/>
            <w:vAlign w:val="bottom"/>
          </w:tcPr>
          <w:p w:rsidR="00E421FD" w:rsidRPr="00960E47" w:rsidRDefault="00E421FD" w:rsidP="002A2234">
            <w:pPr>
              <w:pStyle w:val="SingleTxtG"/>
              <w:spacing w:before="40" w:after="40" w:line="220" w:lineRule="exact"/>
              <w:ind w:left="0" w:right="0"/>
              <w:jc w:val="right"/>
              <w:rPr>
                <w:sz w:val="18"/>
                <w:szCs w:val="18"/>
                <w:lang w:val="es-ES"/>
              </w:rPr>
            </w:pPr>
          </w:p>
        </w:tc>
      </w:tr>
      <w:tr w:rsidR="00E421FD" w:rsidRPr="00960E47" w:rsidTr="002A2234">
        <w:tc>
          <w:tcPr>
            <w:tcW w:w="5781" w:type="dxa"/>
            <w:shd w:val="clear" w:color="auto" w:fill="auto"/>
            <w:vAlign w:val="bottom"/>
          </w:tcPr>
          <w:p w:rsidR="00E421FD" w:rsidRPr="00960E47" w:rsidRDefault="00E421FD" w:rsidP="00A63AB1">
            <w:pPr>
              <w:pStyle w:val="SingleTxtG"/>
              <w:spacing w:before="40" w:after="40" w:line="220" w:lineRule="exact"/>
              <w:ind w:left="284" w:right="0" w:hanging="284"/>
              <w:jc w:val="left"/>
              <w:rPr>
                <w:sz w:val="18"/>
                <w:szCs w:val="18"/>
                <w:lang w:val="es-ES"/>
              </w:rPr>
            </w:pPr>
            <w:r w:rsidRPr="00960E47">
              <w:rPr>
                <w:sz w:val="18"/>
                <w:szCs w:val="18"/>
                <w:lang w:val="es-ES"/>
              </w:rPr>
              <w:t>i)</w:t>
            </w:r>
            <w:r w:rsidRPr="00960E47">
              <w:rPr>
                <w:sz w:val="18"/>
                <w:szCs w:val="18"/>
                <w:lang w:val="es-ES"/>
              </w:rPr>
              <w:tab/>
              <w:t>Tasa de mortalidad materna (por cada 100.000 nacidos vivos)</w:t>
            </w:r>
          </w:p>
        </w:tc>
        <w:tc>
          <w:tcPr>
            <w:tcW w:w="908" w:type="dxa"/>
            <w:shd w:val="clear" w:color="auto" w:fill="auto"/>
            <w:vAlign w:val="bottom"/>
          </w:tcPr>
          <w:p w:rsidR="00E421FD" w:rsidRPr="00960E47" w:rsidRDefault="00E421FD" w:rsidP="002A2234">
            <w:pPr>
              <w:pStyle w:val="SingleTxtG"/>
              <w:spacing w:before="40" w:after="40" w:line="220" w:lineRule="exact"/>
              <w:ind w:left="0" w:right="0"/>
              <w:jc w:val="right"/>
              <w:rPr>
                <w:sz w:val="18"/>
                <w:szCs w:val="18"/>
                <w:lang w:val="es-ES"/>
              </w:rPr>
            </w:pPr>
          </w:p>
        </w:tc>
        <w:tc>
          <w:tcPr>
            <w:tcW w:w="908" w:type="dxa"/>
            <w:shd w:val="clear" w:color="auto" w:fill="auto"/>
            <w:vAlign w:val="bottom"/>
          </w:tcPr>
          <w:p w:rsidR="00E421FD" w:rsidRPr="00960E47" w:rsidRDefault="00E421FD" w:rsidP="002A2234">
            <w:pPr>
              <w:pStyle w:val="SingleTxtG"/>
              <w:spacing w:before="40" w:after="40" w:line="220" w:lineRule="exact"/>
              <w:ind w:left="0" w:right="0"/>
              <w:jc w:val="right"/>
              <w:rPr>
                <w:sz w:val="18"/>
                <w:szCs w:val="18"/>
                <w:lang w:val="es-ES"/>
              </w:rPr>
            </w:pPr>
          </w:p>
        </w:tc>
        <w:tc>
          <w:tcPr>
            <w:tcW w:w="908" w:type="dxa"/>
            <w:shd w:val="clear" w:color="auto" w:fill="auto"/>
            <w:vAlign w:val="bottom"/>
          </w:tcPr>
          <w:p w:rsidR="00E421FD" w:rsidRPr="00960E47" w:rsidRDefault="00E421FD" w:rsidP="002A2234">
            <w:pPr>
              <w:pStyle w:val="SingleTxtG"/>
              <w:spacing w:before="40" w:after="40" w:line="220" w:lineRule="exact"/>
              <w:ind w:left="0" w:right="0"/>
              <w:jc w:val="right"/>
              <w:rPr>
                <w:sz w:val="18"/>
                <w:szCs w:val="18"/>
                <w:lang w:val="es-ES"/>
              </w:rPr>
            </w:pPr>
          </w:p>
        </w:tc>
      </w:tr>
      <w:tr w:rsidR="00E421FD" w:rsidRPr="00960E47" w:rsidTr="002A2234">
        <w:tc>
          <w:tcPr>
            <w:tcW w:w="5781" w:type="dxa"/>
            <w:shd w:val="clear" w:color="auto" w:fill="auto"/>
            <w:vAlign w:val="bottom"/>
          </w:tcPr>
          <w:p w:rsidR="00E421FD" w:rsidRPr="00960E47" w:rsidRDefault="001973E7" w:rsidP="00A63AB1">
            <w:pPr>
              <w:pStyle w:val="SingleTxtG"/>
              <w:spacing w:before="40" w:after="40" w:line="220" w:lineRule="exact"/>
              <w:ind w:left="284" w:right="0" w:hanging="284"/>
              <w:jc w:val="left"/>
              <w:rPr>
                <w:sz w:val="18"/>
                <w:szCs w:val="18"/>
                <w:lang w:val="es-ES"/>
              </w:rPr>
            </w:pPr>
            <w:r w:rsidRPr="00960E47">
              <w:rPr>
                <w:sz w:val="18"/>
                <w:szCs w:val="18"/>
                <w:lang w:val="es-ES"/>
              </w:rPr>
              <w:t>j)</w:t>
            </w:r>
            <w:r w:rsidRPr="00960E47">
              <w:rPr>
                <w:sz w:val="18"/>
                <w:szCs w:val="18"/>
                <w:lang w:val="es-ES"/>
              </w:rPr>
              <w:tab/>
              <w:t>Relación de personas a cargo</w:t>
            </w:r>
          </w:p>
        </w:tc>
        <w:tc>
          <w:tcPr>
            <w:tcW w:w="908" w:type="dxa"/>
            <w:shd w:val="clear" w:color="auto" w:fill="auto"/>
            <w:vAlign w:val="bottom"/>
          </w:tcPr>
          <w:p w:rsidR="00E421FD" w:rsidRPr="00960E47" w:rsidRDefault="00E421FD" w:rsidP="002A2234">
            <w:pPr>
              <w:pStyle w:val="SingleTxtG"/>
              <w:spacing w:before="40" w:after="40" w:line="220" w:lineRule="exact"/>
              <w:ind w:left="0" w:right="0"/>
              <w:jc w:val="right"/>
              <w:rPr>
                <w:sz w:val="18"/>
                <w:szCs w:val="18"/>
                <w:lang w:val="es-ES"/>
              </w:rPr>
            </w:pPr>
          </w:p>
        </w:tc>
        <w:tc>
          <w:tcPr>
            <w:tcW w:w="908" w:type="dxa"/>
            <w:shd w:val="clear" w:color="auto" w:fill="auto"/>
            <w:vAlign w:val="bottom"/>
          </w:tcPr>
          <w:p w:rsidR="00E421FD" w:rsidRPr="00960E47" w:rsidRDefault="00E421FD" w:rsidP="002A2234">
            <w:pPr>
              <w:pStyle w:val="SingleTxtG"/>
              <w:spacing w:before="40" w:after="40" w:line="220" w:lineRule="exact"/>
              <w:ind w:left="0" w:right="0"/>
              <w:jc w:val="right"/>
              <w:rPr>
                <w:sz w:val="18"/>
                <w:szCs w:val="18"/>
                <w:lang w:val="es-ES"/>
              </w:rPr>
            </w:pPr>
          </w:p>
        </w:tc>
        <w:tc>
          <w:tcPr>
            <w:tcW w:w="908" w:type="dxa"/>
            <w:shd w:val="clear" w:color="auto" w:fill="auto"/>
            <w:vAlign w:val="bottom"/>
          </w:tcPr>
          <w:p w:rsidR="00E421FD" w:rsidRPr="00960E47" w:rsidRDefault="00E421FD" w:rsidP="002A2234">
            <w:pPr>
              <w:pStyle w:val="SingleTxtG"/>
              <w:spacing w:before="40" w:after="40" w:line="220" w:lineRule="exact"/>
              <w:ind w:left="0" w:right="0"/>
              <w:jc w:val="right"/>
              <w:rPr>
                <w:sz w:val="18"/>
                <w:szCs w:val="18"/>
                <w:lang w:val="es-ES"/>
              </w:rPr>
            </w:pPr>
          </w:p>
        </w:tc>
      </w:tr>
      <w:tr w:rsidR="00E421FD" w:rsidRPr="00960E47" w:rsidTr="002A2234">
        <w:tc>
          <w:tcPr>
            <w:tcW w:w="5781" w:type="dxa"/>
            <w:shd w:val="clear" w:color="auto" w:fill="auto"/>
            <w:vAlign w:val="bottom"/>
          </w:tcPr>
          <w:p w:rsidR="00E421FD" w:rsidRPr="00960E47" w:rsidRDefault="00E421FD" w:rsidP="00A63AB1">
            <w:pPr>
              <w:pStyle w:val="SingleTxtG"/>
              <w:spacing w:before="40" w:after="40" w:line="220" w:lineRule="exact"/>
              <w:ind w:left="284" w:right="0" w:hanging="284"/>
              <w:jc w:val="left"/>
              <w:rPr>
                <w:sz w:val="18"/>
                <w:szCs w:val="18"/>
                <w:lang w:val="es-ES"/>
              </w:rPr>
            </w:pPr>
            <w:r w:rsidRPr="00960E47">
              <w:rPr>
                <w:sz w:val="18"/>
                <w:szCs w:val="18"/>
                <w:lang w:val="es-ES"/>
              </w:rPr>
              <w:t>k)</w:t>
            </w:r>
            <w:r w:rsidRPr="00960E47">
              <w:rPr>
                <w:sz w:val="18"/>
                <w:szCs w:val="18"/>
                <w:lang w:val="es-ES"/>
              </w:rPr>
              <w:tab/>
              <w:t>Índice de masculinidad (general)</w:t>
            </w:r>
          </w:p>
        </w:tc>
        <w:tc>
          <w:tcPr>
            <w:tcW w:w="908" w:type="dxa"/>
            <w:shd w:val="clear" w:color="auto" w:fill="auto"/>
            <w:vAlign w:val="bottom"/>
          </w:tcPr>
          <w:p w:rsidR="00E421FD" w:rsidRPr="00960E47" w:rsidRDefault="00E421FD" w:rsidP="002A2234">
            <w:pPr>
              <w:pStyle w:val="SingleTxtG"/>
              <w:spacing w:before="40" w:after="40" w:line="220" w:lineRule="exact"/>
              <w:ind w:left="0" w:right="0"/>
              <w:jc w:val="right"/>
              <w:rPr>
                <w:sz w:val="18"/>
                <w:szCs w:val="18"/>
                <w:lang w:val="es-ES"/>
              </w:rPr>
            </w:pPr>
          </w:p>
        </w:tc>
        <w:tc>
          <w:tcPr>
            <w:tcW w:w="908" w:type="dxa"/>
            <w:shd w:val="clear" w:color="auto" w:fill="auto"/>
            <w:vAlign w:val="bottom"/>
          </w:tcPr>
          <w:p w:rsidR="00E421FD" w:rsidRPr="00960E47" w:rsidRDefault="00E421FD" w:rsidP="002A2234">
            <w:pPr>
              <w:pStyle w:val="SingleTxtG"/>
              <w:spacing w:before="40" w:after="40" w:line="220" w:lineRule="exact"/>
              <w:ind w:left="0" w:right="0"/>
              <w:jc w:val="right"/>
              <w:rPr>
                <w:sz w:val="18"/>
                <w:szCs w:val="18"/>
                <w:lang w:val="es-ES"/>
              </w:rPr>
            </w:pPr>
          </w:p>
        </w:tc>
        <w:tc>
          <w:tcPr>
            <w:tcW w:w="908" w:type="dxa"/>
            <w:shd w:val="clear" w:color="auto" w:fill="auto"/>
            <w:vAlign w:val="bottom"/>
          </w:tcPr>
          <w:p w:rsidR="00E421FD" w:rsidRPr="00960E47" w:rsidRDefault="00E421FD" w:rsidP="002A2234">
            <w:pPr>
              <w:pStyle w:val="SingleTxtG"/>
              <w:spacing w:before="40" w:after="40" w:line="220" w:lineRule="exact"/>
              <w:ind w:left="0" w:right="0"/>
              <w:jc w:val="right"/>
              <w:rPr>
                <w:sz w:val="18"/>
                <w:szCs w:val="18"/>
                <w:lang w:val="es-ES"/>
              </w:rPr>
            </w:pPr>
          </w:p>
        </w:tc>
      </w:tr>
      <w:tr w:rsidR="00E421FD" w:rsidRPr="00960E47" w:rsidTr="002A2234">
        <w:tc>
          <w:tcPr>
            <w:tcW w:w="5781" w:type="dxa"/>
            <w:shd w:val="clear" w:color="auto" w:fill="auto"/>
            <w:vAlign w:val="bottom"/>
          </w:tcPr>
          <w:p w:rsidR="00E421FD" w:rsidRPr="00960E47" w:rsidRDefault="00E421FD" w:rsidP="00A63AB1">
            <w:pPr>
              <w:pStyle w:val="SingleTxtG"/>
              <w:spacing w:before="40" w:after="40" w:line="220" w:lineRule="exact"/>
              <w:ind w:left="284" w:right="0" w:hanging="284"/>
              <w:jc w:val="left"/>
              <w:rPr>
                <w:sz w:val="18"/>
                <w:szCs w:val="18"/>
                <w:lang w:val="es-ES"/>
              </w:rPr>
            </w:pPr>
            <w:r w:rsidRPr="00960E47">
              <w:rPr>
                <w:sz w:val="18"/>
                <w:szCs w:val="18"/>
                <w:lang w:val="es-ES"/>
              </w:rPr>
              <w:t>l)</w:t>
            </w:r>
            <w:r w:rsidRPr="00960E47">
              <w:rPr>
                <w:sz w:val="18"/>
                <w:szCs w:val="18"/>
                <w:lang w:val="es-ES"/>
              </w:rPr>
              <w:tab/>
              <w:t xml:space="preserve">Tasa global de fecundidad </w:t>
            </w:r>
          </w:p>
        </w:tc>
        <w:tc>
          <w:tcPr>
            <w:tcW w:w="908" w:type="dxa"/>
            <w:shd w:val="clear" w:color="auto" w:fill="auto"/>
            <w:vAlign w:val="bottom"/>
          </w:tcPr>
          <w:p w:rsidR="00E421FD" w:rsidRPr="00960E47" w:rsidRDefault="00E421FD" w:rsidP="002A2234">
            <w:pPr>
              <w:pStyle w:val="SingleTxtG"/>
              <w:spacing w:before="40" w:after="40" w:line="220" w:lineRule="exact"/>
              <w:ind w:left="0" w:right="0"/>
              <w:jc w:val="right"/>
              <w:rPr>
                <w:sz w:val="18"/>
                <w:szCs w:val="18"/>
                <w:lang w:val="es-ES"/>
              </w:rPr>
            </w:pPr>
          </w:p>
        </w:tc>
        <w:tc>
          <w:tcPr>
            <w:tcW w:w="908" w:type="dxa"/>
            <w:shd w:val="clear" w:color="auto" w:fill="auto"/>
            <w:vAlign w:val="bottom"/>
          </w:tcPr>
          <w:p w:rsidR="00E421FD" w:rsidRPr="00960E47" w:rsidRDefault="00E421FD" w:rsidP="002A2234">
            <w:pPr>
              <w:pStyle w:val="SingleTxtG"/>
              <w:spacing w:before="40" w:after="40" w:line="220" w:lineRule="exact"/>
              <w:ind w:left="0" w:right="0"/>
              <w:jc w:val="right"/>
              <w:rPr>
                <w:sz w:val="18"/>
                <w:szCs w:val="18"/>
                <w:lang w:val="es-ES"/>
              </w:rPr>
            </w:pPr>
          </w:p>
        </w:tc>
        <w:tc>
          <w:tcPr>
            <w:tcW w:w="908" w:type="dxa"/>
            <w:shd w:val="clear" w:color="auto" w:fill="auto"/>
            <w:vAlign w:val="bottom"/>
          </w:tcPr>
          <w:p w:rsidR="00E421FD" w:rsidRPr="00960E47" w:rsidRDefault="00E421FD" w:rsidP="002A2234">
            <w:pPr>
              <w:pStyle w:val="SingleTxtG"/>
              <w:spacing w:before="40" w:after="40" w:line="220" w:lineRule="exact"/>
              <w:ind w:left="0" w:right="0"/>
              <w:jc w:val="right"/>
              <w:rPr>
                <w:sz w:val="18"/>
                <w:szCs w:val="18"/>
                <w:lang w:val="es-ES"/>
              </w:rPr>
            </w:pPr>
          </w:p>
        </w:tc>
      </w:tr>
    </w:tbl>
    <w:p w:rsidR="00E421FD" w:rsidRPr="00960E47" w:rsidRDefault="00E738A2" w:rsidP="00BD2CEB">
      <w:pPr>
        <w:pStyle w:val="SingleTxtG"/>
        <w:spacing w:before="240"/>
        <w:rPr>
          <w:lang w:val="es-ES"/>
        </w:rPr>
      </w:pPr>
      <w:r w:rsidRPr="00960E47">
        <w:rPr>
          <w:lang w:val="es-ES"/>
        </w:rPr>
        <w:t>8.</w:t>
      </w:r>
      <w:r w:rsidRPr="00960E47">
        <w:rPr>
          <w:lang w:val="es-ES"/>
        </w:rPr>
        <w:tab/>
      </w:r>
      <w:r w:rsidR="00E421FD" w:rsidRPr="00960E47">
        <w:rPr>
          <w:lang w:val="es-ES"/>
        </w:rPr>
        <w:t>Desde 1986 la tasa de fecundidad se ha reducido en Lesotho. La tasa de fecundidad en 1986 era del 5,3%. En 1996 descendió al 4,1% y en 2004 se situó en el 3,5%. Por otro lado, parece que la tasa de mortalidad aumentó en los años inmediatamente posteriores a 1986. La esperanza de vida al nacer se redujo de 59 años, tanto en los varones como en las mujeres, en 1996 a 42,4 años en 2006.</w:t>
      </w:r>
    </w:p>
    <w:p w:rsidR="00E421FD" w:rsidRPr="00960E47" w:rsidRDefault="00163063" w:rsidP="00BD2CEB">
      <w:pPr>
        <w:pStyle w:val="H23G"/>
        <w:rPr>
          <w:lang w:val="es-ES"/>
        </w:rPr>
      </w:pPr>
      <w:r w:rsidRPr="00960E47">
        <w:rPr>
          <w:lang w:val="es-ES"/>
        </w:rPr>
        <w:tab/>
      </w:r>
      <w:r w:rsidRPr="00960E47">
        <w:rPr>
          <w:lang w:val="es-ES"/>
        </w:rPr>
        <w:tab/>
      </w:r>
      <w:r w:rsidR="00E421FD" w:rsidRPr="00960E47">
        <w:rPr>
          <w:lang w:val="es-ES"/>
        </w:rPr>
        <w:t>En el cuadro siguiente puede verse el índice de masculinidad por distrito, desde 1986</w:t>
      </w:r>
    </w:p>
    <w:tbl>
      <w:tblPr>
        <w:tblW w:w="7371" w:type="dxa"/>
        <w:tblInd w:w="1134" w:type="dxa"/>
        <w:tblBorders>
          <w:top w:val="single" w:sz="4" w:space="0" w:color="auto"/>
          <w:bottom w:val="single" w:sz="12" w:space="0" w:color="auto"/>
        </w:tblBorders>
        <w:tblLayout w:type="fixed"/>
        <w:tblCellMar>
          <w:left w:w="0" w:type="dxa"/>
          <w:right w:w="0" w:type="dxa"/>
        </w:tblCellMar>
        <w:tblLook w:val="04A0"/>
      </w:tblPr>
      <w:tblGrid>
        <w:gridCol w:w="1842"/>
        <w:gridCol w:w="1843"/>
        <w:gridCol w:w="1843"/>
        <w:gridCol w:w="1843"/>
      </w:tblGrid>
      <w:tr w:rsidR="00E421FD" w:rsidRPr="00960E47" w:rsidTr="00A63AB1">
        <w:trPr>
          <w:tblHeader/>
        </w:trPr>
        <w:tc>
          <w:tcPr>
            <w:tcW w:w="1842" w:type="dxa"/>
            <w:tcBorders>
              <w:top w:val="single" w:sz="4" w:space="0" w:color="auto"/>
              <w:bottom w:val="single" w:sz="12" w:space="0" w:color="auto"/>
            </w:tcBorders>
            <w:shd w:val="clear" w:color="auto" w:fill="auto"/>
            <w:vAlign w:val="bottom"/>
          </w:tcPr>
          <w:p w:rsidR="00E421FD" w:rsidRPr="00960E47" w:rsidRDefault="00E421FD" w:rsidP="00A63AB1">
            <w:pPr>
              <w:pStyle w:val="SingleTxtG"/>
              <w:spacing w:before="80" w:after="80" w:line="200" w:lineRule="exact"/>
              <w:ind w:left="0" w:right="0"/>
              <w:jc w:val="left"/>
              <w:rPr>
                <w:i/>
                <w:sz w:val="16"/>
                <w:szCs w:val="18"/>
                <w:lang w:val="es-ES"/>
              </w:rPr>
            </w:pPr>
            <w:r w:rsidRPr="00960E47">
              <w:rPr>
                <w:i/>
                <w:sz w:val="16"/>
                <w:szCs w:val="18"/>
                <w:lang w:val="es-ES"/>
              </w:rPr>
              <w:t>Distrito</w:t>
            </w:r>
          </w:p>
        </w:tc>
        <w:tc>
          <w:tcPr>
            <w:tcW w:w="1843" w:type="dxa"/>
            <w:tcBorders>
              <w:top w:val="single" w:sz="4" w:space="0" w:color="auto"/>
              <w:bottom w:val="single" w:sz="12" w:space="0" w:color="auto"/>
            </w:tcBorders>
            <w:shd w:val="clear" w:color="auto" w:fill="auto"/>
            <w:vAlign w:val="bottom"/>
          </w:tcPr>
          <w:p w:rsidR="00E421FD" w:rsidRPr="00960E47" w:rsidRDefault="00E421FD" w:rsidP="00A63AB1">
            <w:pPr>
              <w:pStyle w:val="SingleTxtG"/>
              <w:spacing w:before="80" w:after="80" w:line="200" w:lineRule="exact"/>
              <w:ind w:left="0" w:right="0"/>
              <w:jc w:val="right"/>
              <w:rPr>
                <w:i/>
                <w:sz w:val="16"/>
                <w:szCs w:val="18"/>
                <w:lang w:val="es-ES"/>
              </w:rPr>
            </w:pPr>
            <w:r w:rsidRPr="00960E47">
              <w:rPr>
                <w:i/>
                <w:sz w:val="16"/>
                <w:szCs w:val="18"/>
                <w:lang w:val="es-ES"/>
              </w:rPr>
              <w:t>1986</w:t>
            </w:r>
          </w:p>
        </w:tc>
        <w:tc>
          <w:tcPr>
            <w:tcW w:w="1843" w:type="dxa"/>
            <w:tcBorders>
              <w:top w:val="single" w:sz="4" w:space="0" w:color="auto"/>
              <w:bottom w:val="single" w:sz="12" w:space="0" w:color="auto"/>
            </w:tcBorders>
            <w:shd w:val="clear" w:color="auto" w:fill="auto"/>
            <w:vAlign w:val="bottom"/>
          </w:tcPr>
          <w:p w:rsidR="00E421FD" w:rsidRPr="00960E47" w:rsidRDefault="00E421FD" w:rsidP="00A63AB1">
            <w:pPr>
              <w:pStyle w:val="SingleTxtG"/>
              <w:spacing w:before="80" w:after="80" w:line="200" w:lineRule="exact"/>
              <w:ind w:left="0" w:right="0"/>
              <w:jc w:val="right"/>
              <w:rPr>
                <w:i/>
                <w:sz w:val="16"/>
                <w:szCs w:val="18"/>
                <w:lang w:val="es-ES"/>
              </w:rPr>
            </w:pPr>
            <w:r w:rsidRPr="00960E47">
              <w:rPr>
                <w:i/>
                <w:sz w:val="16"/>
                <w:szCs w:val="18"/>
                <w:lang w:val="es-ES"/>
              </w:rPr>
              <w:t>1996</w:t>
            </w:r>
          </w:p>
        </w:tc>
        <w:tc>
          <w:tcPr>
            <w:tcW w:w="1843" w:type="dxa"/>
            <w:tcBorders>
              <w:top w:val="single" w:sz="4" w:space="0" w:color="auto"/>
              <w:bottom w:val="single" w:sz="12" w:space="0" w:color="auto"/>
            </w:tcBorders>
            <w:shd w:val="clear" w:color="auto" w:fill="auto"/>
            <w:vAlign w:val="bottom"/>
          </w:tcPr>
          <w:p w:rsidR="00E421FD" w:rsidRPr="00960E47" w:rsidRDefault="00E421FD" w:rsidP="00A63AB1">
            <w:pPr>
              <w:pStyle w:val="SingleTxtG"/>
              <w:spacing w:before="80" w:after="80" w:line="200" w:lineRule="exact"/>
              <w:ind w:left="0" w:right="0"/>
              <w:jc w:val="right"/>
              <w:rPr>
                <w:i/>
                <w:sz w:val="16"/>
                <w:szCs w:val="18"/>
                <w:lang w:val="es-ES"/>
              </w:rPr>
            </w:pPr>
            <w:r w:rsidRPr="00960E47">
              <w:rPr>
                <w:i/>
                <w:sz w:val="16"/>
                <w:szCs w:val="18"/>
                <w:lang w:val="es-ES"/>
              </w:rPr>
              <w:t>2006</w:t>
            </w:r>
          </w:p>
        </w:tc>
      </w:tr>
      <w:tr w:rsidR="00E421FD" w:rsidRPr="00960E47" w:rsidTr="00A63AB1">
        <w:tc>
          <w:tcPr>
            <w:tcW w:w="1842" w:type="dxa"/>
            <w:tcBorders>
              <w:top w:val="single" w:sz="12" w:space="0" w:color="auto"/>
            </w:tcBorders>
            <w:shd w:val="clear" w:color="auto" w:fill="auto"/>
            <w:vAlign w:val="bottom"/>
          </w:tcPr>
          <w:p w:rsidR="00E421FD" w:rsidRPr="00960E47" w:rsidRDefault="00E421FD" w:rsidP="00A63AB1">
            <w:pPr>
              <w:pStyle w:val="SingleTxtG"/>
              <w:spacing w:before="40" w:after="40" w:line="220" w:lineRule="exact"/>
              <w:ind w:left="0" w:right="0"/>
              <w:jc w:val="left"/>
              <w:rPr>
                <w:sz w:val="18"/>
                <w:szCs w:val="18"/>
                <w:lang w:val="es-ES"/>
              </w:rPr>
            </w:pPr>
            <w:r w:rsidRPr="00960E47">
              <w:rPr>
                <w:sz w:val="18"/>
                <w:szCs w:val="18"/>
                <w:lang w:val="es-ES"/>
              </w:rPr>
              <w:t>Butha-Buthe</w:t>
            </w:r>
          </w:p>
        </w:tc>
        <w:tc>
          <w:tcPr>
            <w:tcW w:w="1843" w:type="dxa"/>
            <w:tcBorders>
              <w:top w:val="single" w:sz="12" w:space="0" w:color="auto"/>
            </w:tcBorders>
            <w:shd w:val="clear" w:color="auto" w:fill="auto"/>
            <w:vAlign w:val="bottom"/>
          </w:tcPr>
          <w:p w:rsidR="00E421FD" w:rsidRPr="00960E47" w:rsidRDefault="00E421FD" w:rsidP="0060364D">
            <w:pPr>
              <w:pStyle w:val="SingleTxtG"/>
              <w:spacing w:before="40" w:after="40" w:line="220" w:lineRule="exact"/>
              <w:ind w:left="0" w:right="0"/>
              <w:jc w:val="right"/>
              <w:rPr>
                <w:sz w:val="18"/>
                <w:szCs w:val="18"/>
                <w:lang w:val="es-ES"/>
              </w:rPr>
            </w:pPr>
            <w:r w:rsidRPr="00960E47">
              <w:rPr>
                <w:sz w:val="18"/>
                <w:szCs w:val="18"/>
                <w:lang w:val="es-ES"/>
              </w:rPr>
              <w:t>94,4</w:t>
            </w:r>
          </w:p>
        </w:tc>
        <w:tc>
          <w:tcPr>
            <w:tcW w:w="1843" w:type="dxa"/>
            <w:tcBorders>
              <w:top w:val="single" w:sz="12" w:space="0" w:color="auto"/>
            </w:tcBorders>
            <w:shd w:val="clear" w:color="auto" w:fill="auto"/>
            <w:vAlign w:val="bottom"/>
          </w:tcPr>
          <w:p w:rsidR="00E421FD" w:rsidRPr="00960E47" w:rsidRDefault="00E421FD" w:rsidP="00A63AB1">
            <w:pPr>
              <w:pStyle w:val="SingleTxtG"/>
              <w:spacing w:before="40" w:after="40" w:line="220" w:lineRule="exact"/>
              <w:ind w:left="0" w:right="0"/>
              <w:jc w:val="right"/>
              <w:rPr>
                <w:sz w:val="18"/>
                <w:szCs w:val="18"/>
                <w:lang w:val="es-ES"/>
              </w:rPr>
            </w:pPr>
            <w:r w:rsidRPr="00960E47">
              <w:rPr>
                <w:sz w:val="18"/>
                <w:szCs w:val="18"/>
                <w:lang w:val="es-ES"/>
              </w:rPr>
              <w:t>97,8</w:t>
            </w:r>
          </w:p>
        </w:tc>
        <w:tc>
          <w:tcPr>
            <w:tcW w:w="1843" w:type="dxa"/>
            <w:tcBorders>
              <w:top w:val="single" w:sz="12" w:space="0" w:color="auto"/>
            </w:tcBorders>
            <w:shd w:val="clear" w:color="auto" w:fill="auto"/>
            <w:vAlign w:val="bottom"/>
          </w:tcPr>
          <w:p w:rsidR="00E421FD" w:rsidRPr="00960E47" w:rsidRDefault="00E421FD" w:rsidP="00A63AB1">
            <w:pPr>
              <w:pStyle w:val="SingleTxtG"/>
              <w:spacing w:before="40" w:after="40" w:line="220" w:lineRule="exact"/>
              <w:ind w:left="0" w:right="0"/>
              <w:jc w:val="right"/>
              <w:rPr>
                <w:sz w:val="18"/>
                <w:szCs w:val="18"/>
                <w:lang w:val="es-ES"/>
              </w:rPr>
            </w:pPr>
            <w:r w:rsidRPr="00960E47">
              <w:rPr>
                <w:sz w:val="18"/>
                <w:szCs w:val="18"/>
                <w:lang w:val="es-ES"/>
              </w:rPr>
              <w:t>97,5</w:t>
            </w:r>
          </w:p>
        </w:tc>
      </w:tr>
      <w:tr w:rsidR="00E421FD" w:rsidRPr="00960E47" w:rsidTr="00A63AB1">
        <w:tc>
          <w:tcPr>
            <w:tcW w:w="1842" w:type="dxa"/>
            <w:shd w:val="clear" w:color="auto" w:fill="auto"/>
            <w:vAlign w:val="bottom"/>
          </w:tcPr>
          <w:p w:rsidR="00E421FD" w:rsidRPr="00960E47" w:rsidRDefault="00E421FD" w:rsidP="00A63AB1">
            <w:pPr>
              <w:pStyle w:val="SingleTxtG"/>
              <w:spacing w:before="40" w:after="40" w:line="220" w:lineRule="exact"/>
              <w:ind w:left="0" w:right="0"/>
              <w:jc w:val="left"/>
              <w:rPr>
                <w:sz w:val="18"/>
                <w:szCs w:val="18"/>
                <w:lang w:val="es-ES"/>
              </w:rPr>
            </w:pPr>
            <w:r w:rsidRPr="00960E47">
              <w:rPr>
                <w:sz w:val="18"/>
                <w:szCs w:val="18"/>
                <w:lang w:val="es-ES"/>
              </w:rPr>
              <w:t>Leribe</w:t>
            </w:r>
          </w:p>
        </w:tc>
        <w:tc>
          <w:tcPr>
            <w:tcW w:w="1843" w:type="dxa"/>
            <w:shd w:val="clear" w:color="auto" w:fill="auto"/>
            <w:vAlign w:val="bottom"/>
          </w:tcPr>
          <w:p w:rsidR="00E421FD" w:rsidRPr="00960E47" w:rsidRDefault="00E421FD" w:rsidP="00A63AB1">
            <w:pPr>
              <w:pStyle w:val="SingleTxtG"/>
              <w:spacing w:before="40" w:after="40" w:line="220" w:lineRule="exact"/>
              <w:ind w:left="0" w:right="0"/>
              <w:jc w:val="right"/>
              <w:rPr>
                <w:sz w:val="18"/>
                <w:szCs w:val="18"/>
                <w:lang w:val="es-ES"/>
              </w:rPr>
            </w:pPr>
            <w:r w:rsidRPr="00960E47">
              <w:rPr>
                <w:sz w:val="18"/>
                <w:szCs w:val="18"/>
                <w:lang w:val="es-ES"/>
              </w:rPr>
              <w:t>95,9</w:t>
            </w:r>
          </w:p>
        </w:tc>
        <w:tc>
          <w:tcPr>
            <w:tcW w:w="1843" w:type="dxa"/>
            <w:shd w:val="clear" w:color="auto" w:fill="auto"/>
            <w:vAlign w:val="bottom"/>
          </w:tcPr>
          <w:p w:rsidR="00E421FD" w:rsidRPr="00960E47" w:rsidRDefault="00E421FD" w:rsidP="00A63AB1">
            <w:pPr>
              <w:pStyle w:val="SingleTxtG"/>
              <w:spacing w:before="40" w:after="40" w:line="220" w:lineRule="exact"/>
              <w:ind w:left="0" w:right="0"/>
              <w:jc w:val="right"/>
              <w:rPr>
                <w:sz w:val="18"/>
                <w:szCs w:val="18"/>
                <w:lang w:val="es-ES"/>
              </w:rPr>
            </w:pPr>
            <w:r w:rsidRPr="00960E47">
              <w:rPr>
                <w:sz w:val="18"/>
                <w:szCs w:val="18"/>
                <w:lang w:val="es-ES"/>
              </w:rPr>
              <w:t>95,5</w:t>
            </w:r>
          </w:p>
        </w:tc>
        <w:tc>
          <w:tcPr>
            <w:tcW w:w="1843" w:type="dxa"/>
            <w:shd w:val="clear" w:color="auto" w:fill="auto"/>
            <w:vAlign w:val="bottom"/>
          </w:tcPr>
          <w:p w:rsidR="00E421FD" w:rsidRPr="00960E47" w:rsidRDefault="00E421FD" w:rsidP="00A63AB1">
            <w:pPr>
              <w:pStyle w:val="SingleTxtG"/>
              <w:spacing w:before="40" w:after="40" w:line="220" w:lineRule="exact"/>
              <w:ind w:left="0" w:right="0"/>
              <w:jc w:val="right"/>
              <w:rPr>
                <w:sz w:val="18"/>
                <w:szCs w:val="18"/>
                <w:lang w:val="es-ES"/>
              </w:rPr>
            </w:pPr>
            <w:r w:rsidRPr="00960E47">
              <w:rPr>
                <w:sz w:val="18"/>
                <w:szCs w:val="18"/>
                <w:lang w:val="es-ES"/>
              </w:rPr>
              <w:t>95,4</w:t>
            </w:r>
          </w:p>
        </w:tc>
      </w:tr>
      <w:tr w:rsidR="00E421FD" w:rsidRPr="00960E47" w:rsidTr="00A63AB1">
        <w:tc>
          <w:tcPr>
            <w:tcW w:w="1842" w:type="dxa"/>
            <w:shd w:val="clear" w:color="auto" w:fill="auto"/>
            <w:vAlign w:val="bottom"/>
          </w:tcPr>
          <w:p w:rsidR="00E421FD" w:rsidRPr="00960E47" w:rsidRDefault="00E421FD" w:rsidP="00A63AB1">
            <w:pPr>
              <w:pStyle w:val="SingleTxtG"/>
              <w:spacing w:before="40" w:after="40" w:line="220" w:lineRule="exact"/>
              <w:ind w:left="0" w:right="0"/>
              <w:jc w:val="left"/>
              <w:rPr>
                <w:sz w:val="18"/>
                <w:szCs w:val="18"/>
                <w:lang w:val="es-ES"/>
              </w:rPr>
            </w:pPr>
            <w:r w:rsidRPr="00960E47">
              <w:rPr>
                <w:sz w:val="18"/>
                <w:szCs w:val="18"/>
                <w:lang w:val="es-ES"/>
              </w:rPr>
              <w:t>Berea</w:t>
            </w:r>
          </w:p>
        </w:tc>
        <w:tc>
          <w:tcPr>
            <w:tcW w:w="1843" w:type="dxa"/>
            <w:shd w:val="clear" w:color="auto" w:fill="auto"/>
            <w:vAlign w:val="bottom"/>
          </w:tcPr>
          <w:p w:rsidR="00E421FD" w:rsidRPr="00960E47" w:rsidRDefault="00E421FD" w:rsidP="00A63AB1">
            <w:pPr>
              <w:pStyle w:val="SingleTxtG"/>
              <w:spacing w:before="40" w:after="40" w:line="220" w:lineRule="exact"/>
              <w:ind w:left="0" w:right="0"/>
              <w:jc w:val="right"/>
              <w:rPr>
                <w:sz w:val="18"/>
                <w:szCs w:val="18"/>
                <w:lang w:val="es-ES"/>
              </w:rPr>
            </w:pPr>
            <w:r w:rsidRPr="00960E47">
              <w:rPr>
                <w:sz w:val="18"/>
                <w:szCs w:val="18"/>
                <w:lang w:val="es-ES"/>
              </w:rPr>
              <w:t>95,2</w:t>
            </w:r>
          </w:p>
        </w:tc>
        <w:tc>
          <w:tcPr>
            <w:tcW w:w="1843" w:type="dxa"/>
            <w:shd w:val="clear" w:color="auto" w:fill="auto"/>
            <w:vAlign w:val="bottom"/>
          </w:tcPr>
          <w:p w:rsidR="00E421FD" w:rsidRPr="00960E47" w:rsidRDefault="00E421FD" w:rsidP="00A63AB1">
            <w:pPr>
              <w:pStyle w:val="SingleTxtG"/>
              <w:spacing w:before="40" w:after="40" w:line="220" w:lineRule="exact"/>
              <w:ind w:left="0" w:right="0"/>
              <w:jc w:val="right"/>
              <w:rPr>
                <w:sz w:val="18"/>
                <w:szCs w:val="18"/>
                <w:lang w:val="es-ES"/>
              </w:rPr>
            </w:pPr>
            <w:r w:rsidRPr="00960E47">
              <w:rPr>
                <w:sz w:val="18"/>
                <w:szCs w:val="18"/>
                <w:lang w:val="es-ES"/>
              </w:rPr>
              <w:t>95,4</w:t>
            </w:r>
          </w:p>
        </w:tc>
        <w:tc>
          <w:tcPr>
            <w:tcW w:w="1843" w:type="dxa"/>
            <w:shd w:val="clear" w:color="auto" w:fill="auto"/>
            <w:vAlign w:val="bottom"/>
          </w:tcPr>
          <w:p w:rsidR="00E421FD" w:rsidRPr="00960E47" w:rsidRDefault="00E421FD" w:rsidP="00A63AB1">
            <w:pPr>
              <w:pStyle w:val="SingleTxtG"/>
              <w:spacing w:before="40" w:after="40" w:line="220" w:lineRule="exact"/>
              <w:ind w:left="0" w:right="0"/>
              <w:jc w:val="right"/>
              <w:rPr>
                <w:sz w:val="18"/>
                <w:szCs w:val="18"/>
                <w:lang w:val="es-ES"/>
              </w:rPr>
            </w:pPr>
            <w:r w:rsidRPr="00960E47">
              <w:rPr>
                <w:sz w:val="18"/>
                <w:szCs w:val="18"/>
                <w:lang w:val="es-ES"/>
              </w:rPr>
              <w:t>95,1</w:t>
            </w:r>
          </w:p>
        </w:tc>
      </w:tr>
      <w:tr w:rsidR="00E421FD" w:rsidRPr="00960E47" w:rsidTr="00A63AB1">
        <w:tc>
          <w:tcPr>
            <w:tcW w:w="1842" w:type="dxa"/>
            <w:shd w:val="clear" w:color="auto" w:fill="auto"/>
            <w:vAlign w:val="bottom"/>
          </w:tcPr>
          <w:p w:rsidR="00E421FD" w:rsidRPr="00960E47" w:rsidRDefault="00E421FD" w:rsidP="00A63AB1">
            <w:pPr>
              <w:pStyle w:val="SingleTxtG"/>
              <w:spacing w:before="40" w:after="40" w:line="220" w:lineRule="exact"/>
              <w:ind w:left="0" w:right="0"/>
              <w:jc w:val="left"/>
              <w:rPr>
                <w:sz w:val="18"/>
                <w:szCs w:val="18"/>
                <w:lang w:val="es-ES"/>
              </w:rPr>
            </w:pPr>
            <w:r w:rsidRPr="00960E47">
              <w:rPr>
                <w:sz w:val="18"/>
                <w:szCs w:val="18"/>
                <w:lang w:val="es-ES"/>
              </w:rPr>
              <w:t>Maseru</w:t>
            </w:r>
          </w:p>
        </w:tc>
        <w:tc>
          <w:tcPr>
            <w:tcW w:w="1843" w:type="dxa"/>
            <w:shd w:val="clear" w:color="auto" w:fill="auto"/>
            <w:vAlign w:val="bottom"/>
          </w:tcPr>
          <w:p w:rsidR="00E421FD" w:rsidRPr="00960E47" w:rsidRDefault="00E421FD" w:rsidP="00A63AB1">
            <w:pPr>
              <w:pStyle w:val="SingleTxtG"/>
              <w:spacing w:before="40" w:after="40" w:line="220" w:lineRule="exact"/>
              <w:ind w:left="0" w:right="0"/>
              <w:jc w:val="right"/>
              <w:rPr>
                <w:sz w:val="18"/>
                <w:szCs w:val="18"/>
                <w:lang w:val="es-ES"/>
              </w:rPr>
            </w:pPr>
            <w:r w:rsidRPr="00960E47">
              <w:rPr>
                <w:sz w:val="18"/>
                <w:szCs w:val="18"/>
                <w:lang w:val="es-ES"/>
              </w:rPr>
              <w:t>93,3</w:t>
            </w:r>
          </w:p>
        </w:tc>
        <w:tc>
          <w:tcPr>
            <w:tcW w:w="1843" w:type="dxa"/>
            <w:shd w:val="clear" w:color="auto" w:fill="auto"/>
            <w:vAlign w:val="bottom"/>
          </w:tcPr>
          <w:p w:rsidR="00E421FD" w:rsidRPr="00960E47" w:rsidRDefault="00E421FD" w:rsidP="00A63AB1">
            <w:pPr>
              <w:pStyle w:val="SingleTxtG"/>
              <w:spacing w:before="40" w:after="40" w:line="220" w:lineRule="exact"/>
              <w:ind w:left="0" w:right="0"/>
              <w:jc w:val="right"/>
              <w:rPr>
                <w:sz w:val="18"/>
                <w:szCs w:val="18"/>
                <w:lang w:val="es-ES"/>
              </w:rPr>
            </w:pPr>
            <w:r w:rsidRPr="00960E47">
              <w:rPr>
                <w:sz w:val="18"/>
                <w:szCs w:val="18"/>
                <w:lang w:val="es-ES"/>
              </w:rPr>
              <w:t>93,8</w:t>
            </w:r>
          </w:p>
        </w:tc>
        <w:tc>
          <w:tcPr>
            <w:tcW w:w="1843" w:type="dxa"/>
            <w:shd w:val="clear" w:color="auto" w:fill="auto"/>
            <w:vAlign w:val="bottom"/>
          </w:tcPr>
          <w:p w:rsidR="00E421FD" w:rsidRPr="00960E47" w:rsidRDefault="00E421FD" w:rsidP="00A63AB1">
            <w:pPr>
              <w:pStyle w:val="SingleTxtG"/>
              <w:spacing w:before="40" w:after="40" w:line="220" w:lineRule="exact"/>
              <w:ind w:left="0" w:right="0"/>
              <w:jc w:val="right"/>
              <w:rPr>
                <w:sz w:val="18"/>
                <w:szCs w:val="18"/>
                <w:lang w:val="es-ES"/>
              </w:rPr>
            </w:pPr>
            <w:r w:rsidRPr="00960E47">
              <w:rPr>
                <w:sz w:val="18"/>
                <w:szCs w:val="18"/>
                <w:lang w:val="es-ES"/>
              </w:rPr>
              <w:t>91,3</w:t>
            </w:r>
          </w:p>
        </w:tc>
      </w:tr>
      <w:tr w:rsidR="00E421FD" w:rsidRPr="00960E47" w:rsidTr="00A63AB1">
        <w:tc>
          <w:tcPr>
            <w:tcW w:w="1842" w:type="dxa"/>
            <w:shd w:val="clear" w:color="auto" w:fill="auto"/>
            <w:vAlign w:val="bottom"/>
          </w:tcPr>
          <w:p w:rsidR="00E421FD" w:rsidRPr="00960E47" w:rsidRDefault="00E421FD" w:rsidP="00A63AB1">
            <w:pPr>
              <w:pStyle w:val="SingleTxtG"/>
              <w:spacing w:before="40" w:after="40" w:line="220" w:lineRule="exact"/>
              <w:ind w:left="0" w:right="0"/>
              <w:jc w:val="left"/>
              <w:rPr>
                <w:sz w:val="18"/>
                <w:szCs w:val="18"/>
                <w:lang w:val="es-ES"/>
              </w:rPr>
            </w:pPr>
            <w:r w:rsidRPr="00960E47">
              <w:rPr>
                <w:sz w:val="18"/>
                <w:szCs w:val="18"/>
                <w:lang w:val="es-ES"/>
              </w:rPr>
              <w:t>Mafeteng</w:t>
            </w:r>
          </w:p>
        </w:tc>
        <w:tc>
          <w:tcPr>
            <w:tcW w:w="1843" w:type="dxa"/>
            <w:shd w:val="clear" w:color="auto" w:fill="auto"/>
            <w:vAlign w:val="bottom"/>
          </w:tcPr>
          <w:p w:rsidR="00E421FD" w:rsidRPr="00960E47" w:rsidRDefault="00E421FD" w:rsidP="00A63AB1">
            <w:pPr>
              <w:pStyle w:val="SingleTxtG"/>
              <w:spacing w:before="40" w:after="40" w:line="220" w:lineRule="exact"/>
              <w:ind w:left="0" w:right="0"/>
              <w:jc w:val="right"/>
              <w:rPr>
                <w:sz w:val="18"/>
                <w:szCs w:val="18"/>
                <w:lang w:val="es-ES"/>
              </w:rPr>
            </w:pPr>
            <w:r w:rsidRPr="00960E47">
              <w:rPr>
                <w:sz w:val="18"/>
                <w:szCs w:val="18"/>
                <w:lang w:val="es-ES"/>
              </w:rPr>
              <w:t>96,6</w:t>
            </w:r>
          </w:p>
        </w:tc>
        <w:tc>
          <w:tcPr>
            <w:tcW w:w="1843" w:type="dxa"/>
            <w:shd w:val="clear" w:color="auto" w:fill="auto"/>
            <w:vAlign w:val="bottom"/>
          </w:tcPr>
          <w:p w:rsidR="00E421FD" w:rsidRPr="00960E47" w:rsidRDefault="00E421FD" w:rsidP="00A63AB1">
            <w:pPr>
              <w:pStyle w:val="SingleTxtG"/>
              <w:spacing w:before="40" w:after="40" w:line="220" w:lineRule="exact"/>
              <w:ind w:left="0" w:right="0"/>
              <w:jc w:val="right"/>
              <w:rPr>
                <w:sz w:val="18"/>
                <w:szCs w:val="18"/>
                <w:lang w:val="es-ES"/>
              </w:rPr>
            </w:pPr>
            <w:r w:rsidRPr="00960E47">
              <w:rPr>
                <w:sz w:val="18"/>
                <w:szCs w:val="18"/>
                <w:lang w:val="es-ES"/>
              </w:rPr>
              <w:t>97,2</w:t>
            </w:r>
          </w:p>
        </w:tc>
        <w:tc>
          <w:tcPr>
            <w:tcW w:w="1843" w:type="dxa"/>
            <w:shd w:val="clear" w:color="auto" w:fill="auto"/>
            <w:vAlign w:val="bottom"/>
          </w:tcPr>
          <w:p w:rsidR="00E421FD" w:rsidRPr="00960E47" w:rsidRDefault="00E421FD" w:rsidP="00A63AB1">
            <w:pPr>
              <w:pStyle w:val="SingleTxtG"/>
              <w:spacing w:before="40" w:after="40" w:line="220" w:lineRule="exact"/>
              <w:ind w:left="0" w:right="0"/>
              <w:jc w:val="right"/>
              <w:rPr>
                <w:sz w:val="18"/>
                <w:szCs w:val="18"/>
                <w:lang w:val="es-ES"/>
              </w:rPr>
            </w:pPr>
            <w:r w:rsidRPr="00960E47">
              <w:rPr>
                <w:sz w:val="18"/>
                <w:szCs w:val="18"/>
                <w:lang w:val="es-ES"/>
              </w:rPr>
              <w:t>98,8</w:t>
            </w:r>
          </w:p>
        </w:tc>
      </w:tr>
      <w:tr w:rsidR="00E421FD" w:rsidRPr="00960E47" w:rsidTr="00A63AB1">
        <w:tc>
          <w:tcPr>
            <w:tcW w:w="1842" w:type="dxa"/>
            <w:shd w:val="clear" w:color="auto" w:fill="auto"/>
            <w:vAlign w:val="bottom"/>
          </w:tcPr>
          <w:p w:rsidR="00E421FD" w:rsidRPr="00960E47" w:rsidRDefault="00E421FD" w:rsidP="00A63AB1">
            <w:pPr>
              <w:pStyle w:val="SingleTxtG"/>
              <w:spacing w:before="40" w:after="40" w:line="220" w:lineRule="exact"/>
              <w:ind w:left="0" w:right="0"/>
              <w:jc w:val="left"/>
              <w:rPr>
                <w:sz w:val="18"/>
                <w:szCs w:val="18"/>
                <w:lang w:val="es-ES"/>
              </w:rPr>
            </w:pPr>
            <w:r w:rsidRPr="00960E47">
              <w:rPr>
                <w:sz w:val="18"/>
                <w:szCs w:val="18"/>
                <w:lang w:val="es-ES"/>
              </w:rPr>
              <w:t>Mohale</w:t>
            </w:r>
            <w:r w:rsidR="00866E12" w:rsidRPr="00960E47">
              <w:rPr>
                <w:sz w:val="18"/>
                <w:szCs w:val="18"/>
                <w:lang w:val="es-ES"/>
              </w:rPr>
              <w:t>'</w:t>
            </w:r>
            <w:r w:rsidRPr="00960E47">
              <w:rPr>
                <w:sz w:val="18"/>
                <w:szCs w:val="18"/>
                <w:lang w:val="es-ES"/>
              </w:rPr>
              <w:t>s-Hoek</w:t>
            </w:r>
          </w:p>
        </w:tc>
        <w:tc>
          <w:tcPr>
            <w:tcW w:w="1843" w:type="dxa"/>
            <w:shd w:val="clear" w:color="auto" w:fill="auto"/>
            <w:vAlign w:val="bottom"/>
          </w:tcPr>
          <w:p w:rsidR="00E421FD" w:rsidRPr="00960E47" w:rsidRDefault="00E421FD" w:rsidP="00A63AB1">
            <w:pPr>
              <w:pStyle w:val="SingleTxtG"/>
              <w:spacing w:before="40" w:after="40" w:line="220" w:lineRule="exact"/>
              <w:ind w:left="0" w:right="0"/>
              <w:jc w:val="right"/>
              <w:rPr>
                <w:sz w:val="18"/>
                <w:szCs w:val="18"/>
                <w:lang w:val="es-ES"/>
              </w:rPr>
            </w:pPr>
            <w:r w:rsidRPr="00960E47">
              <w:rPr>
                <w:sz w:val="18"/>
                <w:szCs w:val="18"/>
                <w:lang w:val="es-ES"/>
              </w:rPr>
              <w:t>95,6</w:t>
            </w:r>
          </w:p>
        </w:tc>
        <w:tc>
          <w:tcPr>
            <w:tcW w:w="1843" w:type="dxa"/>
            <w:shd w:val="clear" w:color="auto" w:fill="auto"/>
            <w:vAlign w:val="bottom"/>
          </w:tcPr>
          <w:p w:rsidR="00E421FD" w:rsidRPr="00960E47" w:rsidRDefault="00E421FD" w:rsidP="00A63AB1">
            <w:pPr>
              <w:pStyle w:val="SingleTxtG"/>
              <w:spacing w:before="40" w:after="40" w:line="220" w:lineRule="exact"/>
              <w:ind w:left="0" w:right="0"/>
              <w:jc w:val="right"/>
              <w:rPr>
                <w:sz w:val="18"/>
                <w:szCs w:val="18"/>
                <w:lang w:val="es-ES"/>
              </w:rPr>
            </w:pPr>
            <w:r w:rsidRPr="00960E47">
              <w:rPr>
                <w:sz w:val="18"/>
                <w:szCs w:val="18"/>
                <w:lang w:val="es-ES"/>
              </w:rPr>
              <w:t>95,0</w:t>
            </w:r>
          </w:p>
        </w:tc>
        <w:tc>
          <w:tcPr>
            <w:tcW w:w="1843" w:type="dxa"/>
            <w:shd w:val="clear" w:color="auto" w:fill="auto"/>
            <w:vAlign w:val="bottom"/>
          </w:tcPr>
          <w:p w:rsidR="00E421FD" w:rsidRPr="00960E47" w:rsidRDefault="00E421FD" w:rsidP="00A63AB1">
            <w:pPr>
              <w:pStyle w:val="SingleTxtG"/>
              <w:spacing w:before="40" w:after="40" w:line="220" w:lineRule="exact"/>
              <w:ind w:left="0" w:right="0"/>
              <w:jc w:val="right"/>
              <w:rPr>
                <w:sz w:val="18"/>
                <w:szCs w:val="18"/>
                <w:lang w:val="es-ES"/>
              </w:rPr>
            </w:pPr>
            <w:r w:rsidRPr="00960E47">
              <w:rPr>
                <w:sz w:val="18"/>
                <w:szCs w:val="18"/>
                <w:lang w:val="es-ES"/>
              </w:rPr>
              <w:t>96,3</w:t>
            </w:r>
          </w:p>
        </w:tc>
      </w:tr>
      <w:tr w:rsidR="00E421FD" w:rsidRPr="00960E47" w:rsidTr="00A63AB1">
        <w:tc>
          <w:tcPr>
            <w:tcW w:w="1842" w:type="dxa"/>
            <w:shd w:val="clear" w:color="auto" w:fill="auto"/>
            <w:vAlign w:val="bottom"/>
          </w:tcPr>
          <w:p w:rsidR="00E421FD" w:rsidRPr="00960E47" w:rsidRDefault="00E421FD" w:rsidP="00A63AB1">
            <w:pPr>
              <w:pStyle w:val="SingleTxtG"/>
              <w:spacing w:before="40" w:after="40" w:line="220" w:lineRule="exact"/>
              <w:ind w:left="0" w:right="0"/>
              <w:jc w:val="left"/>
              <w:rPr>
                <w:sz w:val="18"/>
                <w:szCs w:val="18"/>
                <w:lang w:val="es-ES"/>
              </w:rPr>
            </w:pPr>
            <w:r w:rsidRPr="00960E47">
              <w:rPr>
                <w:sz w:val="18"/>
                <w:szCs w:val="18"/>
                <w:lang w:val="es-ES"/>
              </w:rPr>
              <w:t>Quthing</w:t>
            </w:r>
          </w:p>
        </w:tc>
        <w:tc>
          <w:tcPr>
            <w:tcW w:w="1843" w:type="dxa"/>
            <w:shd w:val="clear" w:color="auto" w:fill="auto"/>
            <w:vAlign w:val="bottom"/>
          </w:tcPr>
          <w:p w:rsidR="00E421FD" w:rsidRPr="00960E47" w:rsidRDefault="00E421FD" w:rsidP="00A63AB1">
            <w:pPr>
              <w:pStyle w:val="SingleTxtG"/>
              <w:spacing w:before="40" w:after="40" w:line="220" w:lineRule="exact"/>
              <w:ind w:left="0" w:right="0"/>
              <w:jc w:val="right"/>
              <w:rPr>
                <w:sz w:val="18"/>
                <w:szCs w:val="18"/>
                <w:lang w:val="es-ES"/>
              </w:rPr>
            </w:pPr>
            <w:r w:rsidRPr="00960E47">
              <w:rPr>
                <w:sz w:val="18"/>
                <w:szCs w:val="18"/>
                <w:lang w:val="es-ES"/>
              </w:rPr>
              <w:t>95,0</w:t>
            </w:r>
          </w:p>
        </w:tc>
        <w:tc>
          <w:tcPr>
            <w:tcW w:w="1843" w:type="dxa"/>
            <w:shd w:val="clear" w:color="auto" w:fill="auto"/>
            <w:vAlign w:val="bottom"/>
          </w:tcPr>
          <w:p w:rsidR="00E421FD" w:rsidRPr="00960E47" w:rsidRDefault="00E421FD" w:rsidP="00A63AB1">
            <w:pPr>
              <w:pStyle w:val="SingleTxtG"/>
              <w:spacing w:before="40" w:after="40" w:line="220" w:lineRule="exact"/>
              <w:ind w:left="0" w:right="0"/>
              <w:jc w:val="right"/>
              <w:rPr>
                <w:sz w:val="18"/>
                <w:szCs w:val="18"/>
                <w:lang w:val="es-ES"/>
              </w:rPr>
            </w:pPr>
            <w:r w:rsidRPr="00960E47">
              <w:rPr>
                <w:sz w:val="18"/>
                <w:szCs w:val="18"/>
                <w:lang w:val="es-ES"/>
              </w:rPr>
              <w:t>94,7</w:t>
            </w:r>
          </w:p>
        </w:tc>
        <w:tc>
          <w:tcPr>
            <w:tcW w:w="1843" w:type="dxa"/>
            <w:shd w:val="clear" w:color="auto" w:fill="auto"/>
            <w:vAlign w:val="bottom"/>
          </w:tcPr>
          <w:p w:rsidR="00E421FD" w:rsidRPr="00960E47" w:rsidRDefault="00E421FD" w:rsidP="00A63AB1">
            <w:pPr>
              <w:pStyle w:val="SingleTxtG"/>
              <w:spacing w:before="40" w:after="40" w:line="220" w:lineRule="exact"/>
              <w:ind w:left="0" w:right="0"/>
              <w:jc w:val="right"/>
              <w:rPr>
                <w:sz w:val="18"/>
                <w:szCs w:val="18"/>
                <w:lang w:val="es-ES"/>
              </w:rPr>
            </w:pPr>
            <w:r w:rsidRPr="00960E47">
              <w:rPr>
                <w:sz w:val="18"/>
                <w:szCs w:val="18"/>
                <w:lang w:val="es-ES"/>
              </w:rPr>
              <w:t xml:space="preserve">95,2 </w:t>
            </w:r>
          </w:p>
        </w:tc>
      </w:tr>
      <w:tr w:rsidR="00E421FD" w:rsidRPr="00960E47" w:rsidTr="00A63AB1">
        <w:tc>
          <w:tcPr>
            <w:tcW w:w="1842" w:type="dxa"/>
            <w:shd w:val="clear" w:color="auto" w:fill="auto"/>
            <w:vAlign w:val="bottom"/>
          </w:tcPr>
          <w:p w:rsidR="00E421FD" w:rsidRPr="00960E47" w:rsidRDefault="00E421FD" w:rsidP="00A63AB1">
            <w:pPr>
              <w:pStyle w:val="SingleTxtG"/>
              <w:spacing w:before="40" w:after="40" w:line="220" w:lineRule="exact"/>
              <w:ind w:left="0" w:right="0"/>
              <w:jc w:val="left"/>
              <w:rPr>
                <w:sz w:val="18"/>
                <w:szCs w:val="18"/>
                <w:lang w:val="es-ES"/>
              </w:rPr>
            </w:pPr>
            <w:r w:rsidRPr="00960E47">
              <w:rPr>
                <w:sz w:val="18"/>
                <w:szCs w:val="18"/>
                <w:lang w:val="es-ES"/>
              </w:rPr>
              <w:t>Qacha</w:t>
            </w:r>
            <w:r w:rsidR="00866E12" w:rsidRPr="00960E47">
              <w:rPr>
                <w:sz w:val="18"/>
                <w:szCs w:val="18"/>
                <w:lang w:val="es-ES"/>
              </w:rPr>
              <w:t>'</w:t>
            </w:r>
            <w:r w:rsidRPr="00960E47">
              <w:rPr>
                <w:sz w:val="18"/>
                <w:szCs w:val="18"/>
                <w:lang w:val="es-ES"/>
              </w:rPr>
              <w:t>s-Nek</w:t>
            </w:r>
          </w:p>
        </w:tc>
        <w:tc>
          <w:tcPr>
            <w:tcW w:w="1843" w:type="dxa"/>
            <w:shd w:val="clear" w:color="auto" w:fill="auto"/>
            <w:vAlign w:val="bottom"/>
          </w:tcPr>
          <w:p w:rsidR="00E421FD" w:rsidRPr="00960E47" w:rsidRDefault="00E421FD" w:rsidP="00A63AB1">
            <w:pPr>
              <w:pStyle w:val="SingleTxtG"/>
              <w:spacing w:before="40" w:after="40" w:line="220" w:lineRule="exact"/>
              <w:ind w:left="0" w:right="0"/>
              <w:jc w:val="right"/>
              <w:rPr>
                <w:sz w:val="18"/>
                <w:szCs w:val="18"/>
                <w:lang w:val="es-ES"/>
              </w:rPr>
            </w:pPr>
            <w:r w:rsidRPr="00960E47">
              <w:rPr>
                <w:sz w:val="18"/>
                <w:szCs w:val="18"/>
                <w:lang w:val="es-ES"/>
              </w:rPr>
              <w:t>93,4</w:t>
            </w:r>
          </w:p>
        </w:tc>
        <w:tc>
          <w:tcPr>
            <w:tcW w:w="1843" w:type="dxa"/>
            <w:shd w:val="clear" w:color="auto" w:fill="auto"/>
            <w:vAlign w:val="bottom"/>
          </w:tcPr>
          <w:p w:rsidR="00E421FD" w:rsidRPr="00960E47" w:rsidRDefault="00E421FD" w:rsidP="00A63AB1">
            <w:pPr>
              <w:pStyle w:val="SingleTxtG"/>
              <w:spacing w:before="40" w:after="40" w:line="220" w:lineRule="exact"/>
              <w:ind w:left="0" w:right="0"/>
              <w:jc w:val="right"/>
              <w:rPr>
                <w:sz w:val="18"/>
                <w:szCs w:val="18"/>
                <w:lang w:val="es-ES"/>
              </w:rPr>
            </w:pPr>
            <w:r w:rsidRPr="00960E47">
              <w:rPr>
                <w:sz w:val="18"/>
                <w:szCs w:val="18"/>
                <w:lang w:val="es-ES"/>
              </w:rPr>
              <w:t>92,9</w:t>
            </w:r>
          </w:p>
        </w:tc>
        <w:tc>
          <w:tcPr>
            <w:tcW w:w="1843" w:type="dxa"/>
            <w:shd w:val="clear" w:color="auto" w:fill="auto"/>
            <w:vAlign w:val="bottom"/>
          </w:tcPr>
          <w:p w:rsidR="00E421FD" w:rsidRPr="00960E47" w:rsidRDefault="00E421FD" w:rsidP="00A63AB1">
            <w:pPr>
              <w:pStyle w:val="SingleTxtG"/>
              <w:spacing w:before="40" w:after="40" w:line="220" w:lineRule="exact"/>
              <w:ind w:left="0" w:right="0"/>
              <w:jc w:val="right"/>
              <w:rPr>
                <w:sz w:val="18"/>
                <w:szCs w:val="18"/>
                <w:lang w:val="es-ES"/>
              </w:rPr>
            </w:pPr>
            <w:r w:rsidRPr="00960E47">
              <w:rPr>
                <w:sz w:val="18"/>
                <w:szCs w:val="18"/>
                <w:lang w:val="es-ES"/>
              </w:rPr>
              <w:t>92,3</w:t>
            </w:r>
          </w:p>
        </w:tc>
      </w:tr>
      <w:tr w:rsidR="00E421FD" w:rsidRPr="00960E47" w:rsidTr="00A63AB1">
        <w:tc>
          <w:tcPr>
            <w:tcW w:w="1842" w:type="dxa"/>
            <w:shd w:val="clear" w:color="auto" w:fill="auto"/>
            <w:vAlign w:val="bottom"/>
          </w:tcPr>
          <w:p w:rsidR="00E421FD" w:rsidRPr="00960E47" w:rsidRDefault="00E421FD" w:rsidP="00A63AB1">
            <w:pPr>
              <w:pStyle w:val="SingleTxtG"/>
              <w:spacing w:before="40" w:after="40" w:line="220" w:lineRule="exact"/>
              <w:ind w:left="0" w:right="0"/>
              <w:jc w:val="left"/>
              <w:rPr>
                <w:sz w:val="18"/>
                <w:szCs w:val="18"/>
                <w:lang w:val="es-ES"/>
              </w:rPr>
            </w:pPr>
            <w:r w:rsidRPr="00960E47">
              <w:rPr>
                <w:sz w:val="18"/>
                <w:szCs w:val="18"/>
                <w:lang w:val="es-ES"/>
              </w:rPr>
              <w:t>Mokhotlong</w:t>
            </w:r>
          </w:p>
        </w:tc>
        <w:tc>
          <w:tcPr>
            <w:tcW w:w="1843" w:type="dxa"/>
            <w:shd w:val="clear" w:color="auto" w:fill="auto"/>
            <w:vAlign w:val="bottom"/>
          </w:tcPr>
          <w:p w:rsidR="00E421FD" w:rsidRPr="00960E47" w:rsidRDefault="00E421FD" w:rsidP="00A63AB1">
            <w:pPr>
              <w:pStyle w:val="SingleTxtG"/>
              <w:spacing w:before="40" w:after="40" w:line="220" w:lineRule="exact"/>
              <w:ind w:left="0" w:right="0"/>
              <w:jc w:val="right"/>
              <w:rPr>
                <w:sz w:val="18"/>
                <w:szCs w:val="18"/>
                <w:lang w:val="es-ES"/>
              </w:rPr>
            </w:pPr>
            <w:r w:rsidRPr="00960E47">
              <w:rPr>
                <w:sz w:val="18"/>
                <w:szCs w:val="18"/>
                <w:lang w:val="es-ES"/>
              </w:rPr>
              <w:t>98,8</w:t>
            </w:r>
          </w:p>
        </w:tc>
        <w:tc>
          <w:tcPr>
            <w:tcW w:w="1843" w:type="dxa"/>
            <w:shd w:val="clear" w:color="auto" w:fill="auto"/>
            <w:vAlign w:val="bottom"/>
          </w:tcPr>
          <w:p w:rsidR="00E421FD" w:rsidRPr="00960E47" w:rsidRDefault="00E421FD" w:rsidP="00A63AB1">
            <w:pPr>
              <w:pStyle w:val="SingleTxtG"/>
              <w:spacing w:before="40" w:after="40" w:line="220" w:lineRule="exact"/>
              <w:ind w:left="0" w:right="0"/>
              <w:jc w:val="right"/>
              <w:rPr>
                <w:sz w:val="18"/>
                <w:szCs w:val="18"/>
                <w:lang w:val="es-ES"/>
              </w:rPr>
            </w:pPr>
            <w:r w:rsidRPr="00960E47">
              <w:rPr>
                <w:sz w:val="18"/>
                <w:szCs w:val="18"/>
                <w:lang w:val="es-ES"/>
              </w:rPr>
              <w:t>97,4</w:t>
            </w:r>
          </w:p>
        </w:tc>
        <w:tc>
          <w:tcPr>
            <w:tcW w:w="1843" w:type="dxa"/>
            <w:shd w:val="clear" w:color="auto" w:fill="auto"/>
            <w:vAlign w:val="bottom"/>
          </w:tcPr>
          <w:p w:rsidR="00E421FD" w:rsidRPr="00960E47" w:rsidRDefault="00E421FD" w:rsidP="00A63AB1">
            <w:pPr>
              <w:pStyle w:val="SingleTxtG"/>
              <w:spacing w:before="40" w:after="40" w:line="220" w:lineRule="exact"/>
              <w:ind w:left="0" w:right="0"/>
              <w:jc w:val="right"/>
              <w:rPr>
                <w:sz w:val="18"/>
                <w:szCs w:val="18"/>
                <w:lang w:val="es-ES"/>
              </w:rPr>
            </w:pPr>
            <w:r w:rsidRPr="00960E47">
              <w:rPr>
                <w:sz w:val="18"/>
                <w:szCs w:val="18"/>
                <w:lang w:val="es-ES"/>
              </w:rPr>
              <w:t>96,9</w:t>
            </w:r>
          </w:p>
        </w:tc>
      </w:tr>
      <w:tr w:rsidR="00E421FD" w:rsidRPr="00960E47" w:rsidTr="00A63AB1">
        <w:tc>
          <w:tcPr>
            <w:tcW w:w="1842" w:type="dxa"/>
            <w:tcBorders>
              <w:bottom w:val="single" w:sz="4" w:space="0" w:color="000000"/>
            </w:tcBorders>
            <w:shd w:val="clear" w:color="auto" w:fill="auto"/>
            <w:vAlign w:val="bottom"/>
          </w:tcPr>
          <w:p w:rsidR="00E421FD" w:rsidRPr="00960E47" w:rsidRDefault="00E421FD" w:rsidP="00A63AB1">
            <w:pPr>
              <w:pStyle w:val="SingleTxtG"/>
              <w:spacing w:before="40" w:after="40" w:line="220" w:lineRule="exact"/>
              <w:ind w:left="0" w:right="0"/>
              <w:jc w:val="left"/>
              <w:rPr>
                <w:sz w:val="18"/>
                <w:szCs w:val="18"/>
                <w:lang w:val="es-ES"/>
              </w:rPr>
            </w:pPr>
            <w:r w:rsidRPr="00960E47">
              <w:rPr>
                <w:sz w:val="18"/>
                <w:szCs w:val="18"/>
                <w:lang w:val="es-ES"/>
              </w:rPr>
              <w:t>Thaba-Tseka</w:t>
            </w:r>
          </w:p>
        </w:tc>
        <w:tc>
          <w:tcPr>
            <w:tcW w:w="1843" w:type="dxa"/>
            <w:tcBorders>
              <w:bottom w:val="single" w:sz="4" w:space="0" w:color="000000"/>
            </w:tcBorders>
            <w:shd w:val="clear" w:color="auto" w:fill="auto"/>
            <w:vAlign w:val="bottom"/>
          </w:tcPr>
          <w:p w:rsidR="00E421FD" w:rsidRPr="00960E47" w:rsidRDefault="00E421FD" w:rsidP="00A63AB1">
            <w:pPr>
              <w:pStyle w:val="SingleTxtG"/>
              <w:spacing w:before="40" w:after="40" w:line="220" w:lineRule="exact"/>
              <w:ind w:left="0" w:right="0"/>
              <w:jc w:val="right"/>
              <w:rPr>
                <w:sz w:val="18"/>
                <w:szCs w:val="18"/>
                <w:lang w:val="es-ES"/>
              </w:rPr>
            </w:pPr>
            <w:r w:rsidRPr="00960E47">
              <w:rPr>
                <w:sz w:val="18"/>
                <w:szCs w:val="18"/>
                <w:lang w:val="es-ES"/>
              </w:rPr>
              <w:t>98,9</w:t>
            </w:r>
          </w:p>
        </w:tc>
        <w:tc>
          <w:tcPr>
            <w:tcW w:w="1843" w:type="dxa"/>
            <w:tcBorders>
              <w:bottom w:val="single" w:sz="4" w:space="0" w:color="000000"/>
            </w:tcBorders>
            <w:shd w:val="clear" w:color="auto" w:fill="auto"/>
            <w:vAlign w:val="bottom"/>
          </w:tcPr>
          <w:p w:rsidR="00E421FD" w:rsidRPr="00960E47" w:rsidRDefault="00E421FD" w:rsidP="00A63AB1">
            <w:pPr>
              <w:pStyle w:val="SingleTxtG"/>
              <w:spacing w:before="40" w:after="40" w:line="220" w:lineRule="exact"/>
              <w:ind w:left="0" w:right="0"/>
              <w:jc w:val="right"/>
              <w:rPr>
                <w:sz w:val="18"/>
                <w:szCs w:val="18"/>
                <w:lang w:val="es-ES"/>
              </w:rPr>
            </w:pPr>
            <w:r w:rsidRPr="00960E47">
              <w:rPr>
                <w:sz w:val="18"/>
                <w:szCs w:val="18"/>
                <w:lang w:val="es-ES"/>
              </w:rPr>
              <w:t>98,9</w:t>
            </w:r>
          </w:p>
        </w:tc>
        <w:tc>
          <w:tcPr>
            <w:tcW w:w="1843" w:type="dxa"/>
            <w:tcBorders>
              <w:bottom w:val="single" w:sz="4" w:space="0" w:color="000000"/>
            </w:tcBorders>
            <w:shd w:val="clear" w:color="auto" w:fill="auto"/>
            <w:vAlign w:val="bottom"/>
          </w:tcPr>
          <w:p w:rsidR="00E421FD" w:rsidRPr="00960E47" w:rsidRDefault="00E421FD" w:rsidP="00A63AB1">
            <w:pPr>
              <w:pStyle w:val="SingleTxtG"/>
              <w:spacing w:before="40" w:after="40" w:line="220" w:lineRule="exact"/>
              <w:ind w:left="0" w:right="0"/>
              <w:jc w:val="right"/>
              <w:rPr>
                <w:sz w:val="18"/>
                <w:szCs w:val="18"/>
                <w:lang w:val="es-ES"/>
              </w:rPr>
            </w:pPr>
            <w:r w:rsidRPr="00960E47">
              <w:rPr>
                <w:sz w:val="18"/>
                <w:szCs w:val="18"/>
                <w:lang w:val="es-ES"/>
              </w:rPr>
              <w:t>97,0</w:t>
            </w:r>
          </w:p>
        </w:tc>
      </w:tr>
      <w:tr w:rsidR="00E421FD" w:rsidRPr="00960E47" w:rsidTr="00A63AB1">
        <w:tc>
          <w:tcPr>
            <w:tcW w:w="1842" w:type="dxa"/>
            <w:tcBorders>
              <w:top w:val="single" w:sz="4" w:space="0" w:color="000000"/>
              <w:bottom w:val="single" w:sz="12" w:space="0" w:color="auto"/>
            </w:tcBorders>
            <w:shd w:val="clear" w:color="auto" w:fill="auto"/>
            <w:vAlign w:val="bottom"/>
          </w:tcPr>
          <w:p w:rsidR="00E421FD" w:rsidRPr="00960E47" w:rsidRDefault="00E421FD" w:rsidP="0060364D">
            <w:pPr>
              <w:pStyle w:val="SingleTxtG"/>
              <w:spacing w:before="80" w:after="80" w:line="220" w:lineRule="exact"/>
              <w:ind w:left="284" w:right="0"/>
              <w:jc w:val="left"/>
              <w:rPr>
                <w:b/>
                <w:sz w:val="18"/>
                <w:szCs w:val="18"/>
                <w:lang w:val="es-ES"/>
              </w:rPr>
            </w:pPr>
            <w:r w:rsidRPr="00960E47">
              <w:rPr>
                <w:b/>
                <w:sz w:val="18"/>
                <w:szCs w:val="18"/>
                <w:lang w:val="es-ES"/>
              </w:rPr>
              <w:t>Total</w:t>
            </w:r>
          </w:p>
        </w:tc>
        <w:tc>
          <w:tcPr>
            <w:tcW w:w="1843" w:type="dxa"/>
            <w:tcBorders>
              <w:top w:val="single" w:sz="4" w:space="0" w:color="000000"/>
              <w:bottom w:val="single" w:sz="12" w:space="0" w:color="auto"/>
            </w:tcBorders>
            <w:shd w:val="clear" w:color="auto" w:fill="auto"/>
            <w:vAlign w:val="bottom"/>
          </w:tcPr>
          <w:p w:rsidR="00E421FD" w:rsidRPr="00960E47" w:rsidRDefault="00E421FD" w:rsidP="0060364D">
            <w:pPr>
              <w:pStyle w:val="SingleTxtG"/>
              <w:spacing w:before="80" w:after="80" w:line="220" w:lineRule="exact"/>
              <w:ind w:left="0" w:right="0"/>
              <w:jc w:val="right"/>
              <w:rPr>
                <w:b/>
                <w:sz w:val="18"/>
                <w:szCs w:val="18"/>
                <w:lang w:val="es-ES"/>
              </w:rPr>
            </w:pPr>
            <w:r w:rsidRPr="00960E47">
              <w:rPr>
                <w:b/>
                <w:sz w:val="18"/>
                <w:szCs w:val="18"/>
                <w:lang w:val="es-ES"/>
              </w:rPr>
              <w:t>95,6</w:t>
            </w:r>
          </w:p>
        </w:tc>
        <w:tc>
          <w:tcPr>
            <w:tcW w:w="1843" w:type="dxa"/>
            <w:tcBorders>
              <w:top w:val="single" w:sz="4" w:space="0" w:color="000000"/>
              <w:bottom w:val="single" w:sz="12" w:space="0" w:color="auto"/>
            </w:tcBorders>
            <w:shd w:val="clear" w:color="auto" w:fill="auto"/>
            <w:vAlign w:val="bottom"/>
          </w:tcPr>
          <w:p w:rsidR="00E421FD" w:rsidRPr="00960E47" w:rsidRDefault="00E421FD" w:rsidP="0060364D">
            <w:pPr>
              <w:pStyle w:val="SingleTxtG"/>
              <w:spacing w:before="80" w:after="80" w:line="220" w:lineRule="exact"/>
              <w:ind w:left="0" w:right="0"/>
              <w:jc w:val="right"/>
              <w:rPr>
                <w:b/>
                <w:sz w:val="18"/>
                <w:szCs w:val="18"/>
                <w:lang w:val="es-ES"/>
              </w:rPr>
            </w:pPr>
            <w:r w:rsidRPr="00960E47">
              <w:rPr>
                <w:b/>
                <w:sz w:val="18"/>
                <w:szCs w:val="18"/>
                <w:lang w:val="es-ES"/>
              </w:rPr>
              <w:t>95,6</w:t>
            </w:r>
          </w:p>
        </w:tc>
        <w:tc>
          <w:tcPr>
            <w:tcW w:w="1843" w:type="dxa"/>
            <w:tcBorders>
              <w:top w:val="single" w:sz="4" w:space="0" w:color="000000"/>
              <w:bottom w:val="single" w:sz="12" w:space="0" w:color="auto"/>
            </w:tcBorders>
            <w:shd w:val="clear" w:color="auto" w:fill="auto"/>
            <w:vAlign w:val="bottom"/>
          </w:tcPr>
          <w:p w:rsidR="00E421FD" w:rsidRPr="00960E47" w:rsidRDefault="00E421FD" w:rsidP="0060364D">
            <w:pPr>
              <w:pStyle w:val="SingleTxtG"/>
              <w:spacing w:before="80" w:after="80" w:line="220" w:lineRule="exact"/>
              <w:ind w:left="0" w:right="0"/>
              <w:jc w:val="right"/>
              <w:rPr>
                <w:b/>
                <w:sz w:val="18"/>
                <w:szCs w:val="18"/>
                <w:lang w:val="es-ES"/>
              </w:rPr>
            </w:pPr>
            <w:r w:rsidRPr="00960E47">
              <w:rPr>
                <w:b/>
                <w:sz w:val="18"/>
                <w:szCs w:val="18"/>
                <w:lang w:val="es-ES"/>
              </w:rPr>
              <w:t>95,0</w:t>
            </w:r>
          </w:p>
        </w:tc>
      </w:tr>
    </w:tbl>
    <w:p w:rsidR="00E421FD" w:rsidRPr="00960E47" w:rsidRDefault="00E421FD" w:rsidP="00BD2CEB">
      <w:pPr>
        <w:spacing w:before="120" w:after="240"/>
        <w:ind w:left="1134" w:right="1134" w:firstLine="170"/>
        <w:rPr>
          <w:sz w:val="18"/>
          <w:lang w:val="es-ES"/>
        </w:rPr>
      </w:pPr>
      <w:r w:rsidRPr="00960E47">
        <w:rPr>
          <w:i/>
          <w:sz w:val="18"/>
          <w:lang w:val="es-ES"/>
        </w:rPr>
        <w:t>Fuente:</w:t>
      </w:r>
      <w:r w:rsidRPr="00960E47">
        <w:rPr>
          <w:sz w:val="18"/>
          <w:lang w:val="es-ES"/>
        </w:rPr>
        <w:t xml:space="preserve"> Informe de las Naciones Unidas, 2006.</w:t>
      </w:r>
    </w:p>
    <w:p w:rsidR="00E421FD" w:rsidRPr="00960E47" w:rsidRDefault="00763481" w:rsidP="00BD2CEB">
      <w:pPr>
        <w:pStyle w:val="H1G"/>
        <w:rPr>
          <w:lang w:val="es-ES"/>
        </w:rPr>
      </w:pPr>
      <w:r w:rsidRPr="00960E47">
        <w:rPr>
          <w:lang w:val="es-ES"/>
        </w:rPr>
        <w:tab/>
        <w:t>D.</w:t>
      </w:r>
      <w:r w:rsidRPr="00960E47">
        <w:rPr>
          <w:lang w:val="es-ES"/>
        </w:rPr>
        <w:tab/>
      </w:r>
      <w:r w:rsidR="00E421FD" w:rsidRPr="00960E47">
        <w:rPr>
          <w:lang w:val="es-ES"/>
        </w:rPr>
        <w:t>Recursos</w:t>
      </w:r>
    </w:p>
    <w:p w:rsidR="00E421FD" w:rsidRPr="00960E47" w:rsidRDefault="00763481" w:rsidP="00BD2CEB">
      <w:pPr>
        <w:pStyle w:val="H23G"/>
        <w:rPr>
          <w:lang w:val="es-ES"/>
        </w:rPr>
      </w:pPr>
      <w:r w:rsidRPr="00960E47">
        <w:rPr>
          <w:lang w:val="es-ES"/>
        </w:rPr>
        <w:tab/>
      </w:r>
      <w:r w:rsidRPr="00960E47">
        <w:rPr>
          <w:lang w:val="es-ES"/>
        </w:rPr>
        <w:tab/>
      </w:r>
      <w:r w:rsidR="00E421FD" w:rsidRPr="00960E47">
        <w:rPr>
          <w:lang w:val="es-ES"/>
        </w:rPr>
        <w:t>Sector de la extracción de diamantes</w:t>
      </w:r>
    </w:p>
    <w:p w:rsidR="00E421FD" w:rsidRPr="00960E47" w:rsidRDefault="00866E12" w:rsidP="00BD2CEB">
      <w:pPr>
        <w:pStyle w:val="SingleTxtG"/>
        <w:rPr>
          <w:lang w:val="es-ES"/>
        </w:rPr>
      </w:pPr>
      <w:r w:rsidRPr="00960E47">
        <w:rPr>
          <w:lang w:val="es-ES"/>
        </w:rPr>
        <w:t>9.</w:t>
      </w:r>
      <w:r w:rsidRPr="00960E47">
        <w:rPr>
          <w:lang w:val="es-ES"/>
        </w:rPr>
        <w:tab/>
      </w:r>
      <w:r w:rsidR="00E421FD" w:rsidRPr="00960E47">
        <w:rPr>
          <w:lang w:val="es-ES"/>
        </w:rPr>
        <w:t>En Lesotho existen algunos depósitos de minerales, como diamantes, uranio, metales comunes, arenisca de alta calidad y arcilla. El Gobierno ha adoptado políticas encaminadas a aumentar la participación del sector privado en las actividades de extracción, a las que se están sumando nuevas compañías. El Servicio Geológico de Lesotho ha localizado 33 chimeneas de kimberlita y 140 diques, 24 de los cuales son diamantíferos. Cuando la mina Lets</w:t>
      </w:r>
      <w:r w:rsidRPr="00960E47">
        <w:rPr>
          <w:lang w:val="es-ES"/>
        </w:rPr>
        <w:t>'</w:t>
      </w:r>
      <w:r w:rsidR="00E421FD" w:rsidRPr="00960E47">
        <w:rPr>
          <w:lang w:val="es-ES"/>
        </w:rPr>
        <w:t>eng inició sus operaciones, la empresa propietaria, Lets</w:t>
      </w:r>
      <w:r w:rsidRPr="00960E47">
        <w:rPr>
          <w:lang w:val="es-ES"/>
        </w:rPr>
        <w:t>'</w:t>
      </w:r>
      <w:r w:rsidR="00E421FD" w:rsidRPr="00960E47">
        <w:rPr>
          <w:lang w:val="es-ES"/>
        </w:rPr>
        <w:t>eng-la-Terai Company, tenía el 76% de las acciones, mientras que el 24% pertenecía al Gobierno del Reino de Lesotho</w:t>
      </w:r>
      <w:r w:rsidR="00E421FD" w:rsidRPr="00960E47">
        <w:rPr>
          <w:rStyle w:val="FootnoteReference"/>
          <w:lang w:val="es-ES"/>
        </w:rPr>
        <w:footnoteReference w:id="6"/>
      </w:r>
      <w:r w:rsidR="00E421FD" w:rsidRPr="00960E47">
        <w:rPr>
          <w:lang w:val="es-ES"/>
        </w:rPr>
        <w:t xml:space="preserve">. La mina está situada a más de 3.100 </w:t>
      </w:r>
      <w:r w:rsidR="00FF41FD" w:rsidRPr="00960E47">
        <w:rPr>
          <w:lang w:val="es-ES"/>
        </w:rPr>
        <w:t xml:space="preserve">m </w:t>
      </w:r>
      <w:r w:rsidR="00E421FD" w:rsidRPr="00960E47">
        <w:rPr>
          <w:lang w:val="es-ES"/>
        </w:rPr>
        <w:t>de altura sobre el nivel del mar en las montañas Maluti de Lesotho y es una de las minas de diamantes más altas del mundo. Desde 2005, el 70% de las acciones de Lets</w:t>
      </w:r>
      <w:r w:rsidRPr="00960E47">
        <w:rPr>
          <w:lang w:val="es-ES"/>
        </w:rPr>
        <w:t>'</w:t>
      </w:r>
      <w:r w:rsidR="00E421FD" w:rsidRPr="00960E47">
        <w:rPr>
          <w:lang w:val="es-ES"/>
        </w:rPr>
        <w:t>eng son propiedad de Gem Diamonds Ltd (Pty), mientras que el 30% pertenece al Gobierno de Lesotho</w:t>
      </w:r>
      <w:r w:rsidR="00E421FD" w:rsidRPr="00960E47">
        <w:rPr>
          <w:rStyle w:val="FootnoteReference"/>
          <w:lang w:val="es-ES"/>
        </w:rPr>
        <w:footnoteReference w:id="7"/>
      </w:r>
      <w:r w:rsidR="00E421FD" w:rsidRPr="00960E47">
        <w:rPr>
          <w:lang w:val="es-ES"/>
        </w:rPr>
        <w:t>. La mina se explota comercialmente desde 2004, y tiene una capacidad total de 5 millones de toneladas anuales y una recuperación de aproximadamente 100.000 quilates al año, lo que la convierte en la séptima mayor mina de kimberlita del mundo. La producción estimada inicial era de 50.000 quilates anuales. Mine Gem realizó exploraciones de las chimeneas de kimberlita de Liqhobong, y se llevó a cabo un estudio de viabilidad sobre las perspectivas de extracción en la zona. La mina está ahora en activo. Se ha inaugurado también una mina en Mothae. Las compañías mineras actualmente registradas, junto con su participación accionaria, son las siguientes: Lets</w:t>
      </w:r>
      <w:r w:rsidRPr="00960E47">
        <w:rPr>
          <w:lang w:val="es-ES"/>
        </w:rPr>
        <w:t>'</w:t>
      </w:r>
      <w:r w:rsidR="00E421FD" w:rsidRPr="00960E47">
        <w:rPr>
          <w:lang w:val="es-ES"/>
        </w:rPr>
        <w:t>eng</w:t>
      </w:r>
      <w:r w:rsidR="00DA3204" w:rsidRPr="00960E47">
        <w:rPr>
          <w:lang w:val="es-ES"/>
        </w:rPr>
        <w:noBreakHyphen/>
        <w:t>la-</w:t>
      </w:r>
      <w:r w:rsidR="00E421FD" w:rsidRPr="00960E47">
        <w:rPr>
          <w:lang w:val="es-ES"/>
        </w:rPr>
        <w:t>Terai tiene el 70% de las acciones, y el Gobierno el 30%; Liqhobong Mining Development Company el 75%, y el Gobierno el 25%; NamakwaBatla Diamonds (K</w:t>
      </w:r>
      <w:r w:rsidR="009C195E" w:rsidRPr="00960E47">
        <w:rPr>
          <w:lang w:val="es-ES"/>
        </w:rPr>
        <w:t>ao) el</w:t>
      </w:r>
      <w:r w:rsidR="00163063" w:rsidRPr="00960E47">
        <w:rPr>
          <w:lang w:val="es-ES"/>
        </w:rPr>
        <w:t> </w:t>
      </w:r>
      <w:r w:rsidR="009C195E" w:rsidRPr="00960E47">
        <w:rPr>
          <w:lang w:val="es-ES"/>
        </w:rPr>
        <w:t>93% y el Gobierno el 7%.</w:t>
      </w:r>
      <w:r w:rsidR="00E421FD" w:rsidRPr="00960E47">
        <w:rPr>
          <w:lang w:val="es-ES"/>
        </w:rPr>
        <w:t>; Mothae Diamonds el 75% y el Gobierno el 25%; Loti Brick el 98% y el Gobierno el 2%. Según los resultados del estudio, cuando esté en plena actividad, la mina producirá un promedio de 300.000 quilates de diamantes al año durante un período de cinco años. El índice de producción de diamantes subió de aproximadamente 60 puntos en 2005 a 549,4 en 2008, lo que refleja la persistente bonanza del sector de los diamantes. Es probable que el crecimiento sea todavía mayor, ya que existen informes sobre nuevos descubrimientos de diamantes en otras minas de extracción. El subsector minero ha subido del 0,2% en 2001 al 6,7% durante ese período, con una tasa de crecimiento anual del 1,6%.</w:t>
      </w:r>
    </w:p>
    <w:p w:rsidR="00E421FD" w:rsidRPr="00960E47" w:rsidRDefault="00163063" w:rsidP="00BD2CEB">
      <w:pPr>
        <w:pStyle w:val="H23G"/>
        <w:rPr>
          <w:lang w:val="es-ES"/>
        </w:rPr>
      </w:pPr>
      <w:r w:rsidRPr="00960E47">
        <w:rPr>
          <w:lang w:val="es-ES"/>
        </w:rPr>
        <w:tab/>
      </w:r>
      <w:r w:rsidRPr="00960E47">
        <w:rPr>
          <w:lang w:val="es-ES"/>
        </w:rPr>
        <w:tab/>
        <w:t>Otros recursos minerales</w:t>
      </w:r>
    </w:p>
    <w:p w:rsidR="00E421FD" w:rsidRPr="00960E47" w:rsidRDefault="00163063" w:rsidP="00BD2CEB">
      <w:pPr>
        <w:pStyle w:val="SingleTxtG"/>
        <w:rPr>
          <w:lang w:val="es-ES"/>
        </w:rPr>
      </w:pPr>
      <w:r w:rsidRPr="00960E47">
        <w:rPr>
          <w:lang w:val="es-ES"/>
        </w:rPr>
        <w:t>10.</w:t>
      </w:r>
      <w:r w:rsidRPr="00960E47">
        <w:rPr>
          <w:lang w:val="es-ES"/>
        </w:rPr>
        <w:tab/>
      </w:r>
      <w:r w:rsidR="00E421FD" w:rsidRPr="00960E47">
        <w:rPr>
          <w:lang w:val="es-ES"/>
        </w:rPr>
        <w:t>Se está evaluando la viabilidad de la extracción de las reservas de uranio, metales comunes y arcillas en Lesotho. Se han localizado reservas y esquistos bituminosos y de carbón en varias zonas del país (SADC Review 2006).</w:t>
      </w:r>
    </w:p>
    <w:p w:rsidR="00E421FD" w:rsidRPr="00960E47" w:rsidRDefault="00163063" w:rsidP="00BD2CEB">
      <w:pPr>
        <w:pStyle w:val="H23G"/>
        <w:rPr>
          <w:lang w:val="es-ES"/>
        </w:rPr>
      </w:pPr>
      <w:r w:rsidRPr="00960E47">
        <w:rPr>
          <w:lang w:val="es-ES"/>
        </w:rPr>
        <w:tab/>
      </w:r>
      <w:r w:rsidRPr="00960E47">
        <w:rPr>
          <w:lang w:val="es-ES"/>
        </w:rPr>
        <w:tab/>
      </w:r>
      <w:r w:rsidR="00E421FD" w:rsidRPr="00960E47">
        <w:rPr>
          <w:lang w:val="es-ES"/>
        </w:rPr>
        <w:t>Recursos hídricos</w:t>
      </w:r>
    </w:p>
    <w:p w:rsidR="00E421FD" w:rsidRPr="00960E47" w:rsidRDefault="00163063" w:rsidP="00BD2CEB">
      <w:pPr>
        <w:pStyle w:val="SingleTxtG"/>
        <w:rPr>
          <w:lang w:val="es-ES"/>
        </w:rPr>
      </w:pPr>
      <w:r w:rsidRPr="00960E47">
        <w:rPr>
          <w:lang w:val="es-ES"/>
        </w:rPr>
        <w:t>11.</w:t>
      </w:r>
      <w:r w:rsidRPr="00960E47">
        <w:rPr>
          <w:lang w:val="es-ES"/>
        </w:rPr>
        <w:tab/>
      </w:r>
      <w:r w:rsidR="00E421FD" w:rsidRPr="00960E47">
        <w:rPr>
          <w:lang w:val="es-ES"/>
        </w:rPr>
        <w:t xml:space="preserve">Lesotho cuenta con abundantes recursos hídricos, y ha acordado suministrar parte de ellos a la República de Sudáfrica. Con el fin de dar carácter oficial al acuerdo, The Lesotho Highlands Development Authority promulgó en 1986 su Orden núm. 23, en la que se establece el Proyecto de Aprovechamiento de los Recursos Hídricos de las Tierras Altas de Lesotho. Este es una iniciativa conjunta de los Gobiernos de Lesotho y la República de Sudáfrica. Comenzó en 1986 y finalizó en 1996, mientras que el período de responsabilidad por defectos finalizó en 2006. El proyecto ha sido el principal impulsor de la inversión, y ha contribuido a la estabilidad macroeconómica del país. Entre 2005 y 2009 consiguió los siguientes logros importantes: en los </w:t>
      </w:r>
      <w:r w:rsidR="00FA7460" w:rsidRPr="00960E47">
        <w:rPr>
          <w:lang w:val="es-ES"/>
        </w:rPr>
        <w:t xml:space="preserve">diez </w:t>
      </w:r>
      <w:r w:rsidR="00E421FD" w:rsidRPr="00960E47">
        <w:rPr>
          <w:lang w:val="es-ES"/>
        </w:rPr>
        <w:t>años de duración del ciclo de proyectos, de 1987 a 1997, aportó a la economía nacional más del 6% del crecimiento del producto interno bruto (PIB), y reforzó la estabilidad macroeconómica del país.</w:t>
      </w:r>
    </w:p>
    <w:p w:rsidR="00E421FD" w:rsidRPr="00960E47" w:rsidRDefault="00163063" w:rsidP="00BD2CEB">
      <w:pPr>
        <w:pStyle w:val="H1G"/>
        <w:rPr>
          <w:lang w:val="es-ES"/>
        </w:rPr>
      </w:pPr>
      <w:r w:rsidRPr="00960E47">
        <w:rPr>
          <w:lang w:val="es-ES"/>
        </w:rPr>
        <w:tab/>
        <w:t>E.</w:t>
      </w:r>
      <w:r w:rsidRPr="00960E47">
        <w:rPr>
          <w:lang w:val="es-ES"/>
        </w:rPr>
        <w:tab/>
      </w:r>
      <w:r w:rsidR="00E421FD" w:rsidRPr="00960E47">
        <w:rPr>
          <w:lang w:val="es-ES"/>
        </w:rPr>
        <w:t>Empleo</w:t>
      </w:r>
    </w:p>
    <w:p w:rsidR="00E421FD" w:rsidRPr="00960E47" w:rsidRDefault="00163063" w:rsidP="00BD2CEB">
      <w:pPr>
        <w:pStyle w:val="H23G"/>
        <w:rPr>
          <w:lang w:val="es-ES"/>
        </w:rPr>
      </w:pPr>
      <w:r w:rsidRPr="00960E47">
        <w:rPr>
          <w:lang w:val="es-ES"/>
        </w:rPr>
        <w:tab/>
      </w:r>
      <w:r w:rsidRPr="00960E47">
        <w:rPr>
          <w:lang w:val="es-ES"/>
        </w:rPr>
        <w:tab/>
      </w:r>
      <w:r w:rsidR="00E421FD" w:rsidRPr="00960E47">
        <w:rPr>
          <w:lang w:val="es-ES"/>
        </w:rPr>
        <w:t>Tendencias del empleo</w:t>
      </w:r>
    </w:p>
    <w:p w:rsidR="00E421FD" w:rsidRPr="00960E47" w:rsidRDefault="00163063" w:rsidP="00BD2CEB">
      <w:pPr>
        <w:pStyle w:val="H23G"/>
        <w:rPr>
          <w:lang w:val="es-ES"/>
        </w:rPr>
      </w:pPr>
      <w:r w:rsidRPr="00960E47">
        <w:rPr>
          <w:lang w:val="es-ES"/>
        </w:rPr>
        <w:tab/>
      </w:r>
      <w:r w:rsidRPr="00960E47">
        <w:rPr>
          <w:lang w:val="es-ES"/>
        </w:rPr>
        <w:tab/>
      </w:r>
      <w:r w:rsidR="00E421FD" w:rsidRPr="00960E47">
        <w:rPr>
          <w:lang w:val="es-ES"/>
        </w:rPr>
        <w:t>Las tendencias del empleo en Lesotho pueden verse en el cuadro siguiente</w:t>
      </w:r>
    </w:p>
    <w:tbl>
      <w:tblPr>
        <w:tblW w:w="7369" w:type="dxa"/>
        <w:tblInd w:w="1134" w:type="dxa"/>
        <w:tblBorders>
          <w:top w:val="single" w:sz="4" w:space="0" w:color="auto"/>
          <w:bottom w:val="single" w:sz="12" w:space="0" w:color="auto"/>
        </w:tblBorders>
        <w:tblLayout w:type="fixed"/>
        <w:tblCellMar>
          <w:left w:w="0" w:type="dxa"/>
          <w:right w:w="0" w:type="dxa"/>
        </w:tblCellMar>
        <w:tblLook w:val="04A0"/>
      </w:tblPr>
      <w:tblGrid>
        <w:gridCol w:w="921"/>
        <w:gridCol w:w="921"/>
        <w:gridCol w:w="921"/>
        <w:gridCol w:w="921"/>
        <w:gridCol w:w="921"/>
        <w:gridCol w:w="921"/>
        <w:gridCol w:w="921"/>
        <w:gridCol w:w="922"/>
      </w:tblGrid>
      <w:tr w:rsidR="00E421FD" w:rsidRPr="00960E47" w:rsidTr="00FA7460">
        <w:trPr>
          <w:tblHeader/>
        </w:trPr>
        <w:tc>
          <w:tcPr>
            <w:tcW w:w="921" w:type="dxa"/>
            <w:tcBorders>
              <w:top w:val="single" w:sz="4" w:space="0" w:color="auto"/>
              <w:bottom w:val="single" w:sz="12" w:space="0" w:color="auto"/>
            </w:tcBorders>
            <w:shd w:val="clear" w:color="auto" w:fill="auto"/>
            <w:vAlign w:val="bottom"/>
          </w:tcPr>
          <w:p w:rsidR="00E421FD" w:rsidRPr="00960E47" w:rsidRDefault="00E421FD" w:rsidP="0065702B">
            <w:pPr>
              <w:pStyle w:val="SingleTxtG"/>
              <w:spacing w:before="80" w:after="80" w:line="200" w:lineRule="exact"/>
              <w:ind w:left="0" w:right="0"/>
              <w:jc w:val="left"/>
              <w:rPr>
                <w:i/>
                <w:sz w:val="16"/>
                <w:lang w:val="es-ES"/>
              </w:rPr>
            </w:pPr>
            <w:r w:rsidRPr="00960E47">
              <w:rPr>
                <w:i/>
                <w:sz w:val="16"/>
                <w:lang w:val="es-ES"/>
              </w:rPr>
              <w:t>Año (</w:t>
            </w:r>
            <w:r w:rsidR="0065702B" w:rsidRPr="00960E47">
              <w:rPr>
                <w:i/>
                <w:sz w:val="16"/>
                <w:lang w:val="es-ES"/>
              </w:rPr>
              <w:t>dic</w:t>
            </w:r>
            <w:r w:rsidRPr="00960E47">
              <w:rPr>
                <w:i/>
                <w:sz w:val="16"/>
                <w:lang w:val="es-ES"/>
              </w:rPr>
              <w:t>.)</w:t>
            </w:r>
          </w:p>
        </w:tc>
        <w:tc>
          <w:tcPr>
            <w:tcW w:w="921" w:type="dxa"/>
            <w:tcBorders>
              <w:top w:val="single" w:sz="4" w:space="0" w:color="auto"/>
              <w:bottom w:val="single" w:sz="12" w:space="0" w:color="auto"/>
            </w:tcBorders>
            <w:shd w:val="clear" w:color="auto" w:fill="auto"/>
            <w:vAlign w:val="bottom"/>
          </w:tcPr>
          <w:p w:rsidR="00E421FD" w:rsidRPr="00960E47" w:rsidRDefault="00E421FD" w:rsidP="0065702B">
            <w:pPr>
              <w:pStyle w:val="SingleTxtG"/>
              <w:spacing w:before="80" w:after="80" w:line="200" w:lineRule="exact"/>
              <w:ind w:left="0" w:right="0"/>
              <w:jc w:val="right"/>
              <w:rPr>
                <w:i/>
                <w:sz w:val="16"/>
                <w:lang w:val="es-ES"/>
              </w:rPr>
            </w:pPr>
            <w:r w:rsidRPr="00960E47">
              <w:rPr>
                <w:i/>
                <w:sz w:val="16"/>
                <w:lang w:val="es-ES"/>
              </w:rPr>
              <w:t>2003</w:t>
            </w:r>
          </w:p>
        </w:tc>
        <w:tc>
          <w:tcPr>
            <w:tcW w:w="921" w:type="dxa"/>
            <w:tcBorders>
              <w:top w:val="single" w:sz="4" w:space="0" w:color="auto"/>
              <w:bottom w:val="single" w:sz="12" w:space="0" w:color="auto"/>
            </w:tcBorders>
            <w:shd w:val="clear" w:color="auto" w:fill="auto"/>
            <w:vAlign w:val="bottom"/>
          </w:tcPr>
          <w:p w:rsidR="00E421FD" w:rsidRPr="00960E47" w:rsidRDefault="00E421FD" w:rsidP="0065702B">
            <w:pPr>
              <w:pStyle w:val="SingleTxtG"/>
              <w:spacing w:before="80" w:after="80" w:line="200" w:lineRule="exact"/>
              <w:ind w:left="0" w:right="0"/>
              <w:jc w:val="right"/>
              <w:rPr>
                <w:i/>
                <w:sz w:val="16"/>
                <w:lang w:val="es-ES"/>
              </w:rPr>
            </w:pPr>
            <w:r w:rsidRPr="00960E47">
              <w:rPr>
                <w:i/>
                <w:sz w:val="16"/>
                <w:lang w:val="es-ES"/>
              </w:rPr>
              <w:t>2004</w:t>
            </w:r>
          </w:p>
        </w:tc>
        <w:tc>
          <w:tcPr>
            <w:tcW w:w="921" w:type="dxa"/>
            <w:tcBorders>
              <w:top w:val="single" w:sz="4" w:space="0" w:color="auto"/>
              <w:bottom w:val="single" w:sz="12" w:space="0" w:color="auto"/>
            </w:tcBorders>
            <w:shd w:val="clear" w:color="auto" w:fill="auto"/>
            <w:vAlign w:val="bottom"/>
          </w:tcPr>
          <w:p w:rsidR="00E421FD" w:rsidRPr="00960E47" w:rsidRDefault="00E421FD" w:rsidP="0065702B">
            <w:pPr>
              <w:pStyle w:val="SingleTxtG"/>
              <w:spacing w:before="80" w:after="80" w:line="200" w:lineRule="exact"/>
              <w:ind w:left="0" w:right="0"/>
              <w:jc w:val="right"/>
              <w:rPr>
                <w:i/>
                <w:sz w:val="16"/>
                <w:lang w:val="es-ES"/>
              </w:rPr>
            </w:pPr>
            <w:r w:rsidRPr="00960E47">
              <w:rPr>
                <w:i/>
                <w:sz w:val="16"/>
                <w:lang w:val="es-ES"/>
              </w:rPr>
              <w:t>2005</w:t>
            </w:r>
          </w:p>
        </w:tc>
        <w:tc>
          <w:tcPr>
            <w:tcW w:w="921" w:type="dxa"/>
            <w:tcBorders>
              <w:top w:val="single" w:sz="4" w:space="0" w:color="auto"/>
              <w:bottom w:val="single" w:sz="12" w:space="0" w:color="auto"/>
            </w:tcBorders>
            <w:shd w:val="clear" w:color="auto" w:fill="auto"/>
            <w:vAlign w:val="bottom"/>
          </w:tcPr>
          <w:p w:rsidR="00E421FD" w:rsidRPr="00960E47" w:rsidRDefault="00E421FD" w:rsidP="0065702B">
            <w:pPr>
              <w:pStyle w:val="SingleTxtG"/>
              <w:spacing w:before="80" w:after="80" w:line="200" w:lineRule="exact"/>
              <w:ind w:left="0" w:right="0"/>
              <w:jc w:val="right"/>
              <w:rPr>
                <w:i/>
                <w:sz w:val="16"/>
                <w:lang w:val="es-ES"/>
              </w:rPr>
            </w:pPr>
            <w:r w:rsidRPr="00960E47">
              <w:rPr>
                <w:i/>
                <w:sz w:val="16"/>
                <w:lang w:val="es-ES"/>
              </w:rPr>
              <w:t>2006</w:t>
            </w:r>
          </w:p>
        </w:tc>
        <w:tc>
          <w:tcPr>
            <w:tcW w:w="921" w:type="dxa"/>
            <w:tcBorders>
              <w:top w:val="single" w:sz="4" w:space="0" w:color="auto"/>
              <w:bottom w:val="single" w:sz="12" w:space="0" w:color="auto"/>
            </w:tcBorders>
            <w:shd w:val="clear" w:color="auto" w:fill="auto"/>
            <w:vAlign w:val="bottom"/>
          </w:tcPr>
          <w:p w:rsidR="00E421FD" w:rsidRPr="00960E47" w:rsidRDefault="00E421FD" w:rsidP="0065702B">
            <w:pPr>
              <w:pStyle w:val="SingleTxtG"/>
              <w:spacing w:before="80" w:after="80" w:line="200" w:lineRule="exact"/>
              <w:ind w:left="0" w:right="0"/>
              <w:jc w:val="right"/>
              <w:rPr>
                <w:i/>
                <w:sz w:val="16"/>
                <w:lang w:val="es-ES"/>
              </w:rPr>
            </w:pPr>
            <w:r w:rsidRPr="00960E47">
              <w:rPr>
                <w:i/>
                <w:sz w:val="16"/>
                <w:lang w:val="es-ES"/>
              </w:rPr>
              <w:t>2007</w:t>
            </w:r>
          </w:p>
        </w:tc>
        <w:tc>
          <w:tcPr>
            <w:tcW w:w="921" w:type="dxa"/>
            <w:tcBorders>
              <w:top w:val="single" w:sz="4" w:space="0" w:color="auto"/>
              <w:bottom w:val="single" w:sz="12" w:space="0" w:color="auto"/>
            </w:tcBorders>
            <w:shd w:val="clear" w:color="auto" w:fill="auto"/>
            <w:vAlign w:val="bottom"/>
          </w:tcPr>
          <w:p w:rsidR="00E421FD" w:rsidRPr="00960E47" w:rsidRDefault="00E421FD" w:rsidP="0065702B">
            <w:pPr>
              <w:pStyle w:val="SingleTxtG"/>
              <w:spacing w:before="80" w:after="80" w:line="200" w:lineRule="exact"/>
              <w:ind w:left="0" w:right="0"/>
              <w:jc w:val="right"/>
              <w:rPr>
                <w:i/>
                <w:sz w:val="16"/>
                <w:lang w:val="es-ES"/>
              </w:rPr>
            </w:pPr>
            <w:r w:rsidRPr="00960E47">
              <w:rPr>
                <w:i/>
                <w:sz w:val="16"/>
                <w:lang w:val="es-ES"/>
              </w:rPr>
              <w:t>2008</w:t>
            </w:r>
          </w:p>
        </w:tc>
        <w:tc>
          <w:tcPr>
            <w:tcW w:w="922" w:type="dxa"/>
            <w:tcBorders>
              <w:top w:val="single" w:sz="4" w:space="0" w:color="auto"/>
              <w:bottom w:val="single" w:sz="12" w:space="0" w:color="auto"/>
            </w:tcBorders>
            <w:shd w:val="clear" w:color="auto" w:fill="auto"/>
            <w:vAlign w:val="bottom"/>
          </w:tcPr>
          <w:p w:rsidR="00E421FD" w:rsidRPr="00960E47" w:rsidRDefault="00E421FD" w:rsidP="0065702B">
            <w:pPr>
              <w:pStyle w:val="SingleTxtG"/>
              <w:spacing w:before="80" w:after="80" w:line="200" w:lineRule="exact"/>
              <w:ind w:left="0" w:right="0"/>
              <w:jc w:val="right"/>
              <w:rPr>
                <w:i/>
                <w:sz w:val="16"/>
                <w:lang w:val="es-ES"/>
              </w:rPr>
            </w:pPr>
            <w:r w:rsidRPr="00960E47">
              <w:rPr>
                <w:i/>
                <w:sz w:val="16"/>
                <w:lang w:val="es-ES"/>
              </w:rPr>
              <w:t>2009</w:t>
            </w:r>
          </w:p>
        </w:tc>
      </w:tr>
      <w:tr w:rsidR="00E421FD" w:rsidRPr="00960E47" w:rsidTr="00FA7460">
        <w:tc>
          <w:tcPr>
            <w:tcW w:w="921" w:type="dxa"/>
            <w:tcBorders>
              <w:top w:val="single" w:sz="12" w:space="0" w:color="auto"/>
            </w:tcBorders>
            <w:shd w:val="clear" w:color="auto" w:fill="auto"/>
            <w:vAlign w:val="bottom"/>
          </w:tcPr>
          <w:p w:rsidR="00E421FD" w:rsidRPr="00960E47" w:rsidRDefault="00E421FD" w:rsidP="0065702B">
            <w:pPr>
              <w:pStyle w:val="SingleTxtG"/>
              <w:spacing w:before="40" w:after="40" w:line="220" w:lineRule="exact"/>
              <w:ind w:left="0" w:right="0"/>
              <w:jc w:val="left"/>
              <w:rPr>
                <w:sz w:val="18"/>
                <w:lang w:val="es-ES"/>
              </w:rPr>
            </w:pPr>
            <w:r w:rsidRPr="00960E47">
              <w:rPr>
                <w:sz w:val="18"/>
                <w:lang w:val="es-ES"/>
              </w:rPr>
              <w:t>Empleo</w:t>
            </w:r>
          </w:p>
        </w:tc>
        <w:tc>
          <w:tcPr>
            <w:tcW w:w="921" w:type="dxa"/>
            <w:tcBorders>
              <w:top w:val="single" w:sz="12" w:space="0" w:color="auto"/>
            </w:tcBorders>
            <w:shd w:val="clear" w:color="auto" w:fill="auto"/>
            <w:vAlign w:val="bottom"/>
          </w:tcPr>
          <w:p w:rsidR="00E421FD" w:rsidRPr="00960E47" w:rsidRDefault="00E421FD" w:rsidP="0065702B">
            <w:pPr>
              <w:pStyle w:val="SingleTxtG"/>
              <w:spacing w:before="40" w:after="40" w:line="220" w:lineRule="exact"/>
              <w:ind w:left="0" w:right="0"/>
              <w:jc w:val="right"/>
              <w:rPr>
                <w:sz w:val="18"/>
                <w:lang w:val="es-ES"/>
              </w:rPr>
            </w:pPr>
            <w:r w:rsidRPr="00960E47">
              <w:rPr>
                <w:sz w:val="18"/>
                <w:lang w:val="es-ES"/>
              </w:rPr>
              <w:t>49</w:t>
            </w:r>
            <w:r w:rsidR="0065702B" w:rsidRPr="00960E47">
              <w:rPr>
                <w:sz w:val="18"/>
                <w:lang w:val="es-ES"/>
              </w:rPr>
              <w:t xml:space="preserve"> </w:t>
            </w:r>
            <w:r w:rsidRPr="00960E47">
              <w:rPr>
                <w:sz w:val="18"/>
                <w:lang w:val="es-ES"/>
              </w:rPr>
              <w:t>084</w:t>
            </w:r>
          </w:p>
        </w:tc>
        <w:tc>
          <w:tcPr>
            <w:tcW w:w="921" w:type="dxa"/>
            <w:tcBorders>
              <w:top w:val="single" w:sz="12" w:space="0" w:color="auto"/>
            </w:tcBorders>
            <w:shd w:val="clear" w:color="auto" w:fill="auto"/>
            <w:vAlign w:val="bottom"/>
          </w:tcPr>
          <w:p w:rsidR="00E421FD" w:rsidRPr="00960E47" w:rsidRDefault="00E421FD" w:rsidP="0065702B">
            <w:pPr>
              <w:pStyle w:val="SingleTxtG"/>
              <w:spacing w:before="40" w:after="40" w:line="220" w:lineRule="exact"/>
              <w:ind w:left="0" w:right="0"/>
              <w:jc w:val="right"/>
              <w:rPr>
                <w:sz w:val="18"/>
                <w:lang w:val="es-ES"/>
              </w:rPr>
            </w:pPr>
            <w:r w:rsidRPr="00960E47">
              <w:rPr>
                <w:sz w:val="18"/>
                <w:lang w:val="es-ES"/>
              </w:rPr>
              <w:t>46</w:t>
            </w:r>
            <w:r w:rsidR="0065702B" w:rsidRPr="00960E47">
              <w:rPr>
                <w:sz w:val="18"/>
                <w:lang w:val="es-ES"/>
              </w:rPr>
              <w:t xml:space="preserve"> </w:t>
            </w:r>
            <w:r w:rsidRPr="00960E47">
              <w:rPr>
                <w:sz w:val="18"/>
                <w:lang w:val="es-ES"/>
              </w:rPr>
              <w:t>633</w:t>
            </w:r>
          </w:p>
        </w:tc>
        <w:tc>
          <w:tcPr>
            <w:tcW w:w="921" w:type="dxa"/>
            <w:tcBorders>
              <w:top w:val="single" w:sz="12" w:space="0" w:color="auto"/>
            </w:tcBorders>
            <w:shd w:val="clear" w:color="auto" w:fill="auto"/>
            <w:vAlign w:val="bottom"/>
          </w:tcPr>
          <w:p w:rsidR="00E421FD" w:rsidRPr="00960E47" w:rsidRDefault="00E421FD" w:rsidP="0065702B">
            <w:pPr>
              <w:pStyle w:val="SingleTxtG"/>
              <w:spacing w:before="40" w:after="40" w:line="220" w:lineRule="exact"/>
              <w:ind w:left="0" w:right="0"/>
              <w:jc w:val="right"/>
              <w:rPr>
                <w:sz w:val="18"/>
                <w:lang w:val="es-ES"/>
              </w:rPr>
            </w:pPr>
            <w:r w:rsidRPr="00960E47">
              <w:rPr>
                <w:sz w:val="18"/>
                <w:lang w:val="es-ES"/>
              </w:rPr>
              <w:t>42</w:t>
            </w:r>
            <w:r w:rsidR="0065702B" w:rsidRPr="00960E47">
              <w:rPr>
                <w:sz w:val="18"/>
                <w:lang w:val="es-ES"/>
              </w:rPr>
              <w:t xml:space="preserve"> </w:t>
            </w:r>
            <w:r w:rsidRPr="00960E47">
              <w:rPr>
                <w:sz w:val="18"/>
                <w:lang w:val="es-ES"/>
              </w:rPr>
              <w:t>120</w:t>
            </w:r>
          </w:p>
        </w:tc>
        <w:tc>
          <w:tcPr>
            <w:tcW w:w="921" w:type="dxa"/>
            <w:tcBorders>
              <w:top w:val="single" w:sz="12" w:space="0" w:color="auto"/>
            </w:tcBorders>
            <w:shd w:val="clear" w:color="auto" w:fill="auto"/>
            <w:vAlign w:val="bottom"/>
          </w:tcPr>
          <w:p w:rsidR="00E421FD" w:rsidRPr="00960E47" w:rsidRDefault="00E421FD" w:rsidP="0065702B">
            <w:pPr>
              <w:pStyle w:val="SingleTxtG"/>
              <w:spacing w:before="40" w:after="40" w:line="220" w:lineRule="exact"/>
              <w:ind w:left="0" w:right="0"/>
              <w:jc w:val="right"/>
              <w:rPr>
                <w:sz w:val="18"/>
                <w:lang w:val="es-ES"/>
              </w:rPr>
            </w:pPr>
            <w:r w:rsidRPr="00960E47">
              <w:rPr>
                <w:sz w:val="18"/>
                <w:lang w:val="es-ES"/>
              </w:rPr>
              <w:t>37</w:t>
            </w:r>
            <w:r w:rsidR="0065702B" w:rsidRPr="00960E47">
              <w:rPr>
                <w:sz w:val="18"/>
                <w:lang w:val="es-ES"/>
              </w:rPr>
              <w:t xml:space="preserve"> </w:t>
            </w:r>
            <w:r w:rsidRPr="00960E47">
              <w:rPr>
                <w:sz w:val="18"/>
                <w:lang w:val="es-ES"/>
              </w:rPr>
              <w:t>973</w:t>
            </w:r>
          </w:p>
        </w:tc>
        <w:tc>
          <w:tcPr>
            <w:tcW w:w="921" w:type="dxa"/>
            <w:tcBorders>
              <w:top w:val="single" w:sz="12" w:space="0" w:color="auto"/>
            </w:tcBorders>
            <w:shd w:val="clear" w:color="auto" w:fill="auto"/>
            <w:vAlign w:val="bottom"/>
          </w:tcPr>
          <w:p w:rsidR="00E421FD" w:rsidRPr="00960E47" w:rsidRDefault="00E421FD" w:rsidP="0065702B">
            <w:pPr>
              <w:pStyle w:val="SingleTxtG"/>
              <w:spacing w:before="40" w:after="40" w:line="220" w:lineRule="exact"/>
              <w:ind w:left="0" w:right="0"/>
              <w:jc w:val="right"/>
              <w:rPr>
                <w:sz w:val="18"/>
                <w:lang w:val="es-ES"/>
              </w:rPr>
            </w:pPr>
            <w:r w:rsidRPr="00960E47">
              <w:rPr>
                <w:sz w:val="18"/>
                <w:lang w:val="es-ES"/>
              </w:rPr>
              <w:t>43</w:t>
            </w:r>
            <w:r w:rsidR="0065702B" w:rsidRPr="00960E47">
              <w:rPr>
                <w:sz w:val="18"/>
                <w:lang w:val="es-ES"/>
              </w:rPr>
              <w:t xml:space="preserve"> </w:t>
            </w:r>
            <w:r w:rsidRPr="00960E47">
              <w:rPr>
                <w:sz w:val="18"/>
                <w:lang w:val="es-ES"/>
              </w:rPr>
              <w:t>398</w:t>
            </w:r>
          </w:p>
        </w:tc>
        <w:tc>
          <w:tcPr>
            <w:tcW w:w="921" w:type="dxa"/>
            <w:tcBorders>
              <w:top w:val="single" w:sz="12" w:space="0" w:color="auto"/>
            </w:tcBorders>
            <w:shd w:val="clear" w:color="auto" w:fill="auto"/>
            <w:vAlign w:val="bottom"/>
          </w:tcPr>
          <w:p w:rsidR="00E421FD" w:rsidRPr="00960E47" w:rsidRDefault="00E421FD" w:rsidP="0065702B">
            <w:pPr>
              <w:pStyle w:val="SingleTxtG"/>
              <w:spacing w:before="40" w:after="40" w:line="220" w:lineRule="exact"/>
              <w:ind w:left="0" w:right="0"/>
              <w:jc w:val="right"/>
              <w:rPr>
                <w:sz w:val="18"/>
                <w:lang w:val="es-ES"/>
              </w:rPr>
            </w:pPr>
            <w:r w:rsidRPr="00960E47">
              <w:rPr>
                <w:sz w:val="18"/>
                <w:lang w:val="es-ES"/>
              </w:rPr>
              <w:t>47</w:t>
            </w:r>
            <w:r w:rsidR="0065702B" w:rsidRPr="00960E47">
              <w:rPr>
                <w:sz w:val="18"/>
                <w:lang w:val="es-ES"/>
              </w:rPr>
              <w:t xml:space="preserve"> </w:t>
            </w:r>
            <w:r w:rsidRPr="00960E47">
              <w:rPr>
                <w:sz w:val="18"/>
                <w:lang w:val="es-ES"/>
              </w:rPr>
              <w:t>204</w:t>
            </w:r>
          </w:p>
        </w:tc>
        <w:tc>
          <w:tcPr>
            <w:tcW w:w="922" w:type="dxa"/>
            <w:tcBorders>
              <w:top w:val="single" w:sz="12" w:space="0" w:color="auto"/>
            </w:tcBorders>
            <w:shd w:val="clear" w:color="auto" w:fill="auto"/>
            <w:vAlign w:val="bottom"/>
          </w:tcPr>
          <w:p w:rsidR="00E421FD" w:rsidRPr="00960E47" w:rsidRDefault="00E421FD" w:rsidP="0065702B">
            <w:pPr>
              <w:pStyle w:val="SingleTxtG"/>
              <w:spacing w:before="40" w:after="40" w:line="220" w:lineRule="exact"/>
              <w:ind w:left="0" w:right="0"/>
              <w:jc w:val="right"/>
              <w:rPr>
                <w:sz w:val="18"/>
                <w:lang w:val="es-ES"/>
              </w:rPr>
            </w:pPr>
            <w:r w:rsidRPr="00960E47">
              <w:rPr>
                <w:sz w:val="18"/>
                <w:lang w:val="es-ES"/>
              </w:rPr>
              <w:t>25</w:t>
            </w:r>
            <w:r w:rsidR="0065702B" w:rsidRPr="00960E47">
              <w:rPr>
                <w:sz w:val="18"/>
                <w:lang w:val="es-ES"/>
              </w:rPr>
              <w:t xml:space="preserve"> </w:t>
            </w:r>
            <w:r w:rsidRPr="00960E47">
              <w:rPr>
                <w:sz w:val="18"/>
                <w:lang w:val="es-ES"/>
              </w:rPr>
              <w:t>944</w:t>
            </w:r>
          </w:p>
        </w:tc>
      </w:tr>
    </w:tbl>
    <w:p w:rsidR="00E421FD" w:rsidRPr="00960E47" w:rsidRDefault="00E421FD" w:rsidP="00BD2CEB">
      <w:pPr>
        <w:spacing w:before="120" w:after="240"/>
        <w:ind w:left="1134" w:right="1134" w:firstLine="170"/>
        <w:rPr>
          <w:sz w:val="18"/>
          <w:lang w:val="es-ES"/>
        </w:rPr>
      </w:pPr>
      <w:r w:rsidRPr="00960E47">
        <w:rPr>
          <w:i/>
          <w:sz w:val="18"/>
          <w:lang w:val="es-ES"/>
        </w:rPr>
        <w:t>Fuente:</w:t>
      </w:r>
      <w:r w:rsidRPr="00960E47">
        <w:rPr>
          <w:sz w:val="18"/>
          <w:lang w:val="es-ES"/>
        </w:rPr>
        <w:t xml:space="preserve"> Lesotho National Development Corporation (LNDC).</w:t>
      </w:r>
    </w:p>
    <w:p w:rsidR="00E421FD" w:rsidRPr="00960E47" w:rsidRDefault="00163063" w:rsidP="00BD2CEB">
      <w:pPr>
        <w:pStyle w:val="SingleTxtG"/>
        <w:rPr>
          <w:lang w:val="es-ES"/>
        </w:rPr>
      </w:pPr>
      <w:r w:rsidRPr="00960E47">
        <w:rPr>
          <w:lang w:val="es-ES"/>
        </w:rPr>
        <w:t>12.</w:t>
      </w:r>
      <w:r w:rsidRPr="00960E47">
        <w:rPr>
          <w:lang w:val="es-ES"/>
        </w:rPr>
        <w:tab/>
      </w:r>
      <w:r w:rsidR="00E421FD" w:rsidRPr="00960E47">
        <w:rPr>
          <w:lang w:val="es-ES"/>
        </w:rPr>
        <w:t>Los indicadores de empleo que pueden verse en el cuadro precedente revelan que el sector del empleo de Lesotho mantuvo una tendencia constante y relativamente estable entre 2003 y 2008. En 2009 tuvo lugar un fuerte descenso, sobre todo debido a la crisis económica, que afectó también al mercado de exportación de Lesotho. Los datos estadísticos de las personas empleadas en el servicio público, el sector privado, el sector manufacturero y el sector informal pueden verse en el cuadro siguiente.</w:t>
      </w:r>
    </w:p>
    <w:p w:rsidR="00E421FD" w:rsidRPr="00960E47" w:rsidRDefault="00163063" w:rsidP="00BD2CEB">
      <w:pPr>
        <w:pStyle w:val="H23G"/>
        <w:rPr>
          <w:lang w:val="es-ES"/>
        </w:rPr>
      </w:pPr>
      <w:r w:rsidRPr="00960E47">
        <w:rPr>
          <w:lang w:val="es-ES"/>
        </w:rPr>
        <w:tab/>
      </w:r>
      <w:r w:rsidRPr="00960E47">
        <w:rPr>
          <w:lang w:val="es-ES"/>
        </w:rPr>
        <w:tab/>
      </w:r>
      <w:r w:rsidR="00E421FD" w:rsidRPr="00960E47">
        <w:rPr>
          <w:lang w:val="es-ES"/>
        </w:rPr>
        <w:t>Sector público</w:t>
      </w:r>
    </w:p>
    <w:p w:rsidR="00E421FD" w:rsidRPr="00960E47" w:rsidRDefault="00163063" w:rsidP="00BD2CEB">
      <w:pPr>
        <w:pStyle w:val="SingleTxtG"/>
        <w:rPr>
          <w:lang w:val="es-ES"/>
        </w:rPr>
      </w:pPr>
      <w:r w:rsidRPr="00960E47">
        <w:rPr>
          <w:lang w:val="es-ES"/>
        </w:rPr>
        <w:t>13.</w:t>
      </w:r>
      <w:r w:rsidRPr="00960E47">
        <w:rPr>
          <w:lang w:val="es-ES"/>
        </w:rPr>
        <w:tab/>
      </w:r>
      <w:r w:rsidR="00E421FD" w:rsidRPr="00960E47">
        <w:rPr>
          <w:lang w:val="es-ES"/>
        </w:rPr>
        <w:t>El Gobierno de Lesotho es el mayor empleador, y representa el 10% del sector del empleo. No obstante, esa importancia está disminuyendo, debido a la regresión económica del país y a la privatización de algunos servicios.</w:t>
      </w:r>
    </w:p>
    <w:p w:rsidR="00E421FD" w:rsidRPr="00960E47" w:rsidRDefault="00163063" w:rsidP="00BD2CEB">
      <w:pPr>
        <w:pStyle w:val="H23G"/>
        <w:rPr>
          <w:lang w:val="es-ES"/>
        </w:rPr>
      </w:pPr>
      <w:r w:rsidRPr="00960E47">
        <w:rPr>
          <w:lang w:val="es-ES"/>
        </w:rPr>
        <w:tab/>
      </w:r>
      <w:r w:rsidRPr="00960E47">
        <w:rPr>
          <w:lang w:val="es-ES"/>
        </w:rPr>
        <w:tab/>
      </w:r>
      <w:r w:rsidR="00E421FD" w:rsidRPr="00960E47">
        <w:rPr>
          <w:lang w:val="es-ES"/>
        </w:rPr>
        <w:t>Sector privado</w:t>
      </w:r>
    </w:p>
    <w:p w:rsidR="00E421FD" w:rsidRPr="00960E47" w:rsidRDefault="00163063" w:rsidP="00BD2CEB">
      <w:pPr>
        <w:pStyle w:val="SingleTxtG"/>
        <w:rPr>
          <w:lang w:val="es-ES"/>
        </w:rPr>
      </w:pPr>
      <w:r w:rsidRPr="00960E47">
        <w:rPr>
          <w:lang w:val="es-ES"/>
        </w:rPr>
        <w:t>14.</w:t>
      </w:r>
      <w:r w:rsidRPr="00960E47">
        <w:rPr>
          <w:lang w:val="es-ES"/>
        </w:rPr>
        <w:tab/>
      </w:r>
      <w:r w:rsidR="00E421FD" w:rsidRPr="00960E47">
        <w:rPr>
          <w:lang w:val="es-ES"/>
        </w:rPr>
        <w:t>El Gobierno de Lesotho reconoce la importancia del desarrollo del sector privado para reducir las altas tasas de desempleo y promover el crecimiento económico sostenible. El papel desempeñado por el desarrollo del sector privado en el crecimiento económico y su contribución a la erradicación de la pobreza ocupan actualmente un lugar central en los planes de desarrollo de muchos países de todo el mundo. Las empresas privadas no solo promueven el crecimiento económico y reducen la pobreza sino que contribuyen también enormemente a ofrecer a los pobres mayores oportunidades de empleo y mejores niveles de vida. Ello significa que el apoyo al desarrollo del sector privado mediante la creación de un entorno favorable y el aumento de la capacidad empresarial es un paso decisivo para el logro del crecimiento económico sostenible en Lesotho</w:t>
      </w:r>
      <w:r w:rsidR="00E421FD" w:rsidRPr="00960E47">
        <w:rPr>
          <w:rStyle w:val="FootnoteReference"/>
          <w:lang w:val="es-ES"/>
        </w:rPr>
        <w:footnoteReference w:id="8"/>
      </w:r>
      <w:r w:rsidR="00E421FD" w:rsidRPr="00960E47">
        <w:rPr>
          <w:lang w:val="es-ES"/>
        </w:rPr>
        <w:t>.</w:t>
      </w:r>
    </w:p>
    <w:p w:rsidR="00E421FD" w:rsidRPr="00960E47" w:rsidRDefault="00163063" w:rsidP="00BD2CEB">
      <w:pPr>
        <w:pStyle w:val="H23G"/>
        <w:rPr>
          <w:lang w:val="es-ES"/>
        </w:rPr>
      </w:pPr>
      <w:r w:rsidRPr="00960E47">
        <w:rPr>
          <w:lang w:val="es-ES"/>
        </w:rPr>
        <w:tab/>
      </w:r>
      <w:r w:rsidRPr="00960E47">
        <w:rPr>
          <w:lang w:val="es-ES"/>
        </w:rPr>
        <w:tab/>
      </w:r>
      <w:r w:rsidR="00E421FD" w:rsidRPr="00960E47">
        <w:rPr>
          <w:lang w:val="es-ES"/>
        </w:rPr>
        <w:t>Sector informal</w:t>
      </w:r>
    </w:p>
    <w:p w:rsidR="00E421FD" w:rsidRPr="00960E47" w:rsidRDefault="00163063" w:rsidP="00BD2CEB">
      <w:pPr>
        <w:pStyle w:val="SingleTxtG"/>
        <w:rPr>
          <w:lang w:val="es-ES"/>
        </w:rPr>
      </w:pPr>
      <w:r w:rsidRPr="00960E47">
        <w:rPr>
          <w:lang w:val="es-ES"/>
        </w:rPr>
        <w:t>15.</w:t>
      </w:r>
      <w:r w:rsidRPr="00960E47">
        <w:rPr>
          <w:lang w:val="es-ES"/>
        </w:rPr>
        <w:tab/>
      </w:r>
      <w:r w:rsidR="00E421FD" w:rsidRPr="00960E47">
        <w:rPr>
          <w:lang w:val="es-ES"/>
        </w:rPr>
        <w:t>En el sector informal, las actividades comerciales son realizadas por particulares considerados como empleados por cuenta propia. Trabajan como vendedores callejeros, agricultores o trabajadores domésticos y en una gran variedad de otras actividades. Según el Informe sobre el desarrollo mundial de 2005, las entidades del sector privado invierten en nuevos mercados y nuevas instalaciones, que ayudan a reforzar la base infraestructural de la economía, lo que a su vez permite sentar las bases para atraer inversores de otros países y contribuir al logro del crecimiento económico. El desarrollo del sector privado ayuda también a reducir el desempleo y la corrupción, lo que tiene importantes repercusiones en la vida tanto económica como social de la población del país. Los empleos y los ingresos generados por empresas del sector privado dan lugar a la difusión económica del crecimiento, ya que repercuten directamente en la mitigación de la pobreza. El sector privado es también la principal fuente de ingresos tributarios, y contribuye a la financiación pública de la atención de la salud y el suministro de agua potable, alimentos e insumos agrícolas, como semillas, para los pobres, además de atender otras demandas</w:t>
      </w:r>
      <w:r w:rsidR="00E421FD" w:rsidRPr="00960E47">
        <w:rPr>
          <w:rStyle w:val="FootnoteReference"/>
          <w:lang w:val="es-ES"/>
        </w:rPr>
        <w:footnoteReference w:id="9"/>
      </w:r>
      <w:r w:rsidR="00E421FD" w:rsidRPr="00960E47">
        <w:rPr>
          <w:lang w:val="es-ES"/>
        </w:rPr>
        <w:t>.</w:t>
      </w:r>
    </w:p>
    <w:p w:rsidR="00E421FD" w:rsidRPr="00960E47" w:rsidRDefault="00163063" w:rsidP="00BD2CEB">
      <w:pPr>
        <w:pStyle w:val="H23G"/>
        <w:rPr>
          <w:lang w:val="es-ES"/>
        </w:rPr>
      </w:pPr>
      <w:r w:rsidRPr="00960E47">
        <w:rPr>
          <w:lang w:val="es-ES"/>
        </w:rPr>
        <w:tab/>
      </w:r>
      <w:r w:rsidRPr="00960E47">
        <w:rPr>
          <w:lang w:val="es-ES"/>
        </w:rPr>
        <w:tab/>
      </w:r>
      <w:r w:rsidR="00E421FD" w:rsidRPr="00960E47">
        <w:rPr>
          <w:lang w:val="es-ES"/>
        </w:rPr>
        <w:t>Trabajadores migrantes</w:t>
      </w:r>
    </w:p>
    <w:p w:rsidR="00E421FD" w:rsidRPr="00960E47" w:rsidRDefault="00163063" w:rsidP="00BD2CEB">
      <w:pPr>
        <w:pStyle w:val="SingleTxtG"/>
        <w:rPr>
          <w:lang w:val="es-ES"/>
        </w:rPr>
      </w:pPr>
      <w:r w:rsidRPr="00960E47">
        <w:rPr>
          <w:lang w:val="es-ES"/>
        </w:rPr>
        <w:t>16.</w:t>
      </w:r>
      <w:r w:rsidRPr="00960E47">
        <w:rPr>
          <w:lang w:val="es-ES"/>
        </w:rPr>
        <w:tab/>
      </w:r>
      <w:r w:rsidR="00E421FD" w:rsidRPr="00960E47">
        <w:rPr>
          <w:lang w:val="es-ES"/>
        </w:rPr>
        <w:t>La ubicación de Lesotho dentro de las fronteras de la República de Sudáfrica ha contribuido notablemente a determinar sus parámetros de empleo. Las minas de oro de Sudáfrica han empleado tradicionalmente un número significativo de trabajadores basotho. Lesotho exporta a Sudáfrica unos 116.129 trabajadores no especializados (aproximadamente el 22,7% del total de la fuerza de trabajo), 94.292 de los cuales están empleados en las minas. Debido a la multiplicación de los despidos en las minas, el número de trabajadores migrantes empleados en ellas ha disminuido de forma constante, desde unos 65.000 en 2000 a 53.000 en 2005. En consecuencia, muchos mineros basotho han sido despedidos, lo que ha dado lugar a una alta tasa de desempleo y a la falta de fuentes alternativas de ingreso.</w:t>
      </w:r>
    </w:p>
    <w:p w:rsidR="00E421FD" w:rsidRPr="00960E47" w:rsidRDefault="00163063" w:rsidP="00BD2CEB">
      <w:pPr>
        <w:pStyle w:val="SingleTxtG"/>
        <w:rPr>
          <w:lang w:val="es-ES"/>
        </w:rPr>
      </w:pPr>
      <w:r w:rsidRPr="00960E47">
        <w:rPr>
          <w:lang w:val="es-ES"/>
        </w:rPr>
        <w:t>17.</w:t>
      </w:r>
      <w:r w:rsidRPr="00960E47">
        <w:rPr>
          <w:lang w:val="es-ES"/>
        </w:rPr>
        <w:tab/>
      </w:r>
      <w:r w:rsidR="00E421FD" w:rsidRPr="00960E47">
        <w:rPr>
          <w:lang w:val="es-ES"/>
        </w:rPr>
        <w:t>Según datos de la encuesta de hogares, el dese</w:t>
      </w:r>
      <w:r w:rsidR="00FA7460" w:rsidRPr="00960E47">
        <w:rPr>
          <w:lang w:val="es-ES"/>
        </w:rPr>
        <w:t>mpleo se mantuvo elevado, en un </w:t>
      </w:r>
      <w:r w:rsidR="00E421FD" w:rsidRPr="00960E47">
        <w:rPr>
          <w:lang w:val="es-ES"/>
        </w:rPr>
        <w:t>23,2% (42,1) en 2008. Entre 2002 y 2003 el total de la fuerza de trabajo bajó con respecto al 28,7% de 1994/95. De ese total, el 8,9% eran personas con estudios primarios: el 7,9% no había recibido ninguna educación formal. La tasa de desempleo de los varones era del 14,7%, y la de las mujeres del 8,5%. La situación del desempleo en Lesotho no parece haber mejorado entre 1994 y 1995. Entre 2002 y 2003, la proporción de hombres y mujeres sin empleo se estimaba en el 7,1% y el 4,6%, respectivamente. El coeficiente de desempleo de hombres y mujeres en 1994 y 1995 era del 7,7% y el 3,9%, respectivamente; entre 2008 y 2009 subió del 24,6% al 33,1%. Las personas de zonas urbanas tienen empleo asalariado con mayor frecuencia que las de las zonas rurales, donde practican sobre todo la agricultura de subsistencia.</w:t>
      </w:r>
    </w:p>
    <w:p w:rsidR="00E421FD" w:rsidRPr="00960E47" w:rsidRDefault="00163063" w:rsidP="00BD2CEB">
      <w:pPr>
        <w:pStyle w:val="SingleTxtG"/>
        <w:rPr>
          <w:lang w:val="es-ES"/>
        </w:rPr>
      </w:pPr>
      <w:r w:rsidRPr="00960E47">
        <w:rPr>
          <w:lang w:val="es-ES"/>
        </w:rPr>
        <w:t>18.</w:t>
      </w:r>
      <w:r w:rsidRPr="00960E47">
        <w:rPr>
          <w:lang w:val="es-ES"/>
        </w:rPr>
        <w:tab/>
      </w:r>
      <w:r w:rsidR="00E421FD" w:rsidRPr="00960E47">
        <w:rPr>
          <w:lang w:val="es-ES"/>
        </w:rPr>
        <w:t>La crisis económica ha influido en la tasa de pérdida de empleo, lo que a su vez ha influido en el nivel de desempleo. La constante fluctuación del tipo de cambio del rand entre 2008 y 2010 ha influido también en la tasa de empleo en Lesotho.</w:t>
      </w:r>
    </w:p>
    <w:p w:rsidR="00E421FD" w:rsidRPr="00960E47" w:rsidRDefault="00163063" w:rsidP="00BD2CEB">
      <w:pPr>
        <w:pStyle w:val="SingleTxtG"/>
        <w:rPr>
          <w:lang w:val="es-ES"/>
        </w:rPr>
      </w:pPr>
      <w:r w:rsidRPr="00960E47">
        <w:rPr>
          <w:lang w:val="es-ES"/>
        </w:rPr>
        <w:t>19.</w:t>
      </w:r>
      <w:r w:rsidRPr="00960E47">
        <w:rPr>
          <w:lang w:val="es-ES"/>
        </w:rPr>
        <w:tab/>
      </w:r>
      <w:r w:rsidR="00E421FD" w:rsidRPr="00960E47">
        <w:rPr>
          <w:lang w:val="es-ES"/>
        </w:rPr>
        <w:t>Según el informe del Mecanismo Africano de Evaluación entre Pares (MAEP), las remesas desde la República de Sudáfrica representaron aproximadamente la mitad del PIB en los años ochenta. Esas remesas se han reducido aproximadamente a una quinta parte del PIB últimamente.</w:t>
      </w:r>
    </w:p>
    <w:p w:rsidR="00E421FD" w:rsidRPr="00960E47" w:rsidRDefault="00163063" w:rsidP="00BD2CEB">
      <w:pPr>
        <w:pStyle w:val="SingleTxtG"/>
        <w:rPr>
          <w:lang w:val="es-ES"/>
        </w:rPr>
      </w:pPr>
      <w:r w:rsidRPr="00960E47">
        <w:rPr>
          <w:lang w:val="es-ES"/>
        </w:rPr>
        <w:t>20.</w:t>
      </w:r>
      <w:r w:rsidRPr="00960E47">
        <w:rPr>
          <w:lang w:val="es-ES"/>
        </w:rPr>
        <w:tab/>
      </w:r>
      <w:r w:rsidR="00E421FD" w:rsidRPr="00960E47">
        <w:rPr>
          <w:lang w:val="es-ES"/>
        </w:rPr>
        <w:t>Dado que muchos ciudadanos de Lesotho han migrado a la República de Sudáfrica por razones de trabajo, en particular en las minas, es importante señalar que el Gobierno de Lesotho ofrece a esos trabajadores cierta protección. En los años setenta se suscribió un Acuerdo Laboral entre Lesotho y la República de Sudáfrica, en el que se garantizaban a los basotho todos los derechos laborales previstos en la Orden del Código del Trabajo de 1992. Las cuestiones relacionadas con el empleo de ciudadanos de Lesotho fuera del país están recogidas en las partes X y XI del Código del Trabajo de 1992; los artículos 138 a 152 de la Parte X hacen referencia a los agentes laborales, y los artículos 153 a 164 de la Parte XI regulan los contratos de servicio en el extranjero distintos de los concertados por o en nombre del Gobierno.</w:t>
      </w:r>
    </w:p>
    <w:p w:rsidR="00E421FD" w:rsidRPr="00960E47" w:rsidRDefault="00163063" w:rsidP="00BD2CEB">
      <w:pPr>
        <w:pStyle w:val="H1G"/>
        <w:rPr>
          <w:lang w:val="es-ES"/>
        </w:rPr>
      </w:pPr>
      <w:r w:rsidRPr="00960E47">
        <w:rPr>
          <w:lang w:val="es-ES"/>
        </w:rPr>
        <w:tab/>
        <w:t>F.</w:t>
      </w:r>
      <w:r w:rsidRPr="00960E47">
        <w:rPr>
          <w:lang w:val="es-ES"/>
        </w:rPr>
        <w:tab/>
      </w:r>
      <w:r w:rsidR="00E421FD" w:rsidRPr="00960E47">
        <w:rPr>
          <w:lang w:val="es-ES"/>
        </w:rPr>
        <w:t>Educación</w:t>
      </w:r>
    </w:p>
    <w:p w:rsidR="00E421FD" w:rsidRPr="00960E47" w:rsidRDefault="00163063" w:rsidP="00BD2CEB">
      <w:pPr>
        <w:pStyle w:val="SingleTxtG"/>
        <w:rPr>
          <w:lang w:val="es-ES"/>
        </w:rPr>
      </w:pPr>
      <w:r w:rsidRPr="00960E47">
        <w:rPr>
          <w:lang w:val="es-ES"/>
        </w:rPr>
        <w:t>21.</w:t>
      </w:r>
      <w:r w:rsidRPr="00960E47">
        <w:rPr>
          <w:lang w:val="es-ES"/>
        </w:rPr>
        <w:tab/>
      </w:r>
      <w:r w:rsidR="00E421FD" w:rsidRPr="00960E47">
        <w:rPr>
          <w:lang w:val="es-ES"/>
        </w:rPr>
        <w:t>Lesotho es uno de los pocos países del África Subsahariana que tiene una tasa elevada de matriculación en la enseñanza primaria (84%). El Gobierno de Lesotho ha promulgado recientemente la Ley núm. 3 de Educación, de 2010, en la que se establece el derecho a la educación gratuita y obligatoria. Ello ha representado un hito prometedor hacia el logro de los Objetivos de Desarrollo del Milenio (ODM), y en particular la educación primaria universal. La educación primaria gratuita se introdujo ya en el año 2000, como estrategia importante para alcanzar la educación primaria universal y la educación para todos. No obstante, dado que no era obligatoria, algunos padres no llevaban todavía a los niños a la escuela y les dedicaban a realizar trabajos baratos y peligrosos, como el cuidado del ganado. La estrategia ha representado también un gran avance hacia el logro de los ODM. Según el informe de 2010 sobre los ODM en Lesotho, la tasa de matrícula de los niños en la enseñanza primaria subió del 60% en 1999 al 82% en 2000, y volvió a subir hasta el 83,9% en 2006. La tasa de alfabetización de adultos se estima actualmente en el 72%. Es un hecho reconocido que Lesotho ha realizado importantes avances en el sector de la educación</w:t>
      </w:r>
      <w:r w:rsidR="00E421FD" w:rsidRPr="00960E47">
        <w:rPr>
          <w:rStyle w:val="FootnoteReference"/>
          <w:lang w:val="es-ES"/>
        </w:rPr>
        <w:footnoteReference w:id="10"/>
      </w:r>
      <w:r w:rsidR="00E421FD" w:rsidRPr="00960E47">
        <w:rPr>
          <w:lang w:val="es-ES"/>
        </w:rPr>
        <w:t>.</w:t>
      </w:r>
    </w:p>
    <w:p w:rsidR="00E421FD" w:rsidRPr="00960E47" w:rsidRDefault="00163063" w:rsidP="00BD2CEB">
      <w:pPr>
        <w:pStyle w:val="SingleTxtG"/>
        <w:rPr>
          <w:lang w:val="es-ES"/>
        </w:rPr>
      </w:pPr>
      <w:r w:rsidRPr="00960E47">
        <w:rPr>
          <w:lang w:val="es-ES"/>
        </w:rPr>
        <w:t>22.</w:t>
      </w:r>
      <w:r w:rsidRPr="00960E47">
        <w:rPr>
          <w:lang w:val="es-ES"/>
        </w:rPr>
        <w:tab/>
      </w:r>
      <w:r w:rsidR="00E421FD" w:rsidRPr="00960E47">
        <w:rPr>
          <w:lang w:val="es-ES"/>
        </w:rPr>
        <w:t xml:space="preserve">La Constitución de Lesotho de 1993, en su artículo 3 1), declara que </w:t>
      </w:r>
      <w:r w:rsidR="0045213B" w:rsidRPr="00960E47">
        <w:rPr>
          <w:lang w:val="es-ES"/>
        </w:rPr>
        <w:t>"</w:t>
      </w:r>
      <w:r w:rsidR="00E421FD" w:rsidRPr="00960E47">
        <w:rPr>
          <w:lang w:val="es-ES"/>
        </w:rPr>
        <w:t>los idiomas oficiales de Lesotho serán el sesotho y el inglés</w:t>
      </w:r>
      <w:r w:rsidR="0045213B" w:rsidRPr="00960E47">
        <w:rPr>
          <w:lang w:val="es-ES"/>
        </w:rPr>
        <w:t>"</w:t>
      </w:r>
      <w:r w:rsidR="00E421FD" w:rsidRPr="00960E47">
        <w:rPr>
          <w:lang w:val="es-ES"/>
        </w:rPr>
        <w:t>. Estos son también los dos idiomas oficiales de enseñanza, tanto en la enseñanza primaria como en la secundaria, superior, terciaria y profesional. La apertura de muchas escuelas de grado medio en inglés ha requerido también una utilización elevada del idioma inglés en las escuelas.</w:t>
      </w:r>
    </w:p>
    <w:p w:rsidR="00E421FD" w:rsidRPr="00960E47" w:rsidRDefault="00163063" w:rsidP="00BD2CEB">
      <w:pPr>
        <w:pStyle w:val="SingleTxtG"/>
        <w:rPr>
          <w:lang w:val="es-ES"/>
        </w:rPr>
      </w:pPr>
      <w:r w:rsidRPr="00960E47">
        <w:rPr>
          <w:lang w:val="es-ES"/>
        </w:rPr>
        <w:t>23.</w:t>
      </w:r>
      <w:r w:rsidRPr="00960E47">
        <w:rPr>
          <w:lang w:val="es-ES"/>
        </w:rPr>
        <w:tab/>
      </w:r>
      <w:r w:rsidR="00E421FD" w:rsidRPr="00960E47">
        <w:rPr>
          <w:lang w:val="es-ES"/>
        </w:rPr>
        <w:t xml:space="preserve">El Ministerio de Educación se encarga de los programas de enseñanza primaria, así como de organizar los exámenes oficiales de 7º grado, último año de la escuela primaria. La enseñanza secundaria media dura tres años y es administrada conjuntamente con el Ministerio de Educación del Reino de Swazilandia. El nivel de enseñanza secundaria superior, que dura dos años después de la enseñanza secundaria de nivel medio, es competencia exclusiva de la Universidad de Cambridge, en Inglaterra, pero gradualmente el sistema está pasando a ser de competencia local. El nivel de enseñanza secundaria superior también constituye el cauce hacia las instituciones de enseñanza superior, como la universidad, las escuelas de magisterio y las escuelas de enseñanza técnica y profesional. </w:t>
      </w:r>
    </w:p>
    <w:p w:rsidR="00E421FD" w:rsidRPr="00960E47" w:rsidRDefault="00163063" w:rsidP="00BD2CEB">
      <w:pPr>
        <w:pStyle w:val="SingleTxtG"/>
        <w:rPr>
          <w:lang w:val="es-ES"/>
        </w:rPr>
      </w:pPr>
      <w:r w:rsidRPr="00960E47">
        <w:rPr>
          <w:lang w:val="es-ES"/>
        </w:rPr>
        <w:t>24.</w:t>
      </w:r>
      <w:r w:rsidRPr="00960E47">
        <w:rPr>
          <w:lang w:val="es-ES"/>
        </w:rPr>
        <w:tab/>
      </w:r>
      <w:r w:rsidR="00E421FD" w:rsidRPr="00960E47">
        <w:rPr>
          <w:lang w:val="es-ES"/>
        </w:rPr>
        <w:t>Según estadísticas de 2006, Lesotho tiene unas 1.455 escuelas de enseñanza primaria, con un total de 424.855 alumnos, divididos en partes aproximadamente iguales entre niños y niñas, y 10.418 maestros, 6.141 de ellos con un título reconocido. Hay unas 240 escuelas de enseñanza secundaria, con un total de 94.545 alumnos y 3.673 profesores, 2.651 de ellos con título reconocido. La población escolar femenina es mayoritaria en este nivel. Hay 2.597 alumnos en diversas instituciones de enseñanza postsecundaria. En el nivel universitario hay 6.726 alumnos, el 52% de los cuales son varones y el 48% mujeres. Hay también alumnos de enseñanza postsecundaria y universitaria que estudian en el extranjero. El Gobierno ofrece subsidios financieros a las escuelas tanto públicas como privadas.</w:t>
      </w:r>
    </w:p>
    <w:p w:rsidR="00E421FD" w:rsidRPr="00960E47" w:rsidRDefault="00163063" w:rsidP="00BD2CEB">
      <w:pPr>
        <w:pStyle w:val="SingleTxtG"/>
        <w:rPr>
          <w:lang w:val="es-ES"/>
        </w:rPr>
      </w:pPr>
      <w:r w:rsidRPr="00960E47">
        <w:rPr>
          <w:lang w:val="es-ES"/>
        </w:rPr>
        <w:t>25.</w:t>
      </w:r>
      <w:r w:rsidRPr="00960E47">
        <w:rPr>
          <w:lang w:val="es-ES"/>
        </w:rPr>
        <w:tab/>
      </w:r>
      <w:r w:rsidR="00E421FD" w:rsidRPr="00960E47">
        <w:rPr>
          <w:lang w:val="es-ES"/>
        </w:rPr>
        <w:t>En 2004-2006 el número más elevado de alumnos matriculados correspondió a Maseru (89.238), seguido de Leribe (66.728), Berea (54.935) y Mafeteng (45.576). La cifra más baja (18.589) fue la de Qacha</w:t>
      </w:r>
      <w:r w:rsidR="00866E12" w:rsidRPr="00960E47">
        <w:rPr>
          <w:lang w:val="es-ES"/>
        </w:rPr>
        <w:t>'</w:t>
      </w:r>
      <w:r w:rsidR="00E421FD" w:rsidRPr="00960E47">
        <w:rPr>
          <w:lang w:val="es-ES"/>
        </w:rPr>
        <w:t xml:space="preserve"> Nek.</w:t>
      </w:r>
    </w:p>
    <w:p w:rsidR="00E421FD" w:rsidRPr="00960E47" w:rsidRDefault="00163063" w:rsidP="00BD2CEB">
      <w:pPr>
        <w:pStyle w:val="SingleTxtG"/>
        <w:rPr>
          <w:lang w:val="es-ES"/>
        </w:rPr>
      </w:pPr>
      <w:r w:rsidRPr="00960E47">
        <w:rPr>
          <w:lang w:val="es-ES"/>
        </w:rPr>
        <w:t>26.</w:t>
      </w:r>
      <w:r w:rsidRPr="00960E47">
        <w:rPr>
          <w:lang w:val="es-ES"/>
        </w:rPr>
        <w:tab/>
      </w:r>
      <w:r w:rsidR="00E421FD" w:rsidRPr="00960E47">
        <w:rPr>
          <w:lang w:val="es-ES"/>
        </w:rPr>
        <w:t>La disparidad de género es también visible en los diferentes distritos y regiones. En los distritos de las tierras bajas, hay más niños que niñas matriculados, mientras que ocurre lo contrario en las montañas.</w:t>
      </w:r>
    </w:p>
    <w:p w:rsidR="00E421FD" w:rsidRPr="00960E47" w:rsidRDefault="007C300A" w:rsidP="00BD2CEB">
      <w:pPr>
        <w:pStyle w:val="SingleTxtG"/>
        <w:rPr>
          <w:lang w:val="es-ES"/>
        </w:rPr>
      </w:pPr>
      <w:r w:rsidRPr="00960E47">
        <w:rPr>
          <w:lang w:val="es-ES"/>
        </w:rPr>
        <w:t>27.</w:t>
      </w:r>
      <w:r w:rsidRPr="00960E47">
        <w:rPr>
          <w:lang w:val="es-ES"/>
        </w:rPr>
        <w:tab/>
      </w:r>
      <w:r w:rsidR="00E421FD" w:rsidRPr="00960E47">
        <w:rPr>
          <w:lang w:val="es-ES"/>
        </w:rPr>
        <w:t>Las iglesias poseen y gestionan el 84% de las escuelas de enseñanza primaria. El Gobierno y las comunidades poseen el 10% y el 4%, respectivamente. Como en años anteriores, la Misión de la Iglesia Católica Romana era la que tenía el número más elevado de alumnos de enseñanza primaria. Su proporción era todavía el 36,0%, solo un 3% más que la Iglesia Evangélica de Lesotho. Las iglesias católica, evangélica y anglicana poseían, respectivamente, 514, 480 y 176 escuelas. El Gobierno tenía 1.145. Había solo 6 escuelas privadas. El número total de alumnos subió de forma constante desde un total de 1.283, el año en que comenzó la enseñanza primaria gratuita, a 1.</w:t>
      </w:r>
      <w:r w:rsidR="00FA7460" w:rsidRPr="00960E47">
        <w:rPr>
          <w:lang w:val="es-ES"/>
        </w:rPr>
        <w:t>412 en 2004 y 1.419 en 2006. En </w:t>
      </w:r>
      <w:r w:rsidR="00E421FD" w:rsidRPr="00960E47">
        <w:rPr>
          <w:lang w:val="es-ES"/>
        </w:rPr>
        <w:t>2006 se registró un nuevo crecimiento, hasta un total de 1.455.</w:t>
      </w:r>
    </w:p>
    <w:p w:rsidR="00E421FD" w:rsidRPr="00960E47" w:rsidRDefault="007C300A" w:rsidP="00BD2CEB">
      <w:pPr>
        <w:pStyle w:val="SingleTxtG"/>
        <w:rPr>
          <w:lang w:val="es-ES"/>
        </w:rPr>
      </w:pPr>
      <w:r w:rsidRPr="00960E47">
        <w:rPr>
          <w:lang w:val="es-ES"/>
        </w:rPr>
        <w:t>28.</w:t>
      </w:r>
      <w:r w:rsidRPr="00960E47">
        <w:rPr>
          <w:lang w:val="es-ES"/>
        </w:rPr>
        <w:tab/>
      </w:r>
      <w:r w:rsidR="00E421FD" w:rsidRPr="00960E47">
        <w:rPr>
          <w:lang w:val="es-ES"/>
        </w:rPr>
        <w:t>La distribución de las escuelas por distrito revela que Maseru tiene el número más elevado de escuelas (248), seguido de Leribe (187) y Mohale</w:t>
      </w:r>
      <w:r w:rsidR="00866E12" w:rsidRPr="00960E47">
        <w:rPr>
          <w:lang w:val="es-ES"/>
        </w:rPr>
        <w:t>'</w:t>
      </w:r>
      <w:r w:rsidR="00E421FD" w:rsidRPr="00960E47">
        <w:rPr>
          <w:lang w:val="es-ES"/>
        </w:rPr>
        <w:t xml:space="preserve">s Hoek (168). El número menor de escuelas (88) corresponde a Bhuta-Buthe. A diferencia de lo que ocurre con la matriculación, la región montañosa tiene más escuelas que las tierras bajas. Las montañas tienen muchas escuelas pequeñas dispersas por toda la región, con un pequeño número de alumnos matriculados. Quizá ello se deba a su terreno accidentado. </w:t>
      </w:r>
    </w:p>
    <w:p w:rsidR="00E421FD" w:rsidRPr="00960E47" w:rsidRDefault="007C300A" w:rsidP="00BD2CEB">
      <w:pPr>
        <w:pStyle w:val="H23G"/>
        <w:rPr>
          <w:lang w:val="es-ES"/>
        </w:rPr>
      </w:pPr>
      <w:r w:rsidRPr="00960E47">
        <w:rPr>
          <w:lang w:val="es-ES"/>
        </w:rPr>
        <w:tab/>
      </w:r>
      <w:r w:rsidRPr="00960E47">
        <w:rPr>
          <w:lang w:val="es-ES"/>
        </w:rPr>
        <w:tab/>
      </w:r>
      <w:r w:rsidR="00E421FD" w:rsidRPr="00960E47">
        <w:rPr>
          <w:lang w:val="es-ES"/>
        </w:rPr>
        <w:t>Alumnos de enseñanza primaria en 2004-2006, por distrito, lugar y género</w:t>
      </w:r>
    </w:p>
    <w:tbl>
      <w:tblPr>
        <w:tblW w:w="8505" w:type="dxa"/>
        <w:tblInd w:w="1134" w:type="dxa"/>
        <w:tblBorders>
          <w:top w:val="single" w:sz="4" w:space="0" w:color="auto"/>
          <w:bottom w:val="single" w:sz="12" w:space="0" w:color="auto"/>
        </w:tblBorders>
        <w:tblLayout w:type="fixed"/>
        <w:tblCellMar>
          <w:left w:w="0" w:type="dxa"/>
          <w:right w:w="0" w:type="dxa"/>
        </w:tblCellMar>
        <w:tblLook w:val="0000"/>
      </w:tblPr>
      <w:tblGrid>
        <w:gridCol w:w="1438"/>
        <w:gridCol w:w="785"/>
        <w:gridCol w:w="784"/>
        <w:gridCol w:w="786"/>
        <w:gridCol w:w="784"/>
        <w:gridCol w:w="786"/>
        <w:gridCol w:w="786"/>
        <w:gridCol w:w="784"/>
        <w:gridCol w:w="784"/>
        <w:gridCol w:w="788"/>
      </w:tblGrid>
      <w:tr w:rsidR="00E421FD" w:rsidRPr="00960E47" w:rsidTr="0065702B">
        <w:trPr>
          <w:trHeight w:val="240"/>
          <w:tblHeader/>
        </w:trPr>
        <w:tc>
          <w:tcPr>
            <w:tcW w:w="845" w:type="pct"/>
            <w:vMerge w:val="restart"/>
            <w:tcBorders>
              <w:top w:val="single" w:sz="4" w:space="0" w:color="auto"/>
              <w:bottom w:val="single" w:sz="12" w:space="0" w:color="auto"/>
            </w:tcBorders>
            <w:shd w:val="clear" w:color="auto" w:fill="auto"/>
            <w:vAlign w:val="bottom"/>
          </w:tcPr>
          <w:p w:rsidR="00E421FD" w:rsidRPr="00960E47" w:rsidRDefault="00E421FD" w:rsidP="0065702B">
            <w:pPr>
              <w:pStyle w:val="SingleTxtG"/>
              <w:spacing w:before="80" w:after="80" w:line="200" w:lineRule="exact"/>
              <w:ind w:left="0" w:right="0"/>
              <w:jc w:val="left"/>
              <w:rPr>
                <w:rFonts w:eastAsia="Arial Unicode MS"/>
                <w:i/>
                <w:sz w:val="16"/>
                <w:szCs w:val="18"/>
                <w:lang w:val="es-ES"/>
              </w:rPr>
            </w:pPr>
            <w:r w:rsidRPr="00960E47">
              <w:rPr>
                <w:i/>
                <w:sz w:val="16"/>
                <w:szCs w:val="18"/>
                <w:lang w:val="es-ES"/>
              </w:rPr>
              <w:t>Distritos</w:t>
            </w:r>
          </w:p>
        </w:tc>
        <w:tc>
          <w:tcPr>
            <w:tcW w:w="1384" w:type="pct"/>
            <w:gridSpan w:val="3"/>
            <w:tcBorders>
              <w:top w:val="single" w:sz="4" w:space="0" w:color="auto"/>
              <w:bottom w:val="single" w:sz="4" w:space="0" w:color="000000"/>
              <w:right w:val="single" w:sz="24" w:space="0" w:color="FFFFFF"/>
            </w:tcBorders>
            <w:shd w:val="clear" w:color="auto" w:fill="auto"/>
            <w:vAlign w:val="bottom"/>
          </w:tcPr>
          <w:p w:rsidR="00E421FD" w:rsidRPr="00960E47" w:rsidRDefault="00E421FD" w:rsidP="0065702B">
            <w:pPr>
              <w:pStyle w:val="SingleTxtG"/>
              <w:spacing w:before="80" w:after="80" w:line="200" w:lineRule="exact"/>
              <w:ind w:left="0" w:right="0"/>
              <w:jc w:val="center"/>
              <w:rPr>
                <w:i/>
                <w:sz w:val="16"/>
                <w:szCs w:val="18"/>
                <w:lang w:val="es-ES"/>
              </w:rPr>
            </w:pPr>
            <w:r w:rsidRPr="00960E47">
              <w:rPr>
                <w:i/>
                <w:sz w:val="16"/>
                <w:szCs w:val="18"/>
                <w:lang w:val="es-ES"/>
              </w:rPr>
              <w:t>2004</w:t>
            </w:r>
          </w:p>
        </w:tc>
        <w:tc>
          <w:tcPr>
            <w:tcW w:w="1385" w:type="pct"/>
            <w:gridSpan w:val="3"/>
            <w:tcBorders>
              <w:top w:val="single" w:sz="4" w:space="0" w:color="auto"/>
              <w:left w:val="single" w:sz="24" w:space="0" w:color="FFFFFF"/>
              <w:bottom w:val="single" w:sz="4" w:space="0" w:color="000000"/>
              <w:right w:val="single" w:sz="24" w:space="0" w:color="FFFFFF"/>
            </w:tcBorders>
            <w:shd w:val="clear" w:color="auto" w:fill="auto"/>
            <w:vAlign w:val="bottom"/>
          </w:tcPr>
          <w:p w:rsidR="00E421FD" w:rsidRPr="00960E47" w:rsidRDefault="00E421FD" w:rsidP="0065702B">
            <w:pPr>
              <w:pStyle w:val="SingleTxtG"/>
              <w:spacing w:before="80" w:after="80" w:line="200" w:lineRule="exact"/>
              <w:ind w:left="0" w:right="0"/>
              <w:jc w:val="center"/>
              <w:rPr>
                <w:i/>
                <w:sz w:val="16"/>
                <w:szCs w:val="18"/>
                <w:lang w:val="es-ES"/>
              </w:rPr>
            </w:pPr>
            <w:r w:rsidRPr="00960E47">
              <w:rPr>
                <w:i/>
                <w:sz w:val="16"/>
                <w:szCs w:val="18"/>
                <w:lang w:val="es-ES"/>
              </w:rPr>
              <w:t>2005</w:t>
            </w:r>
          </w:p>
        </w:tc>
        <w:tc>
          <w:tcPr>
            <w:tcW w:w="1385" w:type="pct"/>
            <w:gridSpan w:val="3"/>
            <w:tcBorders>
              <w:top w:val="single" w:sz="4" w:space="0" w:color="auto"/>
              <w:left w:val="single" w:sz="24" w:space="0" w:color="FFFFFF"/>
              <w:bottom w:val="single" w:sz="4" w:space="0" w:color="000000"/>
            </w:tcBorders>
            <w:shd w:val="clear" w:color="auto" w:fill="auto"/>
            <w:vAlign w:val="bottom"/>
          </w:tcPr>
          <w:p w:rsidR="00E421FD" w:rsidRPr="00960E47" w:rsidRDefault="00E421FD" w:rsidP="0065702B">
            <w:pPr>
              <w:pStyle w:val="SingleTxtG"/>
              <w:spacing w:before="80" w:after="80" w:line="200" w:lineRule="exact"/>
              <w:ind w:left="0" w:right="0"/>
              <w:jc w:val="center"/>
              <w:rPr>
                <w:i/>
                <w:sz w:val="16"/>
                <w:szCs w:val="18"/>
                <w:lang w:val="es-ES"/>
              </w:rPr>
            </w:pPr>
            <w:r w:rsidRPr="00960E47">
              <w:rPr>
                <w:i/>
                <w:sz w:val="16"/>
                <w:szCs w:val="18"/>
                <w:lang w:val="es-ES"/>
              </w:rPr>
              <w:t>2006</w:t>
            </w:r>
          </w:p>
        </w:tc>
      </w:tr>
      <w:tr w:rsidR="00E421FD" w:rsidRPr="00960E47" w:rsidTr="0065702B">
        <w:trPr>
          <w:trHeight w:val="240"/>
          <w:tblHeader/>
        </w:trPr>
        <w:tc>
          <w:tcPr>
            <w:tcW w:w="845" w:type="pct"/>
            <w:vMerge/>
            <w:tcBorders>
              <w:top w:val="single" w:sz="12" w:space="0" w:color="auto"/>
              <w:bottom w:val="single" w:sz="12" w:space="0" w:color="000000"/>
            </w:tcBorders>
            <w:shd w:val="clear" w:color="auto" w:fill="auto"/>
            <w:vAlign w:val="bottom"/>
          </w:tcPr>
          <w:p w:rsidR="00E421FD" w:rsidRPr="00960E47" w:rsidRDefault="00E421FD" w:rsidP="0065702B">
            <w:pPr>
              <w:pStyle w:val="SingleTxtG"/>
              <w:spacing w:before="80" w:after="80" w:line="200" w:lineRule="exact"/>
              <w:ind w:left="0" w:right="0"/>
              <w:jc w:val="left"/>
              <w:rPr>
                <w:rFonts w:eastAsia="Arial Unicode MS"/>
                <w:i/>
                <w:sz w:val="16"/>
                <w:szCs w:val="18"/>
                <w:lang w:val="es-ES"/>
              </w:rPr>
            </w:pPr>
          </w:p>
        </w:tc>
        <w:tc>
          <w:tcPr>
            <w:tcW w:w="461" w:type="pct"/>
            <w:tcBorders>
              <w:top w:val="single" w:sz="4" w:space="0" w:color="000000"/>
              <w:bottom w:val="single" w:sz="12" w:space="0" w:color="000000"/>
            </w:tcBorders>
            <w:shd w:val="clear" w:color="auto" w:fill="auto"/>
            <w:vAlign w:val="bottom"/>
          </w:tcPr>
          <w:p w:rsidR="00E421FD" w:rsidRPr="00960E47" w:rsidRDefault="00E421FD" w:rsidP="0065702B">
            <w:pPr>
              <w:pStyle w:val="SingleTxtG"/>
              <w:spacing w:before="80" w:after="80" w:line="200" w:lineRule="exact"/>
              <w:ind w:left="0" w:right="0"/>
              <w:jc w:val="right"/>
              <w:rPr>
                <w:i/>
                <w:sz w:val="16"/>
                <w:szCs w:val="18"/>
                <w:lang w:val="es-ES"/>
              </w:rPr>
            </w:pPr>
            <w:r w:rsidRPr="00960E47">
              <w:rPr>
                <w:i/>
                <w:sz w:val="16"/>
                <w:szCs w:val="18"/>
                <w:lang w:val="es-ES"/>
              </w:rPr>
              <w:t>Varones</w:t>
            </w:r>
          </w:p>
        </w:tc>
        <w:tc>
          <w:tcPr>
            <w:tcW w:w="461" w:type="pct"/>
            <w:tcBorders>
              <w:top w:val="single" w:sz="4" w:space="0" w:color="000000"/>
              <w:bottom w:val="single" w:sz="12" w:space="0" w:color="000000"/>
            </w:tcBorders>
            <w:shd w:val="clear" w:color="auto" w:fill="auto"/>
            <w:vAlign w:val="bottom"/>
          </w:tcPr>
          <w:p w:rsidR="00E421FD" w:rsidRPr="00960E47" w:rsidRDefault="00E421FD" w:rsidP="0065702B">
            <w:pPr>
              <w:pStyle w:val="SingleTxtG"/>
              <w:spacing w:before="80" w:after="80" w:line="200" w:lineRule="exact"/>
              <w:ind w:left="0" w:right="0"/>
              <w:jc w:val="right"/>
              <w:rPr>
                <w:i/>
                <w:sz w:val="16"/>
                <w:szCs w:val="18"/>
                <w:lang w:val="es-ES"/>
              </w:rPr>
            </w:pPr>
            <w:r w:rsidRPr="00960E47">
              <w:rPr>
                <w:i/>
                <w:sz w:val="16"/>
                <w:szCs w:val="18"/>
                <w:lang w:val="es-ES"/>
              </w:rPr>
              <w:t>Mujeres</w:t>
            </w:r>
          </w:p>
        </w:tc>
        <w:tc>
          <w:tcPr>
            <w:tcW w:w="461" w:type="pct"/>
            <w:tcBorders>
              <w:top w:val="single" w:sz="4" w:space="0" w:color="000000"/>
              <w:bottom w:val="single" w:sz="12" w:space="0" w:color="000000"/>
              <w:right w:val="single" w:sz="24" w:space="0" w:color="FFFFFF"/>
            </w:tcBorders>
            <w:shd w:val="clear" w:color="auto" w:fill="auto"/>
            <w:vAlign w:val="bottom"/>
          </w:tcPr>
          <w:p w:rsidR="00E421FD" w:rsidRPr="00960E47" w:rsidRDefault="00E421FD" w:rsidP="0065702B">
            <w:pPr>
              <w:pStyle w:val="SingleTxtG"/>
              <w:spacing w:before="80" w:after="80" w:line="200" w:lineRule="exact"/>
              <w:ind w:left="0" w:right="0"/>
              <w:jc w:val="right"/>
              <w:rPr>
                <w:b/>
                <w:i/>
                <w:sz w:val="16"/>
                <w:szCs w:val="18"/>
                <w:lang w:val="es-ES"/>
              </w:rPr>
            </w:pPr>
            <w:r w:rsidRPr="00960E47">
              <w:rPr>
                <w:b/>
                <w:i/>
                <w:sz w:val="16"/>
                <w:szCs w:val="18"/>
                <w:lang w:val="es-ES"/>
              </w:rPr>
              <w:t>Total</w:t>
            </w:r>
          </w:p>
        </w:tc>
        <w:tc>
          <w:tcPr>
            <w:tcW w:w="461" w:type="pct"/>
            <w:tcBorders>
              <w:top w:val="single" w:sz="4" w:space="0" w:color="000000"/>
              <w:left w:val="single" w:sz="24" w:space="0" w:color="FFFFFF"/>
              <w:bottom w:val="single" w:sz="12" w:space="0" w:color="000000"/>
            </w:tcBorders>
            <w:shd w:val="clear" w:color="auto" w:fill="auto"/>
            <w:vAlign w:val="bottom"/>
          </w:tcPr>
          <w:p w:rsidR="00E421FD" w:rsidRPr="00960E47" w:rsidRDefault="00E421FD" w:rsidP="0065702B">
            <w:pPr>
              <w:pStyle w:val="SingleTxtG"/>
              <w:spacing w:before="80" w:after="80" w:line="200" w:lineRule="exact"/>
              <w:ind w:left="0" w:right="0"/>
              <w:jc w:val="right"/>
              <w:rPr>
                <w:i/>
                <w:sz w:val="16"/>
                <w:szCs w:val="18"/>
                <w:lang w:val="es-ES"/>
              </w:rPr>
            </w:pPr>
            <w:r w:rsidRPr="00960E47">
              <w:rPr>
                <w:i/>
                <w:sz w:val="16"/>
                <w:szCs w:val="18"/>
                <w:lang w:val="es-ES"/>
              </w:rPr>
              <w:t xml:space="preserve">Varones </w:t>
            </w:r>
          </w:p>
        </w:tc>
        <w:tc>
          <w:tcPr>
            <w:tcW w:w="462" w:type="pct"/>
            <w:tcBorders>
              <w:top w:val="single" w:sz="4" w:space="0" w:color="000000"/>
              <w:bottom w:val="single" w:sz="12" w:space="0" w:color="000000"/>
            </w:tcBorders>
            <w:shd w:val="clear" w:color="auto" w:fill="auto"/>
            <w:vAlign w:val="bottom"/>
          </w:tcPr>
          <w:p w:rsidR="00E421FD" w:rsidRPr="00960E47" w:rsidRDefault="00E421FD" w:rsidP="0065702B">
            <w:pPr>
              <w:pStyle w:val="SingleTxtG"/>
              <w:spacing w:before="80" w:after="80" w:line="200" w:lineRule="exact"/>
              <w:ind w:left="0" w:right="0"/>
              <w:jc w:val="right"/>
              <w:rPr>
                <w:i/>
                <w:sz w:val="16"/>
                <w:szCs w:val="18"/>
                <w:lang w:val="es-ES"/>
              </w:rPr>
            </w:pPr>
            <w:r w:rsidRPr="00960E47">
              <w:rPr>
                <w:i/>
                <w:sz w:val="16"/>
                <w:szCs w:val="18"/>
                <w:lang w:val="es-ES"/>
              </w:rPr>
              <w:t>Mujeres</w:t>
            </w:r>
          </w:p>
        </w:tc>
        <w:tc>
          <w:tcPr>
            <w:tcW w:w="461" w:type="pct"/>
            <w:tcBorders>
              <w:top w:val="single" w:sz="4" w:space="0" w:color="000000"/>
              <w:bottom w:val="single" w:sz="12" w:space="0" w:color="000000"/>
              <w:right w:val="single" w:sz="24" w:space="0" w:color="FFFFFF"/>
            </w:tcBorders>
            <w:shd w:val="clear" w:color="auto" w:fill="auto"/>
            <w:vAlign w:val="bottom"/>
          </w:tcPr>
          <w:p w:rsidR="00E421FD" w:rsidRPr="00960E47" w:rsidRDefault="00E421FD" w:rsidP="0065702B">
            <w:pPr>
              <w:pStyle w:val="SingleTxtG"/>
              <w:spacing w:before="80" w:after="80" w:line="200" w:lineRule="exact"/>
              <w:ind w:left="0" w:right="0"/>
              <w:jc w:val="right"/>
              <w:rPr>
                <w:b/>
                <w:i/>
                <w:sz w:val="16"/>
                <w:szCs w:val="18"/>
                <w:lang w:val="es-ES"/>
              </w:rPr>
            </w:pPr>
            <w:r w:rsidRPr="00960E47">
              <w:rPr>
                <w:b/>
                <w:i/>
                <w:sz w:val="16"/>
                <w:szCs w:val="18"/>
                <w:lang w:val="es-ES"/>
              </w:rPr>
              <w:t>Total</w:t>
            </w:r>
          </w:p>
        </w:tc>
        <w:tc>
          <w:tcPr>
            <w:tcW w:w="461" w:type="pct"/>
            <w:tcBorders>
              <w:top w:val="single" w:sz="4" w:space="0" w:color="000000"/>
              <w:left w:val="single" w:sz="24" w:space="0" w:color="FFFFFF"/>
              <w:bottom w:val="single" w:sz="12" w:space="0" w:color="000000"/>
            </w:tcBorders>
            <w:shd w:val="clear" w:color="auto" w:fill="auto"/>
            <w:vAlign w:val="bottom"/>
          </w:tcPr>
          <w:p w:rsidR="00E421FD" w:rsidRPr="00960E47" w:rsidRDefault="00E421FD" w:rsidP="0065702B">
            <w:pPr>
              <w:pStyle w:val="SingleTxtG"/>
              <w:spacing w:before="80" w:after="80" w:line="200" w:lineRule="exact"/>
              <w:ind w:left="0" w:right="0"/>
              <w:jc w:val="right"/>
              <w:rPr>
                <w:i/>
                <w:sz w:val="16"/>
                <w:szCs w:val="18"/>
                <w:lang w:val="es-ES"/>
              </w:rPr>
            </w:pPr>
            <w:r w:rsidRPr="00960E47">
              <w:rPr>
                <w:i/>
                <w:sz w:val="16"/>
                <w:szCs w:val="18"/>
                <w:lang w:val="es-ES"/>
              </w:rPr>
              <w:t xml:space="preserve">Varones </w:t>
            </w:r>
          </w:p>
        </w:tc>
        <w:tc>
          <w:tcPr>
            <w:tcW w:w="461" w:type="pct"/>
            <w:tcBorders>
              <w:top w:val="single" w:sz="4" w:space="0" w:color="000000"/>
              <w:bottom w:val="single" w:sz="12" w:space="0" w:color="000000"/>
            </w:tcBorders>
            <w:shd w:val="clear" w:color="auto" w:fill="auto"/>
            <w:vAlign w:val="bottom"/>
          </w:tcPr>
          <w:p w:rsidR="00E421FD" w:rsidRPr="00960E47" w:rsidRDefault="00E421FD" w:rsidP="0065702B">
            <w:pPr>
              <w:pStyle w:val="SingleTxtG"/>
              <w:spacing w:before="80" w:after="80" w:line="200" w:lineRule="exact"/>
              <w:ind w:left="0" w:right="0"/>
              <w:jc w:val="right"/>
              <w:rPr>
                <w:i/>
                <w:sz w:val="16"/>
                <w:szCs w:val="18"/>
                <w:lang w:val="es-ES"/>
              </w:rPr>
            </w:pPr>
            <w:r w:rsidRPr="00960E47">
              <w:rPr>
                <w:i/>
                <w:sz w:val="16"/>
                <w:szCs w:val="18"/>
                <w:lang w:val="es-ES"/>
              </w:rPr>
              <w:t>Mujeres</w:t>
            </w:r>
          </w:p>
        </w:tc>
        <w:tc>
          <w:tcPr>
            <w:tcW w:w="462" w:type="pct"/>
            <w:tcBorders>
              <w:top w:val="single" w:sz="4" w:space="0" w:color="000000"/>
              <w:bottom w:val="single" w:sz="12" w:space="0" w:color="000000"/>
            </w:tcBorders>
            <w:shd w:val="clear" w:color="auto" w:fill="auto"/>
            <w:vAlign w:val="bottom"/>
          </w:tcPr>
          <w:p w:rsidR="00E421FD" w:rsidRPr="00960E47" w:rsidRDefault="00E421FD" w:rsidP="0065702B">
            <w:pPr>
              <w:pStyle w:val="SingleTxtG"/>
              <w:spacing w:before="80" w:after="80" w:line="200" w:lineRule="exact"/>
              <w:ind w:left="0" w:right="0"/>
              <w:jc w:val="right"/>
              <w:rPr>
                <w:b/>
                <w:i/>
                <w:sz w:val="16"/>
                <w:szCs w:val="18"/>
                <w:lang w:val="es-ES"/>
              </w:rPr>
            </w:pPr>
            <w:r w:rsidRPr="00960E47">
              <w:rPr>
                <w:b/>
                <w:i/>
                <w:sz w:val="16"/>
                <w:szCs w:val="18"/>
                <w:lang w:val="es-ES"/>
              </w:rPr>
              <w:t>Total</w:t>
            </w:r>
          </w:p>
        </w:tc>
      </w:tr>
      <w:tr w:rsidR="00E421FD" w:rsidRPr="00960E47" w:rsidTr="0065702B">
        <w:trPr>
          <w:trHeight w:val="240"/>
        </w:trPr>
        <w:tc>
          <w:tcPr>
            <w:tcW w:w="845" w:type="pct"/>
            <w:tcBorders>
              <w:top w:val="single" w:sz="12" w:space="0" w:color="000000"/>
            </w:tcBorders>
            <w:shd w:val="clear" w:color="auto" w:fill="auto"/>
            <w:vAlign w:val="bottom"/>
          </w:tcPr>
          <w:p w:rsidR="00E421FD" w:rsidRPr="00960E47" w:rsidRDefault="00E421FD" w:rsidP="0065702B">
            <w:pPr>
              <w:pStyle w:val="SingleTxtG"/>
              <w:spacing w:before="40" w:after="40" w:line="220" w:lineRule="exact"/>
              <w:ind w:left="0" w:right="0"/>
              <w:jc w:val="left"/>
              <w:rPr>
                <w:sz w:val="18"/>
                <w:szCs w:val="18"/>
                <w:lang w:val="es-ES"/>
              </w:rPr>
            </w:pPr>
            <w:r w:rsidRPr="00960E47">
              <w:rPr>
                <w:sz w:val="18"/>
                <w:szCs w:val="18"/>
                <w:lang w:val="es-ES"/>
              </w:rPr>
              <w:t>Butha-Buthe</w:t>
            </w:r>
          </w:p>
        </w:tc>
        <w:tc>
          <w:tcPr>
            <w:tcW w:w="461" w:type="pct"/>
            <w:tcBorders>
              <w:top w:val="single" w:sz="12" w:space="0" w:color="000000"/>
            </w:tcBorders>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13</w:t>
            </w:r>
            <w:r w:rsidR="0065702B" w:rsidRPr="00960E47">
              <w:rPr>
                <w:sz w:val="18"/>
                <w:szCs w:val="18"/>
                <w:lang w:val="es-ES"/>
              </w:rPr>
              <w:t xml:space="preserve"> </w:t>
            </w:r>
            <w:r w:rsidRPr="00960E47">
              <w:rPr>
                <w:sz w:val="18"/>
                <w:szCs w:val="18"/>
                <w:lang w:val="es-ES"/>
              </w:rPr>
              <w:t>900</w:t>
            </w:r>
          </w:p>
        </w:tc>
        <w:tc>
          <w:tcPr>
            <w:tcW w:w="461" w:type="pct"/>
            <w:tcBorders>
              <w:top w:val="single" w:sz="12" w:space="0" w:color="000000"/>
            </w:tcBorders>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13</w:t>
            </w:r>
            <w:r w:rsidR="0065702B" w:rsidRPr="00960E47">
              <w:rPr>
                <w:sz w:val="18"/>
                <w:szCs w:val="18"/>
                <w:lang w:val="es-ES"/>
              </w:rPr>
              <w:t xml:space="preserve"> </w:t>
            </w:r>
            <w:r w:rsidRPr="00960E47">
              <w:rPr>
                <w:sz w:val="18"/>
                <w:szCs w:val="18"/>
                <w:lang w:val="es-ES"/>
              </w:rPr>
              <w:t>228</w:t>
            </w:r>
          </w:p>
        </w:tc>
        <w:tc>
          <w:tcPr>
            <w:tcW w:w="461" w:type="pct"/>
            <w:tcBorders>
              <w:top w:val="single" w:sz="12" w:space="0" w:color="000000"/>
            </w:tcBorders>
            <w:shd w:val="clear" w:color="auto" w:fill="auto"/>
            <w:vAlign w:val="bottom"/>
          </w:tcPr>
          <w:p w:rsidR="00E421FD" w:rsidRPr="00960E47" w:rsidRDefault="00E421FD" w:rsidP="0065702B">
            <w:pPr>
              <w:pStyle w:val="SingleTxtG"/>
              <w:spacing w:before="40" w:after="40" w:line="220" w:lineRule="exact"/>
              <w:ind w:left="0" w:right="0"/>
              <w:jc w:val="right"/>
              <w:rPr>
                <w:b/>
                <w:sz w:val="18"/>
                <w:szCs w:val="18"/>
                <w:lang w:val="es-ES"/>
              </w:rPr>
            </w:pPr>
            <w:r w:rsidRPr="00960E47">
              <w:rPr>
                <w:b/>
                <w:sz w:val="18"/>
                <w:szCs w:val="18"/>
                <w:lang w:val="es-ES"/>
              </w:rPr>
              <w:t>27</w:t>
            </w:r>
            <w:r w:rsidR="0065702B" w:rsidRPr="00960E47">
              <w:rPr>
                <w:b/>
                <w:sz w:val="18"/>
                <w:szCs w:val="18"/>
                <w:lang w:val="es-ES"/>
              </w:rPr>
              <w:t xml:space="preserve"> </w:t>
            </w:r>
            <w:r w:rsidRPr="00960E47">
              <w:rPr>
                <w:b/>
                <w:sz w:val="18"/>
                <w:szCs w:val="18"/>
                <w:lang w:val="es-ES"/>
              </w:rPr>
              <w:t>128</w:t>
            </w:r>
          </w:p>
        </w:tc>
        <w:tc>
          <w:tcPr>
            <w:tcW w:w="461" w:type="pct"/>
            <w:tcBorders>
              <w:top w:val="single" w:sz="12" w:space="0" w:color="000000"/>
            </w:tcBorders>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13</w:t>
            </w:r>
            <w:r w:rsidR="0065702B" w:rsidRPr="00960E47">
              <w:rPr>
                <w:sz w:val="18"/>
                <w:szCs w:val="18"/>
                <w:lang w:val="es-ES"/>
              </w:rPr>
              <w:t xml:space="preserve"> </w:t>
            </w:r>
            <w:r w:rsidRPr="00960E47">
              <w:rPr>
                <w:sz w:val="18"/>
                <w:szCs w:val="18"/>
                <w:lang w:val="es-ES"/>
              </w:rPr>
              <w:t>716</w:t>
            </w:r>
          </w:p>
        </w:tc>
        <w:tc>
          <w:tcPr>
            <w:tcW w:w="462" w:type="pct"/>
            <w:tcBorders>
              <w:top w:val="single" w:sz="12" w:space="0" w:color="000000"/>
            </w:tcBorders>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12</w:t>
            </w:r>
            <w:r w:rsidR="0065702B" w:rsidRPr="00960E47">
              <w:rPr>
                <w:sz w:val="18"/>
                <w:szCs w:val="18"/>
                <w:lang w:val="es-ES"/>
              </w:rPr>
              <w:t xml:space="preserve"> </w:t>
            </w:r>
            <w:r w:rsidRPr="00960E47">
              <w:rPr>
                <w:sz w:val="18"/>
                <w:szCs w:val="18"/>
                <w:lang w:val="es-ES"/>
              </w:rPr>
              <w:t>827</w:t>
            </w:r>
          </w:p>
        </w:tc>
        <w:tc>
          <w:tcPr>
            <w:tcW w:w="461" w:type="pct"/>
            <w:tcBorders>
              <w:top w:val="single" w:sz="12" w:space="0" w:color="000000"/>
            </w:tcBorders>
            <w:shd w:val="clear" w:color="auto" w:fill="auto"/>
            <w:vAlign w:val="bottom"/>
          </w:tcPr>
          <w:p w:rsidR="00E421FD" w:rsidRPr="00960E47" w:rsidRDefault="00E421FD" w:rsidP="0065702B">
            <w:pPr>
              <w:pStyle w:val="SingleTxtG"/>
              <w:spacing w:before="40" w:after="40" w:line="220" w:lineRule="exact"/>
              <w:ind w:left="0" w:right="0"/>
              <w:jc w:val="right"/>
              <w:rPr>
                <w:b/>
                <w:sz w:val="18"/>
                <w:szCs w:val="18"/>
                <w:lang w:val="es-ES"/>
              </w:rPr>
            </w:pPr>
            <w:r w:rsidRPr="00960E47">
              <w:rPr>
                <w:b/>
                <w:sz w:val="18"/>
                <w:szCs w:val="18"/>
                <w:lang w:val="es-ES"/>
              </w:rPr>
              <w:t>26</w:t>
            </w:r>
            <w:r w:rsidR="0065702B" w:rsidRPr="00960E47">
              <w:rPr>
                <w:b/>
                <w:sz w:val="18"/>
                <w:szCs w:val="18"/>
                <w:lang w:val="es-ES"/>
              </w:rPr>
              <w:t xml:space="preserve"> </w:t>
            </w:r>
            <w:r w:rsidRPr="00960E47">
              <w:rPr>
                <w:b/>
                <w:sz w:val="18"/>
                <w:szCs w:val="18"/>
                <w:lang w:val="es-ES"/>
              </w:rPr>
              <w:t>543</w:t>
            </w:r>
          </w:p>
        </w:tc>
        <w:tc>
          <w:tcPr>
            <w:tcW w:w="461" w:type="pct"/>
            <w:tcBorders>
              <w:top w:val="single" w:sz="12" w:space="0" w:color="000000"/>
            </w:tcBorders>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13</w:t>
            </w:r>
            <w:r w:rsidR="0065702B" w:rsidRPr="00960E47">
              <w:rPr>
                <w:sz w:val="18"/>
                <w:szCs w:val="18"/>
                <w:lang w:val="es-ES"/>
              </w:rPr>
              <w:t xml:space="preserve"> </w:t>
            </w:r>
            <w:r w:rsidRPr="00960E47">
              <w:rPr>
                <w:sz w:val="18"/>
                <w:szCs w:val="18"/>
                <w:lang w:val="es-ES"/>
              </w:rPr>
              <w:t>447</w:t>
            </w:r>
          </w:p>
        </w:tc>
        <w:tc>
          <w:tcPr>
            <w:tcW w:w="461" w:type="pct"/>
            <w:tcBorders>
              <w:top w:val="single" w:sz="12" w:space="0" w:color="000000"/>
            </w:tcBorders>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13</w:t>
            </w:r>
            <w:r w:rsidR="0065702B" w:rsidRPr="00960E47">
              <w:rPr>
                <w:sz w:val="18"/>
                <w:szCs w:val="18"/>
                <w:lang w:val="es-ES"/>
              </w:rPr>
              <w:t xml:space="preserve"> </w:t>
            </w:r>
            <w:r w:rsidRPr="00960E47">
              <w:rPr>
                <w:sz w:val="18"/>
                <w:szCs w:val="18"/>
                <w:lang w:val="es-ES"/>
              </w:rPr>
              <w:t>005</w:t>
            </w:r>
          </w:p>
        </w:tc>
        <w:tc>
          <w:tcPr>
            <w:tcW w:w="462" w:type="pct"/>
            <w:tcBorders>
              <w:top w:val="single" w:sz="12" w:space="0" w:color="000000"/>
            </w:tcBorders>
            <w:shd w:val="clear" w:color="auto" w:fill="auto"/>
            <w:vAlign w:val="bottom"/>
          </w:tcPr>
          <w:p w:rsidR="00E421FD" w:rsidRPr="00960E47" w:rsidRDefault="00E421FD" w:rsidP="0065702B">
            <w:pPr>
              <w:pStyle w:val="SingleTxtG"/>
              <w:spacing w:before="40" w:after="40" w:line="220" w:lineRule="exact"/>
              <w:ind w:left="0" w:right="0"/>
              <w:jc w:val="right"/>
              <w:rPr>
                <w:b/>
                <w:sz w:val="18"/>
                <w:szCs w:val="18"/>
                <w:lang w:val="es-ES"/>
              </w:rPr>
            </w:pPr>
            <w:r w:rsidRPr="00960E47">
              <w:rPr>
                <w:b/>
                <w:sz w:val="18"/>
                <w:szCs w:val="18"/>
                <w:lang w:val="es-ES"/>
              </w:rPr>
              <w:t>26</w:t>
            </w:r>
            <w:r w:rsidR="0065702B" w:rsidRPr="00960E47">
              <w:rPr>
                <w:b/>
                <w:sz w:val="18"/>
                <w:szCs w:val="18"/>
                <w:lang w:val="es-ES"/>
              </w:rPr>
              <w:t xml:space="preserve"> </w:t>
            </w:r>
            <w:r w:rsidRPr="00960E47">
              <w:rPr>
                <w:b/>
                <w:sz w:val="18"/>
                <w:szCs w:val="18"/>
                <w:lang w:val="es-ES"/>
              </w:rPr>
              <w:t>452</w:t>
            </w:r>
          </w:p>
        </w:tc>
      </w:tr>
      <w:tr w:rsidR="00E421FD" w:rsidRPr="00960E47" w:rsidTr="0065702B">
        <w:trPr>
          <w:trHeight w:val="240"/>
        </w:trPr>
        <w:tc>
          <w:tcPr>
            <w:tcW w:w="845" w:type="pct"/>
            <w:shd w:val="clear" w:color="auto" w:fill="auto"/>
            <w:vAlign w:val="bottom"/>
          </w:tcPr>
          <w:p w:rsidR="00E421FD" w:rsidRPr="00960E47" w:rsidRDefault="00E421FD" w:rsidP="0065702B">
            <w:pPr>
              <w:pStyle w:val="SingleTxtG"/>
              <w:spacing w:before="40" w:after="40" w:line="220" w:lineRule="exact"/>
              <w:ind w:left="0" w:right="0"/>
              <w:jc w:val="left"/>
              <w:rPr>
                <w:sz w:val="18"/>
                <w:szCs w:val="18"/>
                <w:lang w:val="es-ES"/>
              </w:rPr>
            </w:pPr>
            <w:r w:rsidRPr="00960E47">
              <w:rPr>
                <w:sz w:val="18"/>
                <w:szCs w:val="18"/>
                <w:lang w:val="es-ES"/>
              </w:rPr>
              <w:t>Leribe</w:t>
            </w:r>
          </w:p>
        </w:tc>
        <w:tc>
          <w:tcPr>
            <w:tcW w:w="461"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34</w:t>
            </w:r>
            <w:r w:rsidR="0065702B" w:rsidRPr="00960E47">
              <w:rPr>
                <w:sz w:val="18"/>
                <w:szCs w:val="18"/>
                <w:lang w:val="es-ES"/>
              </w:rPr>
              <w:t xml:space="preserve"> </w:t>
            </w:r>
            <w:r w:rsidRPr="00960E47">
              <w:rPr>
                <w:sz w:val="18"/>
                <w:szCs w:val="18"/>
                <w:lang w:val="es-ES"/>
              </w:rPr>
              <w:t>626</w:t>
            </w:r>
          </w:p>
        </w:tc>
        <w:tc>
          <w:tcPr>
            <w:tcW w:w="461"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33</w:t>
            </w:r>
            <w:r w:rsidR="0065702B" w:rsidRPr="00960E47">
              <w:rPr>
                <w:sz w:val="18"/>
                <w:szCs w:val="18"/>
                <w:lang w:val="es-ES"/>
              </w:rPr>
              <w:t xml:space="preserve"> </w:t>
            </w:r>
            <w:r w:rsidRPr="00960E47">
              <w:rPr>
                <w:sz w:val="18"/>
                <w:szCs w:val="18"/>
                <w:lang w:val="es-ES"/>
              </w:rPr>
              <w:t>076</w:t>
            </w:r>
          </w:p>
        </w:tc>
        <w:tc>
          <w:tcPr>
            <w:tcW w:w="461" w:type="pct"/>
            <w:shd w:val="clear" w:color="auto" w:fill="auto"/>
            <w:vAlign w:val="bottom"/>
          </w:tcPr>
          <w:p w:rsidR="00E421FD" w:rsidRPr="00960E47" w:rsidRDefault="00E421FD" w:rsidP="0065702B">
            <w:pPr>
              <w:pStyle w:val="SingleTxtG"/>
              <w:spacing w:before="40" w:after="40" w:line="220" w:lineRule="exact"/>
              <w:ind w:left="0" w:right="0"/>
              <w:jc w:val="right"/>
              <w:rPr>
                <w:b/>
                <w:sz w:val="18"/>
                <w:szCs w:val="18"/>
                <w:lang w:val="es-ES"/>
              </w:rPr>
            </w:pPr>
            <w:r w:rsidRPr="00960E47">
              <w:rPr>
                <w:b/>
                <w:sz w:val="18"/>
                <w:szCs w:val="18"/>
                <w:lang w:val="es-ES"/>
              </w:rPr>
              <w:t>67</w:t>
            </w:r>
            <w:r w:rsidR="0065702B" w:rsidRPr="00960E47">
              <w:rPr>
                <w:b/>
                <w:sz w:val="18"/>
                <w:szCs w:val="18"/>
                <w:lang w:val="es-ES"/>
              </w:rPr>
              <w:t xml:space="preserve"> </w:t>
            </w:r>
            <w:r w:rsidRPr="00960E47">
              <w:rPr>
                <w:b/>
                <w:sz w:val="18"/>
                <w:szCs w:val="18"/>
                <w:lang w:val="es-ES"/>
              </w:rPr>
              <w:t>702</w:t>
            </w:r>
          </w:p>
        </w:tc>
        <w:tc>
          <w:tcPr>
            <w:tcW w:w="461"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34</w:t>
            </w:r>
            <w:r w:rsidR="0065702B" w:rsidRPr="00960E47">
              <w:rPr>
                <w:sz w:val="18"/>
                <w:szCs w:val="18"/>
                <w:lang w:val="es-ES"/>
              </w:rPr>
              <w:t xml:space="preserve"> </w:t>
            </w:r>
            <w:r w:rsidRPr="00960E47">
              <w:rPr>
                <w:sz w:val="18"/>
                <w:szCs w:val="18"/>
                <w:lang w:val="es-ES"/>
              </w:rPr>
              <w:t>683</w:t>
            </w:r>
          </w:p>
        </w:tc>
        <w:tc>
          <w:tcPr>
            <w:tcW w:w="462"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32</w:t>
            </w:r>
            <w:r w:rsidR="0065702B" w:rsidRPr="00960E47">
              <w:rPr>
                <w:sz w:val="18"/>
                <w:szCs w:val="18"/>
                <w:lang w:val="es-ES"/>
              </w:rPr>
              <w:t xml:space="preserve"> </w:t>
            </w:r>
            <w:r w:rsidRPr="00960E47">
              <w:rPr>
                <w:sz w:val="18"/>
                <w:szCs w:val="18"/>
                <w:lang w:val="es-ES"/>
              </w:rPr>
              <w:t>148</w:t>
            </w:r>
          </w:p>
        </w:tc>
        <w:tc>
          <w:tcPr>
            <w:tcW w:w="461" w:type="pct"/>
            <w:shd w:val="clear" w:color="auto" w:fill="auto"/>
            <w:vAlign w:val="bottom"/>
          </w:tcPr>
          <w:p w:rsidR="00E421FD" w:rsidRPr="00960E47" w:rsidRDefault="00E421FD" w:rsidP="0065702B">
            <w:pPr>
              <w:pStyle w:val="SingleTxtG"/>
              <w:spacing w:before="40" w:after="40" w:line="220" w:lineRule="exact"/>
              <w:ind w:left="0" w:right="0"/>
              <w:jc w:val="right"/>
              <w:rPr>
                <w:b/>
                <w:sz w:val="18"/>
                <w:szCs w:val="18"/>
                <w:lang w:val="es-ES"/>
              </w:rPr>
            </w:pPr>
            <w:r w:rsidRPr="00960E47">
              <w:rPr>
                <w:b/>
                <w:sz w:val="18"/>
                <w:szCs w:val="18"/>
                <w:lang w:val="es-ES"/>
              </w:rPr>
              <w:t>66</w:t>
            </w:r>
            <w:r w:rsidR="0065702B" w:rsidRPr="00960E47">
              <w:rPr>
                <w:b/>
                <w:sz w:val="18"/>
                <w:szCs w:val="18"/>
                <w:lang w:val="es-ES"/>
              </w:rPr>
              <w:t xml:space="preserve"> </w:t>
            </w:r>
            <w:r w:rsidRPr="00960E47">
              <w:rPr>
                <w:b/>
                <w:sz w:val="18"/>
                <w:szCs w:val="18"/>
                <w:lang w:val="es-ES"/>
              </w:rPr>
              <w:t>831</w:t>
            </w:r>
          </w:p>
        </w:tc>
        <w:tc>
          <w:tcPr>
            <w:tcW w:w="461"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34</w:t>
            </w:r>
            <w:r w:rsidR="0065702B" w:rsidRPr="00960E47">
              <w:rPr>
                <w:sz w:val="18"/>
                <w:szCs w:val="18"/>
                <w:lang w:val="es-ES"/>
              </w:rPr>
              <w:t xml:space="preserve"> </w:t>
            </w:r>
            <w:r w:rsidRPr="00960E47">
              <w:rPr>
                <w:sz w:val="18"/>
                <w:szCs w:val="18"/>
                <w:lang w:val="es-ES"/>
              </w:rPr>
              <w:t>622</w:t>
            </w:r>
          </w:p>
        </w:tc>
        <w:tc>
          <w:tcPr>
            <w:tcW w:w="461"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32</w:t>
            </w:r>
            <w:r w:rsidR="0065702B" w:rsidRPr="00960E47">
              <w:rPr>
                <w:sz w:val="18"/>
                <w:szCs w:val="18"/>
                <w:lang w:val="es-ES"/>
              </w:rPr>
              <w:t xml:space="preserve"> </w:t>
            </w:r>
            <w:r w:rsidRPr="00960E47">
              <w:rPr>
                <w:sz w:val="18"/>
                <w:szCs w:val="18"/>
                <w:lang w:val="es-ES"/>
              </w:rPr>
              <w:t>106</w:t>
            </w:r>
          </w:p>
        </w:tc>
        <w:tc>
          <w:tcPr>
            <w:tcW w:w="462" w:type="pct"/>
            <w:shd w:val="clear" w:color="auto" w:fill="auto"/>
            <w:vAlign w:val="bottom"/>
          </w:tcPr>
          <w:p w:rsidR="00E421FD" w:rsidRPr="00960E47" w:rsidRDefault="00E421FD" w:rsidP="0065702B">
            <w:pPr>
              <w:pStyle w:val="SingleTxtG"/>
              <w:spacing w:before="40" w:after="40" w:line="220" w:lineRule="exact"/>
              <w:ind w:left="0" w:right="0"/>
              <w:jc w:val="right"/>
              <w:rPr>
                <w:b/>
                <w:sz w:val="18"/>
                <w:szCs w:val="18"/>
                <w:lang w:val="es-ES"/>
              </w:rPr>
            </w:pPr>
            <w:r w:rsidRPr="00960E47">
              <w:rPr>
                <w:b/>
                <w:sz w:val="18"/>
                <w:szCs w:val="18"/>
                <w:lang w:val="es-ES"/>
              </w:rPr>
              <w:t>66</w:t>
            </w:r>
            <w:r w:rsidR="0065702B" w:rsidRPr="00960E47">
              <w:rPr>
                <w:b/>
                <w:sz w:val="18"/>
                <w:szCs w:val="18"/>
                <w:lang w:val="es-ES"/>
              </w:rPr>
              <w:t xml:space="preserve"> </w:t>
            </w:r>
            <w:r w:rsidRPr="00960E47">
              <w:rPr>
                <w:b/>
                <w:sz w:val="18"/>
                <w:szCs w:val="18"/>
                <w:lang w:val="es-ES"/>
              </w:rPr>
              <w:t>728</w:t>
            </w:r>
          </w:p>
        </w:tc>
      </w:tr>
      <w:tr w:rsidR="00E421FD" w:rsidRPr="00960E47" w:rsidTr="0065702B">
        <w:trPr>
          <w:trHeight w:val="240"/>
        </w:trPr>
        <w:tc>
          <w:tcPr>
            <w:tcW w:w="845" w:type="pct"/>
            <w:shd w:val="clear" w:color="auto" w:fill="auto"/>
            <w:vAlign w:val="bottom"/>
          </w:tcPr>
          <w:p w:rsidR="00E421FD" w:rsidRPr="00960E47" w:rsidRDefault="00E421FD" w:rsidP="0065702B">
            <w:pPr>
              <w:pStyle w:val="SingleTxtG"/>
              <w:spacing w:before="40" w:after="40" w:line="220" w:lineRule="exact"/>
              <w:ind w:left="0" w:right="0"/>
              <w:jc w:val="left"/>
              <w:rPr>
                <w:sz w:val="18"/>
                <w:szCs w:val="18"/>
                <w:lang w:val="es-ES"/>
              </w:rPr>
            </w:pPr>
            <w:r w:rsidRPr="00960E47">
              <w:rPr>
                <w:sz w:val="18"/>
                <w:szCs w:val="18"/>
                <w:lang w:val="es-ES"/>
              </w:rPr>
              <w:t>Berea</w:t>
            </w:r>
          </w:p>
        </w:tc>
        <w:tc>
          <w:tcPr>
            <w:tcW w:w="461"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28</w:t>
            </w:r>
            <w:r w:rsidR="0065702B" w:rsidRPr="00960E47">
              <w:rPr>
                <w:sz w:val="18"/>
                <w:szCs w:val="18"/>
                <w:lang w:val="es-ES"/>
              </w:rPr>
              <w:t xml:space="preserve"> </w:t>
            </w:r>
            <w:r w:rsidRPr="00960E47">
              <w:rPr>
                <w:sz w:val="18"/>
                <w:szCs w:val="18"/>
                <w:lang w:val="es-ES"/>
              </w:rPr>
              <w:t>472</w:t>
            </w:r>
          </w:p>
        </w:tc>
        <w:tc>
          <w:tcPr>
            <w:tcW w:w="461"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26</w:t>
            </w:r>
            <w:r w:rsidR="0065702B" w:rsidRPr="00960E47">
              <w:rPr>
                <w:sz w:val="18"/>
                <w:szCs w:val="18"/>
                <w:lang w:val="es-ES"/>
              </w:rPr>
              <w:t xml:space="preserve"> </w:t>
            </w:r>
            <w:r w:rsidRPr="00960E47">
              <w:rPr>
                <w:sz w:val="18"/>
                <w:szCs w:val="18"/>
                <w:lang w:val="es-ES"/>
              </w:rPr>
              <w:t>193</w:t>
            </w:r>
          </w:p>
        </w:tc>
        <w:tc>
          <w:tcPr>
            <w:tcW w:w="461" w:type="pct"/>
            <w:shd w:val="clear" w:color="auto" w:fill="auto"/>
            <w:vAlign w:val="bottom"/>
          </w:tcPr>
          <w:p w:rsidR="00E421FD" w:rsidRPr="00960E47" w:rsidRDefault="00E421FD" w:rsidP="0065702B">
            <w:pPr>
              <w:pStyle w:val="SingleTxtG"/>
              <w:spacing w:before="40" w:after="40" w:line="220" w:lineRule="exact"/>
              <w:ind w:left="0" w:right="0"/>
              <w:jc w:val="right"/>
              <w:rPr>
                <w:b/>
                <w:sz w:val="18"/>
                <w:szCs w:val="18"/>
                <w:lang w:val="es-ES"/>
              </w:rPr>
            </w:pPr>
            <w:r w:rsidRPr="00960E47">
              <w:rPr>
                <w:b/>
                <w:sz w:val="18"/>
                <w:szCs w:val="18"/>
                <w:lang w:val="es-ES"/>
              </w:rPr>
              <w:t>54</w:t>
            </w:r>
            <w:r w:rsidR="0065702B" w:rsidRPr="00960E47">
              <w:rPr>
                <w:b/>
                <w:sz w:val="18"/>
                <w:szCs w:val="18"/>
                <w:lang w:val="es-ES"/>
              </w:rPr>
              <w:t xml:space="preserve"> </w:t>
            </w:r>
            <w:r w:rsidRPr="00960E47">
              <w:rPr>
                <w:b/>
                <w:sz w:val="18"/>
                <w:szCs w:val="18"/>
                <w:lang w:val="es-ES"/>
              </w:rPr>
              <w:t>665</w:t>
            </w:r>
          </w:p>
        </w:tc>
        <w:tc>
          <w:tcPr>
            <w:tcW w:w="461"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28</w:t>
            </w:r>
            <w:r w:rsidR="0065702B" w:rsidRPr="00960E47">
              <w:rPr>
                <w:sz w:val="18"/>
                <w:szCs w:val="18"/>
                <w:lang w:val="es-ES"/>
              </w:rPr>
              <w:t xml:space="preserve"> </w:t>
            </w:r>
            <w:r w:rsidRPr="00960E47">
              <w:rPr>
                <w:sz w:val="18"/>
                <w:szCs w:val="18"/>
                <w:lang w:val="es-ES"/>
              </w:rPr>
              <w:t>336</w:t>
            </w:r>
          </w:p>
        </w:tc>
        <w:tc>
          <w:tcPr>
            <w:tcW w:w="462"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26</w:t>
            </w:r>
            <w:r w:rsidR="0065702B" w:rsidRPr="00960E47">
              <w:rPr>
                <w:sz w:val="18"/>
                <w:szCs w:val="18"/>
                <w:lang w:val="es-ES"/>
              </w:rPr>
              <w:t xml:space="preserve"> </w:t>
            </w:r>
            <w:r w:rsidRPr="00960E47">
              <w:rPr>
                <w:sz w:val="18"/>
                <w:szCs w:val="18"/>
                <w:lang w:val="es-ES"/>
              </w:rPr>
              <w:t>108</w:t>
            </w:r>
          </w:p>
        </w:tc>
        <w:tc>
          <w:tcPr>
            <w:tcW w:w="461" w:type="pct"/>
            <w:shd w:val="clear" w:color="auto" w:fill="auto"/>
            <w:vAlign w:val="bottom"/>
          </w:tcPr>
          <w:p w:rsidR="00E421FD" w:rsidRPr="00960E47" w:rsidRDefault="00E421FD" w:rsidP="0065702B">
            <w:pPr>
              <w:pStyle w:val="SingleTxtG"/>
              <w:spacing w:before="40" w:after="40" w:line="220" w:lineRule="exact"/>
              <w:ind w:left="0" w:right="0"/>
              <w:jc w:val="right"/>
              <w:rPr>
                <w:b/>
                <w:sz w:val="18"/>
                <w:szCs w:val="18"/>
                <w:lang w:val="es-ES"/>
              </w:rPr>
            </w:pPr>
            <w:r w:rsidRPr="00960E47">
              <w:rPr>
                <w:b/>
                <w:sz w:val="18"/>
                <w:szCs w:val="18"/>
                <w:lang w:val="es-ES"/>
              </w:rPr>
              <w:t>54</w:t>
            </w:r>
            <w:r w:rsidR="0065702B" w:rsidRPr="00960E47">
              <w:rPr>
                <w:b/>
                <w:sz w:val="18"/>
                <w:szCs w:val="18"/>
                <w:lang w:val="es-ES"/>
              </w:rPr>
              <w:t xml:space="preserve"> </w:t>
            </w:r>
            <w:r w:rsidRPr="00960E47">
              <w:rPr>
                <w:b/>
                <w:sz w:val="18"/>
                <w:szCs w:val="18"/>
                <w:lang w:val="es-ES"/>
              </w:rPr>
              <w:t>444</w:t>
            </w:r>
          </w:p>
        </w:tc>
        <w:tc>
          <w:tcPr>
            <w:tcW w:w="461"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28</w:t>
            </w:r>
            <w:r w:rsidR="0065702B" w:rsidRPr="00960E47">
              <w:rPr>
                <w:sz w:val="18"/>
                <w:szCs w:val="18"/>
                <w:lang w:val="es-ES"/>
              </w:rPr>
              <w:t xml:space="preserve"> </w:t>
            </w:r>
            <w:r w:rsidRPr="00960E47">
              <w:rPr>
                <w:sz w:val="18"/>
                <w:szCs w:val="18"/>
                <w:lang w:val="es-ES"/>
              </w:rPr>
              <w:t>732</w:t>
            </w:r>
          </w:p>
        </w:tc>
        <w:tc>
          <w:tcPr>
            <w:tcW w:w="461"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26</w:t>
            </w:r>
            <w:r w:rsidR="0065702B" w:rsidRPr="00960E47">
              <w:rPr>
                <w:sz w:val="18"/>
                <w:szCs w:val="18"/>
                <w:lang w:val="es-ES"/>
              </w:rPr>
              <w:t xml:space="preserve"> </w:t>
            </w:r>
            <w:r w:rsidRPr="00960E47">
              <w:rPr>
                <w:sz w:val="18"/>
                <w:szCs w:val="18"/>
                <w:lang w:val="es-ES"/>
              </w:rPr>
              <w:t>203</w:t>
            </w:r>
          </w:p>
        </w:tc>
        <w:tc>
          <w:tcPr>
            <w:tcW w:w="462" w:type="pct"/>
            <w:shd w:val="clear" w:color="auto" w:fill="auto"/>
            <w:vAlign w:val="bottom"/>
          </w:tcPr>
          <w:p w:rsidR="00E421FD" w:rsidRPr="00960E47" w:rsidRDefault="00E421FD" w:rsidP="0065702B">
            <w:pPr>
              <w:pStyle w:val="SingleTxtG"/>
              <w:spacing w:before="40" w:after="40" w:line="220" w:lineRule="exact"/>
              <w:ind w:left="0" w:right="0"/>
              <w:jc w:val="right"/>
              <w:rPr>
                <w:b/>
                <w:sz w:val="18"/>
                <w:szCs w:val="18"/>
                <w:lang w:val="es-ES"/>
              </w:rPr>
            </w:pPr>
            <w:r w:rsidRPr="00960E47">
              <w:rPr>
                <w:b/>
                <w:sz w:val="18"/>
                <w:szCs w:val="18"/>
                <w:lang w:val="es-ES"/>
              </w:rPr>
              <w:t>54</w:t>
            </w:r>
            <w:r w:rsidR="0065702B" w:rsidRPr="00960E47">
              <w:rPr>
                <w:b/>
                <w:sz w:val="18"/>
                <w:szCs w:val="18"/>
                <w:lang w:val="es-ES"/>
              </w:rPr>
              <w:t xml:space="preserve"> </w:t>
            </w:r>
            <w:r w:rsidRPr="00960E47">
              <w:rPr>
                <w:b/>
                <w:sz w:val="18"/>
                <w:szCs w:val="18"/>
                <w:lang w:val="es-ES"/>
              </w:rPr>
              <w:t>935</w:t>
            </w:r>
          </w:p>
        </w:tc>
      </w:tr>
      <w:tr w:rsidR="00E421FD" w:rsidRPr="00960E47" w:rsidTr="002D3CAD">
        <w:trPr>
          <w:trHeight w:val="240"/>
        </w:trPr>
        <w:tc>
          <w:tcPr>
            <w:tcW w:w="845" w:type="pct"/>
            <w:tcBorders>
              <w:bottom w:val="nil"/>
            </w:tcBorders>
            <w:shd w:val="clear" w:color="auto" w:fill="auto"/>
            <w:vAlign w:val="bottom"/>
          </w:tcPr>
          <w:p w:rsidR="00E421FD" w:rsidRPr="00960E47" w:rsidRDefault="00E421FD" w:rsidP="0065702B">
            <w:pPr>
              <w:pStyle w:val="SingleTxtG"/>
              <w:spacing w:before="40" w:after="40" w:line="220" w:lineRule="exact"/>
              <w:ind w:left="0" w:right="0"/>
              <w:jc w:val="left"/>
              <w:rPr>
                <w:sz w:val="18"/>
                <w:szCs w:val="18"/>
                <w:lang w:val="es-ES"/>
              </w:rPr>
            </w:pPr>
            <w:r w:rsidRPr="00960E47">
              <w:rPr>
                <w:sz w:val="18"/>
                <w:szCs w:val="18"/>
                <w:lang w:val="es-ES"/>
              </w:rPr>
              <w:t>Maseru</w:t>
            </w:r>
          </w:p>
        </w:tc>
        <w:tc>
          <w:tcPr>
            <w:tcW w:w="461" w:type="pct"/>
            <w:tcBorders>
              <w:bottom w:val="nil"/>
            </w:tcBorders>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46</w:t>
            </w:r>
            <w:r w:rsidR="0065702B" w:rsidRPr="00960E47">
              <w:rPr>
                <w:sz w:val="18"/>
                <w:szCs w:val="18"/>
                <w:lang w:val="es-ES"/>
              </w:rPr>
              <w:t xml:space="preserve"> </w:t>
            </w:r>
            <w:r w:rsidRPr="00960E47">
              <w:rPr>
                <w:sz w:val="18"/>
                <w:szCs w:val="18"/>
                <w:lang w:val="es-ES"/>
              </w:rPr>
              <w:t>600</w:t>
            </w:r>
          </w:p>
        </w:tc>
        <w:tc>
          <w:tcPr>
            <w:tcW w:w="461" w:type="pct"/>
            <w:tcBorders>
              <w:bottom w:val="nil"/>
            </w:tcBorders>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42</w:t>
            </w:r>
            <w:r w:rsidR="0065702B" w:rsidRPr="00960E47">
              <w:rPr>
                <w:sz w:val="18"/>
                <w:szCs w:val="18"/>
                <w:lang w:val="es-ES"/>
              </w:rPr>
              <w:t xml:space="preserve"> </w:t>
            </w:r>
            <w:r w:rsidRPr="00960E47">
              <w:rPr>
                <w:sz w:val="18"/>
                <w:szCs w:val="18"/>
                <w:lang w:val="es-ES"/>
              </w:rPr>
              <w:t>882</w:t>
            </w:r>
          </w:p>
        </w:tc>
        <w:tc>
          <w:tcPr>
            <w:tcW w:w="461" w:type="pct"/>
            <w:tcBorders>
              <w:bottom w:val="nil"/>
            </w:tcBorders>
            <w:shd w:val="clear" w:color="auto" w:fill="auto"/>
            <w:vAlign w:val="bottom"/>
          </w:tcPr>
          <w:p w:rsidR="00E421FD" w:rsidRPr="00960E47" w:rsidRDefault="00E421FD" w:rsidP="0065702B">
            <w:pPr>
              <w:pStyle w:val="SingleTxtG"/>
              <w:spacing w:before="40" w:after="40" w:line="220" w:lineRule="exact"/>
              <w:ind w:left="0" w:right="0"/>
              <w:jc w:val="right"/>
              <w:rPr>
                <w:b/>
                <w:sz w:val="18"/>
                <w:szCs w:val="18"/>
                <w:lang w:val="es-ES"/>
              </w:rPr>
            </w:pPr>
            <w:r w:rsidRPr="00960E47">
              <w:rPr>
                <w:b/>
                <w:sz w:val="18"/>
                <w:szCs w:val="18"/>
                <w:lang w:val="es-ES"/>
              </w:rPr>
              <w:t>89</w:t>
            </w:r>
            <w:r w:rsidR="0065702B" w:rsidRPr="00960E47">
              <w:rPr>
                <w:b/>
                <w:sz w:val="18"/>
                <w:szCs w:val="18"/>
                <w:lang w:val="es-ES"/>
              </w:rPr>
              <w:t xml:space="preserve"> </w:t>
            </w:r>
            <w:r w:rsidRPr="00960E47">
              <w:rPr>
                <w:b/>
                <w:sz w:val="18"/>
                <w:szCs w:val="18"/>
                <w:lang w:val="es-ES"/>
              </w:rPr>
              <w:t>482</w:t>
            </w:r>
          </w:p>
        </w:tc>
        <w:tc>
          <w:tcPr>
            <w:tcW w:w="461" w:type="pct"/>
            <w:tcBorders>
              <w:bottom w:val="nil"/>
            </w:tcBorders>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44</w:t>
            </w:r>
            <w:r w:rsidR="0065702B" w:rsidRPr="00960E47">
              <w:rPr>
                <w:sz w:val="18"/>
                <w:szCs w:val="18"/>
                <w:lang w:val="es-ES"/>
              </w:rPr>
              <w:t xml:space="preserve"> </w:t>
            </w:r>
            <w:r w:rsidRPr="00960E47">
              <w:rPr>
                <w:sz w:val="18"/>
                <w:szCs w:val="18"/>
                <w:lang w:val="es-ES"/>
              </w:rPr>
              <w:t>218</w:t>
            </w:r>
          </w:p>
        </w:tc>
        <w:tc>
          <w:tcPr>
            <w:tcW w:w="462" w:type="pct"/>
            <w:tcBorders>
              <w:bottom w:val="nil"/>
            </w:tcBorders>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42</w:t>
            </w:r>
            <w:r w:rsidR="0065702B" w:rsidRPr="00960E47">
              <w:rPr>
                <w:sz w:val="18"/>
                <w:szCs w:val="18"/>
                <w:lang w:val="es-ES"/>
              </w:rPr>
              <w:t xml:space="preserve"> </w:t>
            </w:r>
            <w:r w:rsidRPr="00960E47">
              <w:rPr>
                <w:sz w:val="18"/>
                <w:szCs w:val="18"/>
                <w:lang w:val="es-ES"/>
              </w:rPr>
              <w:t>699</w:t>
            </w:r>
          </w:p>
        </w:tc>
        <w:tc>
          <w:tcPr>
            <w:tcW w:w="461" w:type="pct"/>
            <w:tcBorders>
              <w:bottom w:val="nil"/>
            </w:tcBorders>
            <w:shd w:val="clear" w:color="auto" w:fill="auto"/>
            <w:vAlign w:val="bottom"/>
          </w:tcPr>
          <w:p w:rsidR="00E421FD" w:rsidRPr="00960E47" w:rsidRDefault="00E421FD" w:rsidP="0065702B">
            <w:pPr>
              <w:pStyle w:val="SingleTxtG"/>
              <w:spacing w:before="40" w:after="40" w:line="220" w:lineRule="exact"/>
              <w:ind w:left="0" w:right="0"/>
              <w:jc w:val="right"/>
              <w:rPr>
                <w:b/>
                <w:sz w:val="18"/>
                <w:szCs w:val="18"/>
                <w:lang w:val="es-ES"/>
              </w:rPr>
            </w:pPr>
            <w:r w:rsidRPr="00960E47">
              <w:rPr>
                <w:b/>
                <w:sz w:val="18"/>
                <w:szCs w:val="18"/>
                <w:lang w:val="es-ES"/>
              </w:rPr>
              <w:t>86</w:t>
            </w:r>
            <w:r w:rsidR="0065702B" w:rsidRPr="00960E47">
              <w:rPr>
                <w:b/>
                <w:sz w:val="18"/>
                <w:szCs w:val="18"/>
                <w:lang w:val="es-ES"/>
              </w:rPr>
              <w:t xml:space="preserve"> </w:t>
            </w:r>
            <w:r w:rsidRPr="00960E47">
              <w:rPr>
                <w:b/>
                <w:sz w:val="18"/>
                <w:szCs w:val="18"/>
                <w:lang w:val="es-ES"/>
              </w:rPr>
              <w:t>917</w:t>
            </w:r>
          </w:p>
        </w:tc>
        <w:tc>
          <w:tcPr>
            <w:tcW w:w="461" w:type="pct"/>
            <w:tcBorders>
              <w:bottom w:val="nil"/>
            </w:tcBorders>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45</w:t>
            </w:r>
            <w:r w:rsidR="0065702B" w:rsidRPr="00960E47">
              <w:rPr>
                <w:sz w:val="18"/>
                <w:szCs w:val="18"/>
                <w:lang w:val="es-ES"/>
              </w:rPr>
              <w:t xml:space="preserve"> </w:t>
            </w:r>
            <w:r w:rsidRPr="00960E47">
              <w:rPr>
                <w:sz w:val="18"/>
                <w:szCs w:val="18"/>
                <w:lang w:val="es-ES"/>
              </w:rPr>
              <w:t>435</w:t>
            </w:r>
          </w:p>
        </w:tc>
        <w:tc>
          <w:tcPr>
            <w:tcW w:w="461" w:type="pct"/>
            <w:tcBorders>
              <w:bottom w:val="nil"/>
            </w:tcBorders>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43</w:t>
            </w:r>
            <w:r w:rsidR="0065702B" w:rsidRPr="00960E47">
              <w:rPr>
                <w:sz w:val="18"/>
                <w:szCs w:val="18"/>
                <w:lang w:val="es-ES"/>
              </w:rPr>
              <w:t xml:space="preserve"> </w:t>
            </w:r>
            <w:r w:rsidRPr="00960E47">
              <w:rPr>
                <w:sz w:val="18"/>
                <w:szCs w:val="18"/>
                <w:lang w:val="es-ES"/>
              </w:rPr>
              <w:t>803</w:t>
            </w:r>
          </w:p>
        </w:tc>
        <w:tc>
          <w:tcPr>
            <w:tcW w:w="462" w:type="pct"/>
            <w:tcBorders>
              <w:bottom w:val="nil"/>
            </w:tcBorders>
            <w:shd w:val="clear" w:color="auto" w:fill="auto"/>
            <w:vAlign w:val="bottom"/>
          </w:tcPr>
          <w:p w:rsidR="00E421FD" w:rsidRPr="00960E47" w:rsidRDefault="00E421FD" w:rsidP="0065702B">
            <w:pPr>
              <w:pStyle w:val="SingleTxtG"/>
              <w:spacing w:before="40" w:after="40" w:line="220" w:lineRule="exact"/>
              <w:ind w:left="0" w:right="0"/>
              <w:jc w:val="right"/>
              <w:rPr>
                <w:b/>
                <w:sz w:val="18"/>
                <w:szCs w:val="18"/>
                <w:lang w:val="es-ES"/>
              </w:rPr>
            </w:pPr>
            <w:r w:rsidRPr="00960E47">
              <w:rPr>
                <w:b/>
                <w:sz w:val="18"/>
                <w:szCs w:val="18"/>
                <w:lang w:val="es-ES"/>
              </w:rPr>
              <w:t>89</w:t>
            </w:r>
            <w:r w:rsidR="0065702B" w:rsidRPr="00960E47">
              <w:rPr>
                <w:b/>
                <w:sz w:val="18"/>
                <w:szCs w:val="18"/>
                <w:lang w:val="es-ES"/>
              </w:rPr>
              <w:t xml:space="preserve"> </w:t>
            </w:r>
            <w:r w:rsidRPr="00960E47">
              <w:rPr>
                <w:b/>
                <w:sz w:val="18"/>
                <w:szCs w:val="18"/>
                <w:lang w:val="es-ES"/>
              </w:rPr>
              <w:t>238</w:t>
            </w:r>
          </w:p>
        </w:tc>
      </w:tr>
      <w:tr w:rsidR="00E421FD" w:rsidRPr="00960E47" w:rsidTr="002D3CAD">
        <w:trPr>
          <w:trHeight w:val="240"/>
        </w:trPr>
        <w:tc>
          <w:tcPr>
            <w:tcW w:w="845" w:type="pct"/>
            <w:tcBorders>
              <w:top w:val="nil"/>
              <w:bottom w:val="nil"/>
            </w:tcBorders>
            <w:shd w:val="clear" w:color="auto" w:fill="auto"/>
            <w:vAlign w:val="bottom"/>
          </w:tcPr>
          <w:p w:rsidR="00E421FD" w:rsidRPr="00960E47" w:rsidRDefault="00E421FD" w:rsidP="0065702B">
            <w:pPr>
              <w:pStyle w:val="SingleTxtG"/>
              <w:spacing w:before="40" w:after="40" w:line="220" w:lineRule="exact"/>
              <w:ind w:left="0" w:right="0"/>
              <w:jc w:val="left"/>
              <w:rPr>
                <w:sz w:val="18"/>
                <w:szCs w:val="18"/>
                <w:lang w:val="es-ES"/>
              </w:rPr>
            </w:pPr>
            <w:r w:rsidRPr="00960E47">
              <w:rPr>
                <w:sz w:val="18"/>
                <w:szCs w:val="18"/>
                <w:lang w:val="es-ES"/>
              </w:rPr>
              <w:t>Mafeteng</w:t>
            </w:r>
          </w:p>
        </w:tc>
        <w:tc>
          <w:tcPr>
            <w:tcW w:w="461" w:type="pct"/>
            <w:tcBorders>
              <w:top w:val="nil"/>
              <w:bottom w:val="nil"/>
            </w:tcBorders>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24</w:t>
            </w:r>
            <w:r w:rsidR="0065702B" w:rsidRPr="00960E47">
              <w:rPr>
                <w:sz w:val="18"/>
                <w:szCs w:val="18"/>
                <w:lang w:val="es-ES"/>
              </w:rPr>
              <w:t xml:space="preserve"> </w:t>
            </w:r>
            <w:r w:rsidRPr="00960E47">
              <w:rPr>
                <w:sz w:val="18"/>
                <w:szCs w:val="18"/>
                <w:lang w:val="es-ES"/>
              </w:rPr>
              <w:t>222</w:t>
            </w:r>
          </w:p>
        </w:tc>
        <w:tc>
          <w:tcPr>
            <w:tcW w:w="461" w:type="pct"/>
            <w:tcBorders>
              <w:top w:val="nil"/>
              <w:bottom w:val="nil"/>
            </w:tcBorders>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23</w:t>
            </w:r>
            <w:r w:rsidR="0065702B" w:rsidRPr="00960E47">
              <w:rPr>
                <w:sz w:val="18"/>
                <w:szCs w:val="18"/>
                <w:lang w:val="es-ES"/>
              </w:rPr>
              <w:t xml:space="preserve"> </w:t>
            </w:r>
            <w:r w:rsidRPr="00960E47">
              <w:rPr>
                <w:sz w:val="18"/>
                <w:szCs w:val="18"/>
                <w:lang w:val="es-ES"/>
              </w:rPr>
              <w:t>128</w:t>
            </w:r>
          </w:p>
        </w:tc>
        <w:tc>
          <w:tcPr>
            <w:tcW w:w="461" w:type="pct"/>
            <w:tcBorders>
              <w:top w:val="nil"/>
              <w:bottom w:val="nil"/>
            </w:tcBorders>
            <w:shd w:val="clear" w:color="auto" w:fill="auto"/>
            <w:vAlign w:val="bottom"/>
          </w:tcPr>
          <w:p w:rsidR="00E421FD" w:rsidRPr="00960E47" w:rsidRDefault="00E421FD" w:rsidP="0065702B">
            <w:pPr>
              <w:pStyle w:val="SingleTxtG"/>
              <w:spacing w:before="40" w:after="40" w:line="220" w:lineRule="exact"/>
              <w:ind w:left="0" w:right="0"/>
              <w:jc w:val="right"/>
              <w:rPr>
                <w:b/>
                <w:sz w:val="18"/>
                <w:szCs w:val="18"/>
                <w:lang w:val="es-ES"/>
              </w:rPr>
            </w:pPr>
            <w:r w:rsidRPr="00960E47">
              <w:rPr>
                <w:b/>
                <w:sz w:val="18"/>
                <w:szCs w:val="18"/>
                <w:lang w:val="es-ES"/>
              </w:rPr>
              <w:t>47</w:t>
            </w:r>
            <w:r w:rsidR="0065702B" w:rsidRPr="00960E47">
              <w:rPr>
                <w:b/>
                <w:sz w:val="18"/>
                <w:szCs w:val="18"/>
                <w:lang w:val="es-ES"/>
              </w:rPr>
              <w:t xml:space="preserve"> </w:t>
            </w:r>
            <w:r w:rsidRPr="00960E47">
              <w:rPr>
                <w:b/>
                <w:sz w:val="18"/>
                <w:szCs w:val="18"/>
                <w:lang w:val="es-ES"/>
              </w:rPr>
              <w:t>350</w:t>
            </w:r>
          </w:p>
        </w:tc>
        <w:tc>
          <w:tcPr>
            <w:tcW w:w="461" w:type="pct"/>
            <w:tcBorders>
              <w:top w:val="nil"/>
              <w:bottom w:val="nil"/>
            </w:tcBorders>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23</w:t>
            </w:r>
            <w:r w:rsidR="0065702B" w:rsidRPr="00960E47">
              <w:rPr>
                <w:sz w:val="18"/>
                <w:szCs w:val="18"/>
                <w:lang w:val="es-ES"/>
              </w:rPr>
              <w:t xml:space="preserve"> </w:t>
            </w:r>
            <w:r w:rsidRPr="00960E47">
              <w:rPr>
                <w:sz w:val="18"/>
                <w:szCs w:val="18"/>
                <w:lang w:val="es-ES"/>
              </w:rPr>
              <w:t>789</w:t>
            </w:r>
          </w:p>
        </w:tc>
        <w:tc>
          <w:tcPr>
            <w:tcW w:w="462" w:type="pct"/>
            <w:tcBorders>
              <w:top w:val="nil"/>
              <w:bottom w:val="nil"/>
            </w:tcBorders>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22</w:t>
            </w:r>
            <w:r w:rsidR="0065702B" w:rsidRPr="00960E47">
              <w:rPr>
                <w:sz w:val="18"/>
                <w:szCs w:val="18"/>
                <w:lang w:val="es-ES"/>
              </w:rPr>
              <w:t xml:space="preserve"> </w:t>
            </w:r>
            <w:r w:rsidRPr="00960E47">
              <w:rPr>
                <w:sz w:val="18"/>
                <w:szCs w:val="18"/>
                <w:lang w:val="es-ES"/>
              </w:rPr>
              <w:t>501</w:t>
            </w:r>
          </w:p>
        </w:tc>
        <w:tc>
          <w:tcPr>
            <w:tcW w:w="461" w:type="pct"/>
            <w:tcBorders>
              <w:top w:val="nil"/>
              <w:bottom w:val="nil"/>
            </w:tcBorders>
            <w:shd w:val="clear" w:color="auto" w:fill="auto"/>
            <w:vAlign w:val="bottom"/>
          </w:tcPr>
          <w:p w:rsidR="00E421FD" w:rsidRPr="00960E47" w:rsidRDefault="00E421FD" w:rsidP="0065702B">
            <w:pPr>
              <w:pStyle w:val="SingleTxtG"/>
              <w:spacing w:before="40" w:after="40" w:line="220" w:lineRule="exact"/>
              <w:ind w:left="0" w:right="0"/>
              <w:jc w:val="right"/>
              <w:rPr>
                <w:b/>
                <w:sz w:val="18"/>
                <w:szCs w:val="18"/>
                <w:lang w:val="es-ES"/>
              </w:rPr>
            </w:pPr>
            <w:r w:rsidRPr="00960E47">
              <w:rPr>
                <w:b/>
                <w:sz w:val="18"/>
                <w:szCs w:val="18"/>
                <w:lang w:val="es-ES"/>
              </w:rPr>
              <w:t>46</w:t>
            </w:r>
            <w:r w:rsidR="0065702B" w:rsidRPr="00960E47">
              <w:rPr>
                <w:b/>
                <w:sz w:val="18"/>
                <w:szCs w:val="18"/>
                <w:lang w:val="es-ES"/>
              </w:rPr>
              <w:t xml:space="preserve"> </w:t>
            </w:r>
            <w:r w:rsidRPr="00960E47">
              <w:rPr>
                <w:b/>
                <w:sz w:val="18"/>
                <w:szCs w:val="18"/>
                <w:lang w:val="es-ES"/>
              </w:rPr>
              <w:t>290</w:t>
            </w:r>
          </w:p>
        </w:tc>
        <w:tc>
          <w:tcPr>
            <w:tcW w:w="461" w:type="pct"/>
            <w:tcBorders>
              <w:top w:val="nil"/>
              <w:bottom w:val="nil"/>
            </w:tcBorders>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23</w:t>
            </w:r>
            <w:r w:rsidR="0065702B" w:rsidRPr="00960E47">
              <w:rPr>
                <w:sz w:val="18"/>
                <w:szCs w:val="18"/>
                <w:lang w:val="es-ES"/>
              </w:rPr>
              <w:t xml:space="preserve"> </w:t>
            </w:r>
            <w:r w:rsidRPr="00960E47">
              <w:rPr>
                <w:sz w:val="18"/>
                <w:szCs w:val="18"/>
                <w:lang w:val="es-ES"/>
              </w:rPr>
              <w:t>486</w:t>
            </w:r>
          </w:p>
        </w:tc>
        <w:tc>
          <w:tcPr>
            <w:tcW w:w="461" w:type="pct"/>
            <w:tcBorders>
              <w:top w:val="nil"/>
              <w:bottom w:val="nil"/>
            </w:tcBorders>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22</w:t>
            </w:r>
            <w:r w:rsidR="0065702B" w:rsidRPr="00960E47">
              <w:rPr>
                <w:sz w:val="18"/>
                <w:szCs w:val="18"/>
                <w:lang w:val="es-ES"/>
              </w:rPr>
              <w:t xml:space="preserve"> </w:t>
            </w:r>
            <w:r w:rsidRPr="00960E47">
              <w:rPr>
                <w:sz w:val="18"/>
                <w:szCs w:val="18"/>
                <w:lang w:val="es-ES"/>
              </w:rPr>
              <w:t>090</w:t>
            </w:r>
          </w:p>
        </w:tc>
        <w:tc>
          <w:tcPr>
            <w:tcW w:w="462" w:type="pct"/>
            <w:tcBorders>
              <w:top w:val="nil"/>
              <w:bottom w:val="nil"/>
            </w:tcBorders>
            <w:shd w:val="clear" w:color="auto" w:fill="auto"/>
            <w:vAlign w:val="bottom"/>
          </w:tcPr>
          <w:p w:rsidR="00E421FD" w:rsidRPr="00960E47" w:rsidRDefault="00E421FD" w:rsidP="0065702B">
            <w:pPr>
              <w:pStyle w:val="SingleTxtG"/>
              <w:spacing w:before="40" w:after="40" w:line="220" w:lineRule="exact"/>
              <w:ind w:left="0" w:right="0"/>
              <w:jc w:val="right"/>
              <w:rPr>
                <w:b/>
                <w:sz w:val="18"/>
                <w:szCs w:val="18"/>
                <w:lang w:val="es-ES"/>
              </w:rPr>
            </w:pPr>
            <w:r w:rsidRPr="00960E47">
              <w:rPr>
                <w:b/>
                <w:sz w:val="18"/>
                <w:szCs w:val="18"/>
                <w:lang w:val="es-ES"/>
              </w:rPr>
              <w:t>45</w:t>
            </w:r>
            <w:r w:rsidR="0065702B" w:rsidRPr="00960E47">
              <w:rPr>
                <w:b/>
                <w:sz w:val="18"/>
                <w:szCs w:val="18"/>
                <w:lang w:val="es-ES"/>
              </w:rPr>
              <w:t xml:space="preserve"> </w:t>
            </w:r>
            <w:r w:rsidRPr="00960E47">
              <w:rPr>
                <w:b/>
                <w:sz w:val="18"/>
                <w:szCs w:val="18"/>
                <w:lang w:val="es-ES"/>
              </w:rPr>
              <w:t>576</w:t>
            </w:r>
          </w:p>
        </w:tc>
      </w:tr>
      <w:tr w:rsidR="00E421FD" w:rsidRPr="00960E47" w:rsidTr="002D3CAD">
        <w:trPr>
          <w:trHeight w:val="240"/>
        </w:trPr>
        <w:tc>
          <w:tcPr>
            <w:tcW w:w="845" w:type="pct"/>
            <w:tcBorders>
              <w:top w:val="nil"/>
              <w:bottom w:val="nil"/>
            </w:tcBorders>
            <w:shd w:val="clear" w:color="auto" w:fill="auto"/>
            <w:vAlign w:val="bottom"/>
          </w:tcPr>
          <w:p w:rsidR="00E421FD" w:rsidRPr="00960E47" w:rsidRDefault="00E421FD" w:rsidP="002D3CAD">
            <w:pPr>
              <w:pStyle w:val="SingleTxtG"/>
              <w:keepNext/>
              <w:spacing w:before="40" w:after="40" w:line="220" w:lineRule="exact"/>
              <w:ind w:left="0" w:right="0"/>
              <w:jc w:val="left"/>
              <w:rPr>
                <w:sz w:val="18"/>
                <w:szCs w:val="18"/>
                <w:lang w:val="es-ES"/>
              </w:rPr>
            </w:pPr>
            <w:r w:rsidRPr="00960E47">
              <w:rPr>
                <w:sz w:val="18"/>
                <w:szCs w:val="18"/>
                <w:lang w:val="es-ES"/>
              </w:rPr>
              <w:t>Mohale</w:t>
            </w:r>
            <w:r w:rsidR="00866E12" w:rsidRPr="00960E47">
              <w:rPr>
                <w:sz w:val="18"/>
                <w:szCs w:val="18"/>
                <w:lang w:val="es-ES"/>
              </w:rPr>
              <w:t>'</w:t>
            </w:r>
            <w:r w:rsidRPr="00960E47">
              <w:rPr>
                <w:sz w:val="18"/>
                <w:szCs w:val="18"/>
                <w:lang w:val="es-ES"/>
              </w:rPr>
              <w:t>s Hoek</w:t>
            </w:r>
          </w:p>
        </w:tc>
        <w:tc>
          <w:tcPr>
            <w:tcW w:w="461" w:type="pct"/>
            <w:tcBorders>
              <w:top w:val="nil"/>
              <w:bottom w:val="nil"/>
            </w:tcBorders>
            <w:shd w:val="clear" w:color="auto" w:fill="auto"/>
            <w:vAlign w:val="bottom"/>
          </w:tcPr>
          <w:p w:rsidR="00E421FD" w:rsidRPr="00960E47" w:rsidRDefault="00E421FD" w:rsidP="002D3CAD">
            <w:pPr>
              <w:pStyle w:val="SingleTxtG"/>
              <w:keepNext/>
              <w:spacing w:before="40" w:after="40" w:line="220" w:lineRule="exact"/>
              <w:ind w:left="0" w:right="0"/>
              <w:jc w:val="right"/>
              <w:rPr>
                <w:sz w:val="18"/>
                <w:szCs w:val="18"/>
                <w:lang w:val="es-ES"/>
              </w:rPr>
            </w:pPr>
            <w:r w:rsidRPr="00960E47">
              <w:rPr>
                <w:sz w:val="18"/>
                <w:szCs w:val="18"/>
                <w:lang w:val="es-ES"/>
              </w:rPr>
              <w:t>19</w:t>
            </w:r>
            <w:r w:rsidR="0065702B" w:rsidRPr="00960E47">
              <w:rPr>
                <w:sz w:val="18"/>
                <w:szCs w:val="18"/>
                <w:lang w:val="es-ES"/>
              </w:rPr>
              <w:t xml:space="preserve"> </w:t>
            </w:r>
            <w:r w:rsidRPr="00960E47">
              <w:rPr>
                <w:sz w:val="18"/>
                <w:szCs w:val="18"/>
                <w:lang w:val="es-ES"/>
              </w:rPr>
              <w:t>867</w:t>
            </w:r>
          </w:p>
        </w:tc>
        <w:tc>
          <w:tcPr>
            <w:tcW w:w="461" w:type="pct"/>
            <w:tcBorders>
              <w:top w:val="nil"/>
              <w:bottom w:val="nil"/>
            </w:tcBorders>
            <w:shd w:val="clear" w:color="auto" w:fill="auto"/>
            <w:vAlign w:val="bottom"/>
          </w:tcPr>
          <w:p w:rsidR="00E421FD" w:rsidRPr="00960E47" w:rsidRDefault="00E421FD" w:rsidP="002D3CAD">
            <w:pPr>
              <w:pStyle w:val="SingleTxtG"/>
              <w:keepNext/>
              <w:spacing w:before="40" w:after="40" w:line="220" w:lineRule="exact"/>
              <w:ind w:left="0" w:right="0"/>
              <w:jc w:val="right"/>
              <w:rPr>
                <w:sz w:val="18"/>
                <w:szCs w:val="18"/>
                <w:lang w:val="es-ES"/>
              </w:rPr>
            </w:pPr>
            <w:r w:rsidRPr="00960E47">
              <w:rPr>
                <w:sz w:val="18"/>
                <w:szCs w:val="18"/>
                <w:lang w:val="es-ES"/>
              </w:rPr>
              <w:t>20</w:t>
            </w:r>
            <w:r w:rsidR="0065702B" w:rsidRPr="00960E47">
              <w:rPr>
                <w:sz w:val="18"/>
                <w:szCs w:val="18"/>
                <w:lang w:val="es-ES"/>
              </w:rPr>
              <w:t xml:space="preserve"> </w:t>
            </w:r>
            <w:r w:rsidRPr="00960E47">
              <w:rPr>
                <w:sz w:val="18"/>
                <w:szCs w:val="18"/>
                <w:lang w:val="es-ES"/>
              </w:rPr>
              <w:t>616</w:t>
            </w:r>
          </w:p>
        </w:tc>
        <w:tc>
          <w:tcPr>
            <w:tcW w:w="461" w:type="pct"/>
            <w:tcBorders>
              <w:top w:val="nil"/>
              <w:bottom w:val="nil"/>
            </w:tcBorders>
            <w:shd w:val="clear" w:color="auto" w:fill="auto"/>
            <w:vAlign w:val="bottom"/>
          </w:tcPr>
          <w:p w:rsidR="00E421FD" w:rsidRPr="00960E47" w:rsidRDefault="00E421FD" w:rsidP="002D3CAD">
            <w:pPr>
              <w:pStyle w:val="SingleTxtG"/>
              <w:keepNext/>
              <w:spacing w:before="40" w:after="40" w:line="220" w:lineRule="exact"/>
              <w:ind w:left="0" w:right="0"/>
              <w:jc w:val="right"/>
              <w:rPr>
                <w:b/>
                <w:sz w:val="18"/>
                <w:szCs w:val="18"/>
                <w:lang w:val="es-ES"/>
              </w:rPr>
            </w:pPr>
            <w:r w:rsidRPr="00960E47">
              <w:rPr>
                <w:b/>
                <w:sz w:val="18"/>
                <w:szCs w:val="18"/>
                <w:lang w:val="es-ES"/>
              </w:rPr>
              <w:t>40</w:t>
            </w:r>
            <w:r w:rsidR="0065702B" w:rsidRPr="00960E47">
              <w:rPr>
                <w:b/>
                <w:sz w:val="18"/>
                <w:szCs w:val="18"/>
                <w:lang w:val="es-ES"/>
              </w:rPr>
              <w:t xml:space="preserve"> </w:t>
            </w:r>
            <w:r w:rsidRPr="00960E47">
              <w:rPr>
                <w:b/>
                <w:sz w:val="18"/>
                <w:szCs w:val="18"/>
                <w:lang w:val="es-ES"/>
              </w:rPr>
              <w:t>483</w:t>
            </w:r>
          </w:p>
        </w:tc>
        <w:tc>
          <w:tcPr>
            <w:tcW w:w="461" w:type="pct"/>
            <w:tcBorders>
              <w:top w:val="nil"/>
              <w:bottom w:val="nil"/>
            </w:tcBorders>
            <w:shd w:val="clear" w:color="auto" w:fill="auto"/>
            <w:vAlign w:val="bottom"/>
          </w:tcPr>
          <w:p w:rsidR="00E421FD" w:rsidRPr="00960E47" w:rsidRDefault="00E421FD" w:rsidP="002D3CAD">
            <w:pPr>
              <w:pStyle w:val="SingleTxtG"/>
              <w:keepNext/>
              <w:spacing w:before="40" w:after="40" w:line="220" w:lineRule="exact"/>
              <w:ind w:left="0" w:right="0"/>
              <w:jc w:val="right"/>
              <w:rPr>
                <w:sz w:val="18"/>
                <w:szCs w:val="18"/>
                <w:lang w:val="es-ES"/>
              </w:rPr>
            </w:pPr>
            <w:r w:rsidRPr="00960E47">
              <w:rPr>
                <w:sz w:val="18"/>
                <w:szCs w:val="18"/>
                <w:lang w:val="es-ES"/>
              </w:rPr>
              <w:t>19</w:t>
            </w:r>
            <w:r w:rsidR="0065702B" w:rsidRPr="00960E47">
              <w:rPr>
                <w:sz w:val="18"/>
                <w:szCs w:val="18"/>
                <w:lang w:val="es-ES"/>
              </w:rPr>
              <w:t xml:space="preserve"> </w:t>
            </w:r>
            <w:r w:rsidRPr="00960E47">
              <w:rPr>
                <w:sz w:val="18"/>
                <w:szCs w:val="18"/>
                <w:lang w:val="es-ES"/>
              </w:rPr>
              <w:t>976</w:t>
            </w:r>
          </w:p>
        </w:tc>
        <w:tc>
          <w:tcPr>
            <w:tcW w:w="462" w:type="pct"/>
            <w:tcBorders>
              <w:top w:val="nil"/>
              <w:bottom w:val="nil"/>
            </w:tcBorders>
            <w:shd w:val="clear" w:color="auto" w:fill="auto"/>
            <w:vAlign w:val="bottom"/>
          </w:tcPr>
          <w:p w:rsidR="00E421FD" w:rsidRPr="00960E47" w:rsidRDefault="00E421FD" w:rsidP="002D3CAD">
            <w:pPr>
              <w:pStyle w:val="SingleTxtG"/>
              <w:keepNext/>
              <w:spacing w:before="40" w:after="40" w:line="220" w:lineRule="exact"/>
              <w:ind w:left="0" w:right="0"/>
              <w:jc w:val="right"/>
              <w:rPr>
                <w:sz w:val="18"/>
                <w:szCs w:val="18"/>
                <w:lang w:val="es-ES"/>
              </w:rPr>
            </w:pPr>
            <w:r w:rsidRPr="00960E47">
              <w:rPr>
                <w:sz w:val="18"/>
                <w:szCs w:val="18"/>
                <w:lang w:val="es-ES"/>
              </w:rPr>
              <w:t>20</w:t>
            </w:r>
            <w:r w:rsidR="0065702B" w:rsidRPr="00960E47">
              <w:rPr>
                <w:sz w:val="18"/>
                <w:szCs w:val="18"/>
                <w:lang w:val="es-ES"/>
              </w:rPr>
              <w:t xml:space="preserve"> </w:t>
            </w:r>
            <w:r w:rsidRPr="00960E47">
              <w:rPr>
                <w:sz w:val="18"/>
                <w:szCs w:val="18"/>
                <w:lang w:val="es-ES"/>
              </w:rPr>
              <w:t>714</w:t>
            </w:r>
          </w:p>
        </w:tc>
        <w:tc>
          <w:tcPr>
            <w:tcW w:w="461" w:type="pct"/>
            <w:tcBorders>
              <w:top w:val="nil"/>
              <w:bottom w:val="nil"/>
            </w:tcBorders>
            <w:shd w:val="clear" w:color="auto" w:fill="auto"/>
            <w:vAlign w:val="bottom"/>
          </w:tcPr>
          <w:p w:rsidR="00E421FD" w:rsidRPr="00960E47" w:rsidRDefault="00E421FD" w:rsidP="002D3CAD">
            <w:pPr>
              <w:pStyle w:val="SingleTxtG"/>
              <w:keepNext/>
              <w:spacing w:before="40" w:after="40" w:line="220" w:lineRule="exact"/>
              <w:ind w:left="0" w:right="0"/>
              <w:jc w:val="right"/>
              <w:rPr>
                <w:b/>
                <w:sz w:val="18"/>
                <w:szCs w:val="18"/>
                <w:lang w:val="es-ES"/>
              </w:rPr>
            </w:pPr>
            <w:r w:rsidRPr="00960E47">
              <w:rPr>
                <w:b/>
                <w:sz w:val="18"/>
                <w:szCs w:val="18"/>
                <w:lang w:val="es-ES"/>
              </w:rPr>
              <w:t>40</w:t>
            </w:r>
            <w:r w:rsidR="0065702B" w:rsidRPr="00960E47">
              <w:rPr>
                <w:b/>
                <w:sz w:val="18"/>
                <w:szCs w:val="18"/>
                <w:lang w:val="es-ES"/>
              </w:rPr>
              <w:t xml:space="preserve"> </w:t>
            </w:r>
            <w:r w:rsidRPr="00960E47">
              <w:rPr>
                <w:b/>
                <w:sz w:val="18"/>
                <w:szCs w:val="18"/>
                <w:lang w:val="es-ES"/>
              </w:rPr>
              <w:t>690</w:t>
            </w:r>
          </w:p>
        </w:tc>
        <w:tc>
          <w:tcPr>
            <w:tcW w:w="461" w:type="pct"/>
            <w:tcBorders>
              <w:top w:val="nil"/>
              <w:bottom w:val="nil"/>
            </w:tcBorders>
            <w:shd w:val="clear" w:color="auto" w:fill="auto"/>
            <w:vAlign w:val="bottom"/>
          </w:tcPr>
          <w:p w:rsidR="00E421FD" w:rsidRPr="00960E47" w:rsidRDefault="00E421FD" w:rsidP="002D3CAD">
            <w:pPr>
              <w:pStyle w:val="SingleTxtG"/>
              <w:keepNext/>
              <w:spacing w:before="40" w:after="40" w:line="220" w:lineRule="exact"/>
              <w:ind w:left="0" w:right="0"/>
              <w:jc w:val="right"/>
              <w:rPr>
                <w:sz w:val="18"/>
                <w:szCs w:val="18"/>
                <w:lang w:val="es-ES"/>
              </w:rPr>
            </w:pPr>
            <w:r w:rsidRPr="00960E47">
              <w:rPr>
                <w:sz w:val="18"/>
                <w:szCs w:val="18"/>
                <w:lang w:val="es-ES"/>
              </w:rPr>
              <w:t>19</w:t>
            </w:r>
            <w:r w:rsidR="0065702B" w:rsidRPr="00960E47">
              <w:rPr>
                <w:sz w:val="18"/>
                <w:szCs w:val="18"/>
                <w:lang w:val="es-ES"/>
              </w:rPr>
              <w:t xml:space="preserve"> </w:t>
            </w:r>
            <w:r w:rsidRPr="00960E47">
              <w:rPr>
                <w:sz w:val="18"/>
                <w:szCs w:val="18"/>
                <w:lang w:val="es-ES"/>
              </w:rPr>
              <w:t>530</w:t>
            </w:r>
          </w:p>
        </w:tc>
        <w:tc>
          <w:tcPr>
            <w:tcW w:w="461" w:type="pct"/>
            <w:tcBorders>
              <w:top w:val="nil"/>
              <w:bottom w:val="nil"/>
            </w:tcBorders>
            <w:shd w:val="clear" w:color="auto" w:fill="auto"/>
            <w:vAlign w:val="bottom"/>
          </w:tcPr>
          <w:p w:rsidR="00E421FD" w:rsidRPr="00960E47" w:rsidRDefault="00E421FD" w:rsidP="002D3CAD">
            <w:pPr>
              <w:pStyle w:val="SingleTxtG"/>
              <w:keepNext/>
              <w:spacing w:before="40" w:after="40" w:line="220" w:lineRule="exact"/>
              <w:ind w:left="0" w:right="0"/>
              <w:jc w:val="right"/>
              <w:rPr>
                <w:sz w:val="18"/>
                <w:szCs w:val="18"/>
                <w:lang w:val="es-ES"/>
              </w:rPr>
            </w:pPr>
            <w:r w:rsidRPr="00960E47">
              <w:rPr>
                <w:sz w:val="18"/>
                <w:szCs w:val="18"/>
                <w:lang w:val="es-ES"/>
              </w:rPr>
              <w:t>20</w:t>
            </w:r>
            <w:r w:rsidR="0065702B" w:rsidRPr="00960E47">
              <w:rPr>
                <w:sz w:val="18"/>
                <w:szCs w:val="18"/>
                <w:lang w:val="es-ES"/>
              </w:rPr>
              <w:t xml:space="preserve"> </w:t>
            </w:r>
            <w:r w:rsidRPr="00960E47">
              <w:rPr>
                <w:sz w:val="18"/>
                <w:szCs w:val="18"/>
                <w:lang w:val="es-ES"/>
              </w:rPr>
              <w:t>286</w:t>
            </w:r>
          </w:p>
        </w:tc>
        <w:tc>
          <w:tcPr>
            <w:tcW w:w="462" w:type="pct"/>
            <w:tcBorders>
              <w:top w:val="nil"/>
              <w:bottom w:val="nil"/>
            </w:tcBorders>
            <w:shd w:val="clear" w:color="auto" w:fill="auto"/>
            <w:vAlign w:val="bottom"/>
          </w:tcPr>
          <w:p w:rsidR="00E421FD" w:rsidRPr="00960E47" w:rsidRDefault="00E421FD" w:rsidP="002D3CAD">
            <w:pPr>
              <w:pStyle w:val="SingleTxtG"/>
              <w:keepNext/>
              <w:spacing w:before="40" w:after="40" w:line="220" w:lineRule="exact"/>
              <w:ind w:left="0" w:right="0"/>
              <w:jc w:val="right"/>
              <w:rPr>
                <w:b/>
                <w:sz w:val="18"/>
                <w:szCs w:val="18"/>
                <w:lang w:val="es-ES"/>
              </w:rPr>
            </w:pPr>
            <w:r w:rsidRPr="00960E47">
              <w:rPr>
                <w:b/>
                <w:sz w:val="18"/>
                <w:szCs w:val="18"/>
                <w:lang w:val="es-ES"/>
              </w:rPr>
              <w:t>39</w:t>
            </w:r>
            <w:r w:rsidR="0065702B" w:rsidRPr="00960E47">
              <w:rPr>
                <w:b/>
                <w:sz w:val="18"/>
                <w:szCs w:val="18"/>
                <w:lang w:val="es-ES"/>
              </w:rPr>
              <w:t xml:space="preserve"> </w:t>
            </w:r>
            <w:r w:rsidRPr="00960E47">
              <w:rPr>
                <w:b/>
                <w:sz w:val="18"/>
                <w:szCs w:val="18"/>
                <w:lang w:val="es-ES"/>
              </w:rPr>
              <w:t>816</w:t>
            </w:r>
          </w:p>
        </w:tc>
      </w:tr>
      <w:tr w:rsidR="00E421FD" w:rsidRPr="00960E47" w:rsidTr="0065702B">
        <w:trPr>
          <w:trHeight w:val="240"/>
        </w:trPr>
        <w:tc>
          <w:tcPr>
            <w:tcW w:w="845" w:type="pct"/>
            <w:tcBorders>
              <w:top w:val="nil"/>
              <w:bottom w:val="nil"/>
            </w:tcBorders>
            <w:shd w:val="clear" w:color="auto" w:fill="auto"/>
            <w:vAlign w:val="bottom"/>
          </w:tcPr>
          <w:p w:rsidR="00E421FD" w:rsidRPr="00960E47" w:rsidRDefault="00E421FD" w:rsidP="002D3CAD">
            <w:pPr>
              <w:pStyle w:val="SingleTxtG"/>
              <w:keepNext/>
              <w:spacing w:before="40" w:after="40" w:line="220" w:lineRule="exact"/>
              <w:ind w:left="0" w:right="0"/>
              <w:jc w:val="left"/>
              <w:rPr>
                <w:sz w:val="18"/>
                <w:szCs w:val="18"/>
                <w:lang w:val="es-ES"/>
              </w:rPr>
            </w:pPr>
            <w:r w:rsidRPr="00960E47">
              <w:rPr>
                <w:sz w:val="18"/>
                <w:szCs w:val="18"/>
                <w:lang w:val="es-ES"/>
              </w:rPr>
              <w:t>Quthing</w:t>
            </w:r>
          </w:p>
        </w:tc>
        <w:tc>
          <w:tcPr>
            <w:tcW w:w="461" w:type="pct"/>
            <w:tcBorders>
              <w:top w:val="nil"/>
              <w:bottom w:val="nil"/>
            </w:tcBorders>
            <w:shd w:val="clear" w:color="auto" w:fill="auto"/>
            <w:vAlign w:val="bottom"/>
          </w:tcPr>
          <w:p w:rsidR="00E421FD" w:rsidRPr="00960E47" w:rsidRDefault="00E421FD" w:rsidP="002D3CAD">
            <w:pPr>
              <w:pStyle w:val="SingleTxtG"/>
              <w:keepNext/>
              <w:spacing w:before="40" w:after="40" w:line="220" w:lineRule="exact"/>
              <w:ind w:left="0" w:right="0"/>
              <w:jc w:val="right"/>
              <w:rPr>
                <w:sz w:val="18"/>
                <w:szCs w:val="18"/>
                <w:lang w:val="es-ES"/>
              </w:rPr>
            </w:pPr>
            <w:r w:rsidRPr="00960E47">
              <w:rPr>
                <w:sz w:val="18"/>
                <w:szCs w:val="18"/>
                <w:lang w:val="es-ES"/>
              </w:rPr>
              <w:t>14</w:t>
            </w:r>
            <w:r w:rsidR="0065702B" w:rsidRPr="00960E47">
              <w:rPr>
                <w:sz w:val="18"/>
                <w:szCs w:val="18"/>
                <w:lang w:val="es-ES"/>
              </w:rPr>
              <w:t xml:space="preserve"> </w:t>
            </w:r>
            <w:r w:rsidRPr="00960E47">
              <w:rPr>
                <w:sz w:val="18"/>
                <w:szCs w:val="18"/>
                <w:lang w:val="es-ES"/>
              </w:rPr>
              <w:t>008</w:t>
            </w:r>
          </w:p>
        </w:tc>
        <w:tc>
          <w:tcPr>
            <w:tcW w:w="461" w:type="pct"/>
            <w:tcBorders>
              <w:top w:val="nil"/>
              <w:bottom w:val="nil"/>
            </w:tcBorders>
            <w:shd w:val="clear" w:color="auto" w:fill="auto"/>
            <w:vAlign w:val="bottom"/>
          </w:tcPr>
          <w:p w:rsidR="00E421FD" w:rsidRPr="00960E47" w:rsidRDefault="00E421FD" w:rsidP="002D3CAD">
            <w:pPr>
              <w:pStyle w:val="SingleTxtG"/>
              <w:keepNext/>
              <w:spacing w:before="40" w:after="40" w:line="220" w:lineRule="exact"/>
              <w:ind w:left="0" w:right="0"/>
              <w:jc w:val="right"/>
              <w:rPr>
                <w:sz w:val="18"/>
                <w:szCs w:val="18"/>
                <w:lang w:val="es-ES"/>
              </w:rPr>
            </w:pPr>
            <w:r w:rsidRPr="00960E47">
              <w:rPr>
                <w:sz w:val="18"/>
                <w:szCs w:val="18"/>
                <w:lang w:val="es-ES"/>
              </w:rPr>
              <w:t>15</w:t>
            </w:r>
            <w:r w:rsidR="0065702B" w:rsidRPr="00960E47">
              <w:rPr>
                <w:sz w:val="18"/>
                <w:szCs w:val="18"/>
                <w:lang w:val="es-ES"/>
              </w:rPr>
              <w:t xml:space="preserve"> </w:t>
            </w:r>
            <w:r w:rsidRPr="00960E47">
              <w:rPr>
                <w:sz w:val="18"/>
                <w:szCs w:val="18"/>
                <w:lang w:val="es-ES"/>
              </w:rPr>
              <w:t>054</w:t>
            </w:r>
          </w:p>
        </w:tc>
        <w:tc>
          <w:tcPr>
            <w:tcW w:w="461" w:type="pct"/>
            <w:tcBorders>
              <w:top w:val="nil"/>
              <w:bottom w:val="nil"/>
            </w:tcBorders>
            <w:shd w:val="clear" w:color="auto" w:fill="auto"/>
            <w:vAlign w:val="bottom"/>
          </w:tcPr>
          <w:p w:rsidR="00E421FD" w:rsidRPr="00960E47" w:rsidRDefault="00E421FD" w:rsidP="002D3CAD">
            <w:pPr>
              <w:pStyle w:val="SingleTxtG"/>
              <w:keepNext/>
              <w:spacing w:before="40" w:after="40" w:line="220" w:lineRule="exact"/>
              <w:ind w:left="0" w:right="0"/>
              <w:jc w:val="right"/>
              <w:rPr>
                <w:b/>
                <w:sz w:val="18"/>
                <w:szCs w:val="18"/>
                <w:lang w:val="es-ES"/>
              </w:rPr>
            </w:pPr>
            <w:r w:rsidRPr="00960E47">
              <w:rPr>
                <w:b/>
                <w:sz w:val="18"/>
                <w:szCs w:val="18"/>
                <w:lang w:val="es-ES"/>
              </w:rPr>
              <w:t>29</w:t>
            </w:r>
            <w:r w:rsidR="0065702B" w:rsidRPr="00960E47">
              <w:rPr>
                <w:b/>
                <w:sz w:val="18"/>
                <w:szCs w:val="18"/>
                <w:lang w:val="es-ES"/>
              </w:rPr>
              <w:t xml:space="preserve"> </w:t>
            </w:r>
            <w:r w:rsidRPr="00960E47">
              <w:rPr>
                <w:b/>
                <w:sz w:val="18"/>
                <w:szCs w:val="18"/>
                <w:lang w:val="es-ES"/>
              </w:rPr>
              <w:t>062</w:t>
            </w:r>
          </w:p>
        </w:tc>
        <w:tc>
          <w:tcPr>
            <w:tcW w:w="461" w:type="pct"/>
            <w:tcBorders>
              <w:top w:val="nil"/>
              <w:bottom w:val="nil"/>
            </w:tcBorders>
            <w:shd w:val="clear" w:color="auto" w:fill="auto"/>
            <w:vAlign w:val="bottom"/>
          </w:tcPr>
          <w:p w:rsidR="00E421FD" w:rsidRPr="00960E47" w:rsidRDefault="00E421FD" w:rsidP="002D3CAD">
            <w:pPr>
              <w:pStyle w:val="SingleTxtG"/>
              <w:keepNext/>
              <w:spacing w:before="40" w:after="40" w:line="220" w:lineRule="exact"/>
              <w:ind w:left="0" w:right="0"/>
              <w:jc w:val="right"/>
              <w:rPr>
                <w:sz w:val="18"/>
                <w:szCs w:val="18"/>
                <w:lang w:val="es-ES"/>
              </w:rPr>
            </w:pPr>
            <w:r w:rsidRPr="00960E47">
              <w:rPr>
                <w:sz w:val="18"/>
                <w:szCs w:val="18"/>
                <w:lang w:val="es-ES"/>
              </w:rPr>
              <w:t>13</w:t>
            </w:r>
            <w:r w:rsidR="0065702B" w:rsidRPr="00960E47">
              <w:rPr>
                <w:sz w:val="18"/>
                <w:szCs w:val="18"/>
                <w:lang w:val="es-ES"/>
              </w:rPr>
              <w:t xml:space="preserve"> </w:t>
            </w:r>
            <w:r w:rsidRPr="00960E47">
              <w:rPr>
                <w:sz w:val="18"/>
                <w:szCs w:val="18"/>
                <w:lang w:val="es-ES"/>
              </w:rPr>
              <w:t>609</w:t>
            </w:r>
          </w:p>
        </w:tc>
        <w:tc>
          <w:tcPr>
            <w:tcW w:w="462" w:type="pct"/>
            <w:tcBorders>
              <w:top w:val="nil"/>
              <w:bottom w:val="nil"/>
            </w:tcBorders>
            <w:shd w:val="clear" w:color="auto" w:fill="auto"/>
            <w:vAlign w:val="bottom"/>
          </w:tcPr>
          <w:p w:rsidR="00E421FD" w:rsidRPr="00960E47" w:rsidRDefault="00E421FD" w:rsidP="002D3CAD">
            <w:pPr>
              <w:pStyle w:val="SingleTxtG"/>
              <w:keepNext/>
              <w:spacing w:before="40" w:after="40" w:line="220" w:lineRule="exact"/>
              <w:ind w:left="0" w:right="0"/>
              <w:jc w:val="right"/>
              <w:rPr>
                <w:sz w:val="18"/>
                <w:szCs w:val="18"/>
                <w:lang w:val="es-ES"/>
              </w:rPr>
            </w:pPr>
            <w:r w:rsidRPr="00960E47">
              <w:rPr>
                <w:sz w:val="18"/>
                <w:szCs w:val="18"/>
                <w:lang w:val="es-ES"/>
              </w:rPr>
              <w:t>14</w:t>
            </w:r>
            <w:r w:rsidR="0065702B" w:rsidRPr="00960E47">
              <w:rPr>
                <w:sz w:val="18"/>
                <w:szCs w:val="18"/>
                <w:lang w:val="es-ES"/>
              </w:rPr>
              <w:t xml:space="preserve"> </w:t>
            </w:r>
            <w:r w:rsidRPr="00960E47">
              <w:rPr>
                <w:sz w:val="18"/>
                <w:szCs w:val="18"/>
                <w:lang w:val="es-ES"/>
              </w:rPr>
              <w:t>402</w:t>
            </w:r>
          </w:p>
        </w:tc>
        <w:tc>
          <w:tcPr>
            <w:tcW w:w="461" w:type="pct"/>
            <w:tcBorders>
              <w:top w:val="nil"/>
              <w:bottom w:val="nil"/>
            </w:tcBorders>
            <w:shd w:val="clear" w:color="auto" w:fill="auto"/>
            <w:vAlign w:val="bottom"/>
          </w:tcPr>
          <w:p w:rsidR="00E421FD" w:rsidRPr="00960E47" w:rsidRDefault="00E421FD" w:rsidP="002D3CAD">
            <w:pPr>
              <w:pStyle w:val="SingleTxtG"/>
              <w:keepNext/>
              <w:spacing w:before="40" w:after="40" w:line="220" w:lineRule="exact"/>
              <w:ind w:left="0" w:right="0"/>
              <w:jc w:val="right"/>
              <w:rPr>
                <w:b/>
                <w:sz w:val="18"/>
                <w:szCs w:val="18"/>
                <w:lang w:val="es-ES"/>
              </w:rPr>
            </w:pPr>
            <w:r w:rsidRPr="00960E47">
              <w:rPr>
                <w:b/>
                <w:sz w:val="18"/>
                <w:szCs w:val="18"/>
                <w:lang w:val="es-ES"/>
              </w:rPr>
              <w:t>28</w:t>
            </w:r>
            <w:r w:rsidR="0065702B" w:rsidRPr="00960E47">
              <w:rPr>
                <w:b/>
                <w:sz w:val="18"/>
                <w:szCs w:val="18"/>
                <w:lang w:val="es-ES"/>
              </w:rPr>
              <w:t xml:space="preserve"> </w:t>
            </w:r>
            <w:r w:rsidRPr="00960E47">
              <w:rPr>
                <w:b/>
                <w:sz w:val="18"/>
                <w:szCs w:val="18"/>
                <w:lang w:val="es-ES"/>
              </w:rPr>
              <w:t>011</w:t>
            </w:r>
          </w:p>
        </w:tc>
        <w:tc>
          <w:tcPr>
            <w:tcW w:w="461" w:type="pct"/>
            <w:tcBorders>
              <w:top w:val="nil"/>
              <w:bottom w:val="nil"/>
            </w:tcBorders>
            <w:shd w:val="clear" w:color="auto" w:fill="auto"/>
            <w:vAlign w:val="bottom"/>
          </w:tcPr>
          <w:p w:rsidR="00E421FD" w:rsidRPr="00960E47" w:rsidRDefault="00E421FD" w:rsidP="002D3CAD">
            <w:pPr>
              <w:pStyle w:val="SingleTxtG"/>
              <w:keepNext/>
              <w:spacing w:before="40" w:after="40" w:line="220" w:lineRule="exact"/>
              <w:ind w:left="0" w:right="0"/>
              <w:jc w:val="right"/>
              <w:rPr>
                <w:sz w:val="18"/>
                <w:szCs w:val="18"/>
                <w:lang w:val="es-ES"/>
              </w:rPr>
            </w:pPr>
            <w:r w:rsidRPr="00960E47">
              <w:rPr>
                <w:sz w:val="18"/>
                <w:szCs w:val="18"/>
                <w:lang w:val="es-ES"/>
              </w:rPr>
              <w:t>13</w:t>
            </w:r>
            <w:r w:rsidR="0065702B" w:rsidRPr="00960E47">
              <w:rPr>
                <w:sz w:val="18"/>
                <w:szCs w:val="18"/>
                <w:lang w:val="es-ES"/>
              </w:rPr>
              <w:t xml:space="preserve"> </w:t>
            </w:r>
            <w:r w:rsidRPr="00960E47">
              <w:rPr>
                <w:sz w:val="18"/>
                <w:szCs w:val="18"/>
                <w:lang w:val="es-ES"/>
              </w:rPr>
              <w:t>681</w:t>
            </w:r>
          </w:p>
        </w:tc>
        <w:tc>
          <w:tcPr>
            <w:tcW w:w="461" w:type="pct"/>
            <w:tcBorders>
              <w:top w:val="nil"/>
              <w:bottom w:val="nil"/>
            </w:tcBorders>
            <w:shd w:val="clear" w:color="auto" w:fill="auto"/>
            <w:vAlign w:val="bottom"/>
          </w:tcPr>
          <w:p w:rsidR="00E421FD" w:rsidRPr="00960E47" w:rsidRDefault="00E421FD" w:rsidP="002D3CAD">
            <w:pPr>
              <w:pStyle w:val="SingleTxtG"/>
              <w:keepNext/>
              <w:spacing w:before="40" w:after="40" w:line="220" w:lineRule="exact"/>
              <w:ind w:left="0" w:right="0"/>
              <w:jc w:val="right"/>
              <w:rPr>
                <w:sz w:val="18"/>
                <w:szCs w:val="18"/>
                <w:lang w:val="es-ES"/>
              </w:rPr>
            </w:pPr>
            <w:r w:rsidRPr="00960E47">
              <w:rPr>
                <w:sz w:val="18"/>
                <w:szCs w:val="18"/>
                <w:lang w:val="es-ES"/>
              </w:rPr>
              <w:t>14</w:t>
            </w:r>
            <w:r w:rsidR="0065702B" w:rsidRPr="00960E47">
              <w:rPr>
                <w:sz w:val="18"/>
                <w:szCs w:val="18"/>
                <w:lang w:val="es-ES"/>
              </w:rPr>
              <w:t xml:space="preserve"> </w:t>
            </w:r>
            <w:r w:rsidRPr="00960E47">
              <w:rPr>
                <w:sz w:val="18"/>
                <w:szCs w:val="18"/>
                <w:lang w:val="es-ES"/>
              </w:rPr>
              <w:t>287</w:t>
            </w:r>
          </w:p>
        </w:tc>
        <w:tc>
          <w:tcPr>
            <w:tcW w:w="462" w:type="pct"/>
            <w:tcBorders>
              <w:top w:val="nil"/>
              <w:bottom w:val="nil"/>
            </w:tcBorders>
            <w:shd w:val="clear" w:color="auto" w:fill="auto"/>
            <w:vAlign w:val="bottom"/>
          </w:tcPr>
          <w:p w:rsidR="00E421FD" w:rsidRPr="00960E47" w:rsidRDefault="00E421FD" w:rsidP="002D3CAD">
            <w:pPr>
              <w:pStyle w:val="SingleTxtG"/>
              <w:keepNext/>
              <w:spacing w:before="40" w:after="40" w:line="220" w:lineRule="exact"/>
              <w:ind w:left="0" w:right="0"/>
              <w:jc w:val="right"/>
              <w:rPr>
                <w:b/>
                <w:sz w:val="18"/>
                <w:szCs w:val="18"/>
                <w:lang w:val="es-ES"/>
              </w:rPr>
            </w:pPr>
            <w:r w:rsidRPr="00960E47">
              <w:rPr>
                <w:b/>
                <w:sz w:val="18"/>
                <w:szCs w:val="18"/>
                <w:lang w:val="es-ES"/>
              </w:rPr>
              <w:t>27</w:t>
            </w:r>
            <w:r w:rsidR="0065702B" w:rsidRPr="00960E47">
              <w:rPr>
                <w:b/>
                <w:sz w:val="18"/>
                <w:szCs w:val="18"/>
                <w:lang w:val="es-ES"/>
              </w:rPr>
              <w:t xml:space="preserve"> </w:t>
            </w:r>
            <w:r w:rsidRPr="00960E47">
              <w:rPr>
                <w:b/>
                <w:sz w:val="18"/>
                <w:szCs w:val="18"/>
                <w:lang w:val="es-ES"/>
              </w:rPr>
              <w:t>968</w:t>
            </w:r>
          </w:p>
        </w:tc>
      </w:tr>
      <w:tr w:rsidR="00E421FD" w:rsidRPr="00960E47" w:rsidTr="0065702B">
        <w:trPr>
          <w:trHeight w:val="240"/>
        </w:trPr>
        <w:tc>
          <w:tcPr>
            <w:tcW w:w="845" w:type="pct"/>
            <w:tcBorders>
              <w:top w:val="nil"/>
            </w:tcBorders>
            <w:shd w:val="clear" w:color="auto" w:fill="auto"/>
            <w:vAlign w:val="bottom"/>
          </w:tcPr>
          <w:p w:rsidR="00E421FD" w:rsidRPr="00960E47" w:rsidRDefault="00E421FD" w:rsidP="0065702B">
            <w:pPr>
              <w:pStyle w:val="SingleTxtG"/>
              <w:spacing w:before="40" w:after="40" w:line="220" w:lineRule="exact"/>
              <w:ind w:left="0" w:right="0"/>
              <w:jc w:val="left"/>
              <w:rPr>
                <w:sz w:val="18"/>
                <w:szCs w:val="18"/>
                <w:lang w:val="es-ES"/>
              </w:rPr>
            </w:pPr>
            <w:r w:rsidRPr="00960E47">
              <w:rPr>
                <w:sz w:val="18"/>
                <w:szCs w:val="18"/>
                <w:lang w:val="es-ES"/>
              </w:rPr>
              <w:t>Qacha</w:t>
            </w:r>
            <w:r w:rsidR="00866E12" w:rsidRPr="00960E47">
              <w:rPr>
                <w:sz w:val="18"/>
                <w:szCs w:val="18"/>
                <w:lang w:val="es-ES"/>
              </w:rPr>
              <w:t>'</w:t>
            </w:r>
            <w:r w:rsidRPr="00960E47">
              <w:rPr>
                <w:sz w:val="18"/>
                <w:szCs w:val="18"/>
                <w:lang w:val="es-ES"/>
              </w:rPr>
              <w:t>s Nek</w:t>
            </w:r>
          </w:p>
        </w:tc>
        <w:tc>
          <w:tcPr>
            <w:tcW w:w="461" w:type="pct"/>
            <w:tcBorders>
              <w:top w:val="nil"/>
            </w:tcBorders>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9</w:t>
            </w:r>
            <w:r w:rsidR="0065702B" w:rsidRPr="00960E47">
              <w:rPr>
                <w:sz w:val="18"/>
                <w:szCs w:val="18"/>
                <w:lang w:val="es-ES"/>
              </w:rPr>
              <w:t xml:space="preserve"> </w:t>
            </w:r>
            <w:r w:rsidRPr="00960E47">
              <w:rPr>
                <w:sz w:val="18"/>
                <w:szCs w:val="18"/>
                <w:lang w:val="es-ES"/>
              </w:rPr>
              <w:t>316</w:t>
            </w:r>
          </w:p>
        </w:tc>
        <w:tc>
          <w:tcPr>
            <w:tcW w:w="461" w:type="pct"/>
            <w:tcBorders>
              <w:top w:val="nil"/>
            </w:tcBorders>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9</w:t>
            </w:r>
            <w:r w:rsidR="0065702B" w:rsidRPr="00960E47">
              <w:rPr>
                <w:sz w:val="18"/>
                <w:szCs w:val="18"/>
                <w:lang w:val="es-ES"/>
              </w:rPr>
              <w:t xml:space="preserve"> </w:t>
            </w:r>
            <w:r w:rsidRPr="00960E47">
              <w:rPr>
                <w:sz w:val="18"/>
                <w:szCs w:val="18"/>
                <w:lang w:val="es-ES"/>
              </w:rPr>
              <w:t>666</w:t>
            </w:r>
          </w:p>
        </w:tc>
        <w:tc>
          <w:tcPr>
            <w:tcW w:w="461" w:type="pct"/>
            <w:tcBorders>
              <w:top w:val="nil"/>
            </w:tcBorders>
            <w:shd w:val="clear" w:color="auto" w:fill="auto"/>
            <w:vAlign w:val="bottom"/>
          </w:tcPr>
          <w:p w:rsidR="00E421FD" w:rsidRPr="00960E47" w:rsidRDefault="00E421FD" w:rsidP="0065702B">
            <w:pPr>
              <w:pStyle w:val="SingleTxtG"/>
              <w:spacing w:before="40" w:after="40" w:line="220" w:lineRule="exact"/>
              <w:ind w:left="0" w:right="0"/>
              <w:jc w:val="right"/>
              <w:rPr>
                <w:b/>
                <w:sz w:val="18"/>
                <w:szCs w:val="18"/>
                <w:lang w:val="es-ES"/>
              </w:rPr>
            </w:pPr>
            <w:r w:rsidRPr="00960E47">
              <w:rPr>
                <w:b/>
                <w:sz w:val="18"/>
                <w:szCs w:val="18"/>
                <w:lang w:val="es-ES"/>
              </w:rPr>
              <w:t>18</w:t>
            </w:r>
            <w:r w:rsidR="0065702B" w:rsidRPr="00960E47">
              <w:rPr>
                <w:b/>
                <w:sz w:val="18"/>
                <w:szCs w:val="18"/>
                <w:lang w:val="es-ES"/>
              </w:rPr>
              <w:t xml:space="preserve"> </w:t>
            </w:r>
            <w:r w:rsidRPr="00960E47">
              <w:rPr>
                <w:b/>
                <w:sz w:val="18"/>
                <w:szCs w:val="18"/>
                <w:lang w:val="es-ES"/>
              </w:rPr>
              <w:t>982</w:t>
            </w:r>
          </w:p>
        </w:tc>
        <w:tc>
          <w:tcPr>
            <w:tcW w:w="461" w:type="pct"/>
            <w:tcBorders>
              <w:top w:val="nil"/>
            </w:tcBorders>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9</w:t>
            </w:r>
            <w:r w:rsidR="0065702B" w:rsidRPr="00960E47">
              <w:rPr>
                <w:sz w:val="18"/>
                <w:szCs w:val="18"/>
                <w:lang w:val="es-ES"/>
              </w:rPr>
              <w:t xml:space="preserve"> </w:t>
            </w:r>
            <w:r w:rsidRPr="00960E47">
              <w:rPr>
                <w:sz w:val="18"/>
                <w:szCs w:val="18"/>
                <w:lang w:val="es-ES"/>
              </w:rPr>
              <w:t>071</w:t>
            </w:r>
          </w:p>
        </w:tc>
        <w:tc>
          <w:tcPr>
            <w:tcW w:w="462" w:type="pct"/>
            <w:tcBorders>
              <w:top w:val="nil"/>
            </w:tcBorders>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9</w:t>
            </w:r>
            <w:r w:rsidR="0065702B" w:rsidRPr="00960E47">
              <w:rPr>
                <w:sz w:val="18"/>
                <w:szCs w:val="18"/>
                <w:lang w:val="es-ES"/>
              </w:rPr>
              <w:t xml:space="preserve"> </w:t>
            </w:r>
            <w:r w:rsidRPr="00960E47">
              <w:rPr>
                <w:sz w:val="18"/>
                <w:szCs w:val="18"/>
                <w:lang w:val="es-ES"/>
              </w:rPr>
              <w:t>419</w:t>
            </w:r>
          </w:p>
        </w:tc>
        <w:tc>
          <w:tcPr>
            <w:tcW w:w="461" w:type="pct"/>
            <w:tcBorders>
              <w:top w:val="nil"/>
            </w:tcBorders>
            <w:shd w:val="clear" w:color="auto" w:fill="auto"/>
            <w:vAlign w:val="bottom"/>
          </w:tcPr>
          <w:p w:rsidR="00E421FD" w:rsidRPr="00960E47" w:rsidRDefault="00E421FD" w:rsidP="0065702B">
            <w:pPr>
              <w:pStyle w:val="SingleTxtG"/>
              <w:spacing w:before="40" w:after="40" w:line="220" w:lineRule="exact"/>
              <w:ind w:left="0" w:right="0"/>
              <w:jc w:val="right"/>
              <w:rPr>
                <w:b/>
                <w:sz w:val="18"/>
                <w:szCs w:val="18"/>
                <w:lang w:val="es-ES"/>
              </w:rPr>
            </w:pPr>
            <w:r w:rsidRPr="00960E47">
              <w:rPr>
                <w:b/>
                <w:sz w:val="18"/>
                <w:szCs w:val="18"/>
                <w:lang w:val="es-ES"/>
              </w:rPr>
              <w:t>18</w:t>
            </w:r>
            <w:r w:rsidR="0065702B" w:rsidRPr="00960E47">
              <w:rPr>
                <w:b/>
                <w:sz w:val="18"/>
                <w:szCs w:val="18"/>
                <w:lang w:val="es-ES"/>
              </w:rPr>
              <w:t xml:space="preserve"> </w:t>
            </w:r>
            <w:r w:rsidRPr="00960E47">
              <w:rPr>
                <w:b/>
                <w:sz w:val="18"/>
                <w:szCs w:val="18"/>
                <w:lang w:val="es-ES"/>
              </w:rPr>
              <w:t>490</w:t>
            </w:r>
          </w:p>
        </w:tc>
        <w:tc>
          <w:tcPr>
            <w:tcW w:w="461" w:type="pct"/>
            <w:tcBorders>
              <w:top w:val="nil"/>
            </w:tcBorders>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9</w:t>
            </w:r>
            <w:r w:rsidR="0065702B" w:rsidRPr="00960E47">
              <w:rPr>
                <w:sz w:val="18"/>
                <w:szCs w:val="18"/>
                <w:lang w:val="es-ES"/>
              </w:rPr>
              <w:t xml:space="preserve"> </w:t>
            </w:r>
            <w:r w:rsidRPr="00960E47">
              <w:rPr>
                <w:sz w:val="18"/>
                <w:szCs w:val="18"/>
                <w:lang w:val="es-ES"/>
              </w:rPr>
              <w:t>195</w:t>
            </w:r>
          </w:p>
        </w:tc>
        <w:tc>
          <w:tcPr>
            <w:tcW w:w="461" w:type="pct"/>
            <w:tcBorders>
              <w:top w:val="nil"/>
            </w:tcBorders>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9</w:t>
            </w:r>
            <w:r w:rsidR="0065702B" w:rsidRPr="00960E47">
              <w:rPr>
                <w:sz w:val="18"/>
                <w:szCs w:val="18"/>
                <w:lang w:val="es-ES"/>
              </w:rPr>
              <w:t xml:space="preserve"> </w:t>
            </w:r>
            <w:r w:rsidRPr="00960E47">
              <w:rPr>
                <w:sz w:val="18"/>
                <w:szCs w:val="18"/>
                <w:lang w:val="es-ES"/>
              </w:rPr>
              <w:t>394</w:t>
            </w:r>
          </w:p>
        </w:tc>
        <w:tc>
          <w:tcPr>
            <w:tcW w:w="462" w:type="pct"/>
            <w:tcBorders>
              <w:top w:val="nil"/>
            </w:tcBorders>
            <w:shd w:val="clear" w:color="auto" w:fill="auto"/>
            <w:vAlign w:val="bottom"/>
          </w:tcPr>
          <w:p w:rsidR="00E421FD" w:rsidRPr="00960E47" w:rsidRDefault="00E421FD" w:rsidP="0065702B">
            <w:pPr>
              <w:pStyle w:val="SingleTxtG"/>
              <w:spacing w:before="40" w:after="40" w:line="220" w:lineRule="exact"/>
              <w:ind w:left="0" w:right="0"/>
              <w:jc w:val="right"/>
              <w:rPr>
                <w:b/>
                <w:sz w:val="18"/>
                <w:szCs w:val="18"/>
                <w:lang w:val="es-ES"/>
              </w:rPr>
            </w:pPr>
            <w:r w:rsidRPr="00960E47">
              <w:rPr>
                <w:b/>
                <w:sz w:val="18"/>
                <w:szCs w:val="18"/>
                <w:lang w:val="es-ES"/>
              </w:rPr>
              <w:t>18</w:t>
            </w:r>
            <w:r w:rsidR="0065702B" w:rsidRPr="00960E47">
              <w:rPr>
                <w:b/>
                <w:sz w:val="18"/>
                <w:szCs w:val="18"/>
                <w:lang w:val="es-ES"/>
              </w:rPr>
              <w:t xml:space="preserve"> </w:t>
            </w:r>
            <w:r w:rsidRPr="00960E47">
              <w:rPr>
                <w:b/>
                <w:sz w:val="18"/>
                <w:szCs w:val="18"/>
                <w:lang w:val="es-ES"/>
              </w:rPr>
              <w:t>589</w:t>
            </w:r>
          </w:p>
        </w:tc>
      </w:tr>
      <w:tr w:rsidR="00E421FD" w:rsidRPr="00960E47" w:rsidTr="0065702B">
        <w:trPr>
          <w:trHeight w:val="240"/>
        </w:trPr>
        <w:tc>
          <w:tcPr>
            <w:tcW w:w="845" w:type="pct"/>
            <w:shd w:val="clear" w:color="auto" w:fill="auto"/>
            <w:vAlign w:val="bottom"/>
          </w:tcPr>
          <w:p w:rsidR="00E421FD" w:rsidRPr="00960E47" w:rsidRDefault="00E421FD" w:rsidP="0065702B">
            <w:pPr>
              <w:pStyle w:val="SingleTxtG"/>
              <w:spacing w:before="40" w:after="40" w:line="220" w:lineRule="exact"/>
              <w:ind w:left="0" w:right="0"/>
              <w:jc w:val="left"/>
              <w:rPr>
                <w:sz w:val="18"/>
                <w:szCs w:val="18"/>
                <w:lang w:val="es-ES"/>
              </w:rPr>
            </w:pPr>
            <w:r w:rsidRPr="00960E47">
              <w:rPr>
                <w:sz w:val="18"/>
                <w:szCs w:val="18"/>
                <w:lang w:val="es-ES"/>
              </w:rPr>
              <w:t>Mokhotlong</w:t>
            </w:r>
          </w:p>
        </w:tc>
        <w:tc>
          <w:tcPr>
            <w:tcW w:w="461"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10</w:t>
            </w:r>
            <w:r w:rsidR="0065702B" w:rsidRPr="00960E47">
              <w:rPr>
                <w:sz w:val="18"/>
                <w:szCs w:val="18"/>
                <w:lang w:val="es-ES"/>
              </w:rPr>
              <w:t xml:space="preserve"> </w:t>
            </w:r>
            <w:r w:rsidRPr="00960E47">
              <w:rPr>
                <w:sz w:val="18"/>
                <w:szCs w:val="18"/>
                <w:lang w:val="es-ES"/>
              </w:rPr>
              <w:t>020</w:t>
            </w:r>
          </w:p>
        </w:tc>
        <w:tc>
          <w:tcPr>
            <w:tcW w:w="461"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11</w:t>
            </w:r>
            <w:r w:rsidR="0065702B" w:rsidRPr="00960E47">
              <w:rPr>
                <w:sz w:val="18"/>
                <w:szCs w:val="18"/>
                <w:lang w:val="es-ES"/>
              </w:rPr>
              <w:t xml:space="preserve"> </w:t>
            </w:r>
            <w:r w:rsidRPr="00960E47">
              <w:rPr>
                <w:sz w:val="18"/>
                <w:szCs w:val="18"/>
                <w:lang w:val="es-ES"/>
              </w:rPr>
              <w:t>386</w:t>
            </w:r>
          </w:p>
        </w:tc>
        <w:tc>
          <w:tcPr>
            <w:tcW w:w="461" w:type="pct"/>
            <w:shd w:val="clear" w:color="auto" w:fill="auto"/>
            <w:vAlign w:val="bottom"/>
          </w:tcPr>
          <w:p w:rsidR="00E421FD" w:rsidRPr="00960E47" w:rsidRDefault="00E421FD" w:rsidP="0065702B">
            <w:pPr>
              <w:pStyle w:val="SingleTxtG"/>
              <w:spacing w:before="40" w:after="40" w:line="220" w:lineRule="exact"/>
              <w:ind w:left="0" w:right="0"/>
              <w:jc w:val="right"/>
              <w:rPr>
                <w:b/>
                <w:sz w:val="18"/>
                <w:szCs w:val="18"/>
                <w:lang w:val="es-ES"/>
              </w:rPr>
            </w:pPr>
            <w:r w:rsidRPr="00960E47">
              <w:rPr>
                <w:b/>
                <w:sz w:val="18"/>
                <w:szCs w:val="18"/>
                <w:lang w:val="es-ES"/>
              </w:rPr>
              <w:t>21</w:t>
            </w:r>
            <w:r w:rsidR="0065702B" w:rsidRPr="00960E47">
              <w:rPr>
                <w:b/>
                <w:sz w:val="18"/>
                <w:szCs w:val="18"/>
                <w:lang w:val="es-ES"/>
              </w:rPr>
              <w:t xml:space="preserve"> </w:t>
            </w:r>
            <w:r w:rsidRPr="00960E47">
              <w:rPr>
                <w:b/>
                <w:sz w:val="18"/>
                <w:szCs w:val="18"/>
                <w:lang w:val="es-ES"/>
              </w:rPr>
              <w:t>406</w:t>
            </w:r>
          </w:p>
        </w:tc>
        <w:tc>
          <w:tcPr>
            <w:tcW w:w="461"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10</w:t>
            </w:r>
            <w:r w:rsidR="0065702B" w:rsidRPr="00960E47">
              <w:rPr>
                <w:sz w:val="18"/>
                <w:szCs w:val="18"/>
                <w:lang w:val="es-ES"/>
              </w:rPr>
              <w:t xml:space="preserve"> </w:t>
            </w:r>
            <w:r w:rsidRPr="00960E47">
              <w:rPr>
                <w:sz w:val="18"/>
                <w:szCs w:val="18"/>
                <w:lang w:val="es-ES"/>
              </w:rPr>
              <w:t>203</w:t>
            </w:r>
          </w:p>
        </w:tc>
        <w:tc>
          <w:tcPr>
            <w:tcW w:w="462"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11</w:t>
            </w:r>
            <w:r w:rsidR="0065702B" w:rsidRPr="00960E47">
              <w:rPr>
                <w:sz w:val="18"/>
                <w:szCs w:val="18"/>
                <w:lang w:val="es-ES"/>
              </w:rPr>
              <w:t xml:space="preserve"> </w:t>
            </w:r>
            <w:r w:rsidRPr="00960E47">
              <w:rPr>
                <w:sz w:val="18"/>
                <w:szCs w:val="18"/>
                <w:lang w:val="es-ES"/>
              </w:rPr>
              <w:t>657</w:t>
            </w:r>
          </w:p>
        </w:tc>
        <w:tc>
          <w:tcPr>
            <w:tcW w:w="461" w:type="pct"/>
            <w:shd w:val="clear" w:color="auto" w:fill="auto"/>
            <w:vAlign w:val="bottom"/>
          </w:tcPr>
          <w:p w:rsidR="00E421FD" w:rsidRPr="00960E47" w:rsidRDefault="00E421FD" w:rsidP="0065702B">
            <w:pPr>
              <w:pStyle w:val="SingleTxtG"/>
              <w:spacing w:before="40" w:after="40" w:line="220" w:lineRule="exact"/>
              <w:ind w:left="0" w:right="0"/>
              <w:jc w:val="right"/>
              <w:rPr>
                <w:b/>
                <w:sz w:val="18"/>
                <w:szCs w:val="18"/>
                <w:lang w:val="es-ES"/>
              </w:rPr>
            </w:pPr>
            <w:r w:rsidRPr="00960E47">
              <w:rPr>
                <w:b/>
                <w:sz w:val="18"/>
                <w:szCs w:val="18"/>
                <w:lang w:val="es-ES"/>
              </w:rPr>
              <w:t>21</w:t>
            </w:r>
            <w:r w:rsidR="0065702B" w:rsidRPr="00960E47">
              <w:rPr>
                <w:b/>
                <w:sz w:val="18"/>
                <w:szCs w:val="18"/>
                <w:lang w:val="es-ES"/>
              </w:rPr>
              <w:t xml:space="preserve"> </w:t>
            </w:r>
            <w:r w:rsidRPr="00960E47">
              <w:rPr>
                <w:b/>
                <w:sz w:val="18"/>
                <w:szCs w:val="18"/>
                <w:lang w:val="es-ES"/>
              </w:rPr>
              <w:t>860</w:t>
            </w:r>
          </w:p>
        </w:tc>
        <w:tc>
          <w:tcPr>
            <w:tcW w:w="461"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10</w:t>
            </w:r>
            <w:r w:rsidR="0065702B" w:rsidRPr="00960E47">
              <w:rPr>
                <w:sz w:val="18"/>
                <w:szCs w:val="18"/>
                <w:lang w:val="es-ES"/>
              </w:rPr>
              <w:t xml:space="preserve"> </w:t>
            </w:r>
            <w:r w:rsidRPr="00960E47">
              <w:rPr>
                <w:sz w:val="18"/>
                <w:szCs w:val="18"/>
                <w:lang w:val="es-ES"/>
              </w:rPr>
              <w:t>636</w:t>
            </w:r>
          </w:p>
        </w:tc>
        <w:tc>
          <w:tcPr>
            <w:tcW w:w="461"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12</w:t>
            </w:r>
            <w:r w:rsidR="0065702B" w:rsidRPr="00960E47">
              <w:rPr>
                <w:sz w:val="18"/>
                <w:szCs w:val="18"/>
                <w:lang w:val="es-ES"/>
              </w:rPr>
              <w:t xml:space="preserve"> </w:t>
            </w:r>
            <w:r w:rsidRPr="00960E47">
              <w:rPr>
                <w:sz w:val="18"/>
                <w:szCs w:val="18"/>
                <w:lang w:val="es-ES"/>
              </w:rPr>
              <w:t>195</w:t>
            </w:r>
          </w:p>
        </w:tc>
        <w:tc>
          <w:tcPr>
            <w:tcW w:w="462" w:type="pct"/>
            <w:shd w:val="clear" w:color="auto" w:fill="auto"/>
            <w:vAlign w:val="bottom"/>
          </w:tcPr>
          <w:p w:rsidR="00E421FD" w:rsidRPr="00960E47" w:rsidRDefault="00E421FD" w:rsidP="0065702B">
            <w:pPr>
              <w:pStyle w:val="SingleTxtG"/>
              <w:spacing w:before="40" w:after="40" w:line="220" w:lineRule="exact"/>
              <w:ind w:left="0" w:right="0"/>
              <w:jc w:val="right"/>
              <w:rPr>
                <w:b/>
                <w:sz w:val="18"/>
                <w:szCs w:val="18"/>
                <w:lang w:val="es-ES"/>
              </w:rPr>
            </w:pPr>
            <w:r w:rsidRPr="00960E47">
              <w:rPr>
                <w:b/>
                <w:sz w:val="18"/>
                <w:szCs w:val="18"/>
                <w:lang w:val="es-ES"/>
              </w:rPr>
              <w:t>22</w:t>
            </w:r>
            <w:r w:rsidR="0065702B" w:rsidRPr="00960E47">
              <w:rPr>
                <w:b/>
                <w:sz w:val="18"/>
                <w:szCs w:val="18"/>
                <w:lang w:val="es-ES"/>
              </w:rPr>
              <w:t xml:space="preserve"> </w:t>
            </w:r>
            <w:r w:rsidRPr="00960E47">
              <w:rPr>
                <w:b/>
                <w:sz w:val="18"/>
                <w:szCs w:val="18"/>
                <w:lang w:val="es-ES"/>
              </w:rPr>
              <w:t>831</w:t>
            </w:r>
          </w:p>
        </w:tc>
      </w:tr>
      <w:tr w:rsidR="00E421FD" w:rsidRPr="00960E47" w:rsidTr="0065702B">
        <w:trPr>
          <w:trHeight w:val="240"/>
        </w:trPr>
        <w:tc>
          <w:tcPr>
            <w:tcW w:w="845" w:type="pct"/>
            <w:tcBorders>
              <w:bottom w:val="single" w:sz="4" w:space="0" w:color="000000"/>
            </w:tcBorders>
            <w:shd w:val="clear" w:color="auto" w:fill="auto"/>
            <w:vAlign w:val="bottom"/>
          </w:tcPr>
          <w:p w:rsidR="00E421FD" w:rsidRPr="00960E47" w:rsidRDefault="00E421FD" w:rsidP="0065702B">
            <w:pPr>
              <w:pStyle w:val="SingleTxtG"/>
              <w:spacing w:before="40" w:after="40" w:line="220" w:lineRule="exact"/>
              <w:ind w:left="0" w:right="0"/>
              <w:jc w:val="left"/>
              <w:rPr>
                <w:sz w:val="18"/>
                <w:szCs w:val="18"/>
                <w:lang w:val="es-ES"/>
              </w:rPr>
            </w:pPr>
            <w:r w:rsidRPr="00960E47">
              <w:rPr>
                <w:sz w:val="18"/>
                <w:szCs w:val="18"/>
                <w:lang w:val="es-ES"/>
              </w:rPr>
              <w:t>ThabaTseka</w:t>
            </w:r>
          </w:p>
        </w:tc>
        <w:tc>
          <w:tcPr>
            <w:tcW w:w="461" w:type="pct"/>
            <w:tcBorders>
              <w:bottom w:val="single" w:sz="4" w:space="0" w:color="000000"/>
            </w:tcBorders>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14</w:t>
            </w:r>
            <w:r w:rsidR="0065702B" w:rsidRPr="00960E47">
              <w:rPr>
                <w:sz w:val="18"/>
                <w:szCs w:val="18"/>
                <w:lang w:val="es-ES"/>
              </w:rPr>
              <w:t xml:space="preserve"> </w:t>
            </w:r>
            <w:r w:rsidRPr="00960E47">
              <w:rPr>
                <w:sz w:val="18"/>
                <w:szCs w:val="18"/>
                <w:lang w:val="es-ES"/>
              </w:rPr>
              <w:t>731</w:t>
            </w:r>
          </w:p>
        </w:tc>
        <w:tc>
          <w:tcPr>
            <w:tcW w:w="461" w:type="pct"/>
            <w:tcBorders>
              <w:bottom w:val="single" w:sz="4" w:space="0" w:color="000000"/>
            </w:tcBorders>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17</w:t>
            </w:r>
            <w:r w:rsidR="0065702B" w:rsidRPr="00960E47">
              <w:rPr>
                <w:sz w:val="18"/>
                <w:szCs w:val="18"/>
                <w:lang w:val="es-ES"/>
              </w:rPr>
              <w:t xml:space="preserve"> </w:t>
            </w:r>
            <w:r w:rsidRPr="00960E47">
              <w:rPr>
                <w:sz w:val="18"/>
                <w:szCs w:val="18"/>
                <w:lang w:val="es-ES"/>
              </w:rPr>
              <w:t>018</w:t>
            </w:r>
          </w:p>
        </w:tc>
        <w:tc>
          <w:tcPr>
            <w:tcW w:w="461" w:type="pct"/>
            <w:tcBorders>
              <w:bottom w:val="single" w:sz="4" w:space="0" w:color="000000"/>
            </w:tcBorders>
            <w:shd w:val="clear" w:color="auto" w:fill="auto"/>
            <w:vAlign w:val="bottom"/>
          </w:tcPr>
          <w:p w:rsidR="00E421FD" w:rsidRPr="00960E47" w:rsidRDefault="00E421FD" w:rsidP="0065702B">
            <w:pPr>
              <w:pStyle w:val="SingleTxtG"/>
              <w:spacing w:before="40" w:after="40" w:line="220" w:lineRule="exact"/>
              <w:ind w:left="0" w:right="0"/>
              <w:jc w:val="right"/>
              <w:rPr>
                <w:b/>
                <w:sz w:val="18"/>
                <w:szCs w:val="18"/>
                <w:lang w:val="es-ES"/>
              </w:rPr>
            </w:pPr>
            <w:r w:rsidRPr="00960E47">
              <w:rPr>
                <w:b/>
                <w:sz w:val="18"/>
                <w:szCs w:val="18"/>
                <w:lang w:val="es-ES"/>
              </w:rPr>
              <w:t>31</w:t>
            </w:r>
            <w:r w:rsidR="0065702B" w:rsidRPr="00960E47">
              <w:rPr>
                <w:b/>
                <w:sz w:val="18"/>
                <w:szCs w:val="18"/>
                <w:lang w:val="es-ES"/>
              </w:rPr>
              <w:t xml:space="preserve"> </w:t>
            </w:r>
            <w:r w:rsidRPr="00960E47">
              <w:rPr>
                <w:b/>
                <w:sz w:val="18"/>
                <w:szCs w:val="18"/>
                <w:lang w:val="es-ES"/>
              </w:rPr>
              <w:t>749</w:t>
            </w:r>
          </w:p>
        </w:tc>
        <w:tc>
          <w:tcPr>
            <w:tcW w:w="461" w:type="pct"/>
            <w:tcBorders>
              <w:bottom w:val="single" w:sz="4" w:space="0" w:color="000000"/>
            </w:tcBorders>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15</w:t>
            </w:r>
            <w:r w:rsidR="0065702B" w:rsidRPr="00960E47">
              <w:rPr>
                <w:sz w:val="18"/>
                <w:szCs w:val="18"/>
                <w:lang w:val="es-ES"/>
              </w:rPr>
              <w:t xml:space="preserve"> </w:t>
            </w:r>
            <w:r w:rsidRPr="00960E47">
              <w:rPr>
                <w:sz w:val="18"/>
                <w:szCs w:val="18"/>
                <w:lang w:val="es-ES"/>
              </w:rPr>
              <w:t>082</w:t>
            </w:r>
          </w:p>
        </w:tc>
        <w:tc>
          <w:tcPr>
            <w:tcW w:w="462" w:type="pct"/>
            <w:tcBorders>
              <w:bottom w:val="single" w:sz="4" w:space="0" w:color="000000"/>
            </w:tcBorders>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17</w:t>
            </w:r>
            <w:r w:rsidR="0065702B" w:rsidRPr="00960E47">
              <w:rPr>
                <w:sz w:val="18"/>
                <w:szCs w:val="18"/>
                <w:lang w:val="es-ES"/>
              </w:rPr>
              <w:t xml:space="preserve"> </w:t>
            </w:r>
            <w:r w:rsidRPr="00960E47">
              <w:rPr>
                <w:sz w:val="18"/>
                <w:szCs w:val="18"/>
                <w:lang w:val="es-ES"/>
              </w:rPr>
              <w:t>120</w:t>
            </w:r>
          </w:p>
        </w:tc>
        <w:tc>
          <w:tcPr>
            <w:tcW w:w="461" w:type="pct"/>
            <w:tcBorders>
              <w:bottom w:val="single" w:sz="4" w:space="0" w:color="000000"/>
            </w:tcBorders>
            <w:shd w:val="clear" w:color="auto" w:fill="auto"/>
            <w:vAlign w:val="bottom"/>
          </w:tcPr>
          <w:p w:rsidR="00E421FD" w:rsidRPr="00960E47" w:rsidRDefault="00E421FD" w:rsidP="0065702B">
            <w:pPr>
              <w:pStyle w:val="SingleTxtG"/>
              <w:spacing w:before="40" w:after="40" w:line="220" w:lineRule="exact"/>
              <w:ind w:left="0" w:right="0"/>
              <w:jc w:val="right"/>
              <w:rPr>
                <w:b/>
                <w:sz w:val="18"/>
                <w:szCs w:val="18"/>
                <w:lang w:val="es-ES"/>
              </w:rPr>
            </w:pPr>
            <w:r w:rsidRPr="00960E47">
              <w:rPr>
                <w:b/>
                <w:sz w:val="18"/>
                <w:szCs w:val="18"/>
                <w:lang w:val="es-ES"/>
              </w:rPr>
              <w:t>32</w:t>
            </w:r>
            <w:r w:rsidR="0065702B" w:rsidRPr="00960E47">
              <w:rPr>
                <w:b/>
                <w:sz w:val="18"/>
                <w:szCs w:val="18"/>
                <w:lang w:val="es-ES"/>
              </w:rPr>
              <w:t xml:space="preserve"> </w:t>
            </w:r>
            <w:r w:rsidRPr="00960E47">
              <w:rPr>
                <w:b/>
                <w:sz w:val="18"/>
                <w:szCs w:val="18"/>
                <w:lang w:val="es-ES"/>
              </w:rPr>
              <w:t>202</w:t>
            </w:r>
          </w:p>
        </w:tc>
        <w:tc>
          <w:tcPr>
            <w:tcW w:w="461" w:type="pct"/>
            <w:tcBorders>
              <w:bottom w:val="single" w:sz="4" w:space="0" w:color="000000"/>
            </w:tcBorders>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15</w:t>
            </w:r>
            <w:r w:rsidR="0065702B" w:rsidRPr="00960E47">
              <w:rPr>
                <w:sz w:val="18"/>
                <w:szCs w:val="18"/>
                <w:lang w:val="es-ES"/>
              </w:rPr>
              <w:t xml:space="preserve"> </w:t>
            </w:r>
            <w:r w:rsidRPr="00960E47">
              <w:rPr>
                <w:sz w:val="18"/>
                <w:szCs w:val="18"/>
                <w:lang w:val="es-ES"/>
              </w:rPr>
              <w:t>359</w:t>
            </w:r>
          </w:p>
        </w:tc>
        <w:tc>
          <w:tcPr>
            <w:tcW w:w="461" w:type="pct"/>
            <w:tcBorders>
              <w:bottom w:val="single" w:sz="4" w:space="0" w:color="000000"/>
            </w:tcBorders>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17</w:t>
            </w:r>
            <w:r w:rsidR="0065702B" w:rsidRPr="00960E47">
              <w:rPr>
                <w:sz w:val="18"/>
                <w:szCs w:val="18"/>
                <w:lang w:val="es-ES"/>
              </w:rPr>
              <w:t xml:space="preserve"> </w:t>
            </w:r>
            <w:r w:rsidRPr="00960E47">
              <w:rPr>
                <w:sz w:val="18"/>
                <w:szCs w:val="18"/>
                <w:lang w:val="es-ES"/>
              </w:rPr>
              <w:t>363</w:t>
            </w:r>
          </w:p>
        </w:tc>
        <w:tc>
          <w:tcPr>
            <w:tcW w:w="462" w:type="pct"/>
            <w:tcBorders>
              <w:bottom w:val="single" w:sz="4" w:space="0" w:color="000000"/>
            </w:tcBorders>
            <w:shd w:val="clear" w:color="auto" w:fill="auto"/>
            <w:vAlign w:val="bottom"/>
          </w:tcPr>
          <w:p w:rsidR="00E421FD" w:rsidRPr="00960E47" w:rsidRDefault="00E421FD" w:rsidP="0065702B">
            <w:pPr>
              <w:pStyle w:val="SingleTxtG"/>
              <w:spacing w:before="40" w:after="40" w:line="220" w:lineRule="exact"/>
              <w:ind w:left="0" w:right="0"/>
              <w:jc w:val="right"/>
              <w:rPr>
                <w:b/>
                <w:sz w:val="18"/>
                <w:szCs w:val="18"/>
                <w:lang w:val="es-ES"/>
              </w:rPr>
            </w:pPr>
            <w:r w:rsidRPr="00960E47">
              <w:rPr>
                <w:b/>
                <w:sz w:val="18"/>
                <w:szCs w:val="18"/>
                <w:lang w:val="es-ES"/>
              </w:rPr>
              <w:t>32</w:t>
            </w:r>
            <w:r w:rsidR="0065702B" w:rsidRPr="00960E47">
              <w:rPr>
                <w:b/>
                <w:sz w:val="18"/>
                <w:szCs w:val="18"/>
                <w:lang w:val="es-ES"/>
              </w:rPr>
              <w:t xml:space="preserve"> </w:t>
            </w:r>
            <w:r w:rsidRPr="00960E47">
              <w:rPr>
                <w:b/>
                <w:sz w:val="18"/>
                <w:szCs w:val="18"/>
                <w:lang w:val="es-ES"/>
              </w:rPr>
              <w:t>722</w:t>
            </w:r>
          </w:p>
        </w:tc>
      </w:tr>
      <w:tr w:rsidR="00E421FD" w:rsidRPr="00960E47" w:rsidTr="0065702B">
        <w:trPr>
          <w:trHeight w:val="240"/>
        </w:trPr>
        <w:tc>
          <w:tcPr>
            <w:tcW w:w="845" w:type="pct"/>
            <w:tcBorders>
              <w:top w:val="single" w:sz="4" w:space="0" w:color="000000"/>
              <w:bottom w:val="single" w:sz="12" w:space="0" w:color="auto"/>
            </w:tcBorders>
            <w:shd w:val="clear" w:color="auto" w:fill="auto"/>
            <w:vAlign w:val="bottom"/>
          </w:tcPr>
          <w:p w:rsidR="00E421FD" w:rsidRPr="00960E47" w:rsidRDefault="00E421FD" w:rsidP="0065702B">
            <w:pPr>
              <w:pStyle w:val="SingleTxtG"/>
              <w:spacing w:before="80" w:after="80" w:line="220" w:lineRule="exact"/>
              <w:ind w:left="284" w:right="0"/>
              <w:jc w:val="left"/>
              <w:rPr>
                <w:b/>
                <w:sz w:val="18"/>
                <w:szCs w:val="18"/>
                <w:lang w:val="es-ES"/>
              </w:rPr>
            </w:pPr>
            <w:r w:rsidRPr="00960E47">
              <w:rPr>
                <w:b/>
                <w:sz w:val="18"/>
                <w:szCs w:val="18"/>
                <w:lang w:val="es-ES"/>
              </w:rPr>
              <w:t>Total</w:t>
            </w:r>
          </w:p>
        </w:tc>
        <w:tc>
          <w:tcPr>
            <w:tcW w:w="461" w:type="pct"/>
            <w:tcBorders>
              <w:top w:val="single" w:sz="4" w:space="0" w:color="000000"/>
              <w:bottom w:val="single" w:sz="12" w:space="0" w:color="auto"/>
            </w:tcBorders>
            <w:shd w:val="clear" w:color="auto" w:fill="auto"/>
            <w:vAlign w:val="bottom"/>
          </w:tcPr>
          <w:p w:rsidR="00E421FD" w:rsidRPr="00960E47" w:rsidRDefault="00E421FD" w:rsidP="0065702B">
            <w:pPr>
              <w:pStyle w:val="SingleTxtG"/>
              <w:spacing w:before="80" w:after="80" w:line="220" w:lineRule="exact"/>
              <w:ind w:left="0" w:right="0"/>
              <w:jc w:val="right"/>
              <w:rPr>
                <w:b/>
                <w:sz w:val="18"/>
                <w:szCs w:val="18"/>
                <w:lang w:val="es-ES"/>
              </w:rPr>
            </w:pPr>
            <w:r w:rsidRPr="00960E47">
              <w:rPr>
                <w:b/>
                <w:sz w:val="18"/>
                <w:szCs w:val="18"/>
                <w:lang w:val="es-ES"/>
              </w:rPr>
              <w:t>214</w:t>
            </w:r>
            <w:r w:rsidR="0065702B" w:rsidRPr="00960E47">
              <w:rPr>
                <w:b/>
                <w:sz w:val="18"/>
                <w:szCs w:val="18"/>
                <w:lang w:val="es-ES"/>
              </w:rPr>
              <w:t xml:space="preserve"> </w:t>
            </w:r>
            <w:r w:rsidRPr="00960E47">
              <w:rPr>
                <w:b/>
                <w:sz w:val="18"/>
                <w:szCs w:val="18"/>
                <w:lang w:val="es-ES"/>
              </w:rPr>
              <w:t>762</w:t>
            </w:r>
          </w:p>
        </w:tc>
        <w:tc>
          <w:tcPr>
            <w:tcW w:w="461" w:type="pct"/>
            <w:tcBorders>
              <w:top w:val="single" w:sz="4" w:space="0" w:color="000000"/>
              <w:bottom w:val="single" w:sz="12" w:space="0" w:color="auto"/>
            </w:tcBorders>
            <w:shd w:val="clear" w:color="auto" w:fill="auto"/>
            <w:vAlign w:val="bottom"/>
          </w:tcPr>
          <w:p w:rsidR="00E421FD" w:rsidRPr="00960E47" w:rsidRDefault="00E421FD" w:rsidP="0065702B">
            <w:pPr>
              <w:pStyle w:val="SingleTxtG"/>
              <w:spacing w:before="80" w:after="80" w:line="220" w:lineRule="exact"/>
              <w:ind w:left="0" w:right="0"/>
              <w:jc w:val="right"/>
              <w:rPr>
                <w:b/>
                <w:sz w:val="18"/>
                <w:szCs w:val="18"/>
                <w:lang w:val="es-ES"/>
              </w:rPr>
            </w:pPr>
            <w:r w:rsidRPr="00960E47">
              <w:rPr>
                <w:b/>
                <w:sz w:val="18"/>
                <w:szCs w:val="18"/>
                <w:lang w:val="es-ES"/>
              </w:rPr>
              <w:t>212</w:t>
            </w:r>
            <w:r w:rsidR="0065702B" w:rsidRPr="00960E47">
              <w:rPr>
                <w:b/>
                <w:sz w:val="18"/>
                <w:szCs w:val="18"/>
                <w:lang w:val="es-ES"/>
              </w:rPr>
              <w:t xml:space="preserve"> </w:t>
            </w:r>
            <w:r w:rsidRPr="00960E47">
              <w:rPr>
                <w:b/>
                <w:sz w:val="18"/>
                <w:szCs w:val="18"/>
                <w:lang w:val="es-ES"/>
              </w:rPr>
              <w:t>247</w:t>
            </w:r>
          </w:p>
        </w:tc>
        <w:tc>
          <w:tcPr>
            <w:tcW w:w="461" w:type="pct"/>
            <w:tcBorders>
              <w:top w:val="single" w:sz="4" w:space="0" w:color="000000"/>
              <w:bottom w:val="single" w:sz="12" w:space="0" w:color="auto"/>
            </w:tcBorders>
            <w:shd w:val="clear" w:color="auto" w:fill="auto"/>
            <w:vAlign w:val="bottom"/>
          </w:tcPr>
          <w:p w:rsidR="00E421FD" w:rsidRPr="00960E47" w:rsidRDefault="00E421FD" w:rsidP="0065702B">
            <w:pPr>
              <w:pStyle w:val="SingleTxtG"/>
              <w:spacing w:before="80" w:after="80" w:line="220" w:lineRule="exact"/>
              <w:ind w:left="0" w:right="0"/>
              <w:jc w:val="right"/>
              <w:rPr>
                <w:b/>
                <w:sz w:val="18"/>
                <w:szCs w:val="18"/>
                <w:lang w:val="es-ES"/>
              </w:rPr>
            </w:pPr>
            <w:r w:rsidRPr="00960E47">
              <w:rPr>
                <w:b/>
                <w:sz w:val="18"/>
                <w:szCs w:val="18"/>
                <w:lang w:val="es-ES"/>
              </w:rPr>
              <w:t>427</w:t>
            </w:r>
            <w:r w:rsidR="0065702B" w:rsidRPr="00960E47">
              <w:rPr>
                <w:b/>
                <w:sz w:val="18"/>
                <w:szCs w:val="18"/>
                <w:lang w:val="es-ES"/>
              </w:rPr>
              <w:t xml:space="preserve"> </w:t>
            </w:r>
            <w:r w:rsidRPr="00960E47">
              <w:rPr>
                <w:b/>
                <w:sz w:val="18"/>
                <w:szCs w:val="18"/>
                <w:lang w:val="es-ES"/>
              </w:rPr>
              <w:t>009</w:t>
            </w:r>
          </w:p>
        </w:tc>
        <w:tc>
          <w:tcPr>
            <w:tcW w:w="461" w:type="pct"/>
            <w:tcBorders>
              <w:top w:val="single" w:sz="4" w:space="0" w:color="000000"/>
              <w:bottom w:val="single" w:sz="12" w:space="0" w:color="auto"/>
            </w:tcBorders>
            <w:shd w:val="clear" w:color="auto" w:fill="auto"/>
            <w:vAlign w:val="bottom"/>
          </w:tcPr>
          <w:p w:rsidR="00E421FD" w:rsidRPr="00960E47" w:rsidRDefault="00E421FD" w:rsidP="0065702B">
            <w:pPr>
              <w:pStyle w:val="SingleTxtG"/>
              <w:spacing w:before="80" w:after="80" w:line="220" w:lineRule="exact"/>
              <w:ind w:left="0" w:right="0"/>
              <w:jc w:val="right"/>
              <w:rPr>
                <w:b/>
                <w:sz w:val="18"/>
                <w:szCs w:val="18"/>
                <w:lang w:val="es-ES"/>
              </w:rPr>
            </w:pPr>
            <w:r w:rsidRPr="00960E47">
              <w:rPr>
                <w:b/>
                <w:sz w:val="18"/>
                <w:szCs w:val="18"/>
                <w:lang w:val="es-ES"/>
              </w:rPr>
              <w:t>212</w:t>
            </w:r>
            <w:r w:rsidR="0065702B" w:rsidRPr="00960E47">
              <w:rPr>
                <w:b/>
                <w:sz w:val="18"/>
                <w:szCs w:val="18"/>
                <w:lang w:val="es-ES"/>
              </w:rPr>
              <w:t xml:space="preserve"> </w:t>
            </w:r>
            <w:r w:rsidRPr="00960E47">
              <w:rPr>
                <w:b/>
                <w:sz w:val="18"/>
                <w:szCs w:val="18"/>
                <w:lang w:val="es-ES"/>
              </w:rPr>
              <w:t>683</w:t>
            </w:r>
          </w:p>
        </w:tc>
        <w:tc>
          <w:tcPr>
            <w:tcW w:w="462" w:type="pct"/>
            <w:tcBorders>
              <w:top w:val="single" w:sz="4" w:space="0" w:color="000000"/>
              <w:bottom w:val="single" w:sz="12" w:space="0" w:color="auto"/>
            </w:tcBorders>
            <w:shd w:val="clear" w:color="auto" w:fill="auto"/>
            <w:vAlign w:val="bottom"/>
          </w:tcPr>
          <w:p w:rsidR="00E421FD" w:rsidRPr="00960E47" w:rsidRDefault="00E421FD" w:rsidP="0065702B">
            <w:pPr>
              <w:pStyle w:val="SingleTxtG"/>
              <w:spacing w:before="80" w:after="80" w:line="220" w:lineRule="exact"/>
              <w:ind w:left="0" w:right="0"/>
              <w:jc w:val="right"/>
              <w:rPr>
                <w:b/>
                <w:sz w:val="18"/>
                <w:szCs w:val="18"/>
                <w:lang w:val="es-ES"/>
              </w:rPr>
            </w:pPr>
            <w:r w:rsidRPr="00960E47">
              <w:rPr>
                <w:b/>
                <w:sz w:val="18"/>
                <w:szCs w:val="18"/>
                <w:lang w:val="es-ES"/>
              </w:rPr>
              <w:t>209</w:t>
            </w:r>
            <w:r w:rsidR="0065702B" w:rsidRPr="00960E47">
              <w:rPr>
                <w:b/>
                <w:sz w:val="18"/>
                <w:szCs w:val="18"/>
                <w:lang w:val="es-ES"/>
              </w:rPr>
              <w:t xml:space="preserve"> </w:t>
            </w:r>
            <w:r w:rsidRPr="00960E47">
              <w:rPr>
                <w:b/>
                <w:sz w:val="18"/>
                <w:szCs w:val="18"/>
                <w:lang w:val="es-ES"/>
              </w:rPr>
              <w:t>595</w:t>
            </w:r>
          </w:p>
        </w:tc>
        <w:tc>
          <w:tcPr>
            <w:tcW w:w="461" w:type="pct"/>
            <w:tcBorders>
              <w:top w:val="single" w:sz="4" w:space="0" w:color="000000"/>
              <w:bottom w:val="single" w:sz="12" w:space="0" w:color="auto"/>
            </w:tcBorders>
            <w:shd w:val="clear" w:color="auto" w:fill="auto"/>
            <w:vAlign w:val="bottom"/>
          </w:tcPr>
          <w:p w:rsidR="00E421FD" w:rsidRPr="00960E47" w:rsidRDefault="00E421FD" w:rsidP="0065702B">
            <w:pPr>
              <w:pStyle w:val="SingleTxtG"/>
              <w:spacing w:before="80" w:after="80" w:line="220" w:lineRule="exact"/>
              <w:ind w:left="0" w:right="0"/>
              <w:jc w:val="right"/>
              <w:rPr>
                <w:b/>
                <w:sz w:val="18"/>
                <w:szCs w:val="18"/>
                <w:lang w:val="es-ES"/>
              </w:rPr>
            </w:pPr>
            <w:r w:rsidRPr="00960E47">
              <w:rPr>
                <w:b/>
                <w:sz w:val="18"/>
                <w:szCs w:val="18"/>
                <w:lang w:val="es-ES"/>
              </w:rPr>
              <w:t>422</w:t>
            </w:r>
            <w:r w:rsidR="0065702B" w:rsidRPr="00960E47">
              <w:rPr>
                <w:b/>
                <w:sz w:val="18"/>
                <w:szCs w:val="18"/>
                <w:lang w:val="es-ES"/>
              </w:rPr>
              <w:t xml:space="preserve"> </w:t>
            </w:r>
            <w:r w:rsidRPr="00960E47">
              <w:rPr>
                <w:b/>
                <w:sz w:val="18"/>
                <w:szCs w:val="18"/>
                <w:lang w:val="es-ES"/>
              </w:rPr>
              <w:t>278</w:t>
            </w:r>
          </w:p>
        </w:tc>
        <w:tc>
          <w:tcPr>
            <w:tcW w:w="461" w:type="pct"/>
            <w:tcBorders>
              <w:top w:val="single" w:sz="4" w:space="0" w:color="000000"/>
              <w:bottom w:val="single" w:sz="12" w:space="0" w:color="auto"/>
            </w:tcBorders>
            <w:shd w:val="clear" w:color="auto" w:fill="auto"/>
            <w:vAlign w:val="bottom"/>
          </w:tcPr>
          <w:p w:rsidR="00E421FD" w:rsidRPr="00960E47" w:rsidRDefault="00E421FD" w:rsidP="0065702B">
            <w:pPr>
              <w:pStyle w:val="SingleTxtG"/>
              <w:spacing w:before="80" w:after="80" w:line="220" w:lineRule="exact"/>
              <w:ind w:left="0" w:right="0"/>
              <w:jc w:val="right"/>
              <w:rPr>
                <w:b/>
                <w:sz w:val="18"/>
                <w:szCs w:val="18"/>
                <w:lang w:val="es-ES"/>
              </w:rPr>
            </w:pPr>
            <w:r w:rsidRPr="00960E47">
              <w:rPr>
                <w:b/>
                <w:sz w:val="18"/>
                <w:szCs w:val="18"/>
                <w:lang w:val="es-ES"/>
              </w:rPr>
              <w:t>214</w:t>
            </w:r>
            <w:r w:rsidR="0065702B" w:rsidRPr="00960E47">
              <w:rPr>
                <w:b/>
                <w:sz w:val="18"/>
                <w:szCs w:val="18"/>
                <w:lang w:val="es-ES"/>
              </w:rPr>
              <w:t xml:space="preserve"> </w:t>
            </w:r>
            <w:r w:rsidRPr="00960E47">
              <w:rPr>
                <w:b/>
                <w:sz w:val="18"/>
                <w:szCs w:val="18"/>
                <w:lang w:val="es-ES"/>
              </w:rPr>
              <w:t>123</w:t>
            </w:r>
          </w:p>
        </w:tc>
        <w:tc>
          <w:tcPr>
            <w:tcW w:w="461" w:type="pct"/>
            <w:tcBorders>
              <w:top w:val="single" w:sz="4" w:space="0" w:color="000000"/>
              <w:bottom w:val="single" w:sz="12" w:space="0" w:color="auto"/>
            </w:tcBorders>
            <w:shd w:val="clear" w:color="auto" w:fill="auto"/>
            <w:vAlign w:val="bottom"/>
          </w:tcPr>
          <w:p w:rsidR="00E421FD" w:rsidRPr="00960E47" w:rsidRDefault="00E421FD" w:rsidP="0065702B">
            <w:pPr>
              <w:pStyle w:val="SingleTxtG"/>
              <w:spacing w:before="80" w:after="80" w:line="220" w:lineRule="exact"/>
              <w:ind w:left="0" w:right="0"/>
              <w:jc w:val="right"/>
              <w:rPr>
                <w:b/>
                <w:sz w:val="18"/>
                <w:szCs w:val="18"/>
                <w:lang w:val="es-ES"/>
              </w:rPr>
            </w:pPr>
            <w:r w:rsidRPr="00960E47">
              <w:rPr>
                <w:b/>
                <w:sz w:val="18"/>
                <w:szCs w:val="18"/>
                <w:lang w:val="es-ES"/>
              </w:rPr>
              <w:t>210</w:t>
            </w:r>
            <w:r w:rsidR="0065702B" w:rsidRPr="00960E47">
              <w:rPr>
                <w:b/>
                <w:sz w:val="18"/>
                <w:szCs w:val="18"/>
                <w:lang w:val="es-ES"/>
              </w:rPr>
              <w:t xml:space="preserve"> </w:t>
            </w:r>
            <w:r w:rsidRPr="00960E47">
              <w:rPr>
                <w:b/>
                <w:sz w:val="18"/>
                <w:szCs w:val="18"/>
                <w:lang w:val="es-ES"/>
              </w:rPr>
              <w:t>732</w:t>
            </w:r>
          </w:p>
        </w:tc>
        <w:tc>
          <w:tcPr>
            <w:tcW w:w="462" w:type="pct"/>
            <w:tcBorders>
              <w:top w:val="single" w:sz="4" w:space="0" w:color="000000"/>
              <w:bottom w:val="single" w:sz="12" w:space="0" w:color="auto"/>
            </w:tcBorders>
            <w:shd w:val="clear" w:color="auto" w:fill="auto"/>
            <w:vAlign w:val="bottom"/>
          </w:tcPr>
          <w:p w:rsidR="00E421FD" w:rsidRPr="00960E47" w:rsidRDefault="00E421FD" w:rsidP="0065702B">
            <w:pPr>
              <w:pStyle w:val="SingleTxtG"/>
              <w:spacing w:before="80" w:after="80" w:line="220" w:lineRule="exact"/>
              <w:ind w:left="0" w:right="0"/>
              <w:jc w:val="right"/>
              <w:rPr>
                <w:b/>
                <w:sz w:val="18"/>
                <w:szCs w:val="18"/>
                <w:lang w:val="es-ES"/>
              </w:rPr>
            </w:pPr>
            <w:r w:rsidRPr="00960E47">
              <w:rPr>
                <w:b/>
                <w:sz w:val="18"/>
                <w:szCs w:val="18"/>
                <w:lang w:val="es-ES"/>
              </w:rPr>
              <w:t>424</w:t>
            </w:r>
            <w:r w:rsidR="0065702B" w:rsidRPr="00960E47">
              <w:rPr>
                <w:b/>
                <w:sz w:val="18"/>
                <w:szCs w:val="18"/>
                <w:lang w:val="es-ES"/>
              </w:rPr>
              <w:t xml:space="preserve"> </w:t>
            </w:r>
            <w:r w:rsidRPr="00960E47">
              <w:rPr>
                <w:b/>
                <w:sz w:val="18"/>
                <w:szCs w:val="18"/>
                <w:lang w:val="es-ES"/>
              </w:rPr>
              <w:t>855</w:t>
            </w:r>
          </w:p>
        </w:tc>
      </w:tr>
    </w:tbl>
    <w:p w:rsidR="00E421FD" w:rsidRPr="00960E47" w:rsidRDefault="00E421FD" w:rsidP="002D3CAD">
      <w:pPr>
        <w:pStyle w:val="SingleTxtG"/>
        <w:spacing w:before="240" w:after="240"/>
        <w:rPr>
          <w:b/>
          <w:lang w:val="es-ES"/>
        </w:rPr>
      </w:pPr>
      <w:r w:rsidRPr="00960E47">
        <w:rPr>
          <w:b/>
          <w:lang w:val="es-ES"/>
        </w:rPr>
        <w:t xml:space="preserve">Los cuadros siguientes contienen datos tomados del Informe del censo de población y la encuesta de hogares de 2006. </w:t>
      </w:r>
    </w:p>
    <w:p w:rsidR="00E421FD" w:rsidRPr="00960E47" w:rsidRDefault="00E421FD" w:rsidP="00BD2CEB">
      <w:pPr>
        <w:pStyle w:val="Heading1"/>
        <w:rPr>
          <w:lang w:val="es-ES"/>
        </w:rPr>
      </w:pPr>
      <w:r w:rsidRPr="00960E47">
        <w:rPr>
          <w:lang w:val="es-ES"/>
        </w:rPr>
        <w:t>Cuadro 1</w:t>
      </w:r>
    </w:p>
    <w:p w:rsidR="00E421FD" w:rsidRPr="00960E47" w:rsidRDefault="00E421FD" w:rsidP="00BD2CEB">
      <w:pPr>
        <w:pStyle w:val="SingleTxtG"/>
        <w:jc w:val="left"/>
        <w:rPr>
          <w:b/>
          <w:lang w:val="es-ES"/>
        </w:rPr>
      </w:pPr>
      <w:r w:rsidRPr="00960E47">
        <w:rPr>
          <w:b/>
          <w:lang w:val="es-ES"/>
        </w:rPr>
        <w:t>Número y distribución porcentual de las personas de 15 años de edad</w:t>
      </w:r>
    </w:p>
    <w:p w:rsidR="00E421FD" w:rsidRPr="00960E47" w:rsidRDefault="009627D6" w:rsidP="002D3CAD">
      <w:pPr>
        <w:pStyle w:val="H23G"/>
        <w:spacing w:before="120"/>
        <w:rPr>
          <w:lang w:val="es-ES"/>
        </w:rPr>
      </w:pPr>
      <w:r w:rsidRPr="00960E47">
        <w:rPr>
          <w:lang w:val="es-ES"/>
        </w:rPr>
        <w:tab/>
      </w:r>
      <w:r w:rsidRPr="00960E47">
        <w:rPr>
          <w:lang w:val="es-ES"/>
        </w:rPr>
        <w:tab/>
      </w:r>
      <w:r w:rsidR="00E421FD" w:rsidRPr="00960E47">
        <w:rPr>
          <w:lang w:val="es-ES"/>
        </w:rPr>
        <w:t>Número y distribución porcentual de las personas de al menos 15 años de edad, por nivel de instrucción y sexo – Censo de 2006</w:t>
      </w:r>
    </w:p>
    <w:tbl>
      <w:tblPr>
        <w:tblW w:w="8511" w:type="dxa"/>
        <w:tblInd w:w="1134" w:type="dxa"/>
        <w:tblBorders>
          <w:top w:val="single" w:sz="4" w:space="0" w:color="auto"/>
          <w:bottom w:val="single" w:sz="12" w:space="0" w:color="auto"/>
        </w:tblBorders>
        <w:tblLayout w:type="fixed"/>
        <w:tblCellMar>
          <w:left w:w="0" w:type="dxa"/>
          <w:right w:w="0" w:type="dxa"/>
        </w:tblCellMar>
        <w:tblLook w:val="04A0"/>
      </w:tblPr>
      <w:tblGrid>
        <w:gridCol w:w="1068"/>
        <w:gridCol w:w="908"/>
        <w:gridCol w:w="907"/>
        <w:gridCol w:w="1583"/>
        <w:gridCol w:w="1105"/>
        <w:gridCol w:w="980"/>
        <w:gridCol w:w="980"/>
        <w:gridCol w:w="980"/>
      </w:tblGrid>
      <w:tr w:rsidR="00D463CF" w:rsidRPr="00960E47" w:rsidTr="00D463CF">
        <w:trPr>
          <w:tblHeader/>
        </w:trPr>
        <w:tc>
          <w:tcPr>
            <w:tcW w:w="5000" w:type="pct"/>
            <w:gridSpan w:val="8"/>
            <w:tcBorders>
              <w:top w:val="single" w:sz="4" w:space="0" w:color="auto"/>
              <w:bottom w:val="single" w:sz="4" w:space="0" w:color="000000"/>
            </w:tcBorders>
            <w:shd w:val="clear" w:color="auto" w:fill="auto"/>
            <w:vAlign w:val="bottom"/>
          </w:tcPr>
          <w:p w:rsidR="00D463CF" w:rsidRPr="00960E47" w:rsidRDefault="00D463CF" w:rsidP="0065702B">
            <w:pPr>
              <w:pStyle w:val="SingleTxtG"/>
              <w:spacing w:before="80" w:after="80" w:line="200" w:lineRule="exact"/>
              <w:ind w:left="0" w:right="0"/>
              <w:jc w:val="center"/>
              <w:rPr>
                <w:i/>
                <w:sz w:val="16"/>
                <w:szCs w:val="18"/>
                <w:lang w:val="es-ES"/>
              </w:rPr>
            </w:pPr>
            <w:r w:rsidRPr="00960E47">
              <w:rPr>
                <w:i/>
                <w:sz w:val="16"/>
                <w:szCs w:val="18"/>
                <w:lang w:val="es-ES"/>
              </w:rPr>
              <w:t>Varones</w:t>
            </w:r>
          </w:p>
        </w:tc>
      </w:tr>
      <w:tr w:rsidR="00D463CF" w:rsidRPr="00960E47" w:rsidTr="00D463CF">
        <w:trPr>
          <w:tblHeader/>
        </w:trPr>
        <w:tc>
          <w:tcPr>
            <w:tcW w:w="627" w:type="pct"/>
            <w:tcBorders>
              <w:top w:val="single" w:sz="4" w:space="0" w:color="000000"/>
              <w:bottom w:val="single" w:sz="12" w:space="0" w:color="000000"/>
            </w:tcBorders>
            <w:shd w:val="clear" w:color="auto" w:fill="auto"/>
            <w:vAlign w:val="bottom"/>
          </w:tcPr>
          <w:p w:rsidR="00E421FD" w:rsidRPr="00960E47" w:rsidRDefault="00E421FD" w:rsidP="0065702B">
            <w:pPr>
              <w:pStyle w:val="SingleTxtG"/>
              <w:spacing w:before="80" w:after="80" w:line="200" w:lineRule="exact"/>
              <w:ind w:left="0" w:right="0"/>
              <w:jc w:val="left"/>
              <w:rPr>
                <w:i/>
                <w:sz w:val="16"/>
                <w:szCs w:val="18"/>
                <w:lang w:val="es-ES"/>
              </w:rPr>
            </w:pPr>
            <w:r w:rsidRPr="00960E47">
              <w:rPr>
                <w:i/>
                <w:sz w:val="16"/>
                <w:szCs w:val="18"/>
                <w:lang w:val="es-ES"/>
              </w:rPr>
              <w:t xml:space="preserve">Grupo de </w:t>
            </w:r>
            <w:r w:rsidR="00BC3316" w:rsidRPr="00960E47">
              <w:rPr>
                <w:i/>
                <w:sz w:val="16"/>
                <w:szCs w:val="18"/>
                <w:lang w:val="es-ES"/>
              </w:rPr>
              <w:br/>
            </w:r>
            <w:r w:rsidRPr="00960E47">
              <w:rPr>
                <w:i/>
                <w:sz w:val="16"/>
                <w:szCs w:val="18"/>
                <w:lang w:val="es-ES"/>
              </w:rPr>
              <w:t>edad (años)</w:t>
            </w:r>
          </w:p>
        </w:tc>
        <w:tc>
          <w:tcPr>
            <w:tcW w:w="533" w:type="pct"/>
            <w:tcBorders>
              <w:top w:val="single" w:sz="4" w:space="0" w:color="000000"/>
              <w:bottom w:val="single" w:sz="12" w:space="0" w:color="000000"/>
            </w:tcBorders>
            <w:shd w:val="clear" w:color="auto" w:fill="auto"/>
            <w:vAlign w:val="bottom"/>
          </w:tcPr>
          <w:p w:rsidR="00E421FD" w:rsidRPr="00960E47" w:rsidRDefault="00E421FD" w:rsidP="0065702B">
            <w:pPr>
              <w:pStyle w:val="SingleTxtG"/>
              <w:spacing w:before="80" w:after="80" w:line="200" w:lineRule="exact"/>
              <w:ind w:left="0" w:right="0"/>
              <w:jc w:val="right"/>
              <w:rPr>
                <w:i/>
                <w:sz w:val="16"/>
                <w:szCs w:val="18"/>
                <w:lang w:val="es-ES"/>
              </w:rPr>
            </w:pPr>
            <w:r w:rsidRPr="00960E47">
              <w:rPr>
                <w:i/>
                <w:sz w:val="16"/>
                <w:szCs w:val="18"/>
                <w:lang w:val="es-ES"/>
              </w:rPr>
              <w:t>Número</w:t>
            </w:r>
          </w:p>
        </w:tc>
        <w:tc>
          <w:tcPr>
            <w:tcW w:w="533" w:type="pct"/>
            <w:tcBorders>
              <w:top w:val="single" w:sz="4" w:space="0" w:color="000000"/>
              <w:bottom w:val="single" w:sz="12" w:space="0" w:color="000000"/>
            </w:tcBorders>
            <w:shd w:val="clear" w:color="auto" w:fill="auto"/>
            <w:vAlign w:val="bottom"/>
          </w:tcPr>
          <w:p w:rsidR="00E421FD" w:rsidRPr="00960E47" w:rsidRDefault="00E421FD" w:rsidP="0065702B">
            <w:pPr>
              <w:pStyle w:val="SingleTxtG"/>
              <w:spacing w:before="80" w:after="80" w:line="200" w:lineRule="exact"/>
              <w:ind w:left="0" w:right="0"/>
              <w:jc w:val="right"/>
              <w:rPr>
                <w:i/>
                <w:sz w:val="16"/>
                <w:szCs w:val="18"/>
                <w:lang w:val="es-ES"/>
              </w:rPr>
            </w:pPr>
            <w:r w:rsidRPr="00960E47">
              <w:rPr>
                <w:i/>
                <w:sz w:val="16"/>
                <w:szCs w:val="18"/>
                <w:lang w:val="es-ES"/>
              </w:rPr>
              <w:t xml:space="preserve">% est. </w:t>
            </w:r>
            <w:r w:rsidR="00BC3316" w:rsidRPr="00960E47">
              <w:rPr>
                <w:i/>
                <w:sz w:val="16"/>
                <w:szCs w:val="18"/>
                <w:lang w:val="es-ES"/>
              </w:rPr>
              <w:br/>
            </w:r>
            <w:r w:rsidRPr="00960E47">
              <w:rPr>
                <w:i/>
                <w:sz w:val="16"/>
                <w:szCs w:val="18"/>
                <w:lang w:val="es-ES"/>
              </w:rPr>
              <w:t>1 a 6 años</w:t>
            </w:r>
          </w:p>
        </w:tc>
        <w:tc>
          <w:tcPr>
            <w:tcW w:w="930" w:type="pct"/>
            <w:tcBorders>
              <w:top w:val="single" w:sz="4" w:space="0" w:color="000000"/>
              <w:bottom w:val="single" w:sz="12" w:space="0" w:color="000000"/>
            </w:tcBorders>
            <w:shd w:val="clear" w:color="auto" w:fill="auto"/>
            <w:vAlign w:val="bottom"/>
          </w:tcPr>
          <w:p w:rsidR="00E421FD" w:rsidRPr="00960E47" w:rsidRDefault="00BC3316" w:rsidP="00BC3316">
            <w:pPr>
              <w:pStyle w:val="SingleTxtG"/>
              <w:spacing w:before="80" w:after="80" w:line="200" w:lineRule="exact"/>
              <w:ind w:left="0" w:right="0"/>
              <w:jc w:val="right"/>
              <w:rPr>
                <w:i/>
                <w:sz w:val="16"/>
                <w:szCs w:val="18"/>
                <w:lang w:val="es-ES"/>
              </w:rPr>
            </w:pPr>
            <w:r w:rsidRPr="00960E47">
              <w:rPr>
                <w:i/>
                <w:sz w:val="16"/>
                <w:szCs w:val="18"/>
                <w:lang w:val="es-ES"/>
              </w:rPr>
              <w:t>% est. 7 + prof.</w:t>
            </w:r>
            <w:r w:rsidR="00E421FD" w:rsidRPr="00960E47">
              <w:rPr>
                <w:i/>
                <w:sz w:val="16"/>
                <w:szCs w:val="18"/>
                <w:lang w:val="es-ES"/>
              </w:rPr>
              <w:t>/</w:t>
            </w:r>
            <w:r w:rsidRPr="00960E47">
              <w:rPr>
                <w:i/>
                <w:sz w:val="16"/>
                <w:szCs w:val="18"/>
                <w:lang w:val="es-ES"/>
              </w:rPr>
              <w:t xml:space="preserve"> </w:t>
            </w:r>
            <w:r w:rsidR="00E421FD" w:rsidRPr="00960E47">
              <w:rPr>
                <w:i/>
                <w:sz w:val="16"/>
                <w:szCs w:val="18"/>
                <w:lang w:val="es-ES"/>
              </w:rPr>
              <w:t>Después de primaria</w:t>
            </w:r>
          </w:p>
        </w:tc>
        <w:tc>
          <w:tcPr>
            <w:tcW w:w="649" w:type="pct"/>
            <w:tcBorders>
              <w:top w:val="single" w:sz="4" w:space="0" w:color="000000"/>
              <w:bottom w:val="single" w:sz="12" w:space="0" w:color="000000"/>
            </w:tcBorders>
            <w:shd w:val="clear" w:color="auto" w:fill="auto"/>
            <w:vAlign w:val="bottom"/>
          </w:tcPr>
          <w:p w:rsidR="00E421FD" w:rsidRPr="00960E47" w:rsidRDefault="00E421FD" w:rsidP="007924B8">
            <w:pPr>
              <w:pStyle w:val="SingleTxtG"/>
              <w:spacing w:before="80" w:after="80" w:line="200" w:lineRule="exact"/>
              <w:ind w:left="0" w:right="0"/>
              <w:jc w:val="right"/>
              <w:rPr>
                <w:i/>
                <w:sz w:val="16"/>
                <w:szCs w:val="18"/>
                <w:lang w:val="es-ES"/>
              </w:rPr>
            </w:pPr>
            <w:r w:rsidRPr="00960E47">
              <w:rPr>
                <w:i/>
                <w:sz w:val="16"/>
                <w:szCs w:val="18"/>
                <w:lang w:val="es-ES"/>
              </w:rPr>
              <w:t xml:space="preserve">% sec. + </w:t>
            </w:r>
            <w:r w:rsidR="007924B8" w:rsidRPr="00960E47">
              <w:rPr>
                <w:i/>
                <w:sz w:val="16"/>
                <w:szCs w:val="18"/>
                <w:lang w:val="es-ES"/>
              </w:rPr>
              <w:br/>
            </w:r>
            <w:r w:rsidRPr="00960E47">
              <w:rPr>
                <w:i/>
                <w:sz w:val="16"/>
                <w:szCs w:val="18"/>
                <w:lang w:val="es-ES"/>
              </w:rPr>
              <w:t>no graduados</w:t>
            </w:r>
          </w:p>
        </w:tc>
        <w:tc>
          <w:tcPr>
            <w:tcW w:w="576" w:type="pct"/>
            <w:tcBorders>
              <w:top w:val="single" w:sz="4" w:space="0" w:color="000000"/>
              <w:bottom w:val="single" w:sz="12" w:space="0" w:color="000000"/>
            </w:tcBorders>
            <w:shd w:val="clear" w:color="auto" w:fill="auto"/>
            <w:vAlign w:val="bottom"/>
          </w:tcPr>
          <w:p w:rsidR="00E421FD" w:rsidRPr="00960E47" w:rsidRDefault="00E421FD" w:rsidP="0065702B">
            <w:pPr>
              <w:pStyle w:val="SingleTxtG"/>
              <w:spacing w:before="80" w:after="80" w:line="200" w:lineRule="exact"/>
              <w:ind w:left="0" w:right="0"/>
              <w:jc w:val="right"/>
              <w:rPr>
                <w:i/>
                <w:sz w:val="16"/>
                <w:szCs w:val="18"/>
                <w:lang w:val="es-ES"/>
              </w:rPr>
            </w:pPr>
            <w:r w:rsidRPr="00960E47">
              <w:rPr>
                <w:i/>
                <w:sz w:val="16"/>
                <w:szCs w:val="18"/>
                <w:lang w:val="es-ES"/>
              </w:rPr>
              <w:t>Graduados</w:t>
            </w:r>
          </w:p>
        </w:tc>
        <w:tc>
          <w:tcPr>
            <w:tcW w:w="576" w:type="pct"/>
            <w:tcBorders>
              <w:top w:val="single" w:sz="4" w:space="0" w:color="000000"/>
              <w:bottom w:val="single" w:sz="12" w:space="0" w:color="000000"/>
            </w:tcBorders>
            <w:shd w:val="clear" w:color="auto" w:fill="auto"/>
            <w:vAlign w:val="bottom"/>
          </w:tcPr>
          <w:p w:rsidR="00E421FD" w:rsidRPr="00960E47" w:rsidRDefault="00E421FD" w:rsidP="0065702B">
            <w:pPr>
              <w:pStyle w:val="SingleTxtG"/>
              <w:spacing w:before="80" w:after="80" w:line="200" w:lineRule="exact"/>
              <w:ind w:left="0" w:right="0"/>
              <w:jc w:val="right"/>
              <w:rPr>
                <w:i/>
                <w:sz w:val="16"/>
                <w:szCs w:val="18"/>
                <w:lang w:val="es-ES"/>
              </w:rPr>
            </w:pPr>
            <w:r w:rsidRPr="00960E47">
              <w:rPr>
                <w:i/>
                <w:sz w:val="16"/>
                <w:szCs w:val="18"/>
                <w:lang w:val="es-ES"/>
              </w:rPr>
              <w:t xml:space="preserve">No formal </w:t>
            </w:r>
          </w:p>
        </w:tc>
        <w:tc>
          <w:tcPr>
            <w:tcW w:w="575" w:type="pct"/>
            <w:tcBorders>
              <w:top w:val="single" w:sz="4" w:space="0" w:color="000000"/>
              <w:bottom w:val="single" w:sz="12" w:space="0" w:color="000000"/>
            </w:tcBorders>
            <w:shd w:val="clear" w:color="auto" w:fill="auto"/>
            <w:vAlign w:val="bottom"/>
          </w:tcPr>
          <w:p w:rsidR="00E421FD" w:rsidRPr="00960E47" w:rsidRDefault="00E421FD" w:rsidP="0065702B">
            <w:pPr>
              <w:pStyle w:val="SingleTxtG"/>
              <w:spacing w:before="80" w:after="80" w:line="200" w:lineRule="exact"/>
              <w:ind w:left="0" w:right="0"/>
              <w:jc w:val="right"/>
              <w:rPr>
                <w:i/>
                <w:sz w:val="16"/>
                <w:szCs w:val="18"/>
                <w:lang w:val="es-ES"/>
              </w:rPr>
            </w:pPr>
            <w:r w:rsidRPr="00960E47">
              <w:rPr>
                <w:i/>
                <w:sz w:val="16"/>
                <w:szCs w:val="18"/>
                <w:lang w:val="es-ES"/>
              </w:rPr>
              <w:t>Ninguna</w:t>
            </w:r>
          </w:p>
        </w:tc>
      </w:tr>
      <w:tr w:rsidR="00D463CF" w:rsidRPr="00960E47" w:rsidTr="00D463CF">
        <w:tc>
          <w:tcPr>
            <w:tcW w:w="627" w:type="pct"/>
            <w:tcBorders>
              <w:top w:val="single" w:sz="12" w:space="0" w:color="000000"/>
              <w:bottom w:val="single" w:sz="4" w:space="0" w:color="000000"/>
            </w:tcBorders>
            <w:shd w:val="clear" w:color="auto" w:fill="auto"/>
            <w:vAlign w:val="bottom"/>
          </w:tcPr>
          <w:p w:rsidR="00E421FD" w:rsidRPr="00960E47" w:rsidRDefault="00E421FD" w:rsidP="0065702B">
            <w:pPr>
              <w:pStyle w:val="SingleTxtG"/>
              <w:spacing w:before="80" w:after="80" w:line="220" w:lineRule="exact"/>
              <w:ind w:left="284" w:right="0"/>
              <w:jc w:val="left"/>
              <w:rPr>
                <w:b/>
                <w:sz w:val="18"/>
                <w:szCs w:val="18"/>
                <w:lang w:val="es-ES"/>
              </w:rPr>
            </w:pPr>
            <w:r w:rsidRPr="00960E47">
              <w:rPr>
                <w:b/>
                <w:sz w:val="18"/>
                <w:szCs w:val="18"/>
                <w:lang w:val="es-ES"/>
              </w:rPr>
              <w:t>Total</w:t>
            </w:r>
          </w:p>
        </w:tc>
        <w:tc>
          <w:tcPr>
            <w:tcW w:w="533" w:type="pct"/>
            <w:tcBorders>
              <w:top w:val="single" w:sz="12" w:space="0" w:color="000000"/>
              <w:bottom w:val="single" w:sz="4" w:space="0" w:color="000000"/>
            </w:tcBorders>
            <w:shd w:val="clear" w:color="auto" w:fill="auto"/>
            <w:vAlign w:val="bottom"/>
          </w:tcPr>
          <w:p w:rsidR="00E421FD" w:rsidRPr="00960E47" w:rsidRDefault="0065702B" w:rsidP="0065702B">
            <w:pPr>
              <w:pStyle w:val="SingleTxtG"/>
              <w:spacing w:before="80" w:after="80" w:line="220" w:lineRule="exact"/>
              <w:ind w:left="0" w:right="0"/>
              <w:jc w:val="right"/>
              <w:rPr>
                <w:b/>
                <w:sz w:val="18"/>
                <w:szCs w:val="18"/>
                <w:lang w:val="es-ES"/>
              </w:rPr>
            </w:pPr>
            <w:r w:rsidRPr="00960E47">
              <w:rPr>
                <w:b/>
                <w:sz w:val="18"/>
                <w:szCs w:val="18"/>
                <w:lang w:val="es-ES"/>
              </w:rPr>
              <w:t xml:space="preserve">584 </w:t>
            </w:r>
            <w:r w:rsidR="00E421FD" w:rsidRPr="00960E47">
              <w:rPr>
                <w:b/>
                <w:sz w:val="18"/>
                <w:szCs w:val="18"/>
                <w:lang w:val="es-ES"/>
              </w:rPr>
              <w:t>527</w:t>
            </w:r>
          </w:p>
        </w:tc>
        <w:tc>
          <w:tcPr>
            <w:tcW w:w="533" w:type="pct"/>
            <w:tcBorders>
              <w:top w:val="single" w:sz="12" w:space="0" w:color="000000"/>
              <w:bottom w:val="single" w:sz="4" w:space="0" w:color="000000"/>
            </w:tcBorders>
            <w:shd w:val="clear" w:color="auto" w:fill="auto"/>
            <w:vAlign w:val="bottom"/>
          </w:tcPr>
          <w:p w:rsidR="00E421FD" w:rsidRPr="00960E47" w:rsidRDefault="00E421FD" w:rsidP="0065702B">
            <w:pPr>
              <w:pStyle w:val="SingleTxtG"/>
              <w:spacing w:before="80" w:after="80" w:line="220" w:lineRule="exact"/>
              <w:ind w:left="0" w:right="0"/>
              <w:jc w:val="right"/>
              <w:rPr>
                <w:b/>
                <w:sz w:val="18"/>
                <w:szCs w:val="18"/>
                <w:lang w:val="es-ES"/>
              </w:rPr>
            </w:pPr>
            <w:r w:rsidRPr="00960E47">
              <w:rPr>
                <w:b/>
                <w:sz w:val="18"/>
                <w:szCs w:val="18"/>
                <w:lang w:val="es-ES"/>
              </w:rPr>
              <w:t>35,8</w:t>
            </w:r>
          </w:p>
        </w:tc>
        <w:tc>
          <w:tcPr>
            <w:tcW w:w="930" w:type="pct"/>
            <w:tcBorders>
              <w:top w:val="single" w:sz="12" w:space="0" w:color="000000"/>
              <w:bottom w:val="single" w:sz="4" w:space="0" w:color="000000"/>
            </w:tcBorders>
            <w:shd w:val="clear" w:color="auto" w:fill="auto"/>
            <w:vAlign w:val="bottom"/>
          </w:tcPr>
          <w:p w:rsidR="00E421FD" w:rsidRPr="00960E47" w:rsidRDefault="00E421FD" w:rsidP="0065702B">
            <w:pPr>
              <w:pStyle w:val="SingleTxtG"/>
              <w:spacing w:before="80" w:after="80" w:line="220" w:lineRule="exact"/>
              <w:ind w:left="0" w:right="0"/>
              <w:jc w:val="right"/>
              <w:rPr>
                <w:b/>
                <w:sz w:val="18"/>
                <w:szCs w:val="18"/>
                <w:lang w:val="es-ES"/>
              </w:rPr>
            </w:pPr>
            <w:r w:rsidRPr="00960E47">
              <w:rPr>
                <w:b/>
                <w:sz w:val="18"/>
                <w:szCs w:val="18"/>
                <w:lang w:val="es-ES"/>
              </w:rPr>
              <w:t>14,9</w:t>
            </w:r>
          </w:p>
        </w:tc>
        <w:tc>
          <w:tcPr>
            <w:tcW w:w="649" w:type="pct"/>
            <w:tcBorders>
              <w:top w:val="single" w:sz="12" w:space="0" w:color="000000"/>
              <w:bottom w:val="single" w:sz="4" w:space="0" w:color="000000"/>
            </w:tcBorders>
            <w:shd w:val="clear" w:color="auto" w:fill="auto"/>
            <w:vAlign w:val="bottom"/>
          </w:tcPr>
          <w:p w:rsidR="00E421FD" w:rsidRPr="00960E47" w:rsidRDefault="00E421FD" w:rsidP="0065702B">
            <w:pPr>
              <w:pStyle w:val="SingleTxtG"/>
              <w:spacing w:before="80" w:after="80" w:line="220" w:lineRule="exact"/>
              <w:ind w:left="0" w:right="0"/>
              <w:jc w:val="right"/>
              <w:rPr>
                <w:b/>
                <w:sz w:val="18"/>
                <w:szCs w:val="18"/>
                <w:lang w:val="es-ES"/>
              </w:rPr>
            </w:pPr>
            <w:r w:rsidRPr="00960E47">
              <w:rPr>
                <w:b/>
                <w:sz w:val="18"/>
                <w:szCs w:val="18"/>
                <w:lang w:val="es-ES"/>
              </w:rPr>
              <w:t>29,5</w:t>
            </w:r>
          </w:p>
        </w:tc>
        <w:tc>
          <w:tcPr>
            <w:tcW w:w="576" w:type="pct"/>
            <w:tcBorders>
              <w:top w:val="single" w:sz="12" w:space="0" w:color="000000"/>
              <w:bottom w:val="single" w:sz="4" w:space="0" w:color="000000"/>
            </w:tcBorders>
            <w:shd w:val="clear" w:color="auto" w:fill="auto"/>
            <w:vAlign w:val="bottom"/>
          </w:tcPr>
          <w:p w:rsidR="00E421FD" w:rsidRPr="00960E47" w:rsidRDefault="00E421FD" w:rsidP="0065702B">
            <w:pPr>
              <w:pStyle w:val="SingleTxtG"/>
              <w:spacing w:before="80" w:after="80" w:line="220" w:lineRule="exact"/>
              <w:ind w:left="0" w:right="0"/>
              <w:jc w:val="right"/>
              <w:rPr>
                <w:b/>
                <w:sz w:val="18"/>
                <w:szCs w:val="18"/>
                <w:lang w:val="es-ES"/>
              </w:rPr>
            </w:pPr>
            <w:r w:rsidRPr="00960E47">
              <w:rPr>
                <w:b/>
                <w:sz w:val="18"/>
                <w:szCs w:val="18"/>
                <w:lang w:val="es-ES"/>
              </w:rPr>
              <w:t>1,3</w:t>
            </w:r>
          </w:p>
        </w:tc>
        <w:tc>
          <w:tcPr>
            <w:tcW w:w="576" w:type="pct"/>
            <w:tcBorders>
              <w:top w:val="single" w:sz="12" w:space="0" w:color="000000"/>
              <w:bottom w:val="single" w:sz="4" w:space="0" w:color="000000"/>
            </w:tcBorders>
            <w:shd w:val="clear" w:color="auto" w:fill="auto"/>
            <w:vAlign w:val="bottom"/>
          </w:tcPr>
          <w:p w:rsidR="00E421FD" w:rsidRPr="00960E47" w:rsidRDefault="00E421FD" w:rsidP="0065702B">
            <w:pPr>
              <w:pStyle w:val="SingleTxtG"/>
              <w:spacing w:before="80" w:after="80" w:line="220" w:lineRule="exact"/>
              <w:ind w:left="0" w:right="0"/>
              <w:jc w:val="right"/>
              <w:rPr>
                <w:b/>
                <w:sz w:val="18"/>
                <w:szCs w:val="18"/>
                <w:lang w:val="es-ES"/>
              </w:rPr>
            </w:pPr>
            <w:r w:rsidRPr="00960E47">
              <w:rPr>
                <w:b/>
                <w:sz w:val="18"/>
                <w:szCs w:val="18"/>
                <w:lang w:val="es-ES"/>
              </w:rPr>
              <w:t>0,0</w:t>
            </w:r>
          </w:p>
        </w:tc>
        <w:tc>
          <w:tcPr>
            <w:tcW w:w="575" w:type="pct"/>
            <w:tcBorders>
              <w:top w:val="single" w:sz="12" w:space="0" w:color="000000"/>
              <w:bottom w:val="single" w:sz="4" w:space="0" w:color="000000"/>
            </w:tcBorders>
            <w:shd w:val="clear" w:color="auto" w:fill="auto"/>
            <w:vAlign w:val="bottom"/>
          </w:tcPr>
          <w:p w:rsidR="00E421FD" w:rsidRPr="00960E47" w:rsidRDefault="00E421FD" w:rsidP="0065702B">
            <w:pPr>
              <w:pStyle w:val="SingleTxtG"/>
              <w:spacing w:before="80" w:after="80" w:line="220" w:lineRule="exact"/>
              <w:ind w:left="0" w:right="0"/>
              <w:jc w:val="right"/>
              <w:rPr>
                <w:b/>
                <w:sz w:val="18"/>
                <w:szCs w:val="18"/>
                <w:lang w:val="es-ES"/>
              </w:rPr>
            </w:pPr>
            <w:r w:rsidRPr="00960E47">
              <w:rPr>
                <w:b/>
                <w:sz w:val="18"/>
                <w:szCs w:val="18"/>
                <w:lang w:val="es-ES"/>
              </w:rPr>
              <w:t>18,5</w:t>
            </w:r>
          </w:p>
        </w:tc>
      </w:tr>
      <w:tr w:rsidR="00D463CF" w:rsidRPr="00960E47" w:rsidTr="00D463CF">
        <w:tc>
          <w:tcPr>
            <w:tcW w:w="627" w:type="pct"/>
            <w:tcBorders>
              <w:top w:val="single" w:sz="4" w:space="0" w:color="000000"/>
            </w:tcBorders>
            <w:shd w:val="clear" w:color="auto" w:fill="auto"/>
            <w:vAlign w:val="bottom"/>
          </w:tcPr>
          <w:p w:rsidR="00E421FD" w:rsidRPr="00960E47" w:rsidRDefault="00E421FD" w:rsidP="0065702B">
            <w:pPr>
              <w:pStyle w:val="SingleTxtG"/>
              <w:spacing w:before="40" w:after="40" w:line="220" w:lineRule="exact"/>
              <w:ind w:left="0" w:right="0"/>
              <w:jc w:val="left"/>
              <w:rPr>
                <w:sz w:val="18"/>
                <w:szCs w:val="18"/>
                <w:lang w:val="es-ES"/>
              </w:rPr>
            </w:pPr>
            <w:r w:rsidRPr="00960E47">
              <w:rPr>
                <w:sz w:val="18"/>
                <w:szCs w:val="18"/>
                <w:lang w:val="es-ES"/>
              </w:rPr>
              <w:t>15 a 19</w:t>
            </w:r>
          </w:p>
        </w:tc>
        <w:tc>
          <w:tcPr>
            <w:tcW w:w="533" w:type="pct"/>
            <w:tcBorders>
              <w:top w:val="single" w:sz="4" w:space="0" w:color="000000"/>
            </w:tcBorders>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114</w:t>
            </w:r>
            <w:r w:rsidR="0065702B" w:rsidRPr="00960E47">
              <w:rPr>
                <w:sz w:val="18"/>
                <w:szCs w:val="18"/>
                <w:lang w:val="es-ES"/>
              </w:rPr>
              <w:t xml:space="preserve"> </w:t>
            </w:r>
            <w:r w:rsidRPr="00960E47">
              <w:rPr>
                <w:sz w:val="18"/>
                <w:szCs w:val="18"/>
                <w:lang w:val="es-ES"/>
              </w:rPr>
              <w:t>738</w:t>
            </w:r>
          </w:p>
        </w:tc>
        <w:tc>
          <w:tcPr>
            <w:tcW w:w="533" w:type="pct"/>
            <w:tcBorders>
              <w:top w:val="single" w:sz="4" w:space="0" w:color="000000"/>
            </w:tcBorders>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18,4</w:t>
            </w:r>
          </w:p>
        </w:tc>
        <w:tc>
          <w:tcPr>
            <w:tcW w:w="930" w:type="pct"/>
            <w:tcBorders>
              <w:top w:val="single" w:sz="4" w:space="0" w:color="000000"/>
            </w:tcBorders>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20,8</w:t>
            </w:r>
          </w:p>
        </w:tc>
        <w:tc>
          <w:tcPr>
            <w:tcW w:w="649" w:type="pct"/>
            <w:tcBorders>
              <w:top w:val="single" w:sz="4" w:space="0" w:color="000000"/>
            </w:tcBorders>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28,6</w:t>
            </w:r>
          </w:p>
        </w:tc>
        <w:tc>
          <w:tcPr>
            <w:tcW w:w="576" w:type="pct"/>
            <w:tcBorders>
              <w:top w:val="single" w:sz="4" w:space="0" w:color="000000"/>
            </w:tcBorders>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0</w:t>
            </w:r>
          </w:p>
        </w:tc>
        <w:tc>
          <w:tcPr>
            <w:tcW w:w="576" w:type="pct"/>
            <w:tcBorders>
              <w:top w:val="single" w:sz="4" w:space="0" w:color="000000"/>
            </w:tcBorders>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10,1</w:t>
            </w:r>
          </w:p>
        </w:tc>
        <w:tc>
          <w:tcPr>
            <w:tcW w:w="575" w:type="pct"/>
            <w:tcBorders>
              <w:top w:val="single" w:sz="4" w:space="0" w:color="000000"/>
            </w:tcBorders>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8,2</w:t>
            </w:r>
          </w:p>
        </w:tc>
      </w:tr>
      <w:tr w:rsidR="00D463CF" w:rsidRPr="00960E47" w:rsidTr="00D463CF">
        <w:tc>
          <w:tcPr>
            <w:tcW w:w="627" w:type="pct"/>
            <w:shd w:val="clear" w:color="auto" w:fill="auto"/>
            <w:vAlign w:val="bottom"/>
          </w:tcPr>
          <w:p w:rsidR="00E421FD" w:rsidRPr="00960E47" w:rsidRDefault="00E421FD" w:rsidP="0065702B">
            <w:pPr>
              <w:pStyle w:val="SingleTxtG"/>
              <w:spacing w:before="40" w:after="40" w:line="220" w:lineRule="exact"/>
              <w:ind w:left="0" w:right="0"/>
              <w:jc w:val="left"/>
              <w:rPr>
                <w:sz w:val="18"/>
                <w:szCs w:val="18"/>
                <w:lang w:val="es-ES"/>
              </w:rPr>
            </w:pPr>
            <w:r w:rsidRPr="00960E47">
              <w:rPr>
                <w:sz w:val="18"/>
                <w:szCs w:val="18"/>
                <w:lang w:val="es-ES"/>
              </w:rPr>
              <w:t>20 a 24</w:t>
            </w:r>
          </w:p>
        </w:tc>
        <w:tc>
          <w:tcPr>
            <w:tcW w:w="533"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101</w:t>
            </w:r>
            <w:r w:rsidR="0065702B" w:rsidRPr="00960E47">
              <w:rPr>
                <w:sz w:val="18"/>
                <w:szCs w:val="18"/>
                <w:lang w:val="es-ES"/>
              </w:rPr>
              <w:t xml:space="preserve"> </w:t>
            </w:r>
            <w:r w:rsidRPr="00960E47">
              <w:rPr>
                <w:sz w:val="18"/>
                <w:szCs w:val="18"/>
                <w:lang w:val="es-ES"/>
              </w:rPr>
              <w:t>103</w:t>
            </w:r>
          </w:p>
        </w:tc>
        <w:tc>
          <w:tcPr>
            <w:tcW w:w="533"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16,3</w:t>
            </w:r>
          </w:p>
        </w:tc>
        <w:tc>
          <w:tcPr>
            <w:tcW w:w="930"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19,7</w:t>
            </w:r>
          </w:p>
        </w:tc>
        <w:tc>
          <w:tcPr>
            <w:tcW w:w="649"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21,4</w:t>
            </w:r>
          </w:p>
        </w:tc>
        <w:tc>
          <w:tcPr>
            <w:tcW w:w="576" w:type="pct"/>
            <w:shd w:val="clear" w:color="auto" w:fill="auto"/>
            <w:vAlign w:val="bottom"/>
          </w:tcPr>
          <w:p w:rsidR="00E421FD" w:rsidRPr="00960E47" w:rsidRDefault="00E343E2" w:rsidP="0065702B">
            <w:pPr>
              <w:pStyle w:val="SingleTxtG"/>
              <w:spacing w:before="40" w:after="40" w:line="220" w:lineRule="exact"/>
              <w:ind w:left="0" w:right="0"/>
              <w:jc w:val="right"/>
              <w:rPr>
                <w:sz w:val="18"/>
                <w:szCs w:val="18"/>
                <w:lang w:val="es-ES"/>
              </w:rPr>
            </w:pPr>
            <w:r w:rsidRPr="00960E47">
              <w:rPr>
                <w:sz w:val="18"/>
                <w:szCs w:val="18"/>
                <w:lang w:val="es-ES"/>
              </w:rPr>
              <w:t>16,</w:t>
            </w:r>
            <w:r w:rsidR="00E421FD" w:rsidRPr="00960E47">
              <w:rPr>
                <w:sz w:val="18"/>
                <w:szCs w:val="18"/>
                <w:lang w:val="es-ES"/>
              </w:rPr>
              <w:t>2</w:t>
            </w:r>
          </w:p>
        </w:tc>
        <w:tc>
          <w:tcPr>
            <w:tcW w:w="576"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28,1</w:t>
            </w:r>
          </w:p>
        </w:tc>
        <w:tc>
          <w:tcPr>
            <w:tcW w:w="575"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10,9</w:t>
            </w:r>
          </w:p>
        </w:tc>
      </w:tr>
      <w:tr w:rsidR="00D463CF" w:rsidRPr="00960E47" w:rsidTr="00D463CF">
        <w:tc>
          <w:tcPr>
            <w:tcW w:w="627" w:type="pct"/>
            <w:shd w:val="clear" w:color="auto" w:fill="auto"/>
            <w:vAlign w:val="bottom"/>
          </w:tcPr>
          <w:p w:rsidR="00E421FD" w:rsidRPr="00960E47" w:rsidRDefault="00E421FD" w:rsidP="0065702B">
            <w:pPr>
              <w:pStyle w:val="SingleTxtG"/>
              <w:spacing w:before="40" w:after="40" w:line="220" w:lineRule="exact"/>
              <w:ind w:left="0" w:right="0"/>
              <w:jc w:val="left"/>
              <w:rPr>
                <w:sz w:val="18"/>
                <w:szCs w:val="18"/>
                <w:lang w:val="es-ES"/>
              </w:rPr>
            </w:pPr>
            <w:r w:rsidRPr="00960E47">
              <w:rPr>
                <w:sz w:val="18"/>
                <w:szCs w:val="18"/>
                <w:lang w:val="es-ES"/>
              </w:rPr>
              <w:t>25 a 29</w:t>
            </w:r>
          </w:p>
        </w:tc>
        <w:tc>
          <w:tcPr>
            <w:tcW w:w="533"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81</w:t>
            </w:r>
            <w:r w:rsidR="0065702B" w:rsidRPr="00960E47">
              <w:rPr>
                <w:sz w:val="18"/>
                <w:szCs w:val="18"/>
                <w:lang w:val="es-ES"/>
              </w:rPr>
              <w:t xml:space="preserve"> </w:t>
            </w:r>
            <w:r w:rsidRPr="00960E47">
              <w:rPr>
                <w:sz w:val="18"/>
                <w:szCs w:val="18"/>
                <w:lang w:val="es-ES"/>
              </w:rPr>
              <w:t>676</w:t>
            </w:r>
          </w:p>
        </w:tc>
        <w:tc>
          <w:tcPr>
            <w:tcW w:w="533"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12,6</w:t>
            </w:r>
          </w:p>
        </w:tc>
        <w:tc>
          <w:tcPr>
            <w:tcW w:w="930"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15,7</w:t>
            </w:r>
          </w:p>
        </w:tc>
        <w:tc>
          <w:tcPr>
            <w:tcW w:w="649"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16,5</w:t>
            </w:r>
          </w:p>
        </w:tc>
        <w:tc>
          <w:tcPr>
            <w:tcW w:w="576" w:type="pct"/>
            <w:shd w:val="clear" w:color="auto" w:fill="auto"/>
            <w:vAlign w:val="bottom"/>
          </w:tcPr>
          <w:p w:rsidR="00E421FD" w:rsidRPr="00960E47" w:rsidRDefault="00E343E2" w:rsidP="0065702B">
            <w:pPr>
              <w:pStyle w:val="SingleTxtG"/>
              <w:spacing w:before="40" w:after="40" w:line="220" w:lineRule="exact"/>
              <w:ind w:left="0" w:right="0"/>
              <w:jc w:val="right"/>
              <w:rPr>
                <w:sz w:val="18"/>
                <w:szCs w:val="18"/>
                <w:lang w:val="es-ES"/>
              </w:rPr>
            </w:pPr>
            <w:r w:rsidRPr="00960E47">
              <w:rPr>
                <w:sz w:val="18"/>
                <w:szCs w:val="18"/>
                <w:lang w:val="es-ES"/>
              </w:rPr>
              <w:t>18,</w:t>
            </w:r>
            <w:r w:rsidR="00E421FD" w:rsidRPr="00960E47">
              <w:rPr>
                <w:sz w:val="18"/>
                <w:szCs w:val="18"/>
                <w:lang w:val="es-ES"/>
              </w:rPr>
              <w:t>1</w:t>
            </w:r>
          </w:p>
        </w:tc>
        <w:tc>
          <w:tcPr>
            <w:tcW w:w="576"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7,9</w:t>
            </w:r>
          </w:p>
        </w:tc>
        <w:tc>
          <w:tcPr>
            <w:tcW w:w="575"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11,0</w:t>
            </w:r>
          </w:p>
        </w:tc>
      </w:tr>
      <w:tr w:rsidR="00D463CF" w:rsidRPr="00960E47" w:rsidTr="00D463CF">
        <w:tc>
          <w:tcPr>
            <w:tcW w:w="627" w:type="pct"/>
            <w:shd w:val="clear" w:color="auto" w:fill="auto"/>
            <w:vAlign w:val="bottom"/>
          </w:tcPr>
          <w:p w:rsidR="00E421FD" w:rsidRPr="00960E47" w:rsidRDefault="00E421FD" w:rsidP="0065702B">
            <w:pPr>
              <w:pStyle w:val="SingleTxtG"/>
              <w:spacing w:before="40" w:after="40" w:line="220" w:lineRule="exact"/>
              <w:ind w:left="0" w:right="0"/>
              <w:jc w:val="left"/>
              <w:rPr>
                <w:sz w:val="18"/>
                <w:szCs w:val="18"/>
                <w:lang w:val="es-ES"/>
              </w:rPr>
            </w:pPr>
            <w:r w:rsidRPr="00960E47">
              <w:rPr>
                <w:sz w:val="18"/>
                <w:szCs w:val="18"/>
                <w:lang w:val="es-ES"/>
              </w:rPr>
              <w:t>30 a 34</w:t>
            </w:r>
          </w:p>
        </w:tc>
        <w:tc>
          <w:tcPr>
            <w:tcW w:w="533"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59</w:t>
            </w:r>
            <w:r w:rsidR="0065702B" w:rsidRPr="00960E47">
              <w:rPr>
                <w:sz w:val="18"/>
                <w:szCs w:val="18"/>
                <w:lang w:val="es-ES"/>
              </w:rPr>
              <w:t xml:space="preserve"> </w:t>
            </w:r>
            <w:r w:rsidRPr="00960E47">
              <w:rPr>
                <w:sz w:val="18"/>
                <w:szCs w:val="18"/>
                <w:lang w:val="es-ES"/>
              </w:rPr>
              <w:t>795</w:t>
            </w:r>
          </w:p>
        </w:tc>
        <w:tc>
          <w:tcPr>
            <w:tcW w:w="533"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9,9</w:t>
            </w:r>
          </w:p>
        </w:tc>
        <w:tc>
          <w:tcPr>
            <w:tcW w:w="930"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11,2</w:t>
            </w:r>
          </w:p>
        </w:tc>
        <w:tc>
          <w:tcPr>
            <w:tcW w:w="649"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10,4</w:t>
            </w:r>
          </w:p>
        </w:tc>
        <w:tc>
          <w:tcPr>
            <w:tcW w:w="576" w:type="pct"/>
            <w:shd w:val="clear" w:color="auto" w:fill="auto"/>
            <w:vAlign w:val="bottom"/>
          </w:tcPr>
          <w:p w:rsidR="00E421FD" w:rsidRPr="00960E47" w:rsidRDefault="00E343E2" w:rsidP="0065702B">
            <w:pPr>
              <w:pStyle w:val="SingleTxtG"/>
              <w:spacing w:before="40" w:after="40" w:line="220" w:lineRule="exact"/>
              <w:ind w:left="0" w:right="0"/>
              <w:jc w:val="right"/>
              <w:rPr>
                <w:sz w:val="18"/>
                <w:szCs w:val="18"/>
                <w:lang w:val="es-ES"/>
              </w:rPr>
            </w:pPr>
            <w:r w:rsidRPr="00960E47">
              <w:rPr>
                <w:sz w:val="18"/>
                <w:szCs w:val="18"/>
                <w:lang w:val="es-ES"/>
              </w:rPr>
              <w:t>15,</w:t>
            </w:r>
            <w:r w:rsidR="00E421FD" w:rsidRPr="00960E47">
              <w:rPr>
                <w:sz w:val="18"/>
                <w:szCs w:val="18"/>
                <w:lang w:val="es-ES"/>
              </w:rPr>
              <w:t>7</w:t>
            </w:r>
          </w:p>
        </w:tc>
        <w:tc>
          <w:tcPr>
            <w:tcW w:w="576"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8,4</w:t>
            </w:r>
          </w:p>
        </w:tc>
        <w:tc>
          <w:tcPr>
            <w:tcW w:w="575"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9,4</w:t>
            </w:r>
          </w:p>
        </w:tc>
      </w:tr>
      <w:tr w:rsidR="00D463CF" w:rsidRPr="00960E47" w:rsidTr="00D463CF">
        <w:tc>
          <w:tcPr>
            <w:tcW w:w="627" w:type="pct"/>
            <w:shd w:val="clear" w:color="auto" w:fill="auto"/>
            <w:vAlign w:val="bottom"/>
          </w:tcPr>
          <w:p w:rsidR="00E421FD" w:rsidRPr="00960E47" w:rsidRDefault="00E421FD" w:rsidP="0065702B">
            <w:pPr>
              <w:pStyle w:val="SingleTxtG"/>
              <w:spacing w:before="40" w:after="40" w:line="220" w:lineRule="exact"/>
              <w:ind w:left="0" w:right="0"/>
              <w:jc w:val="left"/>
              <w:rPr>
                <w:sz w:val="18"/>
                <w:szCs w:val="18"/>
                <w:lang w:val="es-ES"/>
              </w:rPr>
            </w:pPr>
            <w:r w:rsidRPr="00960E47">
              <w:rPr>
                <w:sz w:val="18"/>
                <w:szCs w:val="18"/>
                <w:lang w:val="es-ES"/>
              </w:rPr>
              <w:t>35 a 39</w:t>
            </w:r>
          </w:p>
        </w:tc>
        <w:tc>
          <w:tcPr>
            <w:tcW w:w="533"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45</w:t>
            </w:r>
            <w:r w:rsidR="0065702B" w:rsidRPr="00960E47">
              <w:rPr>
                <w:sz w:val="18"/>
                <w:szCs w:val="18"/>
                <w:lang w:val="es-ES"/>
              </w:rPr>
              <w:t xml:space="preserve"> </w:t>
            </w:r>
            <w:r w:rsidRPr="00960E47">
              <w:rPr>
                <w:sz w:val="18"/>
                <w:szCs w:val="18"/>
                <w:lang w:val="es-ES"/>
              </w:rPr>
              <w:t>693</w:t>
            </w:r>
          </w:p>
        </w:tc>
        <w:tc>
          <w:tcPr>
            <w:tcW w:w="533"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7,5</w:t>
            </w:r>
          </w:p>
        </w:tc>
        <w:tc>
          <w:tcPr>
            <w:tcW w:w="930"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8,5</w:t>
            </w:r>
          </w:p>
        </w:tc>
        <w:tc>
          <w:tcPr>
            <w:tcW w:w="649"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7,6</w:t>
            </w:r>
          </w:p>
        </w:tc>
        <w:tc>
          <w:tcPr>
            <w:tcW w:w="576" w:type="pct"/>
            <w:shd w:val="clear" w:color="auto" w:fill="auto"/>
            <w:vAlign w:val="bottom"/>
          </w:tcPr>
          <w:p w:rsidR="00E421FD" w:rsidRPr="00960E47" w:rsidRDefault="00E343E2" w:rsidP="0065702B">
            <w:pPr>
              <w:pStyle w:val="SingleTxtG"/>
              <w:spacing w:before="40" w:after="40" w:line="220" w:lineRule="exact"/>
              <w:ind w:left="0" w:right="0"/>
              <w:jc w:val="right"/>
              <w:rPr>
                <w:sz w:val="18"/>
                <w:szCs w:val="18"/>
                <w:lang w:val="es-ES"/>
              </w:rPr>
            </w:pPr>
            <w:r w:rsidRPr="00960E47">
              <w:rPr>
                <w:sz w:val="18"/>
                <w:szCs w:val="18"/>
                <w:lang w:val="es-ES"/>
              </w:rPr>
              <w:t>12,</w:t>
            </w:r>
            <w:r w:rsidR="00E421FD" w:rsidRPr="00960E47">
              <w:rPr>
                <w:sz w:val="18"/>
                <w:szCs w:val="18"/>
                <w:lang w:val="es-ES"/>
              </w:rPr>
              <w:t>6</w:t>
            </w:r>
          </w:p>
        </w:tc>
        <w:tc>
          <w:tcPr>
            <w:tcW w:w="576"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4,5</w:t>
            </w:r>
          </w:p>
        </w:tc>
        <w:tc>
          <w:tcPr>
            <w:tcW w:w="575"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7,9</w:t>
            </w:r>
          </w:p>
        </w:tc>
      </w:tr>
      <w:tr w:rsidR="00D463CF" w:rsidRPr="00960E47" w:rsidTr="00D463CF">
        <w:tc>
          <w:tcPr>
            <w:tcW w:w="627" w:type="pct"/>
            <w:shd w:val="clear" w:color="auto" w:fill="auto"/>
            <w:vAlign w:val="bottom"/>
          </w:tcPr>
          <w:p w:rsidR="00E421FD" w:rsidRPr="00960E47" w:rsidRDefault="00E421FD" w:rsidP="0065702B">
            <w:pPr>
              <w:pStyle w:val="SingleTxtG"/>
              <w:spacing w:before="40" w:after="40" w:line="220" w:lineRule="exact"/>
              <w:ind w:left="0" w:right="0"/>
              <w:jc w:val="left"/>
              <w:rPr>
                <w:sz w:val="18"/>
                <w:szCs w:val="18"/>
                <w:lang w:val="es-ES"/>
              </w:rPr>
            </w:pPr>
            <w:r w:rsidRPr="00960E47">
              <w:rPr>
                <w:sz w:val="18"/>
                <w:szCs w:val="18"/>
                <w:lang w:val="es-ES"/>
              </w:rPr>
              <w:t>40 a 44</w:t>
            </w:r>
          </w:p>
        </w:tc>
        <w:tc>
          <w:tcPr>
            <w:tcW w:w="533"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39</w:t>
            </w:r>
            <w:r w:rsidR="0065702B" w:rsidRPr="00960E47">
              <w:rPr>
                <w:sz w:val="18"/>
                <w:szCs w:val="18"/>
                <w:lang w:val="es-ES"/>
              </w:rPr>
              <w:t xml:space="preserve"> </w:t>
            </w:r>
            <w:r w:rsidRPr="00960E47">
              <w:rPr>
                <w:sz w:val="18"/>
                <w:szCs w:val="18"/>
                <w:lang w:val="es-ES"/>
              </w:rPr>
              <w:t>629</w:t>
            </w:r>
          </w:p>
        </w:tc>
        <w:tc>
          <w:tcPr>
            <w:tcW w:w="533"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7,0</w:t>
            </w:r>
          </w:p>
        </w:tc>
        <w:tc>
          <w:tcPr>
            <w:tcW w:w="930"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6,7</w:t>
            </w:r>
          </w:p>
        </w:tc>
        <w:tc>
          <w:tcPr>
            <w:tcW w:w="649"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5,6</w:t>
            </w:r>
          </w:p>
        </w:tc>
        <w:tc>
          <w:tcPr>
            <w:tcW w:w="576" w:type="pct"/>
            <w:shd w:val="clear" w:color="auto" w:fill="auto"/>
            <w:vAlign w:val="bottom"/>
          </w:tcPr>
          <w:p w:rsidR="00E421FD" w:rsidRPr="00960E47" w:rsidRDefault="00E421FD" w:rsidP="00E343E2">
            <w:pPr>
              <w:pStyle w:val="SingleTxtG"/>
              <w:spacing w:before="40" w:after="40" w:line="220" w:lineRule="exact"/>
              <w:ind w:left="0" w:right="0"/>
              <w:jc w:val="right"/>
              <w:rPr>
                <w:sz w:val="18"/>
                <w:szCs w:val="18"/>
                <w:lang w:val="es-ES"/>
              </w:rPr>
            </w:pPr>
            <w:r w:rsidRPr="00960E47">
              <w:rPr>
                <w:sz w:val="18"/>
                <w:szCs w:val="18"/>
                <w:lang w:val="es-ES"/>
              </w:rPr>
              <w:t>10,5</w:t>
            </w:r>
          </w:p>
        </w:tc>
        <w:tc>
          <w:tcPr>
            <w:tcW w:w="576"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3,9</w:t>
            </w:r>
          </w:p>
        </w:tc>
        <w:tc>
          <w:tcPr>
            <w:tcW w:w="575"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8,1</w:t>
            </w:r>
          </w:p>
        </w:tc>
      </w:tr>
      <w:tr w:rsidR="00D463CF" w:rsidRPr="00960E47" w:rsidTr="00D463CF">
        <w:tc>
          <w:tcPr>
            <w:tcW w:w="627" w:type="pct"/>
            <w:shd w:val="clear" w:color="auto" w:fill="auto"/>
            <w:vAlign w:val="bottom"/>
          </w:tcPr>
          <w:p w:rsidR="00E421FD" w:rsidRPr="00960E47" w:rsidRDefault="00E421FD" w:rsidP="0065702B">
            <w:pPr>
              <w:pStyle w:val="SingleTxtG"/>
              <w:spacing w:before="40" w:after="40" w:line="220" w:lineRule="exact"/>
              <w:ind w:left="0" w:right="0"/>
              <w:jc w:val="left"/>
              <w:rPr>
                <w:sz w:val="18"/>
                <w:szCs w:val="18"/>
                <w:lang w:val="es-ES"/>
              </w:rPr>
            </w:pPr>
            <w:r w:rsidRPr="00960E47">
              <w:rPr>
                <w:sz w:val="18"/>
                <w:szCs w:val="18"/>
                <w:lang w:val="es-ES"/>
              </w:rPr>
              <w:t>45 a 49</w:t>
            </w:r>
          </w:p>
        </w:tc>
        <w:tc>
          <w:tcPr>
            <w:tcW w:w="533"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34</w:t>
            </w:r>
            <w:r w:rsidR="0065702B" w:rsidRPr="00960E47">
              <w:rPr>
                <w:sz w:val="18"/>
                <w:szCs w:val="18"/>
                <w:lang w:val="es-ES"/>
              </w:rPr>
              <w:t xml:space="preserve"> </w:t>
            </w:r>
            <w:r w:rsidRPr="00960E47">
              <w:rPr>
                <w:sz w:val="18"/>
                <w:szCs w:val="18"/>
                <w:lang w:val="es-ES"/>
              </w:rPr>
              <w:t>126</w:t>
            </w:r>
          </w:p>
        </w:tc>
        <w:tc>
          <w:tcPr>
            <w:tcW w:w="533"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6,3</w:t>
            </w:r>
          </w:p>
        </w:tc>
        <w:tc>
          <w:tcPr>
            <w:tcW w:w="930"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5,7</w:t>
            </w:r>
          </w:p>
        </w:tc>
        <w:tc>
          <w:tcPr>
            <w:tcW w:w="649"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3,9</w:t>
            </w:r>
          </w:p>
        </w:tc>
        <w:tc>
          <w:tcPr>
            <w:tcW w:w="576"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8,2</w:t>
            </w:r>
          </w:p>
        </w:tc>
        <w:tc>
          <w:tcPr>
            <w:tcW w:w="576"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6,7</w:t>
            </w:r>
          </w:p>
        </w:tc>
        <w:tc>
          <w:tcPr>
            <w:tcW w:w="575"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8,1</w:t>
            </w:r>
          </w:p>
        </w:tc>
      </w:tr>
      <w:tr w:rsidR="00D463CF" w:rsidRPr="00960E47" w:rsidTr="00D463CF">
        <w:tc>
          <w:tcPr>
            <w:tcW w:w="627" w:type="pct"/>
            <w:shd w:val="clear" w:color="auto" w:fill="auto"/>
            <w:vAlign w:val="bottom"/>
          </w:tcPr>
          <w:p w:rsidR="00E421FD" w:rsidRPr="00960E47" w:rsidRDefault="00E421FD" w:rsidP="0065702B">
            <w:pPr>
              <w:pStyle w:val="SingleTxtG"/>
              <w:spacing w:before="40" w:after="40" w:line="220" w:lineRule="exact"/>
              <w:ind w:left="0" w:right="0"/>
              <w:jc w:val="left"/>
              <w:rPr>
                <w:sz w:val="18"/>
                <w:szCs w:val="18"/>
                <w:lang w:val="es-ES"/>
              </w:rPr>
            </w:pPr>
            <w:r w:rsidRPr="00960E47">
              <w:rPr>
                <w:sz w:val="18"/>
                <w:szCs w:val="18"/>
                <w:lang w:val="es-ES"/>
              </w:rPr>
              <w:t>50 a 54</w:t>
            </w:r>
          </w:p>
        </w:tc>
        <w:tc>
          <w:tcPr>
            <w:tcW w:w="533"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28</w:t>
            </w:r>
            <w:r w:rsidR="0065702B" w:rsidRPr="00960E47">
              <w:rPr>
                <w:sz w:val="18"/>
                <w:szCs w:val="18"/>
                <w:lang w:val="es-ES"/>
              </w:rPr>
              <w:t xml:space="preserve"> </w:t>
            </w:r>
            <w:r w:rsidRPr="00960E47">
              <w:rPr>
                <w:sz w:val="18"/>
                <w:szCs w:val="18"/>
                <w:lang w:val="es-ES"/>
              </w:rPr>
              <w:t>739</w:t>
            </w:r>
          </w:p>
        </w:tc>
        <w:tc>
          <w:tcPr>
            <w:tcW w:w="533"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5,7</w:t>
            </w:r>
          </w:p>
        </w:tc>
        <w:tc>
          <w:tcPr>
            <w:tcW w:w="930"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4,0</w:t>
            </w:r>
          </w:p>
        </w:tc>
        <w:tc>
          <w:tcPr>
            <w:tcW w:w="649"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2,5</w:t>
            </w:r>
          </w:p>
        </w:tc>
        <w:tc>
          <w:tcPr>
            <w:tcW w:w="576"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6,4</w:t>
            </w:r>
          </w:p>
        </w:tc>
        <w:tc>
          <w:tcPr>
            <w:tcW w:w="576"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6,2</w:t>
            </w:r>
          </w:p>
        </w:tc>
        <w:tc>
          <w:tcPr>
            <w:tcW w:w="575"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8,0</w:t>
            </w:r>
          </w:p>
        </w:tc>
      </w:tr>
      <w:tr w:rsidR="00D463CF" w:rsidRPr="00960E47" w:rsidTr="00D463CF">
        <w:tc>
          <w:tcPr>
            <w:tcW w:w="627" w:type="pct"/>
            <w:shd w:val="clear" w:color="auto" w:fill="auto"/>
            <w:vAlign w:val="bottom"/>
          </w:tcPr>
          <w:p w:rsidR="00E421FD" w:rsidRPr="00960E47" w:rsidRDefault="00E421FD" w:rsidP="0065702B">
            <w:pPr>
              <w:pStyle w:val="SingleTxtG"/>
              <w:spacing w:before="40" w:after="40" w:line="220" w:lineRule="exact"/>
              <w:ind w:left="0" w:right="0"/>
              <w:jc w:val="left"/>
              <w:rPr>
                <w:sz w:val="18"/>
                <w:szCs w:val="18"/>
                <w:lang w:val="es-ES"/>
              </w:rPr>
            </w:pPr>
            <w:r w:rsidRPr="00960E47">
              <w:rPr>
                <w:sz w:val="18"/>
                <w:szCs w:val="18"/>
                <w:lang w:val="es-ES"/>
              </w:rPr>
              <w:t>55 a 59</w:t>
            </w:r>
          </w:p>
        </w:tc>
        <w:tc>
          <w:tcPr>
            <w:tcW w:w="533"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23</w:t>
            </w:r>
            <w:r w:rsidR="0065702B" w:rsidRPr="00960E47">
              <w:rPr>
                <w:sz w:val="18"/>
                <w:szCs w:val="18"/>
                <w:lang w:val="es-ES"/>
              </w:rPr>
              <w:t xml:space="preserve"> </w:t>
            </w:r>
            <w:r w:rsidRPr="00960E47">
              <w:rPr>
                <w:sz w:val="18"/>
                <w:szCs w:val="18"/>
                <w:lang w:val="es-ES"/>
              </w:rPr>
              <w:t>245</w:t>
            </w:r>
          </w:p>
        </w:tc>
        <w:tc>
          <w:tcPr>
            <w:tcW w:w="533"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5,0</w:t>
            </w:r>
          </w:p>
        </w:tc>
        <w:tc>
          <w:tcPr>
            <w:tcW w:w="930"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2,7</w:t>
            </w:r>
          </w:p>
        </w:tc>
        <w:tc>
          <w:tcPr>
            <w:tcW w:w="649"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1,5</w:t>
            </w:r>
          </w:p>
        </w:tc>
        <w:tc>
          <w:tcPr>
            <w:tcW w:w="576"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4,8</w:t>
            </w:r>
          </w:p>
        </w:tc>
        <w:tc>
          <w:tcPr>
            <w:tcW w:w="576"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5,6</w:t>
            </w:r>
          </w:p>
        </w:tc>
        <w:tc>
          <w:tcPr>
            <w:tcW w:w="575"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6,9</w:t>
            </w:r>
          </w:p>
        </w:tc>
      </w:tr>
      <w:tr w:rsidR="00D463CF" w:rsidRPr="00960E47" w:rsidTr="00D463CF">
        <w:tc>
          <w:tcPr>
            <w:tcW w:w="627" w:type="pct"/>
            <w:shd w:val="clear" w:color="auto" w:fill="auto"/>
            <w:vAlign w:val="bottom"/>
          </w:tcPr>
          <w:p w:rsidR="00E421FD" w:rsidRPr="00960E47" w:rsidRDefault="00E421FD" w:rsidP="0065702B">
            <w:pPr>
              <w:pStyle w:val="SingleTxtG"/>
              <w:spacing w:before="40" w:after="40" w:line="220" w:lineRule="exact"/>
              <w:ind w:left="0" w:right="0"/>
              <w:jc w:val="left"/>
              <w:rPr>
                <w:sz w:val="18"/>
                <w:szCs w:val="18"/>
                <w:lang w:val="es-ES"/>
              </w:rPr>
            </w:pPr>
            <w:r w:rsidRPr="00960E47">
              <w:rPr>
                <w:sz w:val="18"/>
                <w:szCs w:val="18"/>
                <w:lang w:val="es-ES"/>
              </w:rPr>
              <w:t>60 a 64</w:t>
            </w:r>
          </w:p>
        </w:tc>
        <w:tc>
          <w:tcPr>
            <w:tcW w:w="533"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16</w:t>
            </w:r>
            <w:r w:rsidR="0065702B" w:rsidRPr="00960E47">
              <w:rPr>
                <w:sz w:val="18"/>
                <w:szCs w:val="18"/>
                <w:lang w:val="es-ES"/>
              </w:rPr>
              <w:t xml:space="preserve"> </w:t>
            </w:r>
            <w:r w:rsidRPr="00960E47">
              <w:rPr>
                <w:sz w:val="18"/>
                <w:szCs w:val="18"/>
                <w:lang w:val="es-ES"/>
              </w:rPr>
              <w:t>736</w:t>
            </w:r>
          </w:p>
        </w:tc>
        <w:tc>
          <w:tcPr>
            <w:tcW w:w="533"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3,6</w:t>
            </w:r>
          </w:p>
        </w:tc>
        <w:tc>
          <w:tcPr>
            <w:tcW w:w="930"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1,6</w:t>
            </w:r>
          </w:p>
        </w:tc>
        <w:tc>
          <w:tcPr>
            <w:tcW w:w="649"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0,8</w:t>
            </w:r>
          </w:p>
        </w:tc>
        <w:tc>
          <w:tcPr>
            <w:tcW w:w="576"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3,7</w:t>
            </w:r>
          </w:p>
        </w:tc>
        <w:tc>
          <w:tcPr>
            <w:tcW w:w="576"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5,1</w:t>
            </w:r>
          </w:p>
        </w:tc>
        <w:tc>
          <w:tcPr>
            <w:tcW w:w="575"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5,6</w:t>
            </w:r>
          </w:p>
        </w:tc>
      </w:tr>
      <w:tr w:rsidR="00D463CF" w:rsidRPr="00960E47" w:rsidTr="00D463CF">
        <w:tc>
          <w:tcPr>
            <w:tcW w:w="627" w:type="pct"/>
            <w:shd w:val="clear" w:color="auto" w:fill="auto"/>
            <w:vAlign w:val="bottom"/>
          </w:tcPr>
          <w:p w:rsidR="00E421FD" w:rsidRPr="00960E47" w:rsidRDefault="00E421FD" w:rsidP="0065702B">
            <w:pPr>
              <w:pStyle w:val="SingleTxtG"/>
              <w:spacing w:before="40" w:after="40" w:line="220" w:lineRule="exact"/>
              <w:ind w:left="0" w:right="0"/>
              <w:jc w:val="left"/>
              <w:rPr>
                <w:sz w:val="18"/>
                <w:szCs w:val="18"/>
                <w:lang w:val="es-ES"/>
              </w:rPr>
            </w:pPr>
            <w:r w:rsidRPr="00960E47">
              <w:rPr>
                <w:sz w:val="18"/>
                <w:szCs w:val="18"/>
                <w:lang w:val="es-ES"/>
              </w:rPr>
              <w:t>65 a 69</w:t>
            </w:r>
          </w:p>
        </w:tc>
        <w:tc>
          <w:tcPr>
            <w:tcW w:w="533"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13</w:t>
            </w:r>
            <w:r w:rsidR="0065702B" w:rsidRPr="00960E47">
              <w:rPr>
                <w:sz w:val="18"/>
                <w:szCs w:val="18"/>
                <w:lang w:val="es-ES"/>
              </w:rPr>
              <w:t xml:space="preserve"> </w:t>
            </w:r>
            <w:r w:rsidRPr="00960E47">
              <w:rPr>
                <w:sz w:val="18"/>
                <w:szCs w:val="18"/>
                <w:lang w:val="es-ES"/>
              </w:rPr>
              <w:t>377</w:t>
            </w:r>
          </w:p>
        </w:tc>
        <w:tc>
          <w:tcPr>
            <w:tcW w:w="533"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2,8</w:t>
            </w:r>
          </w:p>
        </w:tc>
        <w:tc>
          <w:tcPr>
            <w:tcW w:w="930"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1,3</w:t>
            </w:r>
          </w:p>
        </w:tc>
        <w:tc>
          <w:tcPr>
            <w:tcW w:w="649"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0,5</w:t>
            </w:r>
          </w:p>
        </w:tc>
        <w:tc>
          <w:tcPr>
            <w:tcW w:w="576"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1,7</w:t>
            </w:r>
          </w:p>
        </w:tc>
        <w:tc>
          <w:tcPr>
            <w:tcW w:w="576"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6,7</w:t>
            </w:r>
          </w:p>
        </w:tc>
        <w:tc>
          <w:tcPr>
            <w:tcW w:w="575"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4,8</w:t>
            </w:r>
          </w:p>
        </w:tc>
      </w:tr>
      <w:tr w:rsidR="00D463CF" w:rsidRPr="00960E47" w:rsidTr="00D463CF">
        <w:tc>
          <w:tcPr>
            <w:tcW w:w="627" w:type="pct"/>
            <w:shd w:val="clear" w:color="auto" w:fill="auto"/>
            <w:vAlign w:val="bottom"/>
          </w:tcPr>
          <w:p w:rsidR="00E421FD" w:rsidRPr="00960E47" w:rsidRDefault="00E421FD" w:rsidP="0065702B">
            <w:pPr>
              <w:pStyle w:val="SingleTxtG"/>
              <w:spacing w:before="40" w:after="40" w:line="220" w:lineRule="exact"/>
              <w:ind w:left="0" w:right="0"/>
              <w:jc w:val="left"/>
              <w:rPr>
                <w:sz w:val="18"/>
                <w:szCs w:val="18"/>
                <w:lang w:val="es-ES"/>
              </w:rPr>
            </w:pPr>
            <w:r w:rsidRPr="00960E47">
              <w:rPr>
                <w:sz w:val="18"/>
                <w:szCs w:val="18"/>
                <w:lang w:val="es-ES"/>
              </w:rPr>
              <w:t>70 a 74</w:t>
            </w:r>
          </w:p>
        </w:tc>
        <w:tc>
          <w:tcPr>
            <w:tcW w:w="533"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13</w:t>
            </w:r>
            <w:r w:rsidR="0065702B" w:rsidRPr="00960E47">
              <w:rPr>
                <w:sz w:val="18"/>
                <w:szCs w:val="18"/>
                <w:lang w:val="es-ES"/>
              </w:rPr>
              <w:t xml:space="preserve"> </w:t>
            </w:r>
            <w:r w:rsidRPr="00960E47">
              <w:rPr>
                <w:sz w:val="18"/>
                <w:szCs w:val="18"/>
                <w:lang w:val="es-ES"/>
              </w:rPr>
              <w:t>393</w:t>
            </w:r>
          </w:p>
        </w:tc>
        <w:tc>
          <w:tcPr>
            <w:tcW w:w="533"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2,5</w:t>
            </w:r>
          </w:p>
        </w:tc>
        <w:tc>
          <w:tcPr>
            <w:tcW w:w="930"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1,0</w:t>
            </w:r>
          </w:p>
        </w:tc>
        <w:tc>
          <w:tcPr>
            <w:tcW w:w="649"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0,4</w:t>
            </w:r>
          </w:p>
        </w:tc>
        <w:tc>
          <w:tcPr>
            <w:tcW w:w="576"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1,2</w:t>
            </w:r>
          </w:p>
        </w:tc>
        <w:tc>
          <w:tcPr>
            <w:tcW w:w="576"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4,5</w:t>
            </w:r>
          </w:p>
        </w:tc>
        <w:tc>
          <w:tcPr>
            <w:tcW w:w="575"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6,0</w:t>
            </w:r>
          </w:p>
        </w:tc>
      </w:tr>
      <w:tr w:rsidR="00D463CF" w:rsidRPr="00960E47" w:rsidTr="00D463CF">
        <w:tc>
          <w:tcPr>
            <w:tcW w:w="627" w:type="pct"/>
            <w:shd w:val="clear" w:color="auto" w:fill="auto"/>
            <w:vAlign w:val="bottom"/>
          </w:tcPr>
          <w:p w:rsidR="00E421FD" w:rsidRPr="00960E47" w:rsidRDefault="00E421FD" w:rsidP="0065702B">
            <w:pPr>
              <w:pStyle w:val="SingleTxtG"/>
              <w:spacing w:before="40" w:after="40" w:line="220" w:lineRule="exact"/>
              <w:ind w:left="0" w:right="0"/>
              <w:jc w:val="left"/>
              <w:rPr>
                <w:sz w:val="18"/>
                <w:szCs w:val="18"/>
                <w:lang w:val="es-ES"/>
              </w:rPr>
            </w:pPr>
            <w:r w:rsidRPr="00960E47">
              <w:rPr>
                <w:sz w:val="18"/>
                <w:szCs w:val="18"/>
                <w:lang w:val="es-ES"/>
              </w:rPr>
              <w:t>75 a 79</w:t>
            </w:r>
          </w:p>
        </w:tc>
        <w:tc>
          <w:tcPr>
            <w:tcW w:w="533"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6</w:t>
            </w:r>
            <w:r w:rsidR="0065702B" w:rsidRPr="00960E47">
              <w:rPr>
                <w:sz w:val="18"/>
                <w:szCs w:val="18"/>
                <w:lang w:val="es-ES"/>
              </w:rPr>
              <w:t xml:space="preserve"> </w:t>
            </w:r>
            <w:r w:rsidRPr="00960E47">
              <w:rPr>
                <w:sz w:val="18"/>
                <w:szCs w:val="18"/>
                <w:lang w:val="es-ES"/>
              </w:rPr>
              <w:t>332</w:t>
            </w:r>
          </w:p>
        </w:tc>
        <w:tc>
          <w:tcPr>
            <w:tcW w:w="533"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1,3</w:t>
            </w:r>
          </w:p>
        </w:tc>
        <w:tc>
          <w:tcPr>
            <w:tcW w:w="930"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0,6</w:t>
            </w:r>
          </w:p>
        </w:tc>
        <w:tc>
          <w:tcPr>
            <w:tcW w:w="649"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0,2</w:t>
            </w:r>
          </w:p>
        </w:tc>
        <w:tc>
          <w:tcPr>
            <w:tcW w:w="576"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0,5</w:t>
            </w:r>
          </w:p>
        </w:tc>
        <w:tc>
          <w:tcPr>
            <w:tcW w:w="576"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0,6</w:t>
            </w:r>
          </w:p>
        </w:tc>
        <w:tc>
          <w:tcPr>
            <w:tcW w:w="575"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2,6</w:t>
            </w:r>
          </w:p>
        </w:tc>
      </w:tr>
      <w:tr w:rsidR="00D463CF" w:rsidRPr="00960E47" w:rsidTr="00D463CF">
        <w:tc>
          <w:tcPr>
            <w:tcW w:w="627" w:type="pct"/>
            <w:shd w:val="clear" w:color="auto" w:fill="auto"/>
            <w:vAlign w:val="bottom"/>
          </w:tcPr>
          <w:p w:rsidR="00E421FD" w:rsidRPr="00960E47" w:rsidRDefault="00E421FD" w:rsidP="0065702B">
            <w:pPr>
              <w:pStyle w:val="SingleTxtG"/>
              <w:spacing w:before="40" w:after="40" w:line="220" w:lineRule="exact"/>
              <w:ind w:left="0" w:right="0"/>
              <w:jc w:val="left"/>
              <w:rPr>
                <w:sz w:val="18"/>
                <w:szCs w:val="18"/>
                <w:lang w:val="es-ES"/>
              </w:rPr>
            </w:pPr>
            <w:r w:rsidRPr="00960E47">
              <w:rPr>
                <w:sz w:val="18"/>
                <w:szCs w:val="18"/>
                <w:lang w:val="es-ES"/>
              </w:rPr>
              <w:t>80 y más</w:t>
            </w:r>
          </w:p>
        </w:tc>
        <w:tc>
          <w:tcPr>
            <w:tcW w:w="533"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5</w:t>
            </w:r>
            <w:r w:rsidR="0065702B" w:rsidRPr="00960E47">
              <w:rPr>
                <w:sz w:val="18"/>
                <w:szCs w:val="18"/>
                <w:lang w:val="es-ES"/>
              </w:rPr>
              <w:t xml:space="preserve"> </w:t>
            </w:r>
            <w:r w:rsidRPr="00960E47">
              <w:rPr>
                <w:sz w:val="18"/>
                <w:szCs w:val="18"/>
                <w:lang w:val="es-ES"/>
              </w:rPr>
              <w:t>945</w:t>
            </w:r>
          </w:p>
        </w:tc>
        <w:tc>
          <w:tcPr>
            <w:tcW w:w="533"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1,2</w:t>
            </w:r>
          </w:p>
        </w:tc>
        <w:tc>
          <w:tcPr>
            <w:tcW w:w="930"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0,5</w:t>
            </w:r>
          </w:p>
        </w:tc>
        <w:tc>
          <w:tcPr>
            <w:tcW w:w="649"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0,2</w:t>
            </w:r>
          </w:p>
        </w:tc>
        <w:tc>
          <w:tcPr>
            <w:tcW w:w="576"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0,4</w:t>
            </w:r>
          </w:p>
        </w:tc>
        <w:tc>
          <w:tcPr>
            <w:tcW w:w="576"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1,7</w:t>
            </w:r>
          </w:p>
        </w:tc>
        <w:tc>
          <w:tcPr>
            <w:tcW w:w="575" w:type="pct"/>
            <w:shd w:val="clear" w:color="auto" w:fill="auto"/>
            <w:vAlign w:val="bottom"/>
          </w:tcPr>
          <w:p w:rsidR="00E421FD" w:rsidRPr="00960E47" w:rsidRDefault="00E421FD" w:rsidP="0065702B">
            <w:pPr>
              <w:pStyle w:val="SingleTxtG"/>
              <w:spacing w:before="40" w:after="40" w:line="220" w:lineRule="exact"/>
              <w:ind w:left="0" w:right="0"/>
              <w:jc w:val="right"/>
              <w:rPr>
                <w:sz w:val="18"/>
                <w:szCs w:val="18"/>
                <w:lang w:val="es-ES"/>
              </w:rPr>
            </w:pPr>
            <w:r w:rsidRPr="00960E47">
              <w:rPr>
                <w:sz w:val="18"/>
                <w:szCs w:val="18"/>
                <w:lang w:val="es-ES"/>
              </w:rPr>
              <w:t>2,5</w:t>
            </w:r>
          </w:p>
        </w:tc>
      </w:tr>
    </w:tbl>
    <w:p w:rsidR="00E421FD" w:rsidRPr="00960E47" w:rsidRDefault="00E421FD" w:rsidP="00BD2CEB">
      <w:pPr>
        <w:spacing w:before="120" w:after="240"/>
        <w:ind w:left="1134" w:firstLine="170"/>
        <w:rPr>
          <w:sz w:val="18"/>
          <w:lang w:val="es-ES"/>
        </w:rPr>
      </w:pPr>
      <w:r w:rsidRPr="00960E47">
        <w:rPr>
          <w:i/>
          <w:sz w:val="18"/>
          <w:lang w:val="es-ES"/>
        </w:rPr>
        <w:t>Fuente:</w:t>
      </w:r>
      <w:r w:rsidRPr="00960E47">
        <w:rPr>
          <w:sz w:val="18"/>
          <w:lang w:val="es-ES"/>
        </w:rPr>
        <w:t xml:space="preserve"> Informe del censo de población y la encuesta de hogares de 2006.</w:t>
      </w:r>
    </w:p>
    <w:p w:rsidR="00D463CF" w:rsidRPr="00960E47" w:rsidRDefault="00D463CF" w:rsidP="00D463CF">
      <w:pPr>
        <w:pStyle w:val="Heading1"/>
        <w:rPr>
          <w:lang w:val="es-ES"/>
        </w:rPr>
      </w:pPr>
      <w:r w:rsidRPr="00960E47">
        <w:rPr>
          <w:lang w:val="es-ES"/>
        </w:rPr>
        <w:br w:type="page"/>
        <w:t>Cuadro 2</w:t>
      </w:r>
    </w:p>
    <w:p w:rsidR="00D463CF" w:rsidRPr="00960E47" w:rsidRDefault="00D463CF" w:rsidP="00D463CF">
      <w:pPr>
        <w:pStyle w:val="SingleTxtG"/>
        <w:jc w:val="left"/>
        <w:rPr>
          <w:b/>
          <w:lang w:val="es-ES"/>
        </w:rPr>
      </w:pPr>
      <w:r w:rsidRPr="00960E47">
        <w:rPr>
          <w:b/>
          <w:lang w:val="es-ES"/>
        </w:rPr>
        <w:t xml:space="preserve">Número y distribución porcentual de </w:t>
      </w:r>
      <w:r w:rsidR="005079D2" w:rsidRPr="00960E47">
        <w:rPr>
          <w:b/>
          <w:lang w:val="es-ES"/>
        </w:rPr>
        <w:t>las personas de 15 años de edad</w:t>
      </w:r>
    </w:p>
    <w:p w:rsidR="00D463CF" w:rsidRPr="00960E47" w:rsidRDefault="00D463CF" w:rsidP="00D463CF">
      <w:pPr>
        <w:pStyle w:val="H23G"/>
        <w:spacing w:before="120"/>
        <w:rPr>
          <w:lang w:val="es-ES"/>
        </w:rPr>
      </w:pPr>
      <w:r w:rsidRPr="00960E47">
        <w:rPr>
          <w:lang w:val="es-ES"/>
        </w:rPr>
        <w:tab/>
      </w:r>
      <w:r w:rsidRPr="00960E47">
        <w:rPr>
          <w:lang w:val="es-ES"/>
        </w:rPr>
        <w:tab/>
        <w:t>Número y distribución porcentual de las personas de 15 o más años, por nivel de instrucción y sexo, censo de 2006</w:t>
      </w:r>
    </w:p>
    <w:tbl>
      <w:tblPr>
        <w:tblW w:w="8506" w:type="dxa"/>
        <w:tblInd w:w="1134" w:type="dxa"/>
        <w:tblBorders>
          <w:top w:val="single" w:sz="4" w:space="0" w:color="auto"/>
          <w:bottom w:val="single" w:sz="12" w:space="0" w:color="auto"/>
        </w:tblBorders>
        <w:tblLayout w:type="fixed"/>
        <w:tblCellMar>
          <w:left w:w="0" w:type="dxa"/>
          <w:right w:w="0" w:type="dxa"/>
        </w:tblCellMar>
        <w:tblLook w:val="04A0"/>
      </w:tblPr>
      <w:tblGrid>
        <w:gridCol w:w="1069"/>
        <w:gridCol w:w="907"/>
        <w:gridCol w:w="907"/>
        <w:gridCol w:w="1584"/>
        <w:gridCol w:w="1109"/>
        <w:gridCol w:w="976"/>
        <w:gridCol w:w="976"/>
        <w:gridCol w:w="978"/>
      </w:tblGrid>
      <w:tr w:rsidR="00D463CF" w:rsidRPr="00960E47" w:rsidTr="00D463CF">
        <w:trPr>
          <w:tblHeader/>
        </w:trPr>
        <w:tc>
          <w:tcPr>
            <w:tcW w:w="5000" w:type="pct"/>
            <w:gridSpan w:val="8"/>
            <w:tcBorders>
              <w:top w:val="single" w:sz="4" w:space="0" w:color="auto"/>
              <w:bottom w:val="single" w:sz="4" w:space="0" w:color="000000"/>
            </w:tcBorders>
            <w:shd w:val="clear" w:color="auto" w:fill="auto"/>
            <w:vAlign w:val="bottom"/>
          </w:tcPr>
          <w:p w:rsidR="00D463CF" w:rsidRPr="00960E47" w:rsidRDefault="00D463CF" w:rsidP="002D3CAD">
            <w:pPr>
              <w:pStyle w:val="SingleTxtG"/>
              <w:spacing w:before="80" w:after="80" w:line="200" w:lineRule="exact"/>
              <w:ind w:left="0" w:right="0"/>
              <w:jc w:val="center"/>
              <w:rPr>
                <w:i/>
                <w:sz w:val="16"/>
                <w:szCs w:val="18"/>
                <w:lang w:val="es-ES"/>
              </w:rPr>
            </w:pPr>
            <w:r w:rsidRPr="00960E47">
              <w:rPr>
                <w:i/>
                <w:sz w:val="16"/>
                <w:szCs w:val="18"/>
                <w:lang w:val="es-ES"/>
              </w:rPr>
              <w:t>Mujeres</w:t>
            </w:r>
          </w:p>
        </w:tc>
      </w:tr>
      <w:tr w:rsidR="00D463CF" w:rsidRPr="00960E47" w:rsidTr="00D463CF">
        <w:trPr>
          <w:tblHeader/>
        </w:trPr>
        <w:tc>
          <w:tcPr>
            <w:tcW w:w="628" w:type="pct"/>
            <w:tcBorders>
              <w:top w:val="single" w:sz="4" w:space="0" w:color="000000"/>
              <w:bottom w:val="single" w:sz="12" w:space="0" w:color="000000"/>
            </w:tcBorders>
            <w:shd w:val="clear" w:color="auto" w:fill="auto"/>
            <w:vAlign w:val="bottom"/>
          </w:tcPr>
          <w:p w:rsidR="00E421FD" w:rsidRPr="00960E47" w:rsidRDefault="00E421FD" w:rsidP="002D3CAD">
            <w:pPr>
              <w:pStyle w:val="SingleTxtG"/>
              <w:spacing w:before="80" w:after="80" w:line="200" w:lineRule="exact"/>
              <w:ind w:left="0" w:right="0"/>
              <w:jc w:val="left"/>
              <w:rPr>
                <w:i/>
                <w:sz w:val="16"/>
                <w:szCs w:val="18"/>
                <w:lang w:val="es-ES"/>
              </w:rPr>
            </w:pPr>
            <w:r w:rsidRPr="00960E47">
              <w:rPr>
                <w:i/>
                <w:sz w:val="16"/>
                <w:szCs w:val="18"/>
                <w:lang w:val="es-ES"/>
              </w:rPr>
              <w:t xml:space="preserve">Grupo de </w:t>
            </w:r>
            <w:r w:rsidR="00D463CF" w:rsidRPr="00960E47">
              <w:rPr>
                <w:i/>
                <w:sz w:val="16"/>
                <w:szCs w:val="18"/>
                <w:lang w:val="es-ES"/>
              </w:rPr>
              <w:br/>
            </w:r>
            <w:r w:rsidRPr="00960E47">
              <w:rPr>
                <w:i/>
                <w:sz w:val="16"/>
                <w:szCs w:val="18"/>
                <w:lang w:val="es-ES"/>
              </w:rPr>
              <w:t>edad (años)</w:t>
            </w:r>
          </w:p>
        </w:tc>
        <w:tc>
          <w:tcPr>
            <w:tcW w:w="533" w:type="pct"/>
            <w:tcBorders>
              <w:top w:val="single" w:sz="4" w:space="0" w:color="000000"/>
              <w:bottom w:val="single" w:sz="12" w:space="0" w:color="000000"/>
            </w:tcBorders>
            <w:shd w:val="clear" w:color="auto" w:fill="auto"/>
            <w:vAlign w:val="bottom"/>
          </w:tcPr>
          <w:p w:rsidR="00E421FD" w:rsidRPr="00960E47" w:rsidRDefault="00E421FD" w:rsidP="002D3CAD">
            <w:pPr>
              <w:pStyle w:val="SingleTxtG"/>
              <w:spacing w:before="80" w:after="80" w:line="200" w:lineRule="exact"/>
              <w:ind w:left="0" w:right="0"/>
              <w:jc w:val="right"/>
              <w:rPr>
                <w:i/>
                <w:sz w:val="16"/>
                <w:szCs w:val="18"/>
                <w:lang w:val="es-ES"/>
              </w:rPr>
            </w:pPr>
            <w:r w:rsidRPr="00960E47">
              <w:rPr>
                <w:i/>
                <w:sz w:val="16"/>
                <w:szCs w:val="18"/>
                <w:lang w:val="es-ES"/>
              </w:rPr>
              <w:t>Número</w:t>
            </w:r>
          </w:p>
        </w:tc>
        <w:tc>
          <w:tcPr>
            <w:tcW w:w="533" w:type="pct"/>
            <w:tcBorders>
              <w:top w:val="single" w:sz="4" w:space="0" w:color="000000"/>
              <w:bottom w:val="single" w:sz="12" w:space="0" w:color="000000"/>
            </w:tcBorders>
            <w:shd w:val="clear" w:color="auto" w:fill="auto"/>
            <w:vAlign w:val="bottom"/>
          </w:tcPr>
          <w:p w:rsidR="00E421FD" w:rsidRPr="00960E47" w:rsidRDefault="00E421FD" w:rsidP="002D3CAD">
            <w:pPr>
              <w:pStyle w:val="SingleTxtG"/>
              <w:spacing w:before="80" w:after="80" w:line="200" w:lineRule="exact"/>
              <w:ind w:left="0" w:right="0"/>
              <w:jc w:val="right"/>
              <w:rPr>
                <w:i/>
                <w:sz w:val="16"/>
                <w:szCs w:val="18"/>
                <w:lang w:val="es-ES"/>
              </w:rPr>
            </w:pPr>
            <w:r w:rsidRPr="00960E47">
              <w:rPr>
                <w:i/>
                <w:sz w:val="16"/>
                <w:szCs w:val="18"/>
                <w:lang w:val="es-ES"/>
              </w:rPr>
              <w:t xml:space="preserve">% est. </w:t>
            </w:r>
            <w:r w:rsidR="00D463CF" w:rsidRPr="00960E47">
              <w:rPr>
                <w:i/>
                <w:sz w:val="16"/>
                <w:szCs w:val="18"/>
                <w:lang w:val="es-ES"/>
              </w:rPr>
              <w:br/>
            </w:r>
            <w:r w:rsidRPr="00960E47">
              <w:rPr>
                <w:i/>
                <w:sz w:val="16"/>
                <w:szCs w:val="18"/>
                <w:lang w:val="es-ES"/>
              </w:rPr>
              <w:t>1 a 6 años</w:t>
            </w:r>
          </w:p>
        </w:tc>
        <w:tc>
          <w:tcPr>
            <w:tcW w:w="931" w:type="pct"/>
            <w:tcBorders>
              <w:top w:val="single" w:sz="4" w:space="0" w:color="000000"/>
              <w:bottom w:val="single" w:sz="12" w:space="0" w:color="000000"/>
            </w:tcBorders>
            <w:shd w:val="clear" w:color="auto" w:fill="auto"/>
            <w:vAlign w:val="bottom"/>
          </w:tcPr>
          <w:p w:rsidR="00E421FD" w:rsidRPr="00960E47" w:rsidRDefault="00E421FD" w:rsidP="00D463CF">
            <w:pPr>
              <w:pStyle w:val="SingleTxtG"/>
              <w:spacing w:before="80" w:after="80" w:line="200" w:lineRule="exact"/>
              <w:ind w:left="0" w:right="0"/>
              <w:jc w:val="right"/>
              <w:rPr>
                <w:i/>
                <w:sz w:val="16"/>
                <w:szCs w:val="18"/>
                <w:lang w:val="es-ES"/>
              </w:rPr>
            </w:pPr>
            <w:r w:rsidRPr="00960E47">
              <w:rPr>
                <w:i/>
                <w:sz w:val="16"/>
                <w:szCs w:val="18"/>
                <w:lang w:val="es-ES"/>
              </w:rPr>
              <w:t>% est. 7 + prof./</w:t>
            </w:r>
            <w:r w:rsidR="00D463CF" w:rsidRPr="00960E47">
              <w:rPr>
                <w:i/>
                <w:sz w:val="16"/>
                <w:szCs w:val="18"/>
                <w:lang w:val="es-ES"/>
              </w:rPr>
              <w:t xml:space="preserve"> </w:t>
            </w:r>
            <w:r w:rsidRPr="00960E47">
              <w:rPr>
                <w:i/>
                <w:sz w:val="16"/>
                <w:szCs w:val="18"/>
                <w:lang w:val="es-ES"/>
              </w:rPr>
              <w:t>Después de primaria</w:t>
            </w:r>
          </w:p>
        </w:tc>
        <w:tc>
          <w:tcPr>
            <w:tcW w:w="652" w:type="pct"/>
            <w:tcBorders>
              <w:top w:val="single" w:sz="4" w:space="0" w:color="000000"/>
              <w:bottom w:val="single" w:sz="12" w:space="0" w:color="000000"/>
            </w:tcBorders>
            <w:shd w:val="clear" w:color="auto" w:fill="auto"/>
            <w:vAlign w:val="bottom"/>
          </w:tcPr>
          <w:p w:rsidR="00E421FD" w:rsidRPr="00960E47" w:rsidRDefault="00E421FD" w:rsidP="002D3CAD">
            <w:pPr>
              <w:pStyle w:val="SingleTxtG"/>
              <w:spacing w:before="80" w:after="80" w:line="200" w:lineRule="exact"/>
              <w:ind w:left="0" w:right="0"/>
              <w:jc w:val="right"/>
              <w:rPr>
                <w:i/>
                <w:sz w:val="16"/>
                <w:szCs w:val="18"/>
                <w:lang w:val="es-ES"/>
              </w:rPr>
            </w:pPr>
            <w:r w:rsidRPr="00960E47">
              <w:rPr>
                <w:i/>
                <w:sz w:val="16"/>
                <w:szCs w:val="18"/>
                <w:lang w:val="es-ES"/>
              </w:rPr>
              <w:t xml:space="preserve">% sec. + </w:t>
            </w:r>
            <w:r w:rsidRPr="00960E47">
              <w:rPr>
                <w:i/>
                <w:sz w:val="16"/>
                <w:szCs w:val="18"/>
                <w:lang w:val="es-ES"/>
              </w:rPr>
              <w:br/>
              <w:t>no graduados</w:t>
            </w:r>
          </w:p>
        </w:tc>
        <w:tc>
          <w:tcPr>
            <w:tcW w:w="574" w:type="pct"/>
            <w:tcBorders>
              <w:top w:val="single" w:sz="4" w:space="0" w:color="000000"/>
              <w:bottom w:val="single" w:sz="12" w:space="0" w:color="000000"/>
            </w:tcBorders>
            <w:shd w:val="clear" w:color="auto" w:fill="auto"/>
            <w:vAlign w:val="bottom"/>
          </w:tcPr>
          <w:p w:rsidR="00E421FD" w:rsidRPr="00960E47" w:rsidRDefault="00E421FD" w:rsidP="002D3CAD">
            <w:pPr>
              <w:pStyle w:val="SingleTxtG"/>
              <w:spacing w:before="80" w:after="80" w:line="200" w:lineRule="exact"/>
              <w:ind w:left="0" w:right="0"/>
              <w:jc w:val="right"/>
              <w:rPr>
                <w:i/>
                <w:sz w:val="16"/>
                <w:szCs w:val="18"/>
                <w:lang w:val="es-ES"/>
              </w:rPr>
            </w:pPr>
            <w:r w:rsidRPr="00960E47">
              <w:rPr>
                <w:i/>
                <w:sz w:val="16"/>
                <w:szCs w:val="18"/>
                <w:lang w:val="es-ES"/>
              </w:rPr>
              <w:t>Graduados</w:t>
            </w:r>
          </w:p>
        </w:tc>
        <w:tc>
          <w:tcPr>
            <w:tcW w:w="574" w:type="pct"/>
            <w:tcBorders>
              <w:top w:val="single" w:sz="4" w:space="0" w:color="000000"/>
              <w:bottom w:val="single" w:sz="12" w:space="0" w:color="000000"/>
            </w:tcBorders>
            <w:shd w:val="clear" w:color="auto" w:fill="auto"/>
            <w:vAlign w:val="bottom"/>
          </w:tcPr>
          <w:p w:rsidR="00E421FD" w:rsidRPr="00960E47" w:rsidRDefault="00E421FD" w:rsidP="002D3CAD">
            <w:pPr>
              <w:pStyle w:val="SingleTxtG"/>
              <w:spacing w:before="80" w:after="80" w:line="200" w:lineRule="exact"/>
              <w:ind w:left="0" w:right="0"/>
              <w:jc w:val="right"/>
              <w:rPr>
                <w:i/>
                <w:sz w:val="16"/>
                <w:szCs w:val="18"/>
                <w:lang w:val="es-ES"/>
              </w:rPr>
            </w:pPr>
            <w:r w:rsidRPr="00960E47">
              <w:rPr>
                <w:i/>
                <w:sz w:val="16"/>
                <w:szCs w:val="18"/>
                <w:lang w:val="es-ES"/>
              </w:rPr>
              <w:t xml:space="preserve">No formal </w:t>
            </w:r>
          </w:p>
        </w:tc>
        <w:tc>
          <w:tcPr>
            <w:tcW w:w="575" w:type="pct"/>
            <w:tcBorders>
              <w:top w:val="single" w:sz="4" w:space="0" w:color="000000"/>
              <w:bottom w:val="single" w:sz="12" w:space="0" w:color="000000"/>
            </w:tcBorders>
            <w:shd w:val="clear" w:color="auto" w:fill="auto"/>
            <w:vAlign w:val="bottom"/>
          </w:tcPr>
          <w:p w:rsidR="00E421FD" w:rsidRPr="00960E47" w:rsidRDefault="00E421FD" w:rsidP="002D3CAD">
            <w:pPr>
              <w:pStyle w:val="SingleTxtG"/>
              <w:spacing w:before="80" w:after="80" w:line="200" w:lineRule="exact"/>
              <w:ind w:left="0" w:right="0"/>
              <w:jc w:val="right"/>
              <w:rPr>
                <w:i/>
                <w:sz w:val="16"/>
                <w:szCs w:val="18"/>
                <w:lang w:val="es-ES"/>
              </w:rPr>
            </w:pPr>
            <w:r w:rsidRPr="00960E47">
              <w:rPr>
                <w:i/>
                <w:sz w:val="16"/>
                <w:szCs w:val="18"/>
                <w:lang w:val="es-ES"/>
              </w:rPr>
              <w:t>Ninguna</w:t>
            </w:r>
          </w:p>
        </w:tc>
      </w:tr>
      <w:tr w:rsidR="00D463CF" w:rsidRPr="00960E47" w:rsidTr="00D463CF">
        <w:tc>
          <w:tcPr>
            <w:tcW w:w="628" w:type="pct"/>
            <w:tcBorders>
              <w:top w:val="single" w:sz="12" w:space="0" w:color="000000"/>
              <w:bottom w:val="single" w:sz="4" w:space="0" w:color="000000"/>
            </w:tcBorders>
            <w:shd w:val="clear" w:color="auto" w:fill="auto"/>
            <w:vAlign w:val="bottom"/>
          </w:tcPr>
          <w:p w:rsidR="00E421FD" w:rsidRPr="00960E47" w:rsidRDefault="00E421FD" w:rsidP="002D3CAD">
            <w:pPr>
              <w:pStyle w:val="SingleTxtG"/>
              <w:spacing w:before="80" w:after="80" w:line="220" w:lineRule="exact"/>
              <w:ind w:left="284" w:right="0"/>
              <w:jc w:val="left"/>
              <w:rPr>
                <w:b/>
                <w:sz w:val="18"/>
                <w:szCs w:val="18"/>
                <w:lang w:val="es-ES"/>
              </w:rPr>
            </w:pPr>
            <w:r w:rsidRPr="00960E47">
              <w:rPr>
                <w:b/>
                <w:sz w:val="18"/>
                <w:szCs w:val="18"/>
                <w:lang w:val="es-ES"/>
              </w:rPr>
              <w:t>Total</w:t>
            </w:r>
          </w:p>
        </w:tc>
        <w:tc>
          <w:tcPr>
            <w:tcW w:w="533" w:type="pct"/>
            <w:tcBorders>
              <w:top w:val="single" w:sz="12" w:space="0" w:color="000000"/>
              <w:bottom w:val="single" w:sz="4" w:space="0" w:color="000000"/>
            </w:tcBorders>
            <w:shd w:val="clear" w:color="auto" w:fill="auto"/>
            <w:vAlign w:val="bottom"/>
          </w:tcPr>
          <w:p w:rsidR="00E421FD" w:rsidRPr="00960E47" w:rsidRDefault="00E421FD" w:rsidP="00D463CF">
            <w:pPr>
              <w:pStyle w:val="SingleTxtG"/>
              <w:spacing w:before="80" w:after="80" w:line="220" w:lineRule="exact"/>
              <w:ind w:left="0" w:right="0"/>
              <w:jc w:val="right"/>
              <w:rPr>
                <w:b/>
                <w:sz w:val="18"/>
                <w:szCs w:val="18"/>
                <w:lang w:val="es-ES"/>
              </w:rPr>
            </w:pPr>
            <w:r w:rsidRPr="00960E47">
              <w:rPr>
                <w:b/>
                <w:sz w:val="18"/>
                <w:szCs w:val="18"/>
                <w:lang w:val="es-ES"/>
              </w:rPr>
              <w:t>643</w:t>
            </w:r>
            <w:r w:rsidR="00D463CF" w:rsidRPr="00960E47">
              <w:rPr>
                <w:b/>
                <w:sz w:val="18"/>
                <w:szCs w:val="18"/>
                <w:lang w:val="es-ES"/>
              </w:rPr>
              <w:t xml:space="preserve"> </w:t>
            </w:r>
            <w:r w:rsidRPr="00960E47">
              <w:rPr>
                <w:b/>
                <w:sz w:val="18"/>
                <w:szCs w:val="18"/>
                <w:lang w:val="es-ES"/>
              </w:rPr>
              <w:t>063</w:t>
            </w:r>
          </w:p>
        </w:tc>
        <w:tc>
          <w:tcPr>
            <w:tcW w:w="533" w:type="pct"/>
            <w:tcBorders>
              <w:top w:val="single" w:sz="12" w:space="0" w:color="000000"/>
              <w:bottom w:val="single" w:sz="4" w:space="0" w:color="000000"/>
            </w:tcBorders>
            <w:shd w:val="clear" w:color="auto" w:fill="auto"/>
            <w:vAlign w:val="bottom"/>
          </w:tcPr>
          <w:p w:rsidR="00E421FD" w:rsidRPr="00960E47" w:rsidRDefault="00E421FD" w:rsidP="002D3CAD">
            <w:pPr>
              <w:pStyle w:val="SingleTxtG"/>
              <w:spacing w:before="80" w:after="80" w:line="220" w:lineRule="exact"/>
              <w:ind w:left="0" w:right="0"/>
              <w:jc w:val="right"/>
              <w:rPr>
                <w:b/>
                <w:sz w:val="18"/>
                <w:szCs w:val="18"/>
                <w:lang w:val="es-ES"/>
              </w:rPr>
            </w:pPr>
            <w:r w:rsidRPr="00960E47">
              <w:rPr>
                <w:b/>
                <w:sz w:val="18"/>
                <w:szCs w:val="18"/>
                <w:lang w:val="es-ES"/>
              </w:rPr>
              <w:t>33,0</w:t>
            </w:r>
          </w:p>
        </w:tc>
        <w:tc>
          <w:tcPr>
            <w:tcW w:w="931" w:type="pct"/>
            <w:tcBorders>
              <w:top w:val="single" w:sz="12" w:space="0" w:color="000000"/>
              <w:bottom w:val="single" w:sz="4" w:space="0" w:color="000000"/>
            </w:tcBorders>
            <w:shd w:val="clear" w:color="auto" w:fill="auto"/>
            <w:vAlign w:val="bottom"/>
          </w:tcPr>
          <w:p w:rsidR="00E421FD" w:rsidRPr="00960E47" w:rsidRDefault="00E421FD" w:rsidP="002D3CAD">
            <w:pPr>
              <w:pStyle w:val="SingleTxtG"/>
              <w:spacing w:before="80" w:after="80" w:line="220" w:lineRule="exact"/>
              <w:ind w:left="0" w:right="0"/>
              <w:jc w:val="right"/>
              <w:rPr>
                <w:b/>
                <w:sz w:val="18"/>
                <w:szCs w:val="18"/>
                <w:lang w:val="es-ES"/>
              </w:rPr>
            </w:pPr>
            <w:r w:rsidRPr="00960E47">
              <w:rPr>
                <w:b/>
                <w:sz w:val="18"/>
                <w:szCs w:val="18"/>
                <w:lang w:val="es-ES"/>
              </w:rPr>
              <w:t>24,3</w:t>
            </w:r>
          </w:p>
        </w:tc>
        <w:tc>
          <w:tcPr>
            <w:tcW w:w="652" w:type="pct"/>
            <w:tcBorders>
              <w:top w:val="single" w:sz="12" w:space="0" w:color="000000"/>
              <w:bottom w:val="single" w:sz="4" w:space="0" w:color="000000"/>
            </w:tcBorders>
            <w:shd w:val="clear" w:color="auto" w:fill="auto"/>
            <w:vAlign w:val="bottom"/>
          </w:tcPr>
          <w:p w:rsidR="00E421FD" w:rsidRPr="00960E47" w:rsidRDefault="00E421FD" w:rsidP="002D3CAD">
            <w:pPr>
              <w:pStyle w:val="SingleTxtG"/>
              <w:spacing w:before="80" w:after="80" w:line="220" w:lineRule="exact"/>
              <w:ind w:left="0" w:right="0"/>
              <w:jc w:val="right"/>
              <w:rPr>
                <w:b/>
                <w:sz w:val="18"/>
                <w:szCs w:val="18"/>
                <w:lang w:val="es-ES"/>
              </w:rPr>
            </w:pPr>
            <w:r w:rsidRPr="00960E47">
              <w:rPr>
                <w:b/>
                <w:sz w:val="18"/>
                <w:szCs w:val="18"/>
                <w:lang w:val="es-ES"/>
              </w:rPr>
              <w:t>36,2</w:t>
            </w:r>
          </w:p>
        </w:tc>
        <w:tc>
          <w:tcPr>
            <w:tcW w:w="574" w:type="pct"/>
            <w:tcBorders>
              <w:top w:val="single" w:sz="12" w:space="0" w:color="000000"/>
              <w:bottom w:val="single" w:sz="4" w:space="0" w:color="000000"/>
            </w:tcBorders>
            <w:shd w:val="clear" w:color="auto" w:fill="auto"/>
            <w:vAlign w:val="bottom"/>
          </w:tcPr>
          <w:p w:rsidR="00E421FD" w:rsidRPr="00960E47" w:rsidRDefault="00E421FD" w:rsidP="002D3CAD">
            <w:pPr>
              <w:pStyle w:val="SingleTxtG"/>
              <w:spacing w:before="80" w:after="80" w:line="220" w:lineRule="exact"/>
              <w:ind w:left="0" w:right="0"/>
              <w:jc w:val="right"/>
              <w:rPr>
                <w:b/>
                <w:sz w:val="18"/>
                <w:szCs w:val="18"/>
                <w:lang w:val="es-ES"/>
              </w:rPr>
            </w:pPr>
            <w:r w:rsidRPr="00960E47">
              <w:rPr>
                <w:b/>
                <w:sz w:val="18"/>
                <w:szCs w:val="18"/>
                <w:lang w:val="es-ES"/>
              </w:rPr>
              <w:t>1,2</w:t>
            </w:r>
          </w:p>
        </w:tc>
        <w:tc>
          <w:tcPr>
            <w:tcW w:w="574" w:type="pct"/>
            <w:tcBorders>
              <w:top w:val="single" w:sz="12" w:space="0" w:color="000000"/>
              <w:bottom w:val="single" w:sz="4" w:space="0" w:color="000000"/>
            </w:tcBorders>
            <w:shd w:val="clear" w:color="auto" w:fill="auto"/>
            <w:vAlign w:val="bottom"/>
          </w:tcPr>
          <w:p w:rsidR="00E421FD" w:rsidRPr="00960E47" w:rsidRDefault="00E421FD" w:rsidP="002D3CAD">
            <w:pPr>
              <w:pStyle w:val="SingleTxtG"/>
              <w:spacing w:before="80" w:after="80" w:line="220" w:lineRule="exact"/>
              <w:ind w:left="0" w:right="0"/>
              <w:jc w:val="right"/>
              <w:rPr>
                <w:b/>
                <w:sz w:val="18"/>
                <w:szCs w:val="18"/>
                <w:lang w:val="es-ES"/>
              </w:rPr>
            </w:pPr>
            <w:r w:rsidRPr="00960E47">
              <w:rPr>
                <w:b/>
                <w:sz w:val="18"/>
                <w:szCs w:val="18"/>
                <w:lang w:val="es-ES"/>
              </w:rPr>
              <w:t>0,0</w:t>
            </w:r>
          </w:p>
        </w:tc>
        <w:tc>
          <w:tcPr>
            <w:tcW w:w="575" w:type="pct"/>
            <w:tcBorders>
              <w:top w:val="single" w:sz="12" w:space="0" w:color="000000"/>
              <w:bottom w:val="single" w:sz="4" w:space="0" w:color="000000"/>
            </w:tcBorders>
            <w:shd w:val="clear" w:color="auto" w:fill="auto"/>
            <w:vAlign w:val="bottom"/>
          </w:tcPr>
          <w:p w:rsidR="00E421FD" w:rsidRPr="00960E47" w:rsidRDefault="00E421FD" w:rsidP="002D3CAD">
            <w:pPr>
              <w:pStyle w:val="SingleTxtG"/>
              <w:spacing w:before="80" w:after="80" w:line="220" w:lineRule="exact"/>
              <w:ind w:left="0" w:right="0"/>
              <w:jc w:val="right"/>
              <w:rPr>
                <w:b/>
                <w:sz w:val="18"/>
                <w:szCs w:val="18"/>
                <w:lang w:val="es-ES"/>
              </w:rPr>
            </w:pPr>
            <w:r w:rsidRPr="00960E47">
              <w:rPr>
                <w:b/>
                <w:sz w:val="18"/>
                <w:szCs w:val="18"/>
                <w:lang w:val="es-ES"/>
              </w:rPr>
              <w:t>5,2</w:t>
            </w:r>
          </w:p>
        </w:tc>
      </w:tr>
      <w:tr w:rsidR="00D463CF" w:rsidRPr="00960E47" w:rsidTr="00D463CF">
        <w:tc>
          <w:tcPr>
            <w:tcW w:w="628" w:type="pct"/>
            <w:tcBorders>
              <w:top w:val="single" w:sz="4" w:space="0" w:color="000000"/>
            </w:tcBorders>
            <w:shd w:val="clear" w:color="auto" w:fill="auto"/>
            <w:vAlign w:val="bottom"/>
          </w:tcPr>
          <w:p w:rsidR="00E421FD" w:rsidRPr="00960E47" w:rsidRDefault="00E421FD" w:rsidP="002D3CAD">
            <w:pPr>
              <w:pStyle w:val="SingleTxtG"/>
              <w:spacing w:before="40" w:after="40" w:line="220" w:lineRule="exact"/>
              <w:ind w:left="0" w:right="0"/>
              <w:jc w:val="left"/>
              <w:rPr>
                <w:sz w:val="18"/>
                <w:szCs w:val="18"/>
                <w:lang w:val="es-ES"/>
              </w:rPr>
            </w:pPr>
            <w:r w:rsidRPr="00960E47">
              <w:rPr>
                <w:sz w:val="18"/>
                <w:szCs w:val="18"/>
                <w:lang w:val="es-ES"/>
              </w:rPr>
              <w:t>15-19</w:t>
            </w:r>
          </w:p>
        </w:tc>
        <w:tc>
          <w:tcPr>
            <w:tcW w:w="533" w:type="pct"/>
            <w:tcBorders>
              <w:top w:val="single" w:sz="4" w:space="0" w:color="000000"/>
            </w:tcBorders>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115</w:t>
            </w:r>
            <w:r w:rsidR="00D24062" w:rsidRPr="00960E47">
              <w:rPr>
                <w:sz w:val="18"/>
                <w:szCs w:val="18"/>
                <w:lang w:val="es-ES"/>
              </w:rPr>
              <w:t xml:space="preserve"> </w:t>
            </w:r>
            <w:r w:rsidRPr="00960E47">
              <w:rPr>
                <w:sz w:val="18"/>
                <w:szCs w:val="18"/>
                <w:lang w:val="es-ES"/>
              </w:rPr>
              <w:t>071</w:t>
            </w:r>
          </w:p>
        </w:tc>
        <w:tc>
          <w:tcPr>
            <w:tcW w:w="533" w:type="pct"/>
            <w:tcBorders>
              <w:top w:val="single" w:sz="4" w:space="0" w:color="000000"/>
            </w:tcBorders>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11,2</w:t>
            </w:r>
          </w:p>
        </w:tc>
        <w:tc>
          <w:tcPr>
            <w:tcW w:w="931" w:type="pct"/>
            <w:tcBorders>
              <w:top w:val="single" w:sz="4" w:space="0" w:color="000000"/>
            </w:tcBorders>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16,9</w:t>
            </w:r>
          </w:p>
        </w:tc>
        <w:tc>
          <w:tcPr>
            <w:tcW w:w="652" w:type="pct"/>
            <w:tcBorders>
              <w:top w:val="single" w:sz="4" w:space="0" w:color="000000"/>
            </w:tcBorders>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27,2</w:t>
            </w:r>
          </w:p>
        </w:tc>
        <w:tc>
          <w:tcPr>
            <w:tcW w:w="574" w:type="pct"/>
            <w:tcBorders>
              <w:top w:val="single" w:sz="4" w:space="0" w:color="000000"/>
            </w:tcBorders>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0,0</w:t>
            </w:r>
          </w:p>
        </w:tc>
        <w:tc>
          <w:tcPr>
            <w:tcW w:w="574" w:type="pct"/>
            <w:tcBorders>
              <w:top w:val="single" w:sz="4" w:space="0" w:color="000000"/>
            </w:tcBorders>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6,5</w:t>
            </w:r>
          </w:p>
        </w:tc>
        <w:tc>
          <w:tcPr>
            <w:tcW w:w="575" w:type="pct"/>
            <w:tcBorders>
              <w:top w:val="single" w:sz="4" w:space="0" w:color="000000"/>
            </w:tcBorders>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4,8</w:t>
            </w:r>
          </w:p>
        </w:tc>
      </w:tr>
      <w:tr w:rsidR="00D463CF" w:rsidRPr="00960E47" w:rsidTr="00D463CF">
        <w:tc>
          <w:tcPr>
            <w:tcW w:w="628" w:type="pct"/>
            <w:shd w:val="clear" w:color="auto" w:fill="auto"/>
            <w:vAlign w:val="bottom"/>
          </w:tcPr>
          <w:p w:rsidR="00E421FD" w:rsidRPr="00960E47" w:rsidRDefault="00E421FD" w:rsidP="002D3CAD">
            <w:pPr>
              <w:pStyle w:val="SingleTxtG"/>
              <w:spacing w:before="40" w:after="40" w:line="220" w:lineRule="exact"/>
              <w:ind w:left="0" w:right="0"/>
              <w:jc w:val="left"/>
              <w:rPr>
                <w:sz w:val="18"/>
                <w:szCs w:val="18"/>
                <w:lang w:val="es-ES"/>
              </w:rPr>
            </w:pPr>
            <w:r w:rsidRPr="00960E47">
              <w:rPr>
                <w:sz w:val="18"/>
                <w:szCs w:val="18"/>
                <w:lang w:val="es-ES"/>
              </w:rPr>
              <w:t>20-24</w:t>
            </w:r>
          </w:p>
        </w:tc>
        <w:tc>
          <w:tcPr>
            <w:tcW w:w="533"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105</w:t>
            </w:r>
            <w:r w:rsidR="00D24062" w:rsidRPr="00960E47">
              <w:rPr>
                <w:sz w:val="18"/>
                <w:szCs w:val="18"/>
                <w:lang w:val="es-ES"/>
              </w:rPr>
              <w:t xml:space="preserve"> </w:t>
            </w:r>
            <w:r w:rsidRPr="00960E47">
              <w:rPr>
                <w:sz w:val="18"/>
                <w:szCs w:val="18"/>
                <w:lang w:val="es-ES"/>
              </w:rPr>
              <w:t>674</w:t>
            </w:r>
          </w:p>
        </w:tc>
        <w:tc>
          <w:tcPr>
            <w:tcW w:w="533"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10,8</w:t>
            </w:r>
          </w:p>
        </w:tc>
        <w:tc>
          <w:tcPr>
            <w:tcW w:w="931"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17,4</w:t>
            </w:r>
          </w:p>
        </w:tc>
        <w:tc>
          <w:tcPr>
            <w:tcW w:w="652"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22,3</w:t>
            </w:r>
          </w:p>
        </w:tc>
        <w:tc>
          <w:tcPr>
            <w:tcW w:w="574"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17,6</w:t>
            </w:r>
          </w:p>
        </w:tc>
        <w:tc>
          <w:tcPr>
            <w:tcW w:w="574"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25,5</w:t>
            </w:r>
          </w:p>
        </w:tc>
        <w:tc>
          <w:tcPr>
            <w:tcW w:w="575"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6,6</w:t>
            </w:r>
          </w:p>
        </w:tc>
      </w:tr>
      <w:tr w:rsidR="00D463CF" w:rsidRPr="00960E47" w:rsidTr="00D463CF">
        <w:tc>
          <w:tcPr>
            <w:tcW w:w="628" w:type="pct"/>
            <w:shd w:val="clear" w:color="auto" w:fill="auto"/>
            <w:vAlign w:val="bottom"/>
          </w:tcPr>
          <w:p w:rsidR="00E421FD" w:rsidRPr="00960E47" w:rsidRDefault="00E421FD" w:rsidP="002D3CAD">
            <w:pPr>
              <w:pStyle w:val="SingleTxtG"/>
              <w:spacing w:before="40" w:after="40" w:line="220" w:lineRule="exact"/>
              <w:ind w:left="0" w:right="0"/>
              <w:jc w:val="left"/>
              <w:rPr>
                <w:sz w:val="18"/>
                <w:szCs w:val="18"/>
                <w:lang w:val="es-ES"/>
              </w:rPr>
            </w:pPr>
            <w:r w:rsidRPr="00960E47">
              <w:rPr>
                <w:sz w:val="18"/>
                <w:szCs w:val="18"/>
                <w:lang w:val="es-ES"/>
              </w:rPr>
              <w:t>25-29</w:t>
            </w:r>
          </w:p>
        </w:tc>
        <w:tc>
          <w:tcPr>
            <w:tcW w:w="533"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82</w:t>
            </w:r>
            <w:r w:rsidR="00D24062" w:rsidRPr="00960E47">
              <w:rPr>
                <w:sz w:val="18"/>
                <w:szCs w:val="18"/>
                <w:lang w:val="es-ES"/>
              </w:rPr>
              <w:t xml:space="preserve"> </w:t>
            </w:r>
            <w:r w:rsidRPr="00960E47">
              <w:rPr>
                <w:sz w:val="18"/>
                <w:szCs w:val="18"/>
                <w:lang w:val="es-ES"/>
              </w:rPr>
              <w:t>404</w:t>
            </w:r>
          </w:p>
        </w:tc>
        <w:tc>
          <w:tcPr>
            <w:tcW w:w="533"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8,0</w:t>
            </w:r>
          </w:p>
        </w:tc>
        <w:tc>
          <w:tcPr>
            <w:tcW w:w="931"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14,6</w:t>
            </w:r>
          </w:p>
        </w:tc>
        <w:tc>
          <w:tcPr>
            <w:tcW w:w="652"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16,8</w:t>
            </w:r>
          </w:p>
        </w:tc>
        <w:tc>
          <w:tcPr>
            <w:tcW w:w="574"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19,0</w:t>
            </w:r>
          </w:p>
        </w:tc>
        <w:tc>
          <w:tcPr>
            <w:tcW w:w="574"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8,8</w:t>
            </w:r>
          </w:p>
        </w:tc>
        <w:tc>
          <w:tcPr>
            <w:tcW w:w="575"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5,6</w:t>
            </w:r>
          </w:p>
        </w:tc>
      </w:tr>
      <w:tr w:rsidR="00D463CF" w:rsidRPr="00960E47" w:rsidTr="00D463CF">
        <w:tc>
          <w:tcPr>
            <w:tcW w:w="628" w:type="pct"/>
            <w:shd w:val="clear" w:color="auto" w:fill="auto"/>
            <w:vAlign w:val="bottom"/>
          </w:tcPr>
          <w:p w:rsidR="00E421FD" w:rsidRPr="00960E47" w:rsidRDefault="00E421FD" w:rsidP="002D3CAD">
            <w:pPr>
              <w:pStyle w:val="SingleTxtG"/>
              <w:spacing w:before="40" w:after="40" w:line="220" w:lineRule="exact"/>
              <w:ind w:left="0" w:right="0"/>
              <w:jc w:val="left"/>
              <w:rPr>
                <w:sz w:val="18"/>
                <w:szCs w:val="18"/>
                <w:lang w:val="es-ES"/>
              </w:rPr>
            </w:pPr>
            <w:r w:rsidRPr="00960E47">
              <w:rPr>
                <w:sz w:val="18"/>
                <w:szCs w:val="18"/>
                <w:lang w:val="es-ES"/>
              </w:rPr>
              <w:t>30-34</w:t>
            </w:r>
          </w:p>
        </w:tc>
        <w:tc>
          <w:tcPr>
            <w:tcW w:w="533"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59</w:t>
            </w:r>
            <w:r w:rsidR="00D24062" w:rsidRPr="00960E47">
              <w:rPr>
                <w:sz w:val="18"/>
                <w:szCs w:val="18"/>
                <w:lang w:val="es-ES"/>
              </w:rPr>
              <w:t xml:space="preserve"> </w:t>
            </w:r>
            <w:r w:rsidRPr="00960E47">
              <w:rPr>
                <w:sz w:val="18"/>
                <w:szCs w:val="18"/>
                <w:lang w:val="es-ES"/>
              </w:rPr>
              <w:t>218</w:t>
            </w:r>
          </w:p>
        </w:tc>
        <w:tc>
          <w:tcPr>
            <w:tcW w:w="533"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6,3</w:t>
            </w:r>
          </w:p>
        </w:tc>
        <w:tc>
          <w:tcPr>
            <w:tcW w:w="931"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11,6</w:t>
            </w:r>
          </w:p>
        </w:tc>
        <w:tc>
          <w:tcPr>
            <w:tcW w:w="652"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10,7</w:t>
            </w:r>
          </w:p>
        </w:tc>
        <w:tc>
          <w:tcPr>
            <w:tcW w:w="574"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16,6</w:t>
            </w:r>
          </w:p>
        </w:tc>
        <w:tc>
          <w:tcPr>
            <w:tcW w:w="574"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3,7</w:t>
            </w:r>
          </w:p>
        </w:tc>
        <w:tc>
          <w:tcPr>
            <w:tcW w:w="575"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4,4</w:t>
            </w:r>
          </w:p>
        </w:tc>
      </w:tr>
      <w:tr w:rsidR="00D463CF" w:rsidRPr="00960E47" w:rsidTr="00D463CF">
        <w:tc>
          <w:tcPr>
            <w:tcW w:w="628" w:type="pct"/>
            <w:shd w:val="clear" w:color="auto" w:fill="auto"/>
            <w:vAlign w:val="bottom"/>
          </w:tcPr>
          <w:p w:rsidR="00E421FD" w:rsidRPr="00960E47" w:rsidRDefault="00E421FD" w:rsidP="002D3CAD">
            <w:pPr>
              <w:pStyle w:val="SingleTxtG"/>
              <w:spacing w:before="40" w:after="40" w:line="220" w:lineRule="exact"/>
              <w:ind w:left="0" w:right="0"/>
              <w:jc w:val="left"/>
              <w:rPr>
                <w:sz w:val="18"/>
                <w:szCs w:val="18"/>
                <w:lang w:val="es-ES"/>
              </w:rPr>
            </w:pPr>
            <w:r w:rsidRPr="00960E47">
              <w:rPr>
                <w:sz w:val="18"/>
                <w:szCs w:val="18"/>
                <w:lang w:val="es-ES"/>
              </w:rPr>
              <w:t>35-39</w:t>
            </w:r>
          </w:p>
        </w:tc>
        <w:tc>
          <w:tcPr>
            <w:tcW w:w="533"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47</w:t>
            </w:r>
            <w:r w:rsidR="00D24062" w:rsidRPr="00960E47">
              <w:rPr>
                <w:sz w:val="18"/>
                <w:szCs w:val="18"/>
                <w:lang w:val="es-ES"/>
              </w:rPr>
              <w:t xml:space="preserve"> </w:t>
            </w:r>
            <w:r w:rsidRPr="00960E47">
              <w:rPr>
                <w:sz w:val="18"/>
                <w:szCs w:val="18"/>
                <w:lang w:val="es-ES"/>
              </w:rPr>
              <w:t>950</w:t>
            </w:r>
          </w:p>
        </w:tc>
        <w:tc>
          <w:tcPr>
            <w:tcW w:w="533"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5,6</w:t>
            </w:r>
          </w:p>
        </w:tc>
        <w:tc>
          <w:tcPr>
            <w:tcW w:w="931"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9,2</w:t>
            </w:r>
          </w:p>
        </w:tc>
        <w:tc>
          <w:tcPr>
            <w:tcW w:w="652"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8,3</w:t>
            </w:r>
          </w:p>
        </w:tc>
        <w:tc>
          <w:tcPr>
            <w:tcW w:w="574"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12,3</w:t>
            </w:r>
          </w:p>
        </w:tc>
        <w:tc>
          <w:tcPr>
            <w:tcW w:w="574"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4,6</w:t>
            </w:r>
          </w:p>
        </w:tc>
        <w:tc>
          <w:tcPr>
            <w:tcW w:w="575"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4,0</w:t>
            </w:r>
          </w:p>
        </w:tc>
      </w:tr>
      <w:tr w:rsidR="00D463CF" w:rsidRPr="00960E47" w:rsidTr="00D463CF">
        <w:tc>
          <w:tcPr>
            <w:tcW w:w="628" w:type="pct"/>
            <w:shd w:val="clear" w:color="auto" w:fill="auto"/>
            <w:vAlign w:val="bottom"/>
          </w:tcPr>
          <w:p w:rsidR="00E421FD" w:rsidRPr="00960E47" w:rsidRDefault="00E421FD" w:rsidP="002D3CAD">
            <w:pPr>
              <w:pStyle w:val="SingleTxtG"/>
              <w:spacing w:before="40" w:after="40" w:line="220" w:lineRule="exact"/>
              <w:ind w:left="0" w:right="0"/>
              <w:jc w:val="left"/>
              <w:rPr>
                <w:sz w:val="18"/>
                <w:szCs w:val="18"/>
                <w:lang w:val="es-ES"/>
              </w:rPr>
            </w:pPr>
            <w:r w:rsidRPr="00960E47">
              <w:rPr>
                <w:sz w:val="18"/>
                <w:szCs w:val="18"/>
                <w:lang w:val="es-ES"/>
              </w:rPr>
              <w:t>40-44</w:t>
            </w:r>
          </w:p>
        </w:tc>
        <w:tc>
          <w:tcPr>
            <w:tcW w:w="533"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43</w:t>
            </w:r>
            <w:r w:rsidR="00D24062" w:rsidRPr="00960E47">
              <w:rPr>
                <w:sz w:val="18"/>
                <w:szCs w:val="18"/>
                <w:lang w:val="es-ES"/>
              </w:rPr>
              <w:t xml:space="preserve"> </w:t>
            </w:r>
            <w:r w:rsidRPr="00960E47">
              <w:rPr>
                <w:sz w:val="18"/>
                <w:szCs w:val="18"/>
                <w:lang w:val="es-ES"/>
              </w:rPr>
              <w:t>781</w:t>
            </w:r>
          </w:p>
        </w:tc>
        <w:tc>
          <w:tcPr>
            <w:tcW w:w="533"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6,9</w:t>
            </w:r>
          </w:p>
        </w:tc>
        <w:tc>
          <w:tcPr>
            <w:tcW w:w="931"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8,2</w:t>
            </w:r>
          </w:p>
        </w:tc>
        <w:tc>
          <w:tcPr>
            <w:tcW w:w="652"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6,0</w:t>
            </w:r>
          </w:p>
        </w:tc>
        <w:tc>
          <w:tcPr>
            <w:tcW w:w="574"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9,7</w:t>
            </w:r>
          </w:p>
        </w:tc>
        <w:tc>
          <w:tcPr>
            <w:tcW w:w="574"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1,9</w:t>
            </w:r>
          </w:p>
        </w:tc>
        <w:tc>
          <w:tcPr>
            <w:tcW w:w="575"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5,3</w:t>
            </w:r>
          </w:p>
        </w:tc>
      </w:tr>
      <w:tr w:rsidR="00D463CF" w:rsidRPr="00960E47" w:rsidTr="00D463CF">
        <w:tc>
          <w:tcPr>
            <w:tcW w:w="628" w:type="pct"/>
            <w:shd w:val="clear" w:color="auto" w:fill="auto"/>
            <w:vAlign w:val="bottom"/>
          </w:tcPr>
          <w:p w:rsidR="00E421FD" w:rsidRPr="00960E47" w:rsidRDefault="00E421FD" w:rsidP="002D3CAD">
            <w:pPr>
              <w:pStyle w:val="SingleTxtG"/>
              <w:spacing w:before="40" w:after="40" w:line="220" w:lineRule="exact"/>
              <w:ind w:left="0" w:right="0"/>
              <w:jc w:val="left"/>
              <w:rPr>
                <w:sz w:val="18"/>
                <w:szCs w:val="18"/>
                <w:lang w:val="es-ES"/>
              </w:rPr>
            </w:pPr>
            <w:r w:rsidRPr="00960E47">
              <w:rPr>
                <w:sz w:val="18"/>
                <w:szCs w:val="18"/>
                <w:lang w:val="es-ES"/>
              </w:rPr>
              <w:t>45-49</w:t>
            </w:r>
          </w:p>
        </w:tc>
        <w:tc>
          <w:tcPr>
            <w:tcW w:w="533"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38</w:t>
            </w:r>
            <w:r w:rsidR="00D24062" w:rsidRPr="00960E47">
              <w:rPr>
                <w:sz w:val="18"/>
                <w:szCs w:val="18"/>
                <w:lang w:val="es-ES"/>
              </w:rPr>
              <w:t xml:space="preserve"> </w:t>
            </w:r>
            <w:r w:rsidRPr="00960E47">
              <w:rPr>
                <w:sz w:val="18"/>
                <w:szCs w:val="18"/>
                <w:lang w:val="es-ES"/>
              </w:rPr>
              <w:t>589</w:t>
            </w:r>
          </w:p>
        </w:tc>
        <w:tc>
          <w:tcPr>
            <w:tcW w:w="533"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7,5</w:t>
            </w:r>
          </w:p>
        </w:tc>
        <w:tc>
          <w:tcPr>
            <w:tcW w:w="931"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7,0</w:t>
            </w:r>
          </w:p>
        </w:tc>
        <w:tc>
          <w:tcPr>
            <w:tcW w:w="652"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3,8</w:t>
            </w:r>
          </w:p>
        </w:tc>
        <w:tc>
          <w:tcPr>
            <w:tcW w:w="574"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8,9</w:t>
            </w:r>
          </w:p>
        </w:tc>
        <w:tc>
          <w:tcPr>
            <w:tcW w:w="574"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8,3</w:t>
            </w:r>
          </w:p>
        </w:tc>
        <w:tc>
          <w:tcPr>
            <w:tcW w:w="575"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6,2</w:t>
            </w:r>
          </w:p>
        </w:tc>
      </w:tr>
      <w:tr w:rsidR="00D463CF" w:rsidRPr="00960E47" w:rsidTr="00D463CF">
        <w:tc>
          <w:tcPr>
            <w:tcW w:w="628" w:type="pct"/>
            <w:shd w:val="clear" w:color="auto" w:fill="auto"/>
            <w:vAlign w:val="bottom"/>
          </w:tcPr>
          <w:p w:rsidR="00E421FD" w:rsidRPr="00960E47" w:rsidRDefault="00E421FD" w:rsidP="002D3CAD">
            <w:pPr>
              <w:pStyle w:val="SingleTxtG"/>
              <w:spacing w:before="40" w:after="40" w:line="220" w:lineRule="exact"/>
              <w:ind w:left="0" w:right="0"/>
              <w:jc w:val="left"/>
              <w:rPr>
                <w:sz w:val="18"/>
                <w:szCs w:val="18"/>
                <w:lang w:val="es-ES"/>
              </w:rPr>
            </w:pPr>
            <w:r w:rsidRPr="00960E47">
              <w:rPr>
                <w:sz w:val="18"/>
                <w:szCs w:val="18"/>
                <w:lang w:val="es-ES"/>
              </w:rPr>
              <w:t>50-54</w:t>
            </w:r>
          </w:p>
        </w:tc>
        <w:tc>
          <w:tcPr>
            <w:tcW w:w="533"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34</w:t>
            </w:r>
            <w:r w:rsidR="00D24062" w:rsidRPr="00960E47">
              <w:rPr>
                <w:sz w:val="18"/>
                <w:szCs w:val="18"/>
                <w:lang w:val="es-ES"/>
              </w:rPr>
              <w:t xml:space="preserve"> </w:t>
            </w:r>
            <w:r w:rsidRPr="00960E47">
              <w:rPr>
                <w:sz w:val="18"/>
                <w:szCs w:val="18"/>
                <w:lang w:val="es-ES"/>
              </w:rPr>
              <w:t>404</w:t>
            </w:r>
          </w:p>
        </w:tc>
        <w:tc>
          <w:tcPr>
            <w:tcW w:w="533"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8,5</w:t>
            </w:r>
          </w:p>
        </w:tc>
        <w:tc>
          <w:tcPr>
            <w:tcW w:w="931"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5,0</w:t>
            </w:r>
          </w:p>
        </w:tc>
        <w:tc>
          <w:tcPr>
            <w:tcW w:w="652"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2,2</w:t>
            </w:r>
          </w:p>
        </w:tc>
        <w:tc>
          <w:tcPr>
            <w:tcW w:w="574"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7,0</w:t>
            </w:r>
          </w:p>
        </w:tc>
        <w:tc>
          <w:tcPr>
            <w:tcW w:w="574"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7,9</w:t>
            </w:r>
          </w:p>
        </w:tc>
        <w:tc>
          <w:tcPr>
            <w:tcW w:w="575"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7,8</w:t>
            </w:r>
          </w:p>
        </w:tc>
      </w:tr>
      <w:tr w:rsidR="00D463CF" w:rsidRPr="00960E47" w:rsidTr="00D463CF">
        <w:tc>
          <w:tcPr>
            <w:tcW w:w="628" w:type="pct"/>
            <w:shd w:val="clear" w:color="auto" w:fill="auto"/>
            <w:vAlign w:val="bottom"/>
          </w:tcPr>
          <w:p w:rsidR="00E421FD" w:rsidRPr="00960E47" w:rsidRDefault="00E421FD" w:rsidP="002D3CAD">
            <w:pPr>
              <w:pStyle w:val="SingleTxtG"/>
              <w:spacing w:before="40" w:after="40" w:line="220" w:lineRule="exact"/>
              <w:ind w:left="0" w:right="0"/>
              <w:jc w:val="left"/>
              <w:rPr>
                <w:sz w:val="18"/>
                <w:szCs w:val="18"/>
                <w:lang w:val="es-ES"/>
              </w:rPr>
            </w:pPr>
            <w:r w:rsidRPr="00960E47">
              <w:rPr>
                <w:sz w:val="18"/>
                <w:szCs w:val="18"/>
                <w:lang w:val="es-ES"/>
              </w:rPr>
              <w:t>55-59</w:t>
            </w:r>
          </w:p>
        </w:tc>
        <w:tc>
          <w:tcPr>
            <w:tcW w:w="533"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26</w:t>
            </w:r>
            <w:r w:rsidR="00D24062" w:rsidRPr="00960E47">
              <w:rPr>
                <w:sz w:val="18"/>
                <w:szCs w:val="18"/>
                <w:lang w:val="es-ES"/>
              </w:rPr>
              <w:t xml:space="preserve"> </w:t>
            </w:r>
            <w:r w:rsidRPr="00960E47">
              <w:rPr>
                <w:sz w:val="18"/>
                <w:szCs w:val="18"/>
                <w:lang w:val="es-ES"/>
              </w:rPr>
              <w:t>971</w:t>
            </w:r>
          </w:p>
        </w:tc>
        <w:tc>
          <w:tcPr>
            <w:tcW w:w="533"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7,9</w:t>
            </w:r>
          </w:p>
        </w:tc>
        <w:tc>
          <w:tcPr>
            <w:tcW w:w="931"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3,1</w:t>
            </w:r>
          </w:p>
        </w:tc>
        <w:tc>
          <w:tcPr>
            <w:tcW w:w="652"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1,2</w:t>
            </w:r>
          </w:p>
        </w:tc>
        <w:tc>
          <w:tcPr>
            <w:tcW w:w="574"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4,7</w:t>
            </w:r>
          </w:p>
        </w:tc>
        <w:tc>
          <w:tcPr>
            <w:tcW w:w="574"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11,1</w:t>
            </w:r>
          </w:p>
        </w:tc>
        <w:tc>
          <w:tcPr>
            <w:tcW w:w="575"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6,1</w:t>
            </w:r>
          </w:p>
        </w:tc>
      </w:tr>
      <w:tr w:rsidR="00D463CF" w:rsidRPr="00960E47" w:rsidTr="00D463CF">
        <w:tc>
          <w:tcPr>
            <w:tcW w:w="628" w:type="pct"/>
            <w:shd w:val="clear" w:color="auto" w:fill="auto"/>
            <w:vAlign w:val="bottom"/>
          </w:tcPr>
          <w:p w:rsidR="00E421FD" w:rsidRPr="00960E47" w:rsidRDefault="00E421FD" w:rsidP="002D3CAD">
            <w:pPr>
              <w:pStyle w:val="SingleTxtG"/>
              <w:spacing w:before="40" w:after="40" w:line="220" w:lineRule="exact"/>
              <w:ind w:left="0" w:right="0"/>
              <w:jc w:val="left"/>
              <w:rPr>
                <w:sz w:val="18"/>
                <w:szCs w:val="18"/>
                <w:lang w:val="es-ES"/>
              </w:rPr>
            </w:pPr>
            <w:r w:rsidRPr="00960E47">
              <w:rPr>
                <w:sz w:val="18"/>
                <w:szCs w:val="18"/>
                <w:lang w:val="es-ES"/>
              </w:rPr>
              <w:t>60-64</w:t>
            </w:r>
          </w:p>
        </w:tc>
        <w:tc>
          <w:tcPr>
            <w:tcW w:w="533"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21</w:t>
            </w:r>
            <w:r w:rsidR="00D24062" w:rsidRPr="00960E47">
              <w:rPr>
                <w:sz w:val="18"/>
                <w:szCs w:val="18"/>
                <w:lang w:val="es-ES"/>
              </w:rPr>
              <w:t xml:space="preserve"> </w:t>
            </w:r>
            <w:r w:rsidRPr="00960E47">
              <w:rPr>
                <w:sz w:val="18"/>
                <w:szCs w:val="18"/>
                <w:lang w:val="es-ES"/>
              </w:rPr>
              <w:t>033</w:t>
            </w:r>
          </w:p>
        </w:tc>
        <w:tc>
          <w:tcPr>
            <w:tcW w:w="533"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6,5</w:t>
            </w:r>
          </w:p>
        </w:tc>
        <w:tc>
          <w:tcPr>
            <w:tcW w:w="931"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2,1</w:t>
            </w:r>
          </w:p>
        </w:tc>
        <w:tc>
          <w:tcPr>
            <w:tcW w:w="652"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0,6</w:t>
            </w:r>
          </w:p>
        </w:tc>
        <w:tc>
          <w:tcPr>
            <w:tcW w:w="574"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2,0</w:t>
            </w:r>
          </w:p>
        </w:tc>
        <w:tc>
          <w:tcPr>
            <w:tcW w:w="574"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5,6</w:t>
            </w:r>
          </w:p>
        </w:tc>
        <w:tc>
          <w:tcPr>
            <w:tcW w:w="575"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6,7</w:t>
            </w:r>
          </w:p>
        </w:tc>
      </w:tr>
      <w:tr w:rsidR="00D463CF" w:rsidRPr="00960E47" w:rsidTr="00D463CF">
        <w:tc>
          <w:tcPr>
            <w:tcW w:w="628" w:type="pct"/>
            <w:shd w:val="clear" w:color="auto" w:fill="auto"/>
            <w:vAlign w:val="bottom"/>
          </w:tcPr>
          <w:p w:rsidR="00E421FD" w:rsidRPr="00960E47" w:rsidRDefault="00E421FD" w:rsidP="002D3CAD">
            <w:pPr>
              <w:pStyle w:val="SingleTxtG"/>
              <w:spacing w:before="40" w:after="40" w:line="220" w:lineRule="exact"/>
              <w:ind w:left="0" w:right="0"/>
              <w:jc w:val="left"/>
              <w:rPr>
                <w:sz w:val="18"/>
                <w:szCs w:val="18"/>
                <w:lang w:val="es-ES"/>
              </w:rPr>
            </w:pPr>
            <w:r w:rsidRPr="00960E47">
              <w:rPr>
                <w:sz w:val="18"/>
                <w:szCs w:val="18"/>
                <w:lang w:val="es-ES"/>
              </w:rPr>
              <w:t>65-69</w:t>
            </w:r>
          </w:p>
        </w:tc>
        <w:tc>
          <w:tcPr>
            <w:tcW w:w="533"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18</w:t>
            </w:r>
            <w:r w:rsidR="00D24062" w:rsidRPr="00960E47">
              <w:rPr>
                <w:sz w:val="18"/>
                <w:szCs w:val="18"/>
                <w:lang w:val="es-ES"/>
              </w:rPr>
              <w:t xml:space="preserve"> </w:t>
            </w:r>
            <w:r w:rsidRPr="00960E47">
              <w:rPr>
                <w:sz w:val="18"/>
                <w:szCs w:val="18"/>
                <w:lang w:val="es-ES"/>
              </w:rPr>
              <w:t>722</w:t>
            </w:r>
          </w:p>
        </w:tc>
        <w:tc>
          <w:tcPr>
            <w:tcW w:w="533"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5,9</w:t>
            </w:r>
          </w:p>
        </w:tc>
        <w:tc>
          <w:tcPr>
            <w:tcW w:w="931"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1,8</w:t>
            </w:r>
          </w:p>
        </w:tc>
        <w:tc>
          <w:tcPr>
            <w:tcW w:w="652"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0,4</w:t>
            </w:r>
          </w:p>
        </w:tc>
        <w:tc>
          <w:tcPr>
            <w:tcW w:w="574"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1,1</w:t>
            </w:r>
          </w:p>
        </w:tc>
        <w:tc>
          <w:tcPr>
            <w:tcW w:w="574"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3,7</w:t>
            </w:r>
          </w:p>
        </w:tc>
        <w:tc>
          <w:tcPr>
            <w:tcW w:w="575"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7,3</w:t>
            </w:r>
          </w:p>
        </w:tc>
      </w:tr>
      <w:tr w:rsidR="00D463CF" w:rsidRPr="00960E47" w:rsidTr="00D463CF">
        <w:tc>
          <w:tcPr>
            <w:tcW w:w="628" w:type="pct"/>
            <w:shd w:val="clear" w:color="auto" w:fill="auto"/>
            <w:vAlign w:val="bottom"/>
          </w:tcPr>
          <w:p w:rsidR="00E421FD" w:rsidRPr="00960E47" w:rsidRDefault="00E421FD" w:rsidP="002D3CAD">
            <w:pPr>
              <w:pStyle w:val="SingleTxtG"/>
              <w:spacing w:before="40" w:after="40" w:line="220" w:lineRule="exact"/>
              <w:ind w:left="0" w:right="0"/>
              <w:jc w:val="left"/>
              <w:rPr>
                <w:sz w:val="18"/>
                <w:szCs w:val="18"/>
                <w:lang w:val="es-ES"/>
              </w:rPr>
            </w:pPr>
            <w:r w:rsidRPr="00960E47">
              <w:rPr>
                <w:sz w:val="18"/>
                <w:szCs w:val="18"/>
                <w:lang w:val="es-ES"/>
              </w:rPr>
              <w:t>70-74</w:t>
            </w:r>
          </w:p>
        </w:tc>
        <w:tc>
          <w:tcPr>
            <w:tcW w:w="533"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22</w:t>
            </w:r>
            <w:r w:rsidR="00D24062" w:rsidRPr="00960E47">
              <w:rPr>
                <w:sz w:val="18"/>
                <w:szCs w:val="18"/>
                <w:lang w:val="es-ES"/>
              </w:rPr>
              <w:t xml:space="preserve"> </w:t>
            </w:r>
            <w:r w:rsidRPr="00960E47">
              <w:rPr>
                <w:sz w:val="18"/>
                <w:szCs w:val="18"/>
                <w:lang w:val="es-ES"/>
              </w:rPr>
              <w:t>287</w:t>
            </w:r>
          </w:p>
        </w:tc>
        <w:tc>
          <w:tcPr>
            <w:tcW w:w="533"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6,7</w:t>
            </w:r>
          </w:p>
        </w:tc>
        <w:tc>
          <w:tcPr>
            <w:tcW w:w="931"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1,5</w:t>
            </w:r>
          </w:p>
        </w:tc>
        <w:tc>
          <w:tcPr>
            <w:tcW w:w="652"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0,3</w:t>
            </w:r>
          </w:p>
        </w:tc>
        <w:tc>
          <w:tcPr>
            <w:tcW w:w="574"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0,7</w:t>
            </w:r>
          </w:p>
        </w:tc>
        <w:tc>
          <w:tcPr>
            <w:tcW w:w="574"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6,5</w:t>
            </w:r>
          </w:p>
        </w:tc>
        <w:tc>
          <w:tcPr>
            <w:tcW w:w="575"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15,1</w:t>
            </w:r>
          </w:p>
        </w:tc>
      </w:tr>
      <w:tr w:rsidR="00D463CF" w:rsidRPr="00960E47" w:rsidTr="00D463CF">
        <w:tc>
          <w:tcPr>
            <w:tcW w:w="628" w:type="pct"/>
            <w:shd w:val="clear" w:color="auto" w:fill="auto"/>
            <w:vAlign w:val="bottom"/>
          </w:tcPr>
          <w:p w:rsidR="00E421FD" w:rsidRPr="00960E47" w:rsidRDefault="00E421FD" w:rsidP="002D3CAD">
            <w:pPr>
              <w:pStyle w:val="SingleTxtG"/>
              <w:spacing w:before="40" w:after="40" w:line="220" w:lineRule="exact"/>
              <w:ind w:left="0" w:right="0"/>
              <w:jc w:val="left"/>
              <w:rPr>
                <w:sz w:val="18"/>
                <w:szCs w:val="18"/>
                <w:lang w:val="es-ES"/>
              </w:rPr>
            </w:pPr>
            <w:r w:rsidRPr="00960E47">
              <w:rPr>
                <w:sz w:val="18"/>
                <w:szCs w:val="18"/>
                <w:lang w:val="es-ES"/>
              </w:rPr>
              <w:t>75-79</w:t>
            </w:r>
          </w:p>
        </w:tc>
        <w:tc>
          <w:tcPr>
            <w:tcW w:w="533"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11</w:t>
            </w:r>
            <w:r w:rsidR="00D24062" w:rsidRPr="00960E47">
              <w:rPr>
                <w:sz w:val="18"/>
                <w:szCs w:val="18"/>
                <w:lang w:val="es-ES"/>
              </w:rPr>
              <w:t xml:space="preserve"> </w:t>
            </w:r>
            <w:r w:rsidRPr="00960E47">
              <w:rPr>
                <w:sz w:val="18"/>
                <w:szCs w:val="18"/>
                <w:lang w:val="es-ES"/>
              </w:rPr>
              <w:t>838</w:t>
            </w:r>
          </w:p>
        </w:tc>
        <w:tc>
          <w:tcPr>
            <w:tcW w:w="533"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3,7</w:t>
            </w:r>
          </w:p>
        </w:tc>
        <w:tc>
          <w:tcPr>
            <w:tcW w:w="931"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0,8</w:t>
            </w:r>
          </w:p>
        </w:tc>
        <w:tc>
          <w:tcPr>
            <w:tcW w:w="652"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0,1</w:t>
            </w:r>
          </w:p>
        </w:tc>
        <w:tc>
          <w:tcPr>
            <w:tcW w:w="574"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0,2</w:t>
            </w:r>
          </w:p>
        </w:tc>
        <w:tc>
          <w:tcPr>
            <w:tcW w:w="574"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4,6</w:t>
            </w:r>
          </w:p>
        </w:tc>
        <w:tc>
          <w:tcPr>
            <w:tcW w:w="575"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7,2</w:t>
            </w:r>
          </w:p>
        </w:tc>
      </w:tr>
      <w:tr w:rsidR="00D463CF" w:rsidRPr="00960E47" w:rsidTr="00D463CF">
        <w:tc>
          <w:tcPr>
            <w:tcW w:w="628" w:type="pct"/>
            <w:shd w:val="clear" w:color="auto" w:fill="auto"/>
            <w:vAlign w:val="bottom"/>
          </w:tcPr>
          <w:p w:rsidR="00E421FD" w:rsidRPr="00960E47" w:rsidRDefault="00E421FD" w:rsidP="002D3CAD">
            <w:pPr>
              <w:pStyle w:val="SingleTxtG"/>
              <w:spacing w:before="40" w:after="40" w:line="220" w:lineRule="exact"/>
              <w:ind w:left="0" w:right="0"/>
              <w:jc w:val="left"/>
              <w:rPr>
                <w:sz w:val="18"/>
                <w:szCs w:val="18"/>
                <w:lang w:val="es-ES"/>
              </w:rPr>
            </w:pPr>
            <w:r w:rsidRPr="00960E47">
              <w:rPr>
                <w:sz w:val="18"/>
                <w:szCs w:val="18"/>
                <w:lang w:val="es-ES"/>
              </w:rPr>
              <w:t>80 y más</w:t>
            </w:r>
          </w:p>
        </w:tc>
        <w:tc>
          <w:tcPr>
            <w:tcW w:w="533"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15</w:t>
            </w:r>
            <w:r w:rsidR="00D24062" w:rsidRPr="00960E47">
              <w:rPr>
                <w:sz w:val="18"/>
                <w:szCs w:val="18"/>
                <w:lang w:val="es-ES"/>
              </w:rPr>
              <w:t xml:space="preserve"> </w:t>
            </w:r>
            <w:r w:rsidRPr="00960E47">
              <w:rPr>
                <w:sz w:val="18"/>
                <w:szCs w:val="18"/>
                <w:lang w:val="es-ES"/>
              </w:rPr>
              <w:t>121</w:t>
            </w:r>
          </w:p>
        </w:tc>
        <w:tc>
          <w:tcPr>
            <w:tcW w:w="533"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4,4</w:t>
            </w:r>
          </w:p>
        </w:tc>
        <w:tc>
          <w:tcPr>
            <w:tcW w:w="931"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0,8</w:t>
            </w:r>
          </w:p>
        </w:tc>
        <w:tc>
          <w:tcPr>
            <w:tcW w:w="652"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0,1</w:t>
            </w:r>
          </w:p>
        </w:tc>
        <w:tc>
          <w:tcPr>
            <w:tcW w:w="574"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0,2</w:t>
            </w:r>
          </w:p>
        </w:tc>
        <w:tc>
          <w:tcPr>
            <w:tcW w:w="574"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1,4</w:t>
            </w:r>
          </w:p>
        </w:tc>
        <w:tc>
          <w:tcPr>
            <w:tcW w:w="575" w:type="pct"/>
            <w:shd w:val="clear" w:color="auto" w:fill="auto"/>
            <w:vAlign w:val="bottom"/>
          </w:tcPr>
          <w:p w:rsidR="00E421FD" w:rsidRPr="00960E47" w:rsidRDefault="00E421FD" w:rsidP="002D3CAD">
            <w:pPr>
              <w:pStyle w:val="SingleTxtG"/>
              <w:spacing w:before="40" w:after="40" w:line="220" w:lineRule="exact"/>
              <w:ind w:left="0" w:right="0"/>
              <w:jc w:val="right"/>
              <w:rPr>
                <w:sz w:val="18"/>
                <w:szCs w:val="18"/>
                <w:lang w:val="es-ES"/>
              </w:rPr>
            </w:pPr>
            <w:r w:rsidRPr="00960E47">
              <w:rPr>
                <w:sz w:val="18"/>
                <w:szCs w:val="18"/>
                <w:lang w:val="es-ES"/>
              </w:rPr>
              <w:t>12,8</w:t>
            </w:r>
          </w:p>
        </w:tc>
      </w:tr>
    </w:tbl>
    <w:p w:rsidR="00E421FD" w:rsidRPr="00960E47" w:rsidRDefault="00E421FD" w:rsidP="00BD2CEB">
      <w:pPr>
        <w:spacing w:before="120" w:after="240"/>
        <w:ind w:left="1134" w:firstLine="170"/>
        <w:rPr>
          <w:sz w:val="18"/>
          <w:lang w:val="es-ES"/>
        </w:rPr>
      </w:pPr>
      <w:r w:rsidRPr="00960E47">
        <w:rPr>
          <w:i/>
          <w:sz w:val="18"/>
          <w:lang w:val="es-ES"/>
        </w:rPr>
        <w:t>Fuente:</w:t>
      </w:r>
      <w:r w:rsidRPr="00960E47">
        <w:rPr>
          <w:sz w:val="18"/>
          <w:lang w:val="es-ES"/>
        </w:rPr>
        <w:t xml:space="preserve"> Informe del censo de población y la encuesta de hogares de 2006.</w:t>
      </w:r>
    </w:p>
    <w:p w:rsidR="00E421FD" w:rsidRPr="00960E47" w:rsidRDefault="009627D6" w:rsidP="00BD2CEB">
      <w:pPr>
        <w:pStyle w:val="SingleTxtG"/>
        <w:rPr>
          <w:lang w:val="es-ES"/>
        </w:rPr>
      </w:pPr>
      <w:r w:rsidRPr="00960E47">
        <w:rPr>
          <w:lang w:val="es-ES"/>
        </w:rPr>
        <w:t>29.</w:t>
      </w:r>
      <w:r w:rsidRPr="00960E47">
        <w:rPr>
          <w:lang w:val="es-ES"/>
        </w:rPr>
        <w:tab/>
      </w:r>
      <w:r w:rsidR="00E421FD" w:rsidRPr="00960E47">
        <w:rPr>
          <w:lang w:val="es-ES"/>
        </w:rPr>
        <w:t>Son más los varones que las mujeres que declaran no haber recibido ninguna instrucción, mientras que hay más mujeres que varones en las categorías de enseñanza primaria, secundaria, no graduados e informal. La diferencia entre varones y mujeres con nivel de graduado es de solo el 3% en favor de las mujeres.</w:t>
      </w:r>
    </w:p>
    <w:p w:rsidR="00E421FD" w:rsidRPr="00960E47" w:rsidRDefault="009627D6" w:rsidP="00BD2CEB">
      <w:pPr>
        <w:pStyle w:val="H1G"/>
        <w:rPr>
          <w:lang w:val="es-ES"/>
        </w:rPr>
      </w:pPr>
      <w:r w:rsidRPr="00960E47">
        <w:rPr>
          <w:lang w:val="es-ES"/>
        </w:rPr>
        <w:tab/>
        <w:t>G.</w:t>
      </w:r>
      <w:r w:rsidRPr="00960E47">
        <w:rPr>
          <w:lang w:val="es-ES"/>
        </w:rPr>
        <w:tab/>
      </w:r>
      <w:r w:rsidR="00E421FD" w:rsidRPr="00960E47">
        <w:rPr>
          <w:lang w:val="es-ES"/>
        </w:rPr>
        <w:t>Religión</w:t>
      </w:r>
    </w:p>
    <w:p w:rsidR="00E421FD" w:rsidRPr="00960E47" w:rsidRDefault="009627D6" w:rsidP="00BD2CEB">
      <w:pPr>
        <w:pStyle w:val="SingleTxtG"/>
        <w:rPr>
          <w:lang w:val="es-ES"/>
        </w:rPr>
      </w:pPr>
      <w:r w:rsidRPr="00960E47">
        <w:rPr>
          <w:lang w:val="es-ES"/>
        </w:rPr>
        <w:t>30.</w:t>
      </w:r>
      <w:r w:rsidRPr="00960E47">
        <w:rPr>
          <w:lang w:val="es-ES"/>
        </w:rPr>
        <w:tab/>
      </w:r>
      <w:r w:rsidR="00E421FD" w:rsidRPr="00960E47">
        <w:rPr>
          <w:lang w:val="es-ES"/>
        </w:rPr>
        <w:t xml:space="preserve">El artículo 13 1) de la Constitución reconoce la libertad de conciencia. Establece lo siguiente: </w:t>
      </w:r>
      <w:r w:rsidR="0045213B" w:rsidRPr="00960E47">
        <w:rPr>
          <w:lang w:val="es-ES"/>
        </w:rPr>
        <w:t>"</w:t>
      </w:r>
      <w:r w:rsidR="00E421FD" w:rsidRPr="00960E47">
        <w:rPr>
          <w:lang w:val="es-ES"/>
        </w:rPr>
        <w:t>No se impedirá a nadie el disfrute de su libertad de conciencia, sin su consentimiento, y, a efectos del presente artículo, esa libertad abarca la libertad de pensamiento y de religión, la libertad de cambiar de religión o creencia, y la libertad de manifestar y predicar su religión o creencia en el culto, la enseñanza, la práctica y la observancia, individualmente o junto con otras personas, ya sea en público o en privado</w:t>
      </w:r>
      <w:r w:rsidR="0045213B" w:rsidRPr="00960E47">
        <w:rPr>
          <w:lang w:val="es-ES"/>
        </w:rPr>
        <w:t>"</w:t>
      </w:r>
      <w:r w:rsidR="00E421FD" w:rsidRPr="00960E47">
        <w:rPr>
          <w:lang w:val="es-ES"/>
        </w:rPr>
        <w:t>. De conformidad con el artículo 13 2), toda comunidad religiosa tendrá derecho a gestionar sus propias instituciones educativas.</w:t>
      </w:r>
    </w:p>
    <w:p w:rsidR="00E421FD" w:rsidRPr="00960E47" w:rsidRDefault="009627D6" w:rsidP="00BD2CEB">
      <w:pPr>
        <w:pStyle w:val="SingleTxtG"/>
        <w:rPr>
          <w:lang w:val="es-ES"/>
        </w:rPr>
      </w:pPr>
      <w:r w:rsidRPr="00960E47">
        <w:rPr>
          <w:lang w:val="es-ES"/>
        </w:rPr>
        <w:t>31.</w:t>
      </w:r>
      <w:r w:rsidRPr="00960E47">
        <w:rPr>
          <w:lang w:val="es-ES"/>
        </w:rPr>
        <w:tab/>
      </w:r>
      <w:r w:rsidR="00E421FD" w:rsidRPr="00960E47">
        <w:rPr>
          <w:lang w:val="es-ES"/>
        </w:rPr>
        <w:t>La mayor</w:t>
      </w:r>
      <w:r w:rsidR="00FA7460" w:rsidRPr="00960E47">
        <w:rPr>
          <w:lang w:val="es-ES"/>
        </w:rPr>
        <w:t xml:space="preserve"> </w:t>
      </w:r>
      <w:r w:rsidR="00E421FD" w:rsidRPr="00960E47">
        <w:rPr>
          <w:lang w:val="es-ES"/>
        </w:rPr>
        <w:t>parte de los basotho son cristianos, y aproximadamente el 99% de ellos se declaran fieles a la institución cristiana. Sin embargo, la mayoría de los basotho conservan todavía firmes creencias tradicionales africanas. Muchos de ellos compaginan el cristianismo con las creencias tradicionales. Se considera que, de un total aproximado del 90% al 99%, el 45% son católicos. La Iglesia Evangélica d</w:t>
      </w:r>
      <w:r w:rsidR="00F977F2" w:rsidRPr="00960E47">
        <w:rPr>
          <w:lang w:val="es-ES"/>
        </w:rPr>
        <w:t>e Lesotho es la primera iglesia </w:t>
      </w:r>
      <w:r w:rsidR="00E421FD" w:rsidRPr="00960E47">
        <w:rPr>
          <w:lang w:val="es-ES"/>
        </w:rPr>
        <w:t xml:space="preserve">cristiana que llegó al país, en 1933. La Iglesia Evangélica, la Iglesia Anglicana, la Iglesia Metodista, la Iglesia Episcopal Metodista Africana, los Adventistas del Séptimo Día, la Iglesia Pentecostal Independiente, las iglesias carismáticas y de </w:t>
      </w:r>
      <w:r w:rsidR="0045213B" w:rsidRPr="00960E47">
        <w:rPr>
          <w:lang w:val="es-ES"/>
        </w:rPr>
        <w:t>"</w:t>
      </w:r>
      <w:r w:rsidR="00E421FD" w:rsidRPr="00960E47">
        <w:rPr>
          <w:lang w:val="es-ES"/>
        </w:rPr>
        <w:t>nacidos de nuevo</w:t>
      </w:r>
      <w:r w:rsidR="0045213B" w:rsidRPr="00960E47">
        <w:rPr>
          <w:lang w:val="es-ES"/>
        </w:rPr>
        <w:t>"</w:t>
      </w:r>
      <w:r w:rsidR="00E421FD" w:rsidRPr="00960E47">
        <w:rPr>
          <w:lang w:val="es-ES"/>
        </w:rPr>
        <w:t xml:space="preserve">, como las Asambleas de Dios, los Testigos de Jehová, De Vuelta a Dios, Ebenezer, y muchas otras, se reparten el restante 55% de la población cristiana de Lesotho; la Iglesia Evangélica de Lesotho tiene un porcentaje mucho más elevado. Otras religiones son el bahaísmo y el islamismo. </w:t>
      </w:r>
    </w:p>
    <w:p w:rsidR="00E421FD" w:rsidRPr="00960E47" w:rsidRDefault="009627D6" w:rsidP="00BD2CEB">
      <w:pPr>
        <w:pStyle w:val="H1G"/>
        <w:rPr>
          <w:lang w:val="es-ES"/>
        </w:rPr>
      </w:pPr>
      <w:r w:rsidRPr="00960E47">
        <w:rPr>
          <w:lang w:val="es-ES"/>
        </w:rPr>
        <w:tab/>
        <w:t>H.</w:t>
      </w:r>
      <w:r w:rsidRPr="00960E47">
        <w:rPr>
          <w:lang w:val="es-ES"/>
        </w:rPr>
        <w:tab/>
      </w:r>
      <w:r w:rsidR="00E421FD" w:rsidRPr="00960E47">
        <w:rPr>
          <w:lang w:val="es-ES"/>
        </w:rPr>
        <w:t>Indicadores socioeconómicos</w:t>
      </w:r>
    </w:p>
    <w:p w:rsidR="00E421FD" w:rsidRPr="00960E47" w:rsidRDefault="009627D6" w:rsidP="00BD2CEB">
      <w:pPr>
        <w:pStyle w:val="SingleTxtG"/>
        <w:rPr>
          <w:lang w:val="es-ES"/>
        </w:rPr>
      </w:pPr>
      <w:r w:rsidRPr="00960E47">
        <w:rPr>
          <w:lang w:val="es-ES"/>
        </w:rPr>
        <w:t>32.</w:t>
      </w:r>
      <w:r w:rsidRPr="00960E47">
        <w:rPr>
          <w:lang w:val="es-ES"/>
        </w:rPr>
        <w:tab/>
      </w:r>
      <w:r w:rsidR="00E421FD" w:rsidRPr="00960E47">
        <w:rPr>
          <w:lang w:val="es-ES"/>
        </w:rPr>
        <w:t>La base de la economía de Lesotho está integrada por los trabajadores migrantes, las manufacturas, la construcción, la agricultura de subsistencia y el turismo. Este es también un importante sector socioeconómico.</w:t>
      </w:r>
    </w:p>
    <w:p w:rsidR="00E421FD" w:rsidRPr="00960E47" w:rsidRDefault="009627D6" w:rsidP="00BD2CEB">
      <w:pPr>
        <w:pStyle w:val="H23G"/>
        <w:rPr>
          <w:lang w:val="es-ES"/>
        </w:rPr>
      </w:pPr>
      <w:r w:rsidRPr="00960E47">
        <w:rPr>
          <w:lang w:val="es-ES"/>
        </w:rPr>
        <w:tab/>
      </w:r>
      <w:r w:rsidRPr="00960E47">
        <w:rPr>
          <w:lang w:val="es-ES"/>
        </w:rPr>
        <w:tab/>
      </w:r>
      <w:r w:rsidR="00E421FD" w:rsidRPr="00960E47">
        <w:rPr>
          <w:lang w:val="es-ES"/>
        </w:rPr>
        <w:t>Remesas de migrantes</w:t>
      </w:r>
    </w:p>
    <w:p w:rsidR="00E421FD" w:rsidRPr="00960E47" w:rsidRDefault="009627D6" w:rsidP="00BD2CEB">
      <w:pPr>
        <w:pStyle w:val="SingleTxtG"/>
        <w:rPr>
          <w:lang w:val="es-ES"/>
        </w:rPr>
      </w:pPr>
      <w:r w:rsidRPr="00960E47">
        <w:rPr>
          <w:lang w:val="es-ES"/>
        </w:rPr>
        <w:t>33.</w:t>
      </w:r>
      <w:r w:rsidRPr="00960E47">
        <w:rPr>
          <w:lang w:val="es-ES"/>
        </w:rPr>
        <w:tab/>
      </w:r>
      <w:r w:rsidR="00E421FD" w:rsidRPr="00960E47">
        <w:rPr>
          <w:lang w:val="es-ES"/>
        </w:rPr>
        <w:t>La mayoría de los bashoto trabajan en la República de Sudáfrica. La mano de obra masculina se concentra en las minas. Las remesas de los mineros migrantes han representado durante decenios una parte significativa del ingreso nacional total de Lesotho. No obstante, el número medio de mineros bashoto empleados en Sudáfrica bajó de 100.500 en 1995 a 50.000 en 2008. A pesar de este descenso, las remesas de los mineros han continuado representando una aportación significativa al ingreso disponible total de la economía. Lesotho, que tenía el porcentaje más elevado de trabajadores migrantes en la República de Sudáfrica, ha notado más los efectos de la recesión. La crisis económica mundial ha tenido también efectos negativos en el desempeño de la economía mundial y los mercados, y Lesotho no se ha librado de esa turbulencia.</w:t>
      </w:r>
    </w:p>
    <w:p w:rsidR="00E421FD" w:rsidRPr="00960E47" w:rsidRDefault="009627D6" w:rsidP="00BD2CEB">
      <w:pPr>
        <w:pStyle w:val="H23G"/>
        <w:rPr>
          <w:lang w:val="es-ES"/>
        </w:rPr>
      </w:pPr>
      <w:r w:rsidRPr="00960E47">
        <w:rPr>
          <w:lang w:val="es-ES"/>
        </w:rPr>
        <w:tab/>
      </w:r>
      <w:r w:rsidRPr="00960E47">
        <w:rPr>
          <w:lang w:val="es-ES"/>
        </w:rPr>
        <w:tab/>
        <w:t>Sector manufacturero</w:t>
      </w:r>
    </w:p>
    <w:p w:rsidR="00E421FD" w:rsidRPr="00960E47" w:rsidRDefault="009627D6" w:rsidP="00BD2CEB">
      <w:pPr>
        <w:pStyle w:val="SingleTxtG"/>
        <w:rPr>
          <w:lang w:val="es-ES"/>
        </w:rPr>
      </w:pPr>
      <w:r w:rsidRPr="00960E47">
        <w:rPr>
          <w:lang w:val="es-ES"/>
        </w:rPr>
        <w:t>34.</w:t>
      </w:r>
      <w:r w:rsidRPr="00960E47">
        <w:rPr>
          <w:lang w:val="es-ES"/>
        </w:rPr>
        <w:tab/>
      </w:r>
      <w:r w:rsidR="00E421FD" w:rsidRPr="00960E47">
        <w:rPr>
          <w:lang w:val="es-ES"/>
        </w:rPr>
        <w:t>El sector manufacturero de Lesotho está integrado por la industria textil. La mayoría de las empresas se encuentran en las inmediaciones de Maseru, en lugares como Ha Thetsane, y la zona industrial de Maseru. Otras industrias manufactureras están en los distritos de Leribe, en Maputsoe, y se dedican a la producción de ropa, calzado y lana. Cuando entró en vigor el Acuerdo Multifibras, se promulgó la Ley de Crecimiento y Oportunidades de África (AGOA), que establece los derechos y contingentes de los textiles de Lesotho importados en los Estados Unidos de América. En diciembre de 2004, cuando expiró el Acuerdo Multifibras, se vio afectada la tasa de empleo en el sector textil.</w:t>
      </w:r>
    </w:p>
    <w:p w:rsidR="00E421FD" w:rsidRPr="00960E47" w:rsidRDefault="009627D6" w:rsidP="00BD2CEB">
      <w:pPr>
        <w:pStyle w:val="SingleTxtG"/>
        <w:rPr>
          <w:lang w:val="es-ES"/>
        </w:rPr>
      </w:pPr>
      <w:r w:rsidRPr="00960E47">
        <w:rPr>
          <w:lang w:val="es-ES"/>
        </w:rPr>
        <w:t>35.</w:t>
      </w:r>
      <w:r w:rsidRPr="00960E47">
        <w:rPr>
          <w:lang w:val="es-ES"/>
        </w:rPr>
        <w:tab/>
      </w:r>
      <w:r w:rsidR="00E421FD" w:rsidRPr="00960E47">
        <w:rPr>
          <w:lang w:val="es-ES"/>
        </w:rPr>
        <w:t xml:space="preserve">El segundo mayor empleador de Lesotho es el sector manufacturero. Entre 2000 y 2004 Lesotho conoció un crecimiento sin precedentes del sector de los textiles y prendas de vestir. Se crearon más de 50.000 empleos como consecuencia de la AGOA, de 18 de mayo de 2000. Esa </w:t>
      </w:r>
      <w:r w:rsidR="009C0031" w:rsidRPr="00960E47">
        <w:rPr>
          <w:lang w:val="es-ES"/>
        </w:rPr>
        <w:t>ley</w:t>
      </w:r>
      <w:r w:rsidR="00E421FD" w:rsidRPr="00960E47">
        <w:rPr>
          <w:lang w:val="es-ES"/>
        </w:rPr>
        <w:t xml:space="preserve"> estableció el acceso libre de derechos y contingentes para los textiles de Lesotho importados en los Estados Unidos de América. Los resultados de la AGOA en Lesotho entre 2000 y 2004 fueron notablemente elevados y satisfactorios, con un volumen de negocio estimado de 1.060 millones de dólares de los Estados Unidos. Los principales productos de exportación eran los vestidos, los muebles, el calzado y la lana. La AGOA era una concesión de acceso otorgada de forma unilateral y voluntaria a Lesotho por los Estados Unidos de América para su penetración en el mercado americano. Desde 2000, la AGOA representó un mecanismo aplicable a 6.480 líneas de productos de países de África Subsahariana. Esa región ha tenido que cumplir requisitos relacionados con la democracia, la buena gobernanza, los derechos humanos y el estado de derecho a fin de poder penetrar en ese mercado. Gracias a la AGOA-I, relativa a los textiles, el impacto en el mercado de trabajo de trabajo fue un éxito clamoroso. El empleo aumentó de 20.000 a unos 50.000 puestos para luego experimentar una reducción de 52.000.</w:t>
      </w:r>
    </w:p>
    <w:p w:rsidR="00E421FD" w:rsidRPr="00960E47" w:rsidRDefault="009627D6" w:rsidP="00BD2CEB">
      <w:pPr>
        <w:pStyle w:val="SingleTxtG"/>
        <w:rPr>
          <w:lang w:val="es-ES"/>
        </w:rPr>
      </w:pPr>
      <w:r w:rsidRPr="00960E47">
        <w:rPr>
          <w:lang w:val="es-ES"/>
        </w:rPr>
        <w:t>36.</w:t>
      </w:r>
      <w:r w:rsidRPr="00960E47">
        <w:rPr>
          <w:lang w:val="es-ES"/>
        </w:rPr>
        <w:tab/>
      </w:r>
      <w:r w:rsidR="00E421FD" w:rsidRPr="00960E47">
        <w:rPr>
          <w:lang w:val="es-ES"/>
        </w:rPr>
        <w:t xml:space="preserve">La mayoría de la población femenina se benefició considerablemente de AGOA-I en lo que respecta al suministro de prestaciones sociales básicas para sus familias, como alimentos, tasas escolares y otras necesidades familiares esenciales. Durante AGOA-II y AGOA-III, se establecieron condiciones más estrictas para el acceso al mercado. En el período de vigencia de AGOA-II, el mercado de los Estados Unidos de América estableció la condición de que los mercados de exportación pudieran tener acceso a su mercado cuando la planta de algodón se encontrara en el mismo lugar de fabricación. Durante ese tiempo, el mercado de trabajo de Lesotho se vio ligeramente afectado, ya que algunos inversores que no pudieron aceptar las nuevas condiciones comerciales cerraron su empresa y abandonaron el país. No obstante, el Gobierno de Lesotho ha realizado todos los esfuerzos posibles para negociar condiciones comerciales favorables que continúan situando a Lesotho en un lugar elevado del mercado americano. Se han observado también signos prometedores de nueva creación de empleo. </w:t>
      </w:r>
    </w:p>
    <w:p w:rsidR="00E421FD" w:rsidRPr="00960E47" w:rsidRDefault="009627D6" w:rsidP="00BD2CEB">
      <w:pPr>
        <w:pStyle w:val="SingleTxtG"/>
        <w:rPr>
          <w:lang w:val="es-ES"/>
        </w:rPr>
      </w:pPr>
      <w:r w:rsidRPr="00960E47">
        <w:rPr>
          <w:lang w:val="es-ES"/>
        </w:rPr>
        <w:t>37.</w:t>
      </w:r>
      <w:r w:rsidRPr="00960E47">
        <w:rPr>
          <w:lang w:val="es-ES"/>
        </w:rPr>
        <w:tab/>
      </w:r>
      <w:r w:rsidR="00E421FD" w:rsidRPr="00960E47">
        <w:rPr>
          <w:lang w:val="es-ES"/>
        </w:rPr>
        <w:t>Los principales interlocutores comerciales de Lesotho han sido la República de Sudáfrica, los Estados Unidos de América, Botswana, Swazilandia, Namibia y la Unión Europea. En 2005, el país sufrió una recesión, después de una sequía que diezmó la subregión, así como un retroceso de la producción textil, debido a las pérdidas del tipo de cambio atribuidas a la valoración del rand sudafricano en aquellas fechas. Esa situación provocó el cierre de varias compañías textiles de propiedad extranjera. En consecuencia, se perdieron unos 10.000 empleos en el sector. El Acuerdo Multifibras ha sido también otro instrumento interno que ha repercutido en el crecimiento económico de la economía de Lesotho. En él se hacía hincapié en la restricción de la exportación de productos textiles, en cuanto sector delicado. El subsector manufacturero, dominado por la industria de los textiles y el vestido para la exportación a los Estados Unidos de América, ha contribuido a la acelerada tasa de crecimiento económico de Lesotho. Este sector ha tenido un impacto enorme. La expiración del Acuerdo Multifibras ha significado que Lesotho deberá ahora competir por el mercado de los Estados Unidos en condiciones de igualdad con los productores de más bajo costo del mundo, entre los que se incluyen países como China, la India y Bangladesh</w:t>
      </w:r>
      <w:r w:rsidR="00E421FD" w:rsidRPr="00960E47">
        <w:rPr>
          <w:rStyle w:val="FootnoteReference"/>
          <w:lang w:val="es-ES"/>
        </w:rPr>
        <w:footnoteReference w:id="11"/>
      </w:r>
      <w:r w:rsidR="00E421FD" w:rsidRPr="00960E47">
        <w:rPr>
          <w:lang w:val="es-ES"/>
        </w:rPr>
        <w:t>.</w:t>
      </w:r>
    </w:p>
    <w:p w:rsidR="00E421FD" w:rsidRPr="00960E47" w:rsidRDefault="009627D6" w:rsidP="00BD2CEB">
      <w:pPr>
        <w:pStyle w:val="H23G"/>
        <w:rPr>
          <w:lang w:val="es-ES"/>
        </w:rPr>
      </w:pPr>
      <w:r w:rsidRPr="00960E47">
        <w:rPr>
          <w:lang w:val="es-ES"/>
        </w:rPr>
        <w:tab/>
      </w:r>
      <w:r w:rsidRPr="00960E47">
        <w:rPr>
          <w:lang w:val="es-ES"/>
        </w:rPr>
        <w:tab/>
      </w:r>
      <w:r w:rsidR="00E421FD" w:rsidRPr="00960E47">
        <w:rPr>
          <w:lang w:val="es-ES"/>
        </w:rPr>
        <w:t>Comercio de Lesotho con el resto del mundo</w:t>
      </w:r>
    </w:p>
    <w:tbl>
      <w:tblPr>
        <w:tblW w:w="8503" w:type="dxa"/>
        <w:tblInd w:w="1134" w:type="dxa"/>
        <w:tblBorders>
          <w:top w:val="single" w:sz="4" w:space="0" w:color="auto"/>
          <w:bottom w:val="single" w:sz="12" w:space="0" w:color="auto"/>
        </w:tblBorders>
        <w:tblLayout w:type="fixed"/>
        <w:tblCellMar>
          <w:left w:w="0" w:type="dxa"/>
          <w:right w:w="0" w:type="dxa"/>
        </w:tblCellMar>
        <w:tblLook w:val="04A0"/>
      </w:tblPr>
      <w:tblGrid>
        <w:gridCol w:w="1148"/>
        <w:gridCol w:w="1471"/>
        <w:gridCol w:w="1471"/>
        <w:gridCol w:w="1471"/>
        <w:gridCol w:w="1471"/>
        <w:gridCol w:w="1471"/>
      </w:tblGrid>
      <w:tr w:rsidR="00E421FD" w:rsidRPr="00960E47" w:rsidTr="00D463CF">
        <w:tc>
          <w:tcPr>
            <w:tcW w:w="675" w:type="pct"/>
            <w:tcBorders>
              <w:top w:val="single" w:sz="4" w:space="0" w:color="auto"/>
              <w:bottom w:val="single" w:sz="12" w:space="0" w:color="auto"/>
            </w:tcBorders>
            <w:shd w:val="clear" w:color="auto" w:fill="auto"/>
            <w:vAlign w:val="bottom"/>
          </w:tcPr>
          <w:p w:rsidR="00E421FD" w:rsidRPr="00960E47" w:rsidRDefault="00E421FD" w:rsidP="00D463CF">
            <w:pPr>
              <w:pStyle w:val="SingleTxtG"/>
              <w:spacing w:before="80" w:after="80" w:line="200" w:lineRule="exact"/>
              <w:ind w:left="0" w:right="0"/>
              <w:jc w:val="left"/>
              <w:rPr>
                <w:i/>
                <w:sz w:val="16"/>
                <w:szCs w:val="18"/>
                <w:lang w:val="es-ES"/>
              </w:rPr>
            </w:pPr>
          </w:p>
        </w:tc>
        <w:tc>
          <w:tcPr>
            <w:tcW w:w="865" w:type="pct"/>
            <w:tcBorders>
              <w:top w:val="single" w:sz="4" w:space="0" w:color="auto"/>
              <w:bottom w:val="single" w:sz="12" w:space="0" w:color="auto"/>
            </w:tcBorders>
            <w:shd w:val="clear" w:color="auto" w:fill="auto"/>
            <w:vAlign w:val="bottom"/>
          </w:tcPr>
          <w:p w:rsidR="00E421FD" w:rsidRPr="00960E47" w:rsidRDefault="00E421FD" w:rsidP="00D463CF">
            <w:pPr>
              <w:pStyle w:val="SingleTxtG"/>
              <w:spacing w:before="80" w:after="80" w:line="200" w:lineRule="exact"/>
              <w:ind w:left="0" w:right="0"/>
              <w:jc w:val="right"/>
              <w:rPr>
                <w:i/>
                <w:sz w:val="16"/>
                <w:szCs w:val="18"/>
                <w:lang w:val="es-ES"/>
              </w:rPr>
            </w:pPr>
            <w:r w:rsidRPr="00960E47">
              <w:rPr>
                <w:i/>
                <w:sz w:val="16"/>
                <w:szCs w:val="18"/>
                <w:lang w:val="es-ES"/>
              </w:rPr>
              <w:t>2004</w:t>
            </w:r>
          </w:p>
        </w:tc>
        <w:tc>
          <w:tcPr>
            <w:tcW w:w="865" w:type="pct"/>
            <w:tcBorders>
              <w:top w:val="single" w:sz="4" w:space="0" w:color="auto"/>
              <w:bottom w:val="single" w:sz="12" w:space="0" w:color="auto"/>
            </w:tcBorders>
            <w:shd w:val="clear" w:color="auto" w:fill="auto"/>
            <w:vAlign w:val="bottom"/>
          </w:tcPr>
          <w:p w:rsidR="00E421FD" w:rsidRPr="00960E47" w:rsidRDefault="00E421FD" w:rsidP="00D463CF">
            <w:pPr>
              <w:pStyle w:val="SingleTxtG"/>
              <w:spacing w:before="80" w:after="80" w:line="200" w:lineRule="exact"/>
              <w:ind w:left="0" w:right="0"/>
              <w:jc w:val="right"/>
              <w:rPr>
                <w:i/>
                <w:sz w:val="16"/>
                <w:szCs w:val="18"/>
                <w:lang w:val="es-ES"/>
              </w:rPr>
            </w:pPr>
            <w:r w:rsidRPr="00960E47">
              <w:rPr>
                <w:i/>
                <w:sz w:val="16"/>
                <w:szCs w:val="18"/>
                <w:lang w:val="es-ES"/>
              </w:rPr>
              <w:t>2005</w:t>
            </w:r>
          </w:p>
        </w:tc>
        <w:tc>
          <w:tcPr>
            <w:tcW w:w="865" w:type="pct"/>
            <w:tcBorders>
              <w:top w:val="single" w:sz="4" w:space="0" w:color="auto"/>
              <w:bottom w:val="single" w:sz="12" w:space="0" w:color="auto"/>
            </w:tcBorders>
            <w:shd w:val="clear" w:color="auto" w:fill="auto"/>
            <w:vAlign w:val="bottom"/>
          </w:tcPr>
          <w:p w:rsidR="00E421FD" w:rsidRPr="00960E47" w:rsidRDefault="00E421FD" w:rsidP="00D463CF">
            <w:pPr>
              <w:pStyle w:val="SingleTxtG"/>
              <w:spacing w:before="80" w:after="80" w:line="200" w:lineRule="exact"/>
              <w:ind w:left="0" w:right="0"/>
              <w:jc w:val="right"/>
              <w:rPr>
                <w:i/>
                <w:sz w:val="16"/>
                <w:szCs w:val="18"/>
                <w:lang w:val="es-ES"/>
              </w:rPr>
            </w:pPr>
            <w:r w:rsidRPr="00960E47">
              <w:rPr>
                <w:i/>
                <w:sz w:val="16"/>
                <w:szCs w:val="18"/>
                <w:lang w:val="es-ES"/>
              </w:rPr>
              <w:t>2006</w:t>
            </w:r>
          </w:p>
        </w:tc>
        <w:tc>
          <w:tcPr>
            <w:tcW w:w="865" w:type="pct"/>
            <w:tcBorders>
              <w:top w:val="single" w:sz="4" w:space="0" w:color="auto"/>
              <w:bottom w:val="single" w:sz="12" w:space="0" w:color="auto"/>
            </w:tcBorders>
            <w:shd w:val="clear" w:color="auto" w:fill="auto"/>
            <w:vAlign w:val="bottom"/>
          </w:tcPr>
          <w:p w:rsidR="00E421FD" w:rsidRPr="00960E47" w:rsidRDefault="00E421FD" w:rsidP="00D463CF">
            <w:pPr>
              <w:pStyle w:val="SingleTxtG"/>
              <w:spacing w:before="80" w:after="80" w:line="200" w:lineRule="exact"/>
              <w:ind w:left="0" w:right="0"/>
              <w:jc w:val="right"/>
              <w:rPr>
                <w:i/>
                <w:sz w:val="16"/>
                <w:szCs w:val="18"/>
                <w:lang w:val="es-ES"/>
              </w:rPr>
            </w:pPr>
            <w:r w:rsidRPr="00960E47">
              <w:rPr>
                <w:i/>
                <w:sz w:val="16"/>
                <w:szCs w:val="18"/>
                <w:lang w:val="es-ES"/>
              </w:rPr>
              <w:t>2007</w:t>
            </w:r>
          </w:p>
        </w:tc>
        <w:tc>
          <w:tcPr>
            <w:tcW w:w="865" w:type="pct"/>
            <w:tcBorders>
              <w:top w:val="single" w:sz="4" w:space="0" w:color="auto"/>
              <w:bottom w:val="single" w:sz="12" w:space="0" w:color="auto"/>
            </w:tcBorders>
            <w:shd w:val="clear" w:color="auto" w:fill="auto"/>
            <w:vAlign w:val="bottom"/>
          </w:tcPr>
          <w:p w:rsidR="00E421FD" w:rsidRPr="00960E47" w:rsidRDefault="00E421FD" w:rsidP="00D463CF">
            <w:pPr>
              <w:pStyle w:val="SingleTxtG"/>
              <w:spacing w:before="80" w:after="80" w:line="200" w:lineRule="exact"/>
              <w:ind w:left="0" w:right="0"/>
              <w:jc w:val="right"/>
              <w:rPr>
                <w:i/>
                <w:sz w:val="16"/>
                <w:szCs w:val="18"/>
                <w:lang w:val="es-ES"/>
              </w:rPr>
            </w:pPr>
            <w:r w:rsidRPr="00960E47">
              <w:rPr>
                <w:i/>
                <w:sz w:val="16"/>
                <w:szCs w:val="18"/>
                <w:lang w:val="es-ES"/>
              </w:rPr>
              <w:t>2008</w:t>
            </w:r>
          </w:p>
        </w:tc>
      </w:tr>
      <w:tr w:rsidR="00E421FD" w:rsidRPr="00960E47" w:rsidTr="00D463CF">
        <w:tc>
          <w:tcPr>
            <w:tcW w:w="675" w:type="pct"/>
            <w:tcBorders>
              <w:top w:val="single" w:sz="12" w:space="0" w:color="auto"/>
              <w:bottom w:val="nil"/>
            </w:tcBorders>
            <w:shd w:val="clear" w:color="auto" w:fill="auto"/>
            <w:vAlign w:val="bottom"/>
          </w:tcPr>
          <w:p w:rsidR="00E421FD" w:rsidRPr="00960E47" w:rsidRDefault="00E421FD" w:rsidP="00D463CF">
            <w:pPr>
              <w:pStyle w:val="SingleTxtG"/>
              <w:spacing w:before="40" w:after="40" w:line="220" w:lineRule="exact"/>
              <w:ind w:left="0" w:right="0"/>
              <w:jc w:val="left"/>
              <w:rPr>
                <w:sz w:val="18"/>
                <w:szCs w:val="18"/>
                <w:lang w:val="es-ES"/>
              </w:rPr>
            </w:pPr>
            <w:r w:rsidRPr="00960E47">
              <w:rPr>
                <w:sz w:val="18"/>
                <w:szCs w:val="18"/>
                <w:lang w:val="es-ES"/>
              </w:rPr>
              <w:t>Importaciones</w:t>
            </w:r>
          </w:p>
        </w:tc>
        <w:tc>
          <w:tcPr>
            <w:tcW w:w="865" w:type="pct"/>
            <w:tcBorders>
              <w:top w:val="single" w:sz="12" w:space="0" w:color="auto"/>
              <w:bottom w:val="nil"/>
            </w:tcBorders>
            <w:shd w:val="clear" w:color="auto" w:fill="auto"/>
            <w:vAlign w:val="bottom"/>
          </w:tcPr>
          <w:p w:rsidR="00E421FD" w:rsidRPr="00960E47" w:rsidRDefault="00E421FD" w:rsidP="00D463CF">
            <w:pPr>
              <w:pStyle w:val="SingleTxtG"/>
              <w:spacing w:before="40" w:after="40" w:line="220" w:lineRule="exact"/>
              <w:ind w:left="0" w:right="0"/>
              <w:jc w:val="right"/>
              <w:rPr>
                <w:sz w:val="18"/>
                <w:szCs w:val="18"/>
                <w:lang w:val="es-ES"/>
              </w:rPr>
            </w:pPr>
            <w:r w:rsidRPr="00960E47">
              <w:rPr>
                <w:sz w:val="18"/>
                <w:szCs w:val="18"/>
                <w:lang w:val="es-ES"/>
              </w:rPr>
              <w:t>9</w:t>
            </w:r>
            <w:r w:rsidR="00D463CF" w:rsidRPr="00960E47">
              <w:rPr>
                <w:sz w:val="18"/>
                <w:szCs w:val="18"/>
                <w:lang w:val="es-ES"/>
              </w:rPr>
              <w:t xml:space="preserve"> </w:t>
            </w:r>
            <w:r w:rsidRPr="00960E47">
              <w:rPr>
                <w:sz w:val="18"/>
                <w:szCs w:val="18"/>
                <w:lang w:val="es-ES"/>
              </w:rPr>
              <w:t>621</w:t>
            </w:r>
            <w:r w:rsidR="00D463CF" w:rsidRPr="00960E47">
              <w:rPr>
                <w:sz w:val="18"/>
                <w:szCs w:val="18"/>
                <w:lang w:val="es-ES"/>
              </w:rPr>
              <w:t xml:space="preserve"> </w:t>
            </w:r>
            <w:r w:rsidRPr="00960E47">
              <w:rPr>
                <w:sz w:val="18"/>
                <w:szCs w:val="18"/>
                <w:lang w:val="es-ES"/>
              </w:rPr>
              <w:t>960</w:t>
            </w:r>
            <w:r w:rsidR="00D463CF" w:rsidRPr="00960E47">
              <w:rPr>
                <w:sz w:val="18"/>
                <w:szCs w:val="18"/>
                <w:lang w:val="es-ES"/>
              </w:rPr>
              <w:t xml:space="preserve"> </w:t>
            </w:r>
            <w:r w:rsidRPr="00960E47">
              <w:rPr>
                <w:sz w:val="18"/>
                <w:szCs w:val="18"/>
                <w:lang w:val="es-ES"/>
              </w:rPr>
              <w:t>994</w:t>
            </w:r>
          </w:p>
        </w:tc>
        <w:tc>
          <w:tcPr>
            <w:tcW w:w="865" w:type="pct"/>
            <w:tcBorders>
              <w:top w:val="single" w:sz="12" w:space="0" w:color="auto"/>
              <w:bottom w:val="nil"/>
            </w:tcBorders>
            <w:shd w:val="clear" w:color="auto" w:fill="auto"/>
            <w:vAlign w:val="bottom"/>
          </w:tcPr>
          <w:p w:rsidR="00E421FD" w:rsidRPr="00960E47" w:rsidRDefault="00E421FD" w:rsidP="00D463CF">
            <w:pPr>
              <w:pStyle w:val="SingleTxtG"/>
              <w:spacing w:before="40" w:after="40" w:line="220" w:lineRule="exact"/>
              <w:ind w:left="0" w:right="0"/>
              <w:jc w:val="right"/>
              <w:rPr>
                <w:sz w:val="18"/>
                <w:szCs w:val="18"/>
                <w:lang w:val="es-ES"/>
              </w:rPr>
            </w:pPr>
            <w:r w:rsidRPr="00960E47">
              <w:rPr>
                <w:sz w:val="18"/>
                <w:szCs w:val="18"/>
                <w:lang w:val="es-ES"/>
              </w:rPr>
              <w:t>8</w:t>
            </w:r>
            <w:r w:rsidR="00D463CF" w:rsidRPr="00960E47">
              <w:rPr>
                <w:sz w:val="18"/>
                <w:szCs w:val="18"/>
                <w:lang w:val="es-ES"/>
              </w:rPr>
              <w:t xml:space="preserve"> </w:t>
            </w:r>
            <w:r w:rsidRPr="00960E47">
              <w:rPr>
                <w:sz w:val="18"/>
                <w:szCs w:val="18"/>
                <w:lang w:val="es-ES"/>
              </w:rPr>
              <w:t>765</w:t>
            </w:r>
            <w:r w:rsidR="00D463CF" w:rsidRPr="00960E47">
              <w:rPr>
                <w:sz w:val="18"/>
                <w:szCs w:val="18"/>
                <w:lang w:val="es-ES"/>
              </w:rPr>
              <w:t xml:space="preserve"> </w:t>
            </w:r>
            <w:r w:rsidRPr="00960E47">
              <w:rPr>
                <w:sz w:val="18"/>
                <w:szCs w:val="18"/>
                <w:lang w:val="es-ES"/>
              </w:rPr>
              <w:t>011</w:t>
            </w:r>
            <w:r w:rsidR="00D463CF" w:rsidRPr="00960E47">
              <w:rPr>
                <w:sz w:val="18"/>
                <w:szCs w:val="18"/>
                <w:lang w:val="es-ES"/>
              </w:rPr>
              <w:t xml:space="preserve"> </w:t>
            </w:r>
            <w:r w:rsidRPr="00960E47">
              <w:rPr>
                <w:sz w:val="18"/>
                <w:szCs w:val="18"/>
                <w:lang w:val="es-ES"/>
              </w:rPr>
              <w:t>011</w:t>
            </w:r>
          </w:p>
        </w:tc>
        <w:tc>
          <w:tcPr>
            <w:tcW w:w="865" w:type="pct"/>
            <w:tcBorders>
              <w:top w:val="single" w:sz="12" w:space="0" w:color="auto"/>
              <w:bottom w:val="nil"/>
            </w:tcBorders>
            <w:shd w:val="clear" w:color="auto" w:fill="auto"/>
            <w:vAlign w:val="bottom"/>
          </w:tcPr>
          <w:p w:rsidR="00E421FD" w:rsidRPr="00960E47" w:rsidRDefault="00E421FD" w:rsidP="00D463CF">
            <w:pPr>
              <w:pStyle w:val="SingleTxtG"/>
              <w:spacing w:before="40" w:after="40" w:line="220" w:lineRule="exact"/>
              <w:ind w:left="0" w:right="0"/>
              <w:jc w:val="right"/>
              <w:rPr>
                <w:sz w:val="18"/>
                <w:szCs w:val="18"/>
                <w:lang w:val="es-ES"/>
              </w:rPr>
            </w:pPr>
            <w:r w:rsidRPr="00960E47">
              <w:rPr>
                <w:sz w:val="18"/>
                <w:szCs w:val="18"/>
                <w:lang w:val="es-ES"/>
              </w:rPr>
              <w:t>8</w:t>
            </w:r>
            <w:r w:rsidR="00D463CF" w:rsidRPr="00960E47">
              <w:rPr>
                <w:sz w:val="18"/>
                <w:szCs w:val="18"/>
                <w:lang w:val="es-ES"/>
              </w:rPr>
              <w:t xml:space="preserve"> </w:t>
            </w:r>
            <w:r w:rsidRPr="00960E47">
              <w:rPr>
                <w:sz w:val="18"/>
                <w:szCs w:val="18"/>
                <w:lang w:val="es-ES"/>
              </w:rPr>
              <w:t>645</w:t>
            </w:r>
            <w:r w:rsidR="00D463CF" w:rsidRPr="00960E47">
              <w:rPr>
                <w:sz w:val="18"/>
                <w:szCs w:val="18"/>
                <w:lang w:val="es-ES"/>
              </w:rPr>
              <w:t xml:space="preserve"> </w:t>
            </w:r>
            <w:r w:rsidRPr="00960E47">
              <w:rPr>
                <w:sz w:val="18"/>
                <w:szCs w:val="18"/>
                <w:lang w:val="es-ES"/>
              </w:rPr>
              <w:t>557</w:t>
            </w:r>
            <w:r w:rsidR="00D463CF" w:rsidRPr="00960E47">
              <w:rPr>
                <w:sz w:val="18"/>
                <w:szCs w:val="18"/>
                <w:lang w:val="es-ES"/>
              </w:rPr>
              <w:t xml:space="preserve"> </w:t>
            </w:r>
            <w:r w:rsidRPr="00960E47">
              <w:rPr>
                <w:sz w:val="18"/>
                <w:szCs w:val="18"/>
                <w:lang w:val="es-ES"/>
              </w:rPr>
              <w:t>878</w:t>
            </w:r>
          </w:p>
        </w:tc>
        <w:tc>
          <w:tcPr>
            <w:tcW w:w="865" w:type="pct"/>
            <w:tcBorders>
              <w:top w:val="single" w:sz="12" w:space="0" w:color="auto"/>
              <w:bottom w:val="nil"/>
            </w:tcBorders>
            <w:shd w:val="clear" w:color="auto" w:fill="auto"/>
            <w:vAlign w:val="bottom"/>
          </w:tcPr>
          <w:p w:rsidR="00E421FD" w:rsidRPr="00960E47" w:rsidRDefault="00E421FD" w:rsidP="00D463CF">
            <w:pPr>
              <w:pStyle w:val="SingleTxtG"/>
              <w:spacing w:before="40" w:after="40" w:line="220" w:lineRule="exact"/>
              <w:ind w:left="0" w:right="0"/>
              <w:jc w:val="right"/>
              <w:rPr>
                <w:sz w:val="18"/>
                <w:szCs w:val="18"/>
                <w:lang w:val="es-ES"/>
              </w:rPr>
            </w:pPr>
            <w:r w:rsidRPr="00960E47">
              <w:rPr>
                <w:sz w:val="18"/>
                <w:szCs w:val="18"/>
                <w:lang w:val="es-ES"/>
              </w:rPr>
              <w:t>9</w:t>
            </w:r>
            <w:r w:rsidR="00D463CF" w:rsidRPr="00960E47">
              <w:rPr>
                <w:sz w:val="18"/>
                <w:szCs w:val="18"/>
                <w:lang w:val="es-ES"/>
              </w:rPr>
              <w:t xml:space="preserve"> </w:t>
            </w:r>
            <w:r w:rsidRPr="00960E47">
              <w:rPr>
                <w:sz w:val="18"/>
                <w:szCs w:val="18"/>
                <w:lang w:val="es-ES"/>
              </w:rPr>
              <w:t>041</w:t>
            </w:r>
            <w:r w:rsidR="00D463CF" w:rsidRPr="00960E47">
              <w:rPr>
                <w:sz w:val="18"/>
                <w:szCs w:val="18"/>
                <w:lang w:val="es-ES"/>
              </w:rPr>
              <w:t xml:space="preserve"> </w:t>
            </w:r>
            <w:r w:rsidRPr="00960E47">
              <w:rPr>
                <w:sz w:val="18"/>
                <w:szCs w:val="18"/>
                <w:lang w:val="es-ES"/>
              </w:rPr>
              <w:t>112</w:t>
            </w:r>
            <w:r w:rsidR="00D463CF" w:rsidRPr="00960E47">
              <w:rPr>
                <w:sz w:val="18"/>
                <w:szCs w:val="18"/>
                <w:lang w:val="es-ES"/>
              </w:rPr>
              <w:t xml:space="preserve"> </w:t>
            </w:r>
            <w:r w:rsidRPr="00960E47">
              <w:rPr>
                <w:sz w:val="18"/>
                <w:szCs w:val="18"/>
                <w:lang w:val="es-ES"/>
              </w:rPr>
              <w:t>042</w:t>
            </w:r>
          </w:p>
        </w:tc>
        <w:tc>
          <w:tcPr>
            <w:tcW w:w="865" w:type="pct"/>
            <w:tcBorders>
              <w:top w:val="single" w:sz="12" w:space="0" w:color="auto"/>
              <w:bottom w:val="nil"/>
            </w:tcBorders>
            <w:shd w:val="clear" w:color="auto" w:fill="auto"/>
            <w:vAlign w:val="bottom"/>
          </w:tcPr>
          <w:p w:rsidR="00E421FD" w:rsidRPr="00960E47" w:rsidRDefault="00E421FD" w:rsidP="00D463CF">
            <w:pPr>
              <w:pStyle w:val="SingleTxtG"/>
              <w:spacing w:before="40" w:after="40" w:line="220" w:lineRule="exact"/>
              <w:ind w:left="0" w:right="0"/>
              <w:jc w:val="right"/>
              <w:rPr>
                <w:sz w:val="18"/>
                <w:szCs w:val="18"/>
                <w:lang w:val="es-ES"/>
              </w:rPr>
            </w:pPr>
            <w:r w:rsidRPr="00960E47">
              <w:rPr>
                <w:sz w:val="18"/>
                <w:szCs w:val="18"/>
                <w:lang w:val="es-ES"/>
              </w:rPr>
              <w:t>8</w:t>
            </w:r>
            <w:r w:rsidR="00D463CF" w:rsidRPr="00960E47">
              <w:rPr>
                <w:sz w:val="18"/>
                <w:szCs w:val="18"/>
                <w:lang w:val="es-ES"/>
              </w:rPr>
              <w:t xml:space="preserve"> </w:t>
            </w:r>
            <w:r w:rsidRPr="00960E47">
              <w:rPr>
                <w:sz w:val="18"/>
                <w:szCs w:val="18"/>
                <w:lang w:val="es-ES"/>
              </w:rPr>
              <w:t>825</w:t>
            </w:r>
            <w:r w:rsidR="00D463CF" w:rsidRPr="00960E47">
              <w:rPr>
                <w:sz w:val="18"/>
                <w:szCs w:val="18"/>
                <w:lang w:val="es-ES"/>
              </w:rPr>
              <w:t xml:space="preserve"> </w:t>
            </w:r>
            <w:r w:rsidRPr="00960E47">
              <w:rPr>
                <w:sz w:val="18"/>
                <w:szCs w:val="18"/>
                <w:lang w:val="es-ES"/>
              </w:rPr>
              <w:t>114</w:t>
            </w:r>
            <w:r w:rsidR="00D463CF" w:rsidRPr="00960E47">
              <w:rPr>
                <w:sz w:val="18"/>
                <w:szCs w:val="18"/>
                <w:lang w:val="es-ES"/>
              </w:rPr>
              <w:t xml:space="preserve"> </w:t>
            </w:r>
            <w:r w:rsidRPr="00960E47">
              <w:rPr>
                <w:sz w:val="18"/>
                <w:szCs w:val="18"/>
                <w:lang w:val="es-ES"/>
              </w:rPr>
              <w:t>877</w:t>
            </w:r>
          </w:p>
        </w:tc>
      </w:tr>
      <w:tr w:rsidR="00E421FD" w:rsidRPr="00960E47" w:rsidTr="00D463CF">
        <w:tc>
          <w:tcPr>
            <w:tcW w:w="675" w:type="pct"/>
            <w:tcBorders>
              <w:top w:val="nil"/>
              <w:bottom w:val="single" w:sz="12" w:space="0" w:color="auto"/>
            </w:tcBorders>
            <w:shd w:val="clear" w:color="auto" w:fill="auto"/>
            <w:vAlign w:val="bottom"/>
          </w:tcPr>
          <w:p w:rsidR="00E421FD" w:rsidRPr="00960E47" w:rsidRDefault="00E421FD" w:rsidP="00D463CF">
            <w:pPr>
              <w:pStyle w:val="SingleTxtG"/>
              <w:spacing w:before="40" w:after="40" w:line="220" w:lineRule="exact"/>
              <w:ind w:left="0" w:right="0"/>
              <w:jc w:val="left"/>
              <w:rPr>
                <w:sz w:val="18"/>
                <w:szCs w:val="18"/>
                <w:lang w:val="es-ES"/>
              </w:rPr>
            </w:pPr>
            <w:r w:rsidRPr="00960E47">
              <w:rPr>
                <w:sz w:val="18"/>
                <w:szCs w:val="18"/>
                <w:lang w:val="es-ES"/>
              </w:rPr>
              <w:t>Exportaciones</w:t>
            </w:r>
          </w:p>
        </w:tc>
        <w:tc>
          <w:tcPr>
            <w:tcW w:w="865" w:type="pct"/>
            <w:tcBorders>
              <w:top w:val="nil"/>
              <w:bottom w:val="single" w:sz="12" w:space="0" w:color="auto"/>
            </w:tcBorders>
            <w:shd w:val="clear" w:color="auto" w:fill="auto"/>
            <w:vAlign w:val="bottom"/>
          </w:tcPr>
          <w:p w:rsidR="00E421FD" w:rsidRPr="00960E47" w:rsidRDefault="00E421FD" w:rsidP="00D463CF">
            <w:pPr>
              <w:pStyle w:val="SingleTxtG"/>
              <w:spacing w:before="40" w:after="40" w:line="220" w:lineRule="exact"/>
              <w:ind w:left="0" w:right="0"/>
              <w:jc w:val="right"/>
              <w:rPr>
                <w:sz w:val="18"/>
                <w:szCs w:val="18"/>
                <w:lang w:val="es-ES"/>
              </w:rPr>
            </w:pPr>
            <w:r w:rsidRPr="00960E47">
              <w:rPr>
                <w:sz w:val="18"/>
                <w:szCs w:val="18"/>
                <w:lang w:val="es-ES"/>
              </w:rPr>
              <w:t>6</w:t>
            </w:r>
            <w:r w:rsidR="00D463CF" w:rsidRPr="00960E47">
              <w:rPr>
                <w:sz w:val="18"/>
                <w:szCs w:val="18"/>
                <w:lang w:val="es-ES"/>
              </w:rPr>
              <w:t xml:space="preserve"> </w:t>
            </w:r>
            <w:r w:rsidRPr="00960E47">
              <w:rPr>
                <w:sz w:val="18"/>
                <w:szCs w:val="18"/>
                <w:lang w:val="es-ES"/>
              </w:rPr>
              <w:t>358</w:t>
            </w:r>
            <w:r w:rsidR="00D463CF" w:rsidRPr="00960E47">
              <w:rPr>
                <w:sz w:val="18"/>
                <w:szCs w:val="18"/>
                <w:lang w:val="es-ES"/>
              </w:rPr>
              <w:t xml:space="preserve"> </w:t>
            </w:r>
            <w:r w:rsidRPr="00960E47">
              <w:rPr>
                <w:sz w:val="18"/>
                <w:szCs w:val="18"/>
                <w:lang w:val="es-ES"/>
              </w:rPr>
              <w:t>847</w:t>
            </w:r>
            <w:r w:rsidR="00D463CF" w:rsidRPr="00960E47">
              <w:rPr>
                <w:sz w:val="18"/>
                <w:szCs w:val="18"/>
                <w:lang w:val="es-ES"/>
              </w:rPr>
              <w:t xml:space="preserve"> </w:t>
            </w:r>
            <w:r w:rsidRPr="00960E47">
              <w:rPr>
                <w:sz w:val="18"/>
                <w:szCs w:val="18"/>
                <w:lang w:val="es-ES"/>
              </w:rPr>
              <w:t>766</w:t>
            </w:r>
          </w:p>
        </w:tc>
        <w:tc>
          <w:tcPr>
            <w:tcW w:w="865" w:type="pct"/>
            <w:tcBorders>
              <w:top w:val="nil"/>
              <w:bottom w:val="single" w:sz="12" w:space="0" w:color="auto"/>
            </w:tcBorders>
            <w:shd w:val="clear" w:color="auto" w:fill="auto"/>
            <w:vAlign w:val="bottom"/>
          </w:tcPr>
          <w:p w:rsidR="00E421FD" w:rsidRPr="00960E47" w:rsidRDefault="00E421FD" w:rsidP="00D463CF">
            <w:pPr>
              <w:pStyle w:val="SingleTxtG"/>
              <w:spacing w:before="40" w:after="40" w:line="220" w:lineRule="exact"/>
              <w:ind w:left="0" w:right="0"/>
              <w:jc w:val="right"/>
              <w:rPr>
                <w:sz w:val="18"/>
                <w:szCs w:val="18"/>
                <w:lang w:val="es-ES"/>
              </w:rPr>
            </w:pPr>
            <w:r w:rsidRPr="00960E47">
              <w:rPr>
                <w:sz w:val="18"/>
                <w:szCs w:val="18"/>
                <w:lang w:val="es-ES"/>
              </w:rPr>
              <w:t>3</w:t>
            </w:r>
            <w:r w:rsidR="00D463CF" w:rsidRPr="00960E47">
              <w:rPr>
                <w:sz w:val="18"/>
                <w:szCs w:val="18"/>
                <w:lang w:val="es-ES"/>
              </w:rPr>
              <w:t xml:space="preserve"> </w:t>
            </w:r>
            <w:r w:rsidRPr="00960E47">
              <w:rPr>
                <w:sz w:val="18"/>
                <w:szCs w:val="18"/>
                <w:lang w:val="es-ES"/>
              </w:rPr>
              <w:t>878</w:t>
            </w:r>
            <w:r w:rsidR="00D463CF" w:rsidRPr="00960E47">
              <w:rPr>
                <w:sz w:val="18"/>
                <w:szCs w:val="18"/>
                <w:lang w:val="es-ES"/>
              </w:rPr>
              <w:t xml:space="preserve"> </w:t>
            </w:r>
            <w:r w:rsidRPr="00960E47">
              <w:rPr>
                <w:sz w:val="18"/>
                <w:szCs w:val="18"/>
                <w:lang w:val="es-ES"/>
              </w:rPr>
              <w:t>442</w:t>
            </w:r>
            <w:r w:rsidR="00D463CF" w:rsidRPr="00960E47">
              <w:rPr>
                <w:sz w:val="18"/>
                <w:szCs w:val="18"/>
                <w:lang w:val="es-ES"/>
              </w:rPr>
              <w:t xml:space="preserve"> </w:t>
            </w:r>
            <w:r w:rsidRPr="00960E47">
              <w:rPr>
                <w:sz w:val="18"/>
                <w:szCs w:val="18"/>
                <w:lang w:val="es-ES"/>
              </w:rPr>
              <w:t>122</w:t>
            </w:r>
          </w:p>
        </w:tc>
        <w:tc>
          <w:tcPr>
            <w:tcW w:w="865" w:type="pct"/>
            <w:tcBorders>
              <w:top w:val="nil"/>
              <w:bottom w:val="single" w:sz="12" w:space="0" w:color="auto"/>
            </w:tcBorders>
            <w:shd w:val="clear" w:color="auto" w:fill="auto"/>
            <w:vAlign w:val="bottom"/>
          </w:tcPr>
          <w:p w:rsidR="00E421FD" w:rsidRPr="00960E47" w:rsidRDefault="00E421FD" w:rsidP="00D463CF">
            <w:pPr>
              <w:pStyle w:val="SingleTxtG"/>
              <w:spacing w:before="40" w:after="40" w:line="220" w:lineRule="exact"/>
              <w:ind w:left="0" w:right="0"/>
              <w:jc w:val="right"/>
              <w:rPr>
                <w:sz w:val="18"/>
                <w:szCs w:val="18"/>
                <w:lang w:val="es-ES"/>
              </w:rPr>
            </w:pPr>
            <w:r w:rsidRPr="00960E47">
              <w:rPr>
                <w:sz w:val="18"/>
                <w:szCs w:val="18"/>
                <w:lang w:val="es-ES"/>
              </w:rPr>
              <w:t>5</w:t>
            </w:r>
            <w:r w:rsidR="00D463CF" w:rsidRPr="00960E47">
              <w:rPr>
                <w:sz w:val="18"/>
                <w:szCs w:val="18"/>
                <w:lang w:val="es-ES"/>
              </w:rPr>
              <w:t xml:space="preserve"> </w:t>
            </w:r>
            <w:r w:rsidRPr="00960E47">
              <w:rPr>
                <w:sz w:val="18"/>
                <w:szCs w:val="18"/>
                <w:lang w:val="es-ES"/>
              </w:rPr>
              <w:t>122</w:t>
            </w:r>
            <w:r w:rsidR="00D463CF" w:rsidRPr="00960E47">
              <w:rPr>
                <w:sz w:val="18"/>
                <w:szCs w:val="18"/>
                <w:lang w:val="es-ES"/>
              </w:rPr>
              <w:t xml:space="preserve"> </w:t>
            </w:r>
            <w:r w:rsidRPr="00960E47">
              <w:rPr>
                <w:sz w:val="18"/>
                <w:szCs w:val="18"/>
                <w:lang w:val="es-ES"/>
              </w:rPr>
              <w:t>001</w:t>
            </w:r>
            <w:r w:rsidR="00D463CF" w:rsidRPr="00960E47">
              <w:rPr>
                <w:sz w:val="18"/>
                <w:szCs w:val="18"/>
                <w:lang w:val="es-ES"/>
              </w:rPr>
              <w:t xml:space="preserve"> </w:t>
            </w:r>
            <w:r w:rsidRPr="00960E47">
              <w:rPr>
                <w:sz w:val="18"/>
                <w:szCs w:val="18"/>
                <w:lang w:val="es-ES"/>
              </w:rPr>
              <w:t>419</w:t>
            </w:r>
          </w:p>
        </w:tc>
        <w:tc>
          <w:tcPr>
            <w:tcW w:w="865" w:type="pct"/>
            <w:tcBorders>
              <w:top w:val="nil"/>
              <w:bottom w:val="single" w:sz="12" w:space="0" w:color="auto"/>
            </w:tcBorders>
            <w:shd w:val="clear" w:color="auto" w:fill="auto"/>
            <w:vAlign w:val="bottom"/>
          </w:tcPr>
          <w:p w:rsidR="00E421FD" w:rsidRPr="00960E47" w:rsidRDefault="00E421FD" w:rsidP="00D463CF">
            <w:pPr>
              <w:pStyle w:val="SingleTxtG"/>
              <w:spacing w:before="40" w:after="40" w:line="220" w:lineRule="exact"/>
              <w:ind w:left="0" w:right="0"/>
              <w:jc w:val="right"/>
              <w:rPr>
                <w:sz w:val="18"/>
                <w:szCs w:val="18"/>
                <w:lang w:val="es-ES"/>
              </w:rPr>
            </w:pPr>
            <w:r w:rsidRPr="00960E47">
              <w:rPr>
                <w:sz w:val="18"/>
                <w:szCs w:val="18"/>
                <w:lang w:val="es-ES"/>
              </w:rPr>
              <w:t>4</w:t>
            </w:r>
            <w:r w:rsidR="00D463CF" w:rsidRPr="00960E47">
              <w:rPr>
                <w:sz w:val="18"/>
                <w:szCs w:val="18"/>
                <w:lang w:val="es-ES"/>
              </w:rPr>
              <w:t xml:space="preserve"> </w:t>
            </w:r>
            <w:r w:rsidRPr="00960E47">
              <w:rPr>
                <w:sz w:val="18"/>
                <w:szCs w:val="18"/>
                <w:lang w:val="es-ES"/>
              </w:rPr>
              <w:t>297</w:t>
            </w:r>
            <w:r w:rsidR="00D463CF" w:rsidRPr="00960E47">
              <w:rPr>
                <w:sz w:val="18"/>
                <w:szCs w:val="18"/>
                <w:lang w:val="es-ES"/>
              </w:rPr>
              <w:t xml:space="preserve"> </w:t>
            </w:r>
            <w:r w:rsidRPr="00960E47">
              <w:rPr>
                <w:sz w:val="18"/>
                <w:szCs w:val="18"/>
                <w:lang w:val="es-ES"/>
              </w:rPr>
              <w:t>210</w:t>
            </w:r>
            <w:r w:rsidR="00D463CF" w:rsidRPr="00960E47">
              <w:rPr>
                <w:sz w:val="18"/>
                <w:szCs w:val="18"/>
                <w:lang w:val="es-ES"/>
              </w:rPr>
              <w:t xml:space="preserve"> </w:t>
            </w:r>
            <w:r w:rsidRPr="00960E47">
              <w:rPr>
                <w:sz w:val="18"/>
                <w:szCs w:val="18"/>
                <w:lang w:val="es-ES"/>
              </w:rPr>
              <w:t>001</w:t>
            </w:r>
          </w:p>
        </w:tc>
        <w:tc>
          <w:tcPr>
            <w:tcW w:w="865" w:type="pct"/>
            <w:tcBorders>
              <w:top w:val="nil"/>
              <w:bottom w:val="single" w:sz="12" w:space="0" w:color="auto"/>
            </w:tcBorders>
            <w:shd w:val="clear" w:color="auto" w:fill="auto"/>
            <w:vAlign w:val="bottom"/>
          </w:tcPr>
          <w:p w:rsidR="00E421FD" w:rsidRPr="00960E47" w:rsidRDefault="00E421FD" w:rsidP="00D463CF">
            <w:pPr>
              <w:pStyle w:val="SingleTxtG"/>
              <w:spacing w:before="40" w:after="40" w:line="220" w:lineRule="exact"/>
              <w:ind w:left="0" w:right="0"/>
              <w:jc w:val="right"/>
              <w:rPr>
                <w:sz w:val="18"/>
                <w:szCs w:val="18"/>
                <w:lang w:val="es-ES"/>
              </w:rPr>
            </w:pPr>
            <w:r w:rsidRPr="00960E47">
              <w:rPr>
                <w:sz w:val="18"/>
                <w:szCs w:val="18"/>
                <w:lang w:val="es-ES"/>
              </w:rPr>
              <w:t>6</w:t>
            </w:r>
            <w:r w:rsidR="00D463CF" w:rsidRPr="00960E47">
              <w:rPr>
                <w:sz w:val="18"/>
                <w:szCs w:val="18"/>
                <w:lang w:val="es-ES"/>
              </w:rPr>
              <w:t xml:space="preserve"> </w:t>
            </w:r>
            <w:r w:rsidRPr="00960E47">
              <w:rPr>
                <w:sz w:val="18"/>
                <w:szCs w:val="18"/>
                <w:lang w:val="es-ES"/>
              </w:rPr>
              <w:t>014</w:t>
            </w:r>
            <w:r w:rsidR="00D463CF" w:rsidRPr="00960E47">
              <w:rPr>
                <w:sz w:val="18"/>
                <w:szCs w:val="18"/>
                <w:lang w:val="es-ES"/>
              </w:rPr>
              <w:t xml:space="preserve"> </w:t>
            </w:r>
            <w:r w:rsidRPr="00960E47">
              <w:rPr>
                <w:sz w:val="18"/>
                <w:szCs w:val="18"/>
                <w:lang w:val="es-ES"/>
              </w:rPr>
              <w:t>473</w:t>
            </w:r>
            <w:r w:rsidR="00D463CF" w:rsidRPr="00960E47">
              <w:rPr>
                <w:sz w:val="18"/>
                <w:szCs w:val="18"/>
                <w:lang w:val="es-ES"/>
              </w:rPr>
              <w:t xml:space="preserve"> </w:t>
            </w:r>
            <w:r w:rsidRPr="00960E47">
              <w:rPr>
                <w:sz w:val="18"/>
                <w:szCs w:val="18"/>
                <w:lang w:val="es-ES"/>
              </w:rPr>
              <w:t>500</w:t>
            </w:r>
          </w:p>
        </w:tc>
      </w:tr>
    </w:tbl>
    <w:p w:rsidR="00E421FD" w:rsidRPr="00960E47" w:rsidRDefault="00E421FD" w:rsidP="00BD2CEB">
      <w:pPr>
        <w:pStyle w:val="H23G"/>
        <w:rPr>
          <w:lang w:val="es-ES"/>
        </w:rPr>
      </w:pPr>
      <w:r w:rsidRPr="00960E47">
        <w:rPr>
          <w:lang w:val="es-ES"/>
        </w:rPr>
        <w:tab/>
      </w:r>
      <w:r w:rsidRPr="00960E47">
        <w:rPr>
          <w:lang w:val="es-ES"/>
        </w:rPr>
        <w:tab/>
        <w:t>Diez principales países importadores</w:t>
      </w:r>
    </w:p>
    <w:tbl>
      <w:tblPr>
        <w:tblW w:w="8506" w:type="dxa"/>
        <w:tblInd w:w="1134" w:type="dxa"/>
        <w:tblBorders>
          <w:top w:val="single" w:sz="4" w:space="0" w:color="auto"/>
          <w:bottom w:val="single" w:sz="12" w:space="0" w:color="auto"/>
        </w:tblBorders>
        <w:tblLayout w:type="fixed"/>
        <w:tblCellMar>
          <w:left w:w="0" w:type="dxa"/>
          <w:right w:w="0" w:type="dxa"/>
        </w:tblCellMar>
        <w:tblLook w:val="04A0"/>
      </w:tblPr>
      <w:tblGrid>
        <w:gridCol w:w="462"/>
        <w:gridCol w:w="1926"/>
        <w:gridCol w:w="2040"/>
        <w:gridCol w:w="2040"/>
        <w:gridCol w:w="2038"/>
      </w:tblGrid>
      <w:tr w:rsidR="003D5CC3" w:rsidRPr="00960E47" w:rsidTr="003D5CC3">
        <w:trPr>
          <w:tblHeader/>
        </w:trPr>
        <w:tc>
          <w:tcPr>
            <w:tcW w:w="272" w:type="pct"/>
            <w:vMerge w:val="restart"/>
            <w:tcBorders>
              <w:top w:val="single" w:sz="4" w:space="0" w:color="auto"/>
            </w:tcBorders>
            <w:shd w:val="clear" w:color="auto" w:fill="auto"/>
            <w:vAlign w:val="bottom"/>
          </w:tcPr>
          <w:p w:rsidR="00E421FD" w:rsidRPr="00960E47" w:rsidRDefault="00E421FD" w:rsidP="00D463CF">
            <w:pPr>
              <w:pStyle w:val="SingleTxtG"/>
              <w:spacing w:before="80" w:after="80" w:line="200" w:lineRule="exact"/>
              <w:ind w:left="0" w:right="0"/>
              <w:jc w:val="left"/>
              <w:rPr>
                <w:i/>
                <w:sz w:val="16"/>
                <w:szCs w:val="18"/>
                <w:lang w:val="es-ES"/>
              </w:rPr>
            </w:pPr>
          </w:p>
        </w:tc>
        <w:tc>
          <w:tcPr>
            <w:tcW w:w="2331" w:type="pct"/>
            <w:gridSpan w:val="2"/>
            <w:tcBorders>
              <w:top w:val="single" w:sz="4" w:space="0" w:color="auto"/>
              <w:bottom w:val="single" w:sz="4" w:space="0" w:color="000000"/>
              <w:right w:val="single" w:sz="24" w:space="0" w:color="FFFFFF"/>
            </w:tcBorders>
            <w:shd w:val="clear" w:color="auto" w:fill="auto"/>
            <w:vAlign w:val="bottom"/>
          </w:tcPr>
          <w:p w:rsidR="00E421FD" w:rsidRPr="00960E47" w:rsidRDefault="00E421FD" w:rsidP="00D463CF">
            <w:pPr>
              <w:pStyle w:val="SingleTxtG"/>
              <w:spacing w:before="80" w:after="80" w:line="200" w:lineRule="exact"/>
              <w:ind w:left="0" w:right="0"/>
              <w:jc w:val="center"/>
              <w:rPr>
                <w:i/>
                <w:sz w:val="16"/>
                <w:szCs w:val="18"/>
                <w:lang w:val="es-ES"/>
              </w:rPr>
            </w:pPr>
            <w:r w:rsidRPr="00960E47">
              <w:rPr>
                <w:i/>
                <w:sz w:val="16"/>
                <w:szCs w:val="18"/>
                <w:lang w:val="es-ES"/>
              </w:rPr>
              <w:t>2004</w:t>
            </w:r>
          </w:p>
        </w:tc>
        <w:tc>
          <w:tcPr>
            <w:tcW w:w="2397" w:type="pct"/>
            <w:gridSpan w:val="2"/>
            <w:tcBorders>
              <w:top w:val="single" w:sz="4" w:space="0" w:color="auto"/>
              <w:left w:val="single" w:sz="24" w:space="0" w:color="FFFFFF"/>
              <w:bottom w:val="single" w:sz="4" w:space="0" w:color="000000"/>
            </w:tcBorders>
            <w:shd w:val="clear" w:color="auto" w:fill="auto"/>
            <w:vAlign w:val="bottom"/>
          </w:tcPr>
          <w:p w:rsidR="00E421FD" w:rsidRPr="00960E47" w:rsidRDefault="00E421FD" w:rsidP="00D463CF">
            <w:pPr>
              <w:pStyle w:val="SingleTxtG"/>
              <w:spacing w:before="80" w:after="80" w:line="200" w:lineRule="exact"/>
              <w:ind w:left="0" w:right="0"/>
              <w:jc w:val="center"/>
              <w:rPr>
                <w:i/>
                <w:sz w:val="16"/>
                <w:szCs w:val="18"/>
                <w:lang w:val="es-ES"/>
              </w:rPr>
            </w:pPr>
            <w:r w:rsidRPr="00960E47">
              <w:rPr>
                <w:i/>
                <w:sz w:val="16"/>
                <w:szCs w:val="18"/>
                <w:lang w:val="es-ES"/>
              </w:rPr>
              <w:t>2008</w:t>
            </w:r>
          </w:p>
        </w:tc>
      </w:tr>
      <w:tr w:rsidR="003D5CC3" w:rsidRPr="00960E47" w:rsidTr="003D5CC3">
        <w:trPr>
          <w:tblHeader/>
        </w:trPr>
        <w:tc>
          <w:tcPr>
            <w:tcW w:w="272" w:type="pct"/>
            <w:vMerge/>
            <w:tcBorders>
              <w:bottom w:val="single" w:sz="12" w:space="0" w:color="000000"/>
            </w:tcBorders>
            <w:shd w:val="clear" w:color="auto" w:fill="auto"/>
            <w:vAlign w:val="bottom"/>
          </w:tcPr>
          <w:p w:rsidR="00E421FD" w:rsidRPr="00960E47" w:rsidRDefault="00E421FD" w:rsidP="00D463CF">
            <w:pPr>
              <w:pStyle w:val="SingleTxtG"/>
              <w:spacing w:before="80" w:after="80" w:line="200" w:lineRule="exact"/>
              <w:ind w:left="0" w:right="0"/>
              <w:jc w:val="left"/>
              <w:rPr>
                <w:i/>
                <w:sz w:val="16"/>
                <w:szCs w:val="18"/>
                <w:lang w:val="es-ES"/>
              </w:rPr>
            </w:pPr>
          </w:p>
        </w:tc>
        <w:tc>
          <w:tcPr>
            <w:tcW w:w="1132" w:type="pct"/>
            <w:tcBorders>
              <w:top w:val="single" w:sz="4" w:space="0" w:color="000000"/>
              <w:bottom w:val="single" w:sz="12" w:space="0" w:color="000000"/>
            </w:tcBorders>
            <w:shd w:val="clear" w:color="auto" w:fill="auto"/>
            <w:vAlign w:val="bottom"/>
          </w:tcPr>
          <w:p w:rsidR="00E421FD" w:rsidRPr="00960E47" w:rsidRDefault="00E421FD" w:rsidP="00D463CF">
            <w:pPr>
              <w:pStyle w:val="SingleTxtG"/>
              <w:spacing w:before="80" w:after="80" w:line="200" w:lineRule="exact"/>
              <w:ind w:left="0" w:right="0"/>
              <w:jc w:val="right"/>
              <w:rPr>
                <w:i/>
                <w:sz w:val="16"/>
                <w:szCs w:val="18"/>
                <w:lang w:val="es-ES"/>
              </w:rPr>
            </w:pPr>
            <w:r w:rsidRPr="00960E47">
              <w:rPr>
                <w:i/>
                <w:sz w:val="16"/>
                <w:szCs w:val="18"/>
                <w:lang w:val="es-ES"/>
              </w:rPr>
              <w:t>País</w:t>
            </w:r>
          </w:p>
        </w:tc>
        <w:tc>
          <w:tcPr>
            <w:tcW w:w="1199" w:type="pct"/>
            <w:tcBorders>
              <w:top w:val="single" w:sz="4" w:space="0" w:color="000000"/>
              <w:bottom w:val="single" w:sz="12" w:space="0" w:color="000000"/>
              <w:right w:val="single" w:sz="24" w:space="0" w:color="FFFFFF"/>
            </w:tcBorders>
            <w:shd w:val="clear" w:color="auto" w:fill="auto"/>
            <w:vAlign w:val="bottom"/>
          </w:tcPr>
          <w:p w:rsidR="00E421FD" w:rsidRPr="00960E47" w:rsidRDefault="00E421FD" w:rsidP="00D463CF">
            <w:pPr>
              <w:pStyle w:val="SingleTxtG"/>
              <w:spacing w:before="80" w:after="80" w:line="200" w:lineRule="exact"/>
              <w:ind w:left="0" w:right="0"/>
              <w:jc w:val="right"/>
              <w:rPr>
                <w:i/>
                <w:sz w:val="16"/>
                <w:szCs w:val="18"/>
                <w:lang w:val="es-ES"/>
              </w:rPr>
            </w:pPr>
            <w:r w:rsidRPr="00960E47">
              <w:rPr>
                <w:i/>
                <w:sz w:val="16"/>
                <w:szCs w:val="18"/>
                <w:lang w:val="es-ES"/>
              </w:rPr>
              <w:t xml:space="preserve">Valores </w:t>
            </w:r>
          </w:p>
        </w:tc>
        <w:tc>
          <w:tcPr>
            <w:tcW w:w="1199" w:type="pct"/>
            <w:tcBorders>
              <w:top w:val="single" w:sz="4" w:space="0" w:color="000000"/>
              <w:left w:val="single" w:sz="24" w:space="0" w:color="FFFFFF"/>
              <w:bottom w:val="single" w:sz="12" w:space="0" w:color="000000"/>
            </w:tcBorders>
            <w:shd w:val="clear" w:color="auto" w:fill="auto"/>
            <w:vAlign w:val="bottom"/>
          </w:tcPr>
          <w:p w:rsidR="00E421FD" w:rsidRPr="00960E47" w:rsidRDefault="00E421FD" w:rsidP="00D463CF">
            <w:pPr>
              <w:pStyle w:val="SingleTxtG"/>
              <w:spacing w:before="80" w:after="80" w:line="200" w:lineRule="exact"/>
              <w:ind w:left="0" w:right="0"/>
              <w:jc w:val="right"/>
              <w:rPr>
                <w:i/>
                <w:sz w:val="16"/>
                <w:szCs w:val="18"/>
                <w:lang w:val="es-ES"/>
              </w:rPr>
            </w:pPr>
            <w:r w:rsidRPr="00960E47">
              <w:rPr>
                <w:i/>
                <w:sz w:val="16"/>
                <w:szCs w:val="18"/>
                <w:lang w:val="es-ES"/>
              </w:rPr>
              <w:t>País</w:t>
            </w:r>
          </w:p>
        </w:tc>
        <w:tc>
          <w:tcPr>
            <w:tcW w:w="1198" w:type="pct"/>
            <w:tcBorders>
              <w:top w:val="single" w:sz="4" w:space="0" w:color="000000"/>
              <w:bottom w:val="single" w:sz="12" w:space="0" w:color="000000"/>
            </w:tcBorders>
            <w:shd w:val="clear" w:color="auto" w:fill="auto"/>
            <w:vAlign w:val="bottom"/>
          </w:tcPr>
          <w:p w:rsidR="00E421FD" w:rsidRPr="00960E47" w:rsidRDefault="00E421FD" w:rsidP="00D463CF">
            <w:pPr>
              <w:pStyle w:val="SingleTxtG"/>
              <w:spacing w:before="80" w:after="80" w:line="200" w:lineRule="exact"/>
              <w:ind w:left="0" w:right="0"/>
              <w:jc w:val="right"/>
              <w:rPr>
                <w:i/>
                <w:sz w:val="16"/>
                <w:szCs w:val="18"/>
                <w:lang w:val="es-ES"/>
              </w:rPr>
            </w:pPr>
            <w:r w:rsidRPr="00960E47">
              <w:rPr>
                <w:i/>
                <w:sz w:val="16"/>
                <w:szCs w:val="18"/>
                <w:lang w:val="es-ES"/>
              </w:rPr>
              <w:t>Valores</w:t>
            </w:r>
          </w:p>
        </w:tc>
      </w:tr>
      <w:tr w:rsidR="003D5CC3" w:rsidRPr="00960E47" w:rsidTr="003D5CC3">
        <w:tc>
          <w:tcPr>
            <w:tcW w:w="272" w:type="pct"/>
            <w:tcBorders>
              <w:top w:val="single" w:sz="12" w:space="0" w:color="000000"/>
            </w:tcBorders>
            <w:shd w:val="clear" w:color="auto" w:fill="auto"/>
            <w:vAlign w:val="bottom"/>
          </w:tcPr>
          <w:p w:rsidR="00E421FD" w:rsidRPr="00960E47" w:rsidRDefault="00E421FD" w:rsidP="00D463CF">
            <w:pPr>
              <w:pStyle w:val="SingleTxtG"/>
              <w:spacing w:before="40" w:after="40" w:line="220" w:lineRule="exact"/>
              <w:ind w:left="0" w:right="0"/>
              <w:jc w:val="left"/>
              <w:rPr>
                <w:sz w:val="18"/>
                <w:szCs w:val="18"/>
                <w:lang w:val="es-ES"/>
              </w:rPr>
            </w:pPr>
            <w:r w:rsidRPr="00960E47">
              <w:rPr>
                <w:sz w:val="18"/>
                <w:szCs w:val="18"/>
                <w:lang w:val="es-ES"/>
              </w:rPr>
              <w:t>1</w:t>
            </w:r>
          </w:p>
        </w:tc>
        <w:tc>
          <w:tcPr>
            <w:tcW w:w="1132" w:type="pct"/>
            <w:tcBorders>
              <w:top w:val="single" w:sz="12" w:space="0" w:color="000000"/>
            </w:tcBorders>
            <w:shd w:val="clear" w:color="auto" w:fill="auto"/>
            <w:vAlign w:val="bottom"/>
          </w:tcPr>
          <w:p w:rsidR="00E421FD" w:rsidRPr="00960E47" w:rsidRDefault="00E421FD" w:rsidP="00D463CF">
            <w:pPr>
              <w:pStyle w:val="SingleTxtG"/>
              <w:spacing w:before="40" w:after="40" w:line="220" w:lineRule="exact"/>
              <w:ind w:left="0" w:right="0"/>
              <w:jc w:val="right"/>
              <w:rPr>
                <w:sz w:val="18"/>
                <w:szCs w:val="18"/>
                <w:lang w:val="es-ES"/>
              </w:rPr>
            </w:pPr>
            <w:r w:rsidRPr="00960E47">
              <w:rPr>
                <w:sz w:val="18"/>
                <w:szCs w:val="18"/>
                <w:lang w:val="es-ES"/>
              </w:rPr>
              <w:t xml:space="preserve">República de Sudáfrica </w:t>
            </w:r>
          </w:p>
        </w:tc>
        <w:tc>
          <w:tcPr>
            <w:tcW w:w="1199" w:type="pct"/>
            <w:tcBorders>
              <w:top w:val="single" w:sz="12" w:space="0" w:color="000000"/>
            </w:tcBorders>
            <w:shd w:val="clear" w:color="auto" w:fill="auto"/>
            <w:vAlign w:val="bottom"/>
          </w:tcPr>
          <w:p w:rsidR="00E421FD" w:rsidRPr="00960E47" w:rsidRDefault="00E421FD" w:rsidP="00D463CF">
            <w:pPr>
              <w:pStyle w:val="SingleTxtG"/>
              <w:spacing w:before="40" w:after="40" w:line="220" w:lineRule="exact"/>
              <w:ind w:left="0" w:right="0"/>
              <w:jc w:val="right"/>
              <w:rPr>
                <w:sz w:val="18"/>
                <w:szCs w:val="18"/>
                <w:lang w:val="es-ES"/>
              </w:rPr>
            </w:pPr>
            <w:r w:rsidRPr="00960E47">
              <w:rPr>
                <w:sz w:val="18"/>
                <w:szCs w:val="18"/>
                <w:lang w:val="es-ES"/>
              </w:rPr>
              <w:t>7</w:t>
            </w:r>
            <w:r w:rsidR="00D463CF" w:rsidRPr="00960E47">
              <w:rPr>
                <w:sz w:val="18"/>
                <w:szCs w:val="18"/>
                <w:lang w:val="es-ES"/>
              </w:rPr>
              <w:t xml:space="preserve"> </w:t>
            </w:r>
            <w:r w:rsidRPr="00960E47">
              <w:rPr>
                <w:sz w:val="18"/>
                <w:szCs w:val="18"/>
                <w:lang w:val="es-ES"/>
              </w:rPr>
              <w:t>927</w:t>
            </w:r>
            <w:r w:rsidR="00D463CF" w:rsidRPr="00960E47">
              <w:rPr>
                <w:sz w:val="18"/>
                <w:szCs w:val="18"/>
                <w:lang w:val="es-ES"/>
              </w:rPr>
              <w:t xml:space="preserve"> </w:t>
            </w:r>
            <w:r w:rsidRPr="00960E47">
              <w:rPr>
                <w:sz w:val="18"/>
                <w:szCs w:val="18"/>
                <w:lang w:val="es-ES"/>
              </w:rPr>
              <w:t>528</w:t>
            </w:r>
            <w:r w:rsidR="00D463CF" w:rsidRPr="00960E47">
              <w:rPr>
                <w:sz w:val="18"/>
                <w:szCs w:val="18"/>
                <w:lang w:val="es-ES"/>
              </w:rPr>
              <w:t xml:space="preserve"> </w:t>
            </w:r>
            <w:r w:rsidRPr="00960E47">
              <w:rPr>
                <w:sz w:val="18"/>
                <w:szCs w:val="18"/>
                <w:lang w:val="es-ES"/>
              </w:rPr>
              <w:t>900</w:t>
            </w:r>
          </w:p>
        </w:tc>
        <w:tc>
          <w:tcPr>
            <w:tcW w:w="1199" w:type="pct"/>
            <w:tcBorders>
              <w:top w:val="single" w:sz="12" w:space="0" w:color="000000"/>
            </w:tcBorders>
            <w:shd w:val="clear" w:color="auto" w:fill="auto"/>
            <w:vAlign w:val="bottom"/>
          </w:tcPr>
          <w:p w:rsidR="00E421FD" w:rsidRPr="00960E47" w:rsidRDefault="00E421FD" w:rsidP="00D463CF">
            <w:pPr>
              <w:pStyle w:val="SingleTxtG"/>
              <w:spacing w:before="40" w:after="40" w:line="220" w:lineRule="exact"/>
              <w:ind w:left="0" w:right="0"/>
              <w:jc w:val="right"/>
              <w:rPr>
                <w:sz w:val="18"/>
                <w:szCs w:val="18"/>
                <w:lang w:val="es-ES"/>
              </w:rPr>
            </w:pPr>
            <w:r w:rsidRPr="00960E47">
              <w:rPr>
                <w:sz w:val="18"/>
                <w:szCs w:val="18"/>
                <w:lang w:val="es-ES"/>
              </w:rPr>
              <w:t>República de Sudáfrica</w:t>
            </w:r>
          </w:p>
        </w:tc>
        <w:tc>
          <w:tcPr>
            <w:tcW w:w="1198" w:type="pct"/>
            <w:tcBorders>
              <w:top w:val="single" w:sz="12" w:space="0" w:color="000000"/>
            </w:tcBorders>
            <w:shd w:val="clear" w:color="auto" w:fill="auto"/>
            <w:vAlign w:val="bottom"/>
          </w:tcPr>
          <w:p w:rsidR="00E421FD" w:rsidRPr="00960E47" w:rsidRDefault="00E421FD" w:rsidP="00D463CF">
            <w:pPr>
              <w:pStyle w:val="SingleTxtG"/>
              <w:spacing w:before="40" w:after="40" w:line="220" w:lineRule="exact"/>
              <w:ind w:left="0" w:right="0"/>
              <w:jc w:val="right"/>
              <w:rPr>
                <w:sz w:val="18"/>
                <w:szCs w:val="18"/>
                <w:lang w:val="es-ES"/>
              </w:rPr>
            </w:pPr>
            <w:r w:rsidRPr="00960E47">
              <w:rPr>
                <w:sz w:val="18"/>
                <w:szCs w:val="18"/>
                <w:lang w:val="es-ES"/>
              </w:rPr>
              <w:t>8</w:t>
            </w:r>
            <w:r w:rsidR="00D463CF" w:rsidRPr="00960E47">
              <w:rPr>
                <w:sz w:val="18"/>
                <w:szCs w:val="18"/>
                <w:lang w:val="es-ES"/>
              </w:rPr>
              <w:t xml:space="preserve"> </w:t>
            </w:r>
            <w:r w:rsidRPr="00960E47">
              <w:rPr>
                <w:sz w:val="18"/>
                <w:szCs w:val="18"/>
                <w:lang w:val="es-ES"/>
              </w:rPr>
              <w:t>406</w:t>
            </w:r>
            <w:r w:rsidR="00D463CF" w:rsidRPr="00960E47">
              <w:rPr>
                <w:sz w:val="18"/>
                <w:szCs w:val="18"/>
                <w:lang w:val="es-ES"/>
              </w:rPr>
              <w:t xml:space="preserve"> </w:t>
            </w:r>
            <w:r w:rsidRPr="00960E47">
              <w:rPr>
                <w:sz w:val="18"/>
                <w:szCs w:val="18"/>
                <w:lang w:val="es-ES"/>
              </w:rPr>
              <w:t>545</w:t>
            </w:r>
            <w:r w:rsidR="00D463CF" w:rsidRPr="00960E47">
              <w:rPr>
                <w:sz w:val="18"/>
                <w:szCs w:val="18"/>
                <w:lang w:val="es-ES"/>
              </w:rPr>
              <w:t xml:space="preserve"> </w:t>
            </w:r>
            <w:r w:rsidRPr="00960E47">
              <w:rPr>
                <w:sz w:val="18"/>
                <w:szCs w:val="18"/>
                <w:lang w:val="es-ES"/>
              </w:rPr>
              <w:t>370</w:t>
            </w:r>
          </w:p>
        </w:tc>
      </w:tr>
      <w:tr w:rsidR="003D5CC3" w:rsidRPr="00960E47" w:rsidTr="003D5CC3">
        <w:tc>
          <w:tcPr>
            <w:tcW w:w="272" w:type="pct"/>
            <w:shd w:val="clear" w:color="auto" w:fill="auto"/>
            <w:vAlign w:val="bottom"/>
          </w:tcPr>
          <w:p w:rsidR="00E421FD" w:rsidRPr="00960E47" w:rsidRDefault="00E421FD" w:rsidP="00D463CF">
            <w:pPr>
              <w:pStyle w:val="SingleTxtG"/>
              <w:spacing w:before="40" w:after="40" w:line="220" w:lineRule="exact"/>
              <w:ind w:left="0" w:right="0"/>
              <w:jc w:val="left"/>
              <w:rPr>
                <w:sz w:val="18"/>
                <w:szCs w:val="18"/>
                <w:lang w:val="es-ES"/>
              </w:rPr>
            </w:pPr>
            <w:r w:rsidRPr="00960E47">
              <w:rPr>
                <w:sz w:val="18"/>
                <w:szCs w:val="18"/>
                <w:lang w:val="es-ES"/>
              </w:rPr>
              <w:t>2</w:t>
            </w:r>
          </w:p>
        </w:tc>
        <w:tc>
          <w:tcPr>
            <w:tcW w:w="1132" w:type="pct"/>
            <w:shd w:val="clear" w:color="auto" w:fill="auto"/>
            <w:vAlign w:val="bottom"/>
          </w:tcPr>
          <w:p w:rsidR="00E421FD" w:rsidRPr="00960E47" w:rsidRDefault="00E421FD" w:rsidP="00D463CF">
            <w:pPr>
              <w:pStyle w:val="SingleTxtG"/>
              <w:spacing w:before="40" w:after="40" w:line="220" w:lineRule="exact"/>
              <w:ind w:left="0" w:right="0"/>
              <w:jc w:val="right"/>
              <w:rPr>
                <w:sz w:val="18"/>
                <w:szCs w:val="18"/>
                <w:lang w:val="es-ES"/>
              </w:rPr>
            </w:pPr>
            <w:r w:rsidRPr="00960E47">
              <w:rPr>
                <w:sz w:val="18"/>
                <w:szCs w:val="18"/>
                <w:lang w:val="es-ES"/>
              </w:rPr>
              <w:t>Taiwán</w:t>
            </w:r>
          </w:p>
        </w:tc>
        <w:tc>
          <w:tcPr>
            <w:tcW w:w="1199" w:type="pct"/>
            <w:shd w:val="clear" w:color="auto" w:fill="auto"/>
            <w:vAlign w:val="bottom"/>
          </w:tcPr>
          <w:p w:rsidR="00E421FD" w:rsidRPr="00960E47" w:rsidRDefault="00E421FD" w:rsidP="00D463CF">
            <w:pPr>
              <w:pStyle w:val="SingleTxtG"/>
              <w:spacing w:before="40" w:after="40" w:line="220" w:lineRule="exact"/>
              <w:ind w:left="0" w:right="0"/>
              <w:jc w:val="right"/>
              <w:rPr>
                <w:sz w:val="18"/>
                <w:szCs w:val="18"/>
                <w:lang w:val="es-ES"/>
              </w:rPr>
            </w:pPr>
            <w:r w:rsidRPr="00960E47">
              <w:rPr>
                <w:sz w:val="18"/>
                <w:szCs w:val="18"/>
                <w:lang w:val="es-ES"/>
              </w:rPr>
              <w:t>567</w:t>
            </w:r>
            <w:r w:rsidR="00D463CF" w:rsidRPr="00960E47">
              <w:rPr>
                <w:sz w:val="18"/>
                <w:szCs w:val="18"/>
                <w:lang w:val="es-ES"/>
              </w:rPr>
              <w:t xml:space="preserve"> </w:t>
            </w:r>
            <w:r w:rsidRPr="00960E47">
              <w:rPr>
                <w:sz w:val="18"/>
                <w:szCs w:val="18"/>
                <w:lang w:val="es-ES"/>
              </w:rPr>
              <w:t>200</w:t>
            </w:r>
            <w:r w:rsidR="00D463CF" w:rsidRPr="00960E47">
              <w:rPr>
                <w:sz w:val="18"/>
                <w:szCs w:val="18"/>
                <w:lang w:val="es-ES"/>
              </w:rPr>
              <w:t xml:space="preserve"> </w:t>
            </w:r>
            <w:r w:rsidRPr="00960E47">
              <w:rPr>
                <w:sz w:val="18"/>
                <w:szCs w:val="18"/>
                <w:lang w:val="es-ES"/>
              </w:rPr>
              <w:t>632</w:t>
            </w:r>
          </w:p>
        </w:tc>
        <w:tc>
          <w:tcPr>
            <w:tcW w:w="1199" w:type="pct"/>
            <w:shd w:val="clear" w:color="auto" w:fill="auto"/>
            <w:vAlign w:val="bottom"/>
          </w:tcPr>
          <w:p w:rsidR="00E421FD" w:rsidRPr="00960E47" w:rsidRDefault="00E421FD" w:rsidP="00D463CF">
            <w:pPr>
              <w:pStyle w:val="SingleTxtG"/>
              <w:spacing w:before="40" w:after="40" w:line="220" w:lineRule="exact"/>
              <w:ind w:left="0" w:right="0"/>
              <w:jc w:val="right"/>
              <w:rPr>
                <w:sz w:val="18"/>
                <w:szCs w:val="18"/>
                <w:lang w:val="es-ES"/>
              </w:rPr>
            </w:pPr>
            <w:r w:rsidRPr="00960E47">
              <w:rPr>
                <w:sz w:val="18"/>
                <w:szCs w:val="18"/>
                <w:lang w:val="es-ES"/>
              </w:rPr>
              <w:t>Japón</w:t>
            </w:r>
          </w:p>
        </w:tc>
        <w:tc>
          <w:tcPr>
            <w:tcW w:w="1198" w:type="pct"/>
            <w:shd w:val="clear" w:color="auto" w:fill="auto"/>
            <w:vAlign w:val="bottom"/>
          </w:tcPr>
          <w:p w:rsidR="00E421FD" w:rsidRPr="00960E47" w:rsidRDefault="00E421FD" w:rsidP="00D463CF">
            <w:pPr>
              <w:pStyle w:val="SingleTxtG"/>
              <w:spacing w:before="40" w:after="40" w:line="220" w:lineRule="exact"/>
              <w:ind w:left="0" w:right="0"/>
              <w:jc w:val="right"/>
              <w:rPr>
                <w:sz w:val="18"/>
                <w:szCs w:val="18"/>
                <w:lang w:val="es-ES"/>
              </w:rPr>
            </w:pPr>
            <w:r w:rsidRPr="00960E47">
              <w:rPr>
                <w:sz w:val="18"/>
                <w:szCs w:val="18"/>
                <w:lang w:val="es-ES"/>
              </w:rPr>
              <w:t>160</w:t>
            </w:r>
            <w:r w:rsidR="00D463CF" w:rsidRPr="00960E47">
              <w:rPr>
                <w:sz w:val="18"/>
                <w:szCs w:val="18"/>
                <w:lang w:val="es-ES"/>
              </w:rPr>
              <w:t xml:space="preserve"> </w:t>
            </w:r>
            <w:r w:rsidRPr="00960E47">
              <w:rPr>
                <w:sz w:val="18"/>
                <w:szCs w:val="18"/>
                <w:lang w:val="es-ES"/>
              </w:rPr>
              <w:t>729</w:t>
            </w:r>
            <w:r w:rsidR="00D463CF" w:rsidRPr="00960E47">
              <w:rPr>
                <w:sz w:val="18"/>
                <w:szCs w:val="18"/>
                <w:lang w:val="es-ES"/>
              </w:rPr>
              <w:t xml:space="preserve"> </w:t>
            </w:r>
            <w:r w:rsidRPr="00960E47">
              <w:rPr>
                <w:sz w:val="18"/>
                <w:szCs w:val="18"/>
                <w:lang w:val="es-ES"/>
              </w:rPr>
              <w:t>000</w:t>
            </w:r>
          </w:p>
        </w:tc>
      </w:tr>
      <w:tr w:rsidR="003D5CC3" w:rsidRPr="00960E47" w:rsidTr="003D5CC3">
        <w:tc>
          <w:tcPr>
            <w:tcW w:w="272" w:type="pct"/>
            <w:shd w:val="clear" w:color="auto" w:fill="auto"/>
            <w:vAlign w:val="bottom"/>
          </w:tcPr>
          <w:p w:rsidR="00E421FD" w:rsidRPr="00960E47" w:rsidRDefault="00E421FD" w:rsidP="00D463CF">
            <w:pPr>
              <w:pStyle w:val="SingleTxtG"/>
              <w:spacing w:before="40" w:after="40" w:line="220" w:lineRule="exact"/>
              <w:ind w:left="0" w:right="0"/>
              <w:jc w:val="left"/>
              <w:rPr>
                <w:sz w:val="18"/>
                <w:szCs w:val="18"/>
                <w:lang w:val="es-ES"/>
              </w:rPr>
            </w:pPr>
            <w:r w:rsidRPr="00960E47">
              <w:rPr>
                <w:sz w:val="18"/>
                <w:szCs w:val="18"/>
                <w:lang w:val="es-ES"/>
              </w:rPr>
              <w:t>3</w:t>
            </w:r>
          </w:p>
        </w:tc>
        <w:tc>
          <w:tcPr>
            <w:tcW w:w="1132" w:type="pct"/>
            <w:shd w:val="clear" w:color="auto" w:fill="auto"/>
            <w:vAlign w:val="bottom"/>
          </w:tcPr>
          <w:p w:rsidR="00E421FD" w:rsidRPr="00960E47" w:rsidRDefault="009E572D" w:rsidP="00D463CF">
            <w:pPr>
              <w:pStyle w:val="SingleTxtG"/>
              <w:spacing w:before="40" w:after="40" w:line="220" w:lineRule="exact"/>
              <w:ind w:left="0" w:right="0"/>
              <w:jc w:val="right"/>
              <w:rPr>
                <w:sz w:val="18"/>
                <w:szCs w:val="18"/>
                <w:lang w:val="es-ES"/>
              </w:rPr>
            </w:pPr>
            <w:r w:rsidRPr="00960E47">
              <w:rPr>
                <w:sz w:val="18"/>
                <w:szCs w:val="18"/>
                <w:lang w:val="es-ES"/>
              </w:rPr>
              <w:t xml:space="preserve">Hong </w:t>
            </w:r>
            <w:r w:rsidR="00E421FD" w:rsidRPr="00960E47">
              <w:rPr>
                <w:sz w:val="18"/>
                <w:szCs w:val="18"/>
                <w:lang w:val="es-ES"/>
              </w:rPr>
              <w:t>Kong</w:t>
            </w:r>
          </w:p>
        </w:tc>
        <w:tc>
          <w:tcPr>
            <w:tcW w:w="1199" w:type="pct"/>
            <w:shd w:val="clear" w:color="auto" w:fill="auto"/>
            <w:vAlign w:val="bottom"/>
          </w:tcPr>
          <w:p w:rsidR="00E421FD" w:rsidRPr="00960E47" w:rsidRDefault="00E421FD" w:rsidP="00D463CF">
            <w:pPr>
              <w:pStyle w:val="SingleTxtG"/>
              <w:spacing w:before="40" w:after="40" w:line="220" w:lineRule="exact"/>
              <w:ind w:left="0" w:right="0"/>
              <w:jc w:val="right"/>
              <w:rPr>
                <w:sz w:val="18"/>
                <w:szCs w:val="18"/>
                <w:lang w:val="es-ES"/>
              </w:rPr>
            </w:pPr>
            <w:r w:rsidRPr="00960E47">
              <w:rPr>
                <w:sz w:val="18"/>
                <w:szCs w:val="18"/>
                <w:lang w:val="es-ES"/>
              </w:rPr>
              <w:t>516</w:t>
            </w:r>
            <w:r w:rsidR="00D463CF" w:rsidRPr="00960E47">
              <w:rPr>
                <w:sz w:val="18"/>
                <w:szCs w:val="18"/>
                <w:lang w:val="es-ES"/>
              </w:rPr>
              <w:t xml:space="preserve"> </w:t>
            </w:r>
            <w:r w:rsidRPr="00960E47">
              <w:rPr>
                <w:sz w:val="18"/>
                <w:szCs w:val="18"/>
                <w:lang w:val="es-ES"/>
              </w:rPr>
              <w:t>091</w:t>
            </w:r>
            <w:r w:rsidR="00D463CF" w:rsidRPr="00960E47">
              <w:rPr>
                <w:sz w:val="18"/>
                <w:szCs w:val="18"/>
                <w:lang w:val="es-ES"/>
              </w:rPr>
              <w:t xml:space="preserve"> </w:t>
            </w:r>
            <w:r w:rsidRPr="00960E47">
              <w:rPr>
                <w:sz w:val="18"/>
                <w:szCs w:val="18"/>
                <w:lang w:val="es-ES"/>
              </w:rPr>
              <w:t>496</w:t>
            </w:r>
          </w:p>
        </w:tc>
        <w:tc>
          <w:tcPr>
            <w:tcW w:w="1199" w:type="pct"/>
            <w:shd w:val="clear" w:color="auto" w:fill="auto"/>
            <w:vAlign w:val="bottom"/>
          </w:tcPr>
          <w:p w:rsidR="00E421FD" w:rsidRPr="00960E47" w:rsidRDefault="00E421FD" w:rsidP="00D463CF">
            <w:pPr>
              <w:pStyle w:val="SingleTxtG"/>
              <w:spacing w:before="40" w:after="40" w:line="220" w:lineRule="exact"/>
              <w:ind w:left="0" w:right="0"/>
              <w:jc w:val="right"/>
              <w:rPr>
                <w:sz w:val="18"/>
                <w:szCs w:val="18"/>
                <w:lang w:val="es-ES"/>
              </w:rPr>
            </w:pPr>
            <w:r w:rsidRPr="00960E47">
              <w:rPr>
                <w:sz w:val="18"/>
                <w:szCs w:val="18"/>
                <w:lang w:val="es-ES"/>
              </w:rPr>
              <w:t>Alemania</w:t>
            </w:r>
          </w:p>
        </w:tc>
        <w:tc>
          <w:tcPr>
            <w:tcW w:w="1198" w:type="pct"/>
            <w:shd w:val="clear" w:color="auto" w:fill="auto"/>
            <w:vAlign w:val="bottom"/>
          </w:tcPr>
          <w:p w:rsidR="00E421FD" w:rsidRPr="00960E47" w:rsidRDefault="00E421FD" w:rsidP="00D463CF">
            <w:pPr>
              <w:pStyle w:val="SingleTxtG"/>
              <w:spacing w:before="40" w:after="40" w:line="220" w:lineRule="exact"/>
              <w:ind w:left="0" w:right="0"/>
              <w:jc w:val="right"/>
              <w:rPr>
                <w:sz w:val="18"/>
                <w:szCs w:val="18"/>
                <w:lang w:val="es-ES"/>
              </w:rPr>
            </w:pPr>
            <w:r w:rsidRPr="00960E47">
              <w:rPr>
                <w:sz w:val="18"/>
                <w:szCs w:val="18"/>
                <w:lang w:val="es-ES"/>
              </w:rPr>
              <w:t>12</w:t>
            </w:r>
            <w:r w:rsidR="00D463CF" w:rsidRPr="00960E47">
              <w:rPr>
                <w:sz w:val="18"/>
                <w:szCs w:val="18"/>
                <w:lang w:val="es-ES"/>
              </w:rPr>
              <w:t xml:space="preserve"> </w:t>
            </w:r>
            <w:r w:rsidRPr="00960E47">
              <w:rPr>
                <w:sz w:val="18"/>
                <w:szCs w:val="18"/>
                <w:lang w:val="es-ES"/>
              </w:rPr>
              <w:t>161</w:t>
            </w:r>
            <w:r w:rsidR="00D463CF" w:rsidRPr="00960E47">
              <w:rPr>
                <w:sz w:val="18"/>
                <w:szCs w:val="18"/>
                <w:lang w:val="es-ES"/>
              </w:rPr>
              <w:t xml:space="preserve"> </w:t>
            </w:r>
            <w:r w:rsidRPr="00960E47">
              <w:rPr>
                <w:sz w:val="18"/>
                <w:szCs w:val="18"/>
                <w:lang w:val="es-ES"/>
              </w:rPr>
              <w:t>200</w:t>
            </w:r>
          </w:p>
        </w:tc>
      </w:tr>
      <w:tr w:rsidR="003D5CC3" w:rsidRPr="00960E47" w:rsidTr="003D5CC3">
        <w:tc>
          <w:tcPr>
            <w:tcW w:w="272" w:type="pct"/>
            <w:shd w:val="clear" w:color="auto" w:fill="auto"/>
            <w:vAlign w:val="bottom"/>
          </w:tcPr>
          <w:p w:rsidR="00E421FD" w:rsidRPr="00960E47" w:rsidRDefault="00E421FD" w:rsidP="00D463CF">
            <w:pPr>
              <w:pStyle w:val="SingleTxtG"/>
              <w:spacing w:before="40" w:after="40" w:line="220" w:lineRule="exact"/>
              <w:ind w:left="0" w:right="0"/>
              <w:jc w:val="left"/>
              <w:rPr>
                <w:sz w:val="18"/>
                <w:szCs w:val="18"/>
                <w:lang w:val="es-ES"/>
              </w:rPr>
            </w:pPr>
            <w:r w:rsidRPr="00960E47">
              <w:rPr>
                <w:sz w:val="18"/>
                <w:szCs w:val="18"/>
                <w:lang w:val="es-ES"/>
              </w:rPr>
              <w:t>4</w:t>
            </w:r>
          </w:p>
        </w:tc>
        <w:tc>
          <w:tcPr>
            <w:tcW w:w="1132" w:type="pct"/>
            <w:shd w:val="clear" w:color="auto" w:fill="auto"/>
            <w:vAlign w:val="bottom"/>
          </w:tcPr>
          <w:p w:rsidR="00E421FD" w:rsidRPr="00960E47" w:rsidRDefault="00E421FD" w:rsidP="00D463CF">
            <w:pPr>
              <w:pStyle w:val="SingleTxtG"/>
              <w:spacing w:before="40" w:after="40" w:line="220" w:lineRule="exact"/>
              <w:ind w:left="0" w:right="0"/>
              <w:jc w:val="right"/>
              <w:rPr>
                <w:sz w:val="18"/>
                <w:szCs w:val="18"/>
                <w:lang w:val="es-ES"/>
              </w:rPr>
            </w:pPr>
            <w:r w:rsidRPr="00960E47">
              <w:rPr>
                <w:sz w:val="18"/>
                <w:szCs w:val="18"/>
                <w:lang w:val="es-ES"/>
              </w:rPr>
              <w:t>China</w:t>
            </w:r>
          </w:p>
        </w:tc>
        <w:tc>
          <w:tcPr>
            <w:tcW w:w="1199" w:type="pct"/>
            <w:shd w:val="clear" w:color="auto" w:fill="auto"/>
            <w:vAlign w:val="bottom"/>
          </w:tcPr>
          <w:p w:rsidR="00E421FD" w:rsidRPr="00960E47" w:rsidRDefault="00E421FD" w:rsidP="00D463CF">
            <w:pPr>
              <w:pStyle w:val="SingleTxtG"/>
              <w:spacing w:before="40" w:after="40" w:line="220" w:lineRule="exact"/>
              <w:ind w:left="0" w:right="0"/>
              <w:jc w:val="right"/>
              <w:rPr>
                <w:sz w:val="18"/>
                <w:szCs w:val="18"/>
                <w:lang w:val="es-ES"/>
              </w:rPr>
            </w:pPr>
            <w:r w:rsidRPr="00960E47">
              <w:rPr>
                <w:sz w:val="18"/>
                <w:szCs w:val="18"/>
                <w:lang w:val="es-ES"/>
              </w:rPr>
              <w:t>358</w:t>
            </w:r>
            <w:r w:rsidR="00D463CF" w:rsidRPr="00960E47">
              <w:rPr>
                <w:sz w:val="18"/>
                <w:szCs w:val="18"/>
                <w:lang w:val="es-ES"/>
              </w:rPr>
              <w:t xml:space="preserve"> </w:t>
            </w:r>
            <w:r w:rsidRPr="00960E47">
              <w:rPr>
                <w:sz w:val="18"/>
                <w:szCs w:val="18"/>
                <w:lang w:val="es-ES"/>
              </w:rPr>
              <w:t>979</w:t>
            </w:r>
            <w:r w:rsidR="00D463CF" w:rsidRPr="00960E47">
              <w:rPr>
                <w:sz w:val="18"/>
                <w:szCs w:val="18"/>
                <w:lang w:val="es-ES"/>
              </w:rPr>
              <w:t xml:space="preserve"> </w:t>
            </w:r>
            <w:r w:rsidRPr="00960E47">
              <w:rPr>
                <w:sz w:val="18"/>
                <w:szCs w:val="18"/>
                <w:lang w:val="es-ES"/>
              </w:rPr>
              <w:t>145</w:t>
            </w:r>
          </w:p>
        </w:tc>
        <w:tc>
          <w:tcPr>
            <w:tcW w:w="1199" w:type="pct"/>
            <w:shd w:val="clear" w:color="auto" w:fill="auto"/>
            <w:vAlign w:val="bottom"/>
          </w:tcPr>
          <w:p w:rsidR="00E421FD" w:rsidRPr="00960E47" w:rsidRDefault="00E421FD" w:rsidP="00D463CF">
            <w:pPr>
              <w:pStyle w:val="SingleTxtG"/>
              <w:spacing w:before="40" w:after="40" w:line="220" w:lineRule="exact"/>
              <w:ind w:left="0" w:right="0"/>
              <w:jc w:val="right"/>
              <w:rPr>
                <w:sz w:val="18"/>
                <w:szCs w:val="18"/>
                <w:lang w:val="es-ES"/>
              </w:rPr>
            </w:pPr>
            <w:r w:rsidRPr="00960E47">
              <w:rPr>
                <w:sz w:val="18"/>
                <w:szCs w:val="18"/>
                <w:lang w:val="es-ES"/>
              </w:rPr>
              <w:t>Estados Unidos</w:t>
            </w:r>
          </w:p>
        </w:tc>
        <w:tc>
          <w:tcPr>
            <w:tcW w:w="1198" w:type="pct"/>
            <w:shd w:val="clear" w:color="auto" w:fill="auto"/>
            <w:vAlign w:val="bottom"/>
          </w:tcPr>
          <w:p w:rsidR="00E421FD" w:rsidRPr="00960E47" w:rsidRDefault="00E421FD" w:rsidP="00D463CF">
            <w:pPr>
              <w:pStyle w:val="SingleTxtG"/>
              <w:spacing w:before="40" w:after="40" w:line="220" w:lineRule="exact"/>
              <w:ind w:left="0" w:right="0"/>
              <w:jc w:val="right"/>
              <w:rPr>
                <w:sz w:val="18"/>
                <w:szCs w:val="18"/>
                <w:lang w:val="es-ES"/>
              </w:rPr>
            </w:pPr>
            <w:r w:rsidRPr="00960E47">
              <w:rPr>
                <w:sz w:val="18"/>
                <w:szCs w:val="18"/>
                <w:lang w:val="es-ES"/>
              </w:rPr>
              <w:t>64</w:t>
            </w:r>
            <w:r w:rsidR="00D463CF" w:rsidRPr="00960E47">
              <w:rPr>
                <w:sz w:val="18"/>
                <w:szCs w:val="18"/>
                <w:lang w:val="es-ES"/>
              </w:rPr>
              <w:t xml:space="preserve"> </w:t>
            </w:r>
            <w:r w:rsidRPr="00960E47">
              <w:rPr>
                <w:sz w:val="18"/>
                <w:szCs w:val="18"/>
                <w:lang w:val="es-ES"/>
              </w:rPr>
              <w:t>419</w:t>
            </w:r>
            <w:r w:rsidR="00D463CF" w:rsidRPr="00960E47">
              <w:rPr>
                <w:sz w:val="18"/>
                <w:szCs w:val="18"/>
                <w:lang w:val="es-ES"/>
              </w:rPr>
              <w:t xml:space="preserve"> </w:t>
            </w:r>
            <w:r w:rsidRPr="00960E47">
              <w:rPr>
                <w:sz w:val="18"/>
                <w:szCs w:val="18"/>
                <w:lang w:val="es-ES"/>
              </w:rPr>
              <w:t>000</w:t>
            </w:r>
          </w:p>
        </w:tc>
      </w:tr>
      <w:tr w:rsidR="003D5CC3" w:rsidRPr="00960E47" w:rsidTr="003D5CC3">
        <w:tc>
          <w:tcPr>
            <w:tcW w:w="272" w:type="pct"/>
            <w:tcBorders>
              <w:bottom w:val="nil"/>
            </w:tcBorders>
            <w:shd w:val="clear" w:color="auto" w:fill="auto"/>
            <w:vAlign w:val="bottom"/>
          </w:tcPr>
          <w:p w:rsidR="00E421FD" w:rsidRPr="00960E47" w:rsidRDefault="00E421FD" w:rsidP="00D463CF">
            <w:pPr>
              <w:pStyle w:val="SingleTxtG"/>
              <w:spacing w:before="40" w:after="40" w:line="220" w:lineRule="exact"/>
              <w:ind w:left="0" w:right="0"/>
              <w:jc w:val="left"/>
              <w:rPr>
                <w:sz w:val="18"/>
                <w:szCs w:val="18"/>
                <w:lang w:val="es-ES"/>
              </w:rPr>
            </w:pPr>
            <w:r w:rsidRPr="00960E47">
              <w:rPr>
                <w:sz w:val="18"/>
                <w:szCs w:val="18"/>
                <w:lang w:val="es-ES"/>
              </w:rPr>
              <w:t>5</w:t>
            </w:r>
          </w:p>
        </w:tc>
        <w:tc>
          <w:tcPr>
            <w:tcW w:w="1132" w:type="pct"/>
            <w:tcBorders>
              <w:bottom w:val="nil"/>
            </w:tcBorders>
            <w:shd w:val="clear" w:color="auto" w:fill="auto"/>
            <w:vAlign w:val="bottom"/>
          </w:tcPr>
          <w:p w:rsidR="00E421FD" w:rsidRPr="00960E47" w:rsidRDefault="00E421FD" w:rsidP="00D463CF">
            <w:pPr>
              <w:pStyle w:val="SingleTxtG"/>
              <w:spacing w:before="40" w:after="40" w:line="220" w:lineRule="exact"/>
              <w:ind w:left="0" w:right="0"/>
              <w:jc w:val="right"/>
              <w:rPr>
                <w:sz w:val="18"/>
                <w:szCs w:val="18"/>
                <w:lang w:val="es-ES"/>
              </w:rPr>
            </w:pPr>
            <w:r w:rsidRPr="00960E47">
              <w:rPr>
                <w:sz w:val="18"/>
                <w:szCs w:val="18"/>
                <w:lang w:val="es-ES"/>
              </w:rPr>
              <w:t>Estados Unidos</w:t>
            </w:r>
          </w:p>
        </w:tc>
        <w:tc>
          <w:tcPr>
            <w:tcW w:w="1199" w:type="pct"/>
            <w:tcBorders>
              <w:bottom w:val="nil"/>
            </w:tcBorders>
            <w:shd w:val="clear" w:color="auto" w:fill="auto"/>
            <w:vAlign w:val="bottom"/>
          </w:tcPr>
          <w:p w:rsidR="00E421FD" w:rsidRPr="00960E47" w:rsidRDefault="00E421FD" w:rsidP="00D463CF">
            <w:pPr>
              <w:pStyle w:val="SingleTxtG"/>
              <w:spacing w:before="40" w:after="40" w:line="220" w:lineRule="exact"/>
              <w:ind w:left="0" w:right="0"/>
              <w:jc w:val="right"/>
              <w:rPr>
                <w:sz w:val="18"/>
                <w:szCs w:val="18"/>
                <w:lang w:val="es-ES"/>
              </w:rPr>
            </w:pPr>
            <w:r w:rsidRPr="00960E47">
              <w:rPr>
                <w:sz w:val="18"/>
                <w:szCs w:val="18"/>
                <w:lang w:val="es-ES"/>
              </w:rPr>
              <w:t>77</w:t>
            </w:r>
            <w:r w:rsidR="00D463CF" w:rsidRPr="00960E47">
              <w:rPr>
                <w:sz w:val="18"/>
                <w:szCs w:val="18"/>
                <w:lang w:val="es-ES"/>
              </w:rPr>
              <w:t xml:space="preserve"> </w:t>
            </w:r>
            <w:r w:rsidRPr="00960E47">
              <w:rPr>
                <w:sz w:val="18"/>
                <w:szCs w:val="18"/>
                <w:lang w:val="es-ES"/>
              </w:rPr>
              <w:t>959</w:t>
            </w:r>
            <w:r w:rsidR="00D463CF" w:rsidRPr="00960E47">
              <w:rPr>
                <w:sz w:val="18"/>
                <w:szCs w:val="18"/>
                <w:lang w:val="es-ES"/>
              </w:rPr>
              <w:t xml:space="preserve"> </w:t>
            </w:r>
            <w:r w:rsidRPr="00960E47">
              <w:rPr>
                <w:sz w:val="18"/>
                <w:szCs w:val="18"/>
                <w:lang w:val="es-ES"/>
              </w:rPr>
              <w:t>635</w:t>
            </w:r>
          </w:p>
        </w:tc>
        <w:tc>
          <w:tcPr>
            <w:tcW w:w="1199" w:type="pct"/>
            <w:tcBorders>
              <w:bottom w:val="nil"/>
            </w:tcBorders>
            <w:shd w:val="clear" w:color="auto" w:fill="auto"/>
            <w:vAlign w:val="bottom"/>
          </w:tcPr>
          <w:p w:rsidR="00E421FD" w:rsidRPr="00960E47" w:rsidRDefault="00E421FD" w:rsidP="00D463CF">
            <w:pPr>
              <w:pStyle w:val="SingleTxtG"/>
              <w:spacing w:before="40" w:after="40" w:line="220" w:lineRule="exact"/>
              <w:ind w:left="0" w:right="0"/>
              <w:jc w:val="right"/>
              <w:rPr>
                <w:sz w:val="18"/>
                <w:szCs w:val="18"/>
                <w:lang w:val="es-ES"/>
              </w:rPr>
            </w:pPr>
            <w:r w:rsidRPr="00960E47">
              <w:rPr>
                <w:sz w:val="18"/>
                <w:szCs w:val="18"/>
                <w:lang w:val="es-ES"/>
              </w:rPr>
              <w:t>Reino Unido</w:t>
            </w:r>
          </w:p>
        </w:tc>
        <w:tc>
          <w:tcPr>
            <w:tcW w:w="1198" w:type="pct"/>
            <w:tcBorders>
              <w:bottom w:val="nil"/>
            </w:tcBorders>
            <w:shd w:val="clear" w:color="auto" w:fill="auto"/>
            <w:vAlign w:val="bottom"/>
          </w:tcPr>
          <w:p w:rsidR="00E421FD" w:rsidRPr="00960E47" w:rsidRDefault="00E421FD" w:rsidP="00D463CF">
            <w:pPr>
              <w:pStyle w:val="SingleTxtG"/>
              <w:spacing w:before="40" w:after="40" w:line="220" w:lineRule="exact"/>
              <w:ind w:left="0" w:right="0"/>
              <w:jc w:val="right"/>
              <w:rPr>
                <w:sz w:val="18"/>
                <w:szCs w:val="18"/>
                <w:lang w:val="es-ES"/>
              </w:rPr>
            </w:pPr>
            <w:r w:rsidRPr="00960E47">
              <w:rPr>
                <w:sz w:val="18"/>
                <w:szCs w:val="18"/>
                <w:lang w:val="es-ES"/>
              </w:rPr>
              <w:t>21</w:t>
            </w:r>
            <w:r w:rsidR="00D463CF" w:rsidRPr="00960E47">
              <w:rPr>
                <w:sz w:val="18"/>
                <w:szCs w:val="18"/>
                <w:lang w:val="es-ES"/>
              </w:rPr>
              <w:t xml:space="preserve"> </w:t>
            </w:r>
            <w:r w:rsidRPr="00960E47">
              <w:rPr>
                <w:sz w:val="18"/>
                <w:szCs w:val="18"/>
                <w:lang w:val="es-ES"/>
              </w:rPr>
              <w:t>868</w:t>
            </w:r>
            <w:r w:rsidR="00D463CF" w:rsidRPr="00960E47">
              <w:rPr>
                <w:sz w:val="18"/>
                <w:szCs w:val="18"/>
                <w:lang w:val="es-ES"/>
              </w:rPr>
              <w:t xml:space="preserve"> </w:t>
            </w:r>
            <w:r w:rsidRPr="00960E47">
              <w:rPr>
                <w:sz w:val="18"/>
                <w:szCs w:val="18"/>
                <w:lang w:val="es-ES"/>
              </w:rPr>
              <w:t>102</w:t>
            </w:r>
          </w:p>
        </w:tc>
      </w:tr>
      <w:tr w:rsidR="003D5CC3" w:rsidRPr="00960E47" w:rsidTr="003D5CC3">
        <w:tc>
          <w:tcPr>
            <w:tcW w:w="272" w:type="pct"/>
            <w:tcBorders>
              <w:top w:val="nil"/>
              <w:bottom w:val="nil"/>
            </w:tcBorders>
            <w:shd w:val="clear" w:color="auto" w:fill="auto"/>
            <w:vAlign w:val="bottom"/>
          </w:tcPr>
          <w:p w:rsidR="00E421FD" w:rsidRPr="00960E47" w:rsidRDefault="00E421FD" w:rsidP="00D463CF">
            <w:pPr>
              <w:pStyle w:val="SingleTxtG"/>
              <w:spacing w:before="40" w:after="40" w:line="220" w:lineRule="exact"/>
              <w:ind w:left="0" w:right="0"/>
              <w:jc w:val="left"/>
              <w:rPr>
                <w:sz w:val="18"/>
                <w:szCs w:val="18"/>
                <w:lang w:val="es-ES"/>
              </w:rPr>
            </w:pPr>
            <w:r w:rsidRPr="00960E47">
              <w:rPr>
                <w:sz w:val="18"/>
                <w:szCs w:val="18"/>
                <w:lang w:val="es-ES"/>
              </w:rPr>
              <w:t>6</w:t>
            </w:r>
          </w:p>
        </w:tc>
        <w:tc>
          <w:tcPr>
            <w:tcW w:w="1132" w:type="pct"/>
            <w:tcBorders>
              <w:top w:val="nil"/>
              <w:bottom w:val="nil"/>
            </w:tcBorders>
            <w:shd w:val="clear" w:color="auto" w:fill="auto"/>
            <w:vAlign w:val="bottom"/>
          </w:tcPr>
          <w:p w:rsidR="00E421FD" w:rsidRPr="00960E47" w:rsidRDefault="00E421FD" w:rsidP="00D463CF">
            <w:pPr>
              <w:pStyle w:val="SingleTxtG"/>
              <w:spacing w:before="40" w:after="40" w:line="220" w:lineRule="exact"/>
              <w:ind w:left="0" w:right="0"/>
              <w:jc w:val="right"/>
              <w:rPr>
                <w:sz w:val="18"/>
                <w:szCs w:val="18"/>
                <w:lang w:val="es-ES"/>
              </w:rPr>
            </w:pPr>
            <w:r w:rsidRPr="00960E47">
              <w:rPr>
                <w:sz w:val="18"/>
                <w:szCs w:val="18"/>
                <w:lang w:val="es-ES"/>
              </w:rPr>
              <w:t>Singapur</w:t>
            </w:r>
          </w:p>
        </w:tc>
        <w:tc>
          <w:tcPr>
            <w:tcW w:w="1199" w:type="pct"/>
            <w:tcBorders>
              <w:top w:val="nil"/>
              <w:bottom w:val="nil"/>
            </w:tcBorders>
            <w:shd w:val="clear" w:color="auto" w:fill="auto"/>
            <w:vAlign w:val="bottom"/>
          </w:tcPr>
          <w:p w:rsidR="00E421FD" w:rsidRPr="00960E47" w:rsidRDefault="00E421FD" w:rsidP="00D463CF">
            <w:pPr>
              <w:pStyle w:val="SingleTxtG"/>
              <w:spacing w:before="40" w:after="40" w:line="220" w:lineRule="exact"/>
              <w:ind w:left="0" w:right="0"/>
              <w:jc w:val="right"/>
              <w:rPr>
                <w:sz w:val="18"/>
                <w:szCs w:val="18"/>
                <w:lang w:val="es-ES"/>
              </w:rPr>
            </w:pPr>
            <w:r w:rsidRPr="00960E47">
              <w:rPr>
                <w:sz w:val="18"/>
                <w:szCs w:val="18"/>
                <w:lang w:val="es-ES"/>
              </w:rPr>
              <w:t>59</w:t>
            </w:r>
            <w:r w:rsidR="00D463CF" w:rsidRPr="00960E47">
              <w:rPr>
                <w:sz w:val="18"/>
                <w:szCs w:val="18"/>
                <w:lang w:val="es-ES"/>
              </w:rPr>
              <w:t xml:space="preserve"> </w:t>
            </w:r>
            <w:r w:rsidRPr="00960E47">
              <w:rPr>
                <w:sz w:val="18"/>
                <w:szCs w:val="18"/>
                <w:lang w:val="es-ES"/>
              </w:rPr>
              <w:t>393</w:t>
            </w:r>
            <w:r w:rsidR="00D463CF" w:rsidRPr="00960E47">
              <w:rPr>
                <w:sz w:val="18"/>
                <w:szCs w:val="18"/>
                <w:lang w:val="es-ES"/>
              </w:rPr>
              <w:t xml:space="preserve"> </w:t>
            </w:r>
            <w:r w:rsidRPr="00960E47">
              <w:rPr>
                <w:sz w:val="18"/>
                <w:szCs w:val="18"/>
                <w:lang w:val="es-ES"/>
              </w:rPr>
              <w:t>394</w:t>
            </w:r>
          </w:p>
        </w:tc>
        <w:tc>
          <w:tcPr>
            <w:tcW w:w="1199" w:type="pct"/>
            <w:tcBorders>
              <w:top w:val="nil"/>
              <w:bottom w:val="nil"/>
            </w:tcBorders>
            <w:shd w:val="clear" w:color="auto" w:fill="auto"/>
            <w:vAlign w:val="bottom"/>
          </w:tcPr>
          <w:p w:rsidR="00E421FD" w:rsidRPr="00960E47" w:rsidRDefault="00E421FD" w:rsidP="00D463CF">
            <w:pPr>
              <w:pStyle w:val="SingleTxtG"/>
              <w:spacing w:before="40" w:after="40" w:line="220" w:lineRule="exact"/>
              <w:ind w:left="0" w:right="0"/>
              <w:jc w:val="right"/>
              <w:rPr>
                <w:sz w:val="18"/>
                <w:szCs w:val="18"/>
                <w:lang w:val="es-ES"/>
              </w:rPr>
            </w:pPr>
            <w:r w:rsidRPr="00960E47">
              <w:rPr>
                <w:sz w:val="18"/>
                <w:szCs w:val="18"/>
                <w:lang w:val="es-ES"/>
              </w:rPr>
              <w:t>China</w:t>
            </w:r>
          </w:p>
        </w:tc>
        <w:tc>
          <w:tcPr>
            <w:tcW w:w="1198" w:type="pct"/>
            <w:tcBorders>
              <w:top w:val="nil"/>
              <w:bottom w:val="nil"/>
            </w:tcBorders>
            <w:shd w:val="clear" w:color="auto" w:fill="auto"/>
            <w:vAlign w:val="bottom"/>
          </w:tcPr>
          <w:p w:rsidR="00E421FD" w:rsidRPr="00960E47" w:rsidRDefault="00E421FD" w:rsidP="00D463CF">
            <w:pPr>
              <w:pStyle w:val="SingleTxtG"/>
              <w:spacing w:before="40" w:after="40" w:line="220" w:lineRule="exact"/>
              <w:ind w:left="0" w:right="0"/>
              <w:jc w:val="right"/>
              <w:rPr>
                <w:sz w:val="18"/>
                <w:szCs w:val="18"/>
                <w:lang w:val="es-ES"/>
              </w:rPr>
            </w:pPr>
            <w:r w:rsidRPr="00960E47">
              <w:rPr>
                <w:sz w:val="18"/>
                <w:szCs w:val="18"/>
                <w:lang w:val="es-ES"/>
              </w:rPr>
              <w:t>10</w:t>
            </w:r>
            <w:r w:rsidR="00D463CF" w:rsidRPr="00960E47">
              <w:rPr>
                <w:sz w:val="18"/>
                <w:szCs w:val="18"/>
                <w:lang w:val="es-ES"/>
              </w:rPr>
              <w:t xml:space="preserve"> </w:t>
            </w:r>
            <w:r w:rsidRPr="00960E47">
              <w:rPr>
                <w:sz w:val="18"/>
                <w:szCs w:val="18"/>
                <w:lang w:val="es-ES"/>
              </w:rPr>
              <w:t>225</w:t>
            </w:r>
            <w:r w:rsidR="00D463CF" w:rsidRPr="00960E47">
              <w:rPr>
                <w:sz w:val="18"/>
                <w:szCs w:val="18"/>
                <w:lang w:val="es-ES"/>
              </w:rPr>
              <w:t xml:space="preserve"> </w:t>
            </w:r>
            <w:r w:rsidRPr="00960E47">
              <w:rPr>
                <w:sz w:val="18"/>
                <w:szCs w:val="18"/>
                <w:lang w:val="es-ES"/>
              </w:rPr>
              <w:t xml:space="preserve">200 </w:t>
            </w:r>
          </w:p>
        </w:tc>
      </w:tr>
      <w:tr w:rsidR="003D5CC3" w:rsidRPr="00960E47" w:rsidTr="003D5CC3">
        <w:tc>
          <w:tcPr>
            <w:tcW w:w="272" w:type="pct"/>
            <w:tcBorders>
              <w:top w:val="nil"/>
            </w:tcBorders>
            <w:shd w:val="clear" w:color="auto" w:fill="auto"/>
            <w:vAlign w:val="bottom"/>
          </w:tcPr>
          <w:p w:rsidR="00E421FD" w:rsidRPr="00960E47" w:rsidRDefault="00E421FD" w:rsidP="00D463CF">
            <w:pPr>
              <w:pStyle w:val="SingleTxtG"/>
              <w:spacing w:before="40" w:after="40" w:line="220" w:lineRule="exact"/>
              <w:ind w:left="0" w:right="0"/>
              <w:jc w:val="left"/>
              <w:rPr>
                <w:sz w:val="18"/>
                <w:szCs w:val="18"/>
                <w:lang w:val="es-ES"/>
              </w:rPr>
            </w:pPr>
            <w:r w:rsidRPr="00960E47">
              <w:rPr>
                <w:sz w:val="18"/>
                <w:szCs w:val="18"/>
                <w:lang w:val="es-ES"/>
              </w:rPr>
              <w:t>7</w:t>
            </w:r>
          </w:p>
        </w:tc>
        <w:tc>
          <w:tcPr>
            <w:tcW w:w="1132" w:type="pct"/>
            <w:tcBorders>
              <w:top w:val="nil"/>
            </w:tcBorders>
            <w:shd w:val="clear" w:color="auto" w:fill="auto"/>
            <w:vAlign w:val="bottom"/>
          </w:tcPr>
          <w:p w:rsidR="00E421FD" w:rsidRPr="00960E47" w:rsidRDefault="00E421FD" w:rsidP="00D463CF">
            <w:pPr>
              <w:pStyle w:val="SingleTxtG"/>
              <w:spacing w:before="40" w:after="40" w:line="220" w:lineRule="exact"/>
              <w:ind w:left="0" w:right="0"/>
              <w:jc w:val="right"/>
              <w:rPr>
                <w:sz w:val="18"/>
                <w:szCs w:val="18"/>
                <w:lang w:val="es-ES"/>
              </w:rPr>
            </w:pPr>
            <w:r w:rsidRPr="00960E47">
              <w:rPr>
                <w:sz w:val="18"/>
                <w:szCs w:val="18"/>
                <w:lang w:val="es-ES"/>
              </w:rPr>
              <w:t>India</w:t>
            </w:r>
          </w:p>
        </w:tc>
        <w:tc>
          <w:tcPr>
            <w:tcW w:w="1199" w:type="pct"/>
            <w:tcBorders>
              <w:top w:val="nil"/>
            </w:tcBorders>
            <w:shd w:val="clear" w:color="auto" w:fill="auto"/>
            <w:vAlign w:val="bottom"/>
          </w:tcPr>
          <w:p w:rsidR="00E421FD" w:rsidRPr="00960E47" w:rsidRDefault="00E421FD" w:rsidP="00D463CF">
            <w:pPr>
              <w:pStyle w:val="SingleTxtG"/>
              <w:spacing w:before="40" w:after="40" w:line="220" w:lineRule="exact"/>
              <w:ind w:left="0" w:right="0"/>
              <w:jc w:val="right"/>
              <w:rPr>
                <w:sz w:val="18"/>
                <w:szCs w:val="18"/>
                <w:lang w:val="es-ES"/>
              </w:rPr>
            </w:pPr>
            <w:r w:rsidRPr="00960E47">
              <w:rPr>
                <w:sz w:val="18"/>
                <w:szCs w:val="18"/>
                <w:lang w:val="es-ES"/>
              </w:rPr>
              <w:t>56</w:t>
            </w:r>
            <w:r w:rsidR="00D463CF" w:rsidRPr="00960E47">
              <w:rPr>
                <w:sz w:val="18"/>
                <w:szCs w:val="18"/>
                <w:lang w:val="es-ES"/>
              </w:rPr>
              <w:t xml:space="preserve"> </w:t>
            </w:r>
            <w:r w:rsidRPr="00960E47">
              <w:rPr>
                <w:sz w:val="18"/>
                <w:szCs w:val="18"/>
                <w:lang w:val="es-ES"/>
              </w:rPr>
              <w:t>263</w:t>
            </w:r>
            <w:r w:rsidR="00D463CF" w:rsidRPr="00960E47">
              <w:rPr>
                <w:sz w:val="18"/>
                <w:szCs w:val="18"/>
                <w:lang w:val="es-ES"/>
              </w:rPr>
              <w:t xml:space="preserve"> </w:t>
            </w:r>
            <w:r w:rsidRPr="00960E47">
              <w:rPr>
                <w:sz w:val="18"/>
                <w:szCs w:val="18"/>
                <w:lang w:val="es-ES"/>
              </w:rPr>
              <w:t xml:space="preserve">656 </w:t>
            </w:r>
          </w:p>
        </w:tc>
        <w:tc>
          <w:tcPr>
            <w:tcW w:w="1199" w:type="pct"/>
            <w:tcBorders>
              <w:top w:val="nil"/>
            </w:tcBorders>
            <w:shd w:val="clear" w:color="auto" w:fill="auto"/>
            <w:vAlign w:val="bottom"/>
          </w:tcPr>
          <w:p w:rsidR="00E421FD" w:rsidRPr="00960E47" w:rsidRDefault="00E421FD" w:rsidP="00D463CF">
            <w:pPr>
              <w:pStyle w:val="SingleTxtG"/>
              <w:spacing w:before="40" w:after="40" w:line="220" w:lineRule="exact"/>
              <w:ind w:left="0" w:right="0"/>
              <w:jc w:val="right"/>
              <w:rPr>
                <w:sz w:val="18"/>
                <w:szCs w:val="18"/>
                <w:lang w:val="es-ES"/>
              </w:rPr>
            </w:pPr>
            <w:r w:rsidRPr="00960E47">
              <w:rPr>
                <w:sz w:val="18"/>
                <w:szCs w:val="18"/>
                <w:lang w:val="es-ES"/>
              </w:rPr>
              <w:t>Namibia</w:t>
            </w:r>
          </w:p>
        </w:tc>
        <w:tc>
          <w:tcPr>
            <w:tcW w:w="1198" w:type="pct"/>
            <w:tcBorders>
              <w:top w:val="nil"/>
            </w:tcBorders>
            <w:shd w:val="clear" w:color="auto" w:fill="auto"/>
            <w:vAlign w:val="bottom"/>
          </w:tcPr>
          <w:p w:rsidR="00E421FD" w:rsidRPr="00960E47" w:rsidRDefault="00E421FD" w:rsidP="00D463CF">
            <w:pPr>
              <w:pStyle w:val="SingleTxtG"/>
              <w:spacing w:before="40" w:after="40" w:line="220" w:lineRule="exact"/>
              <w:ind w:left="0" w:right="0"/>
              <w:jc w:val="right"/>
              <w:rPr>
                <w:sz w:val="18"/>
                <w:szCs w:val="18"/>
                <w:lang w:val="es-ES"/>
              </w:rPr>
            </w:pPr>
            <w:r w:rsidRPr="00960E47">
              <w:rPr>
                <w:sz w:val="18"/>
                <w:szCs w:val="18"/>
                <w:lang w:val="es-ES"/>
              </w:rPr>
              <w:t>4</w:t>
            </w:r>
            <w:r w:rsidR="00D463CF" w:rsidRPr="00960E47">
              <w:rPr>
                <w:sz w:val="18"/>
                <w:szCs w:val="18"/>
                <w:lang w:val="es-ES"/>
              </w:rPr>
              <w:t xml:space="preserve"> </w:t>
            </w:r>
            <w:r w:rsidRPr="00960E47">
              <w:rPr>
                <w:sz w:val="18"/>
                <w:szCs w:val="18"/>
                <w:lang w:val="es-ES"/>
              </w:rPr>
              <w:t>473</w:t>
            </w:r>
            <w:r w:rsidR="00D463CF" w:rsidRPr="00960E47">
              <w:rPr>
                <w:sz w:val="18"/>
                <w:szCs w:val="18"/>
                <w:lang w:val="es-ES"/>
              </w:rPr>
              <w:t xml:space="preserve"> </w:t>
            </w:r>
            <w:r w:rsidRPr="00960E47">
              <w:rPr>
                <w:sz w:val="18"/>
                <w:szCs w:val="18"/>
                <w:lang w:val="es-ES"/>
              </w:rPr>
              <w:t>150</w:t>
            </w:r>
          </w:p>
        </w:tc>
      </w:tr>
      <w:tr w:rsidR="003D5CC3" w:rsidRPr="00960E47" w:rsidTr="003D5CC3">
        <w:tc>
          <w:tcPr>
            <w:tcW w:w="272" w:type="pct"/>
            <w:shd w:val="clear" w:color="auto" w:fill="auto"/>
            <w:vAlign w:val="bottom"/>
          </w:tcPr>
          <w:p w:rsidR="00E421FD" w:rsidRPr="00960E47" w:rsidRDefault="00E421FD" w:rsidP="00D463CF">
            <w:pPr>
              <w:pStyle w:val="SingleTxtG"/>
              <w:spacing w:before="40" w:after="40" w:line="220" w:lineRule="exact"/>
              <w:ind w:left="0" w:right="0"/>
              <w:jc w:val="left"/>
              <w:rPr>
                <w:sz w:val="18"/>
                <w:szCs w:val="18"/>
                <w:lang w:val="es-ES"/>
              </w:rPr>
            </w:pPr>
            <w:r w:rsidRPr="00960E47">
              <w:rPr>
                <w:sz w:val="18"/>
                <w:szCs w:val="18"/>
                <w:lang w:val="es-ES"/>
              </w:rPr>
              <w:t>8</w:t>
            </w:r>
          </w:p>
        </w:tc>
        <w:tc>
          <w:tcPr>
            <w:tcW w:w="1132" w:type="pct"/>
            <w:shd w:val="clear" w:color="auto" w:fill="auto"/>
            <w:vAlign w:val="bottom"/>
          </w:tcPr>
          <w:p w:rsidR="00E421FD" w:rsidRPr="00960E47" w:rsidRDefault="00E421FD" w:rsidP="00D463CF">
            <w:pPr>
              <w:pStyle w:val="SingleTxtG"/>
              <w:spacing w:before="40" w:after="40" w:line="220" w:lineRule="exact"/>
              <w:ind w:left="0" w:right="0"/>
              <w:jc w:val="right"/>
              <w:rPr>
                <w:sz w:val="18"/>
                <w:szCs w:val="18"/>
                <w:lang w:val="es-ES"/>
              </w:rPr>
            </w:pPr>
            <w:r w:rsidRPr="00960E47">
              <w:rPr>
                <w:sz w:val="18"/>
                <w:szCs w:val="18"/>
                <w:lang w:val="es-ES"/>
              </w:rPr>
              <w:t>Corea del Sur</w:t>
            </w:r>
          </w:p>
        </w:tc>
        <w:tc>
          <w:tcPr>
            <w:tcW w:w="1199" w:type="pct"/>
            <w:shd w:val="clear" w:color="auto" w:fill="auto"/>
            <w:vAlign w:val="bottom"/>
          </w:tcPr>
          <w:p w:rsidR="00E421FD" w:rsidRPr="00960E47" w:rsidRDefault="00E421FD" w:rsidP="00D463CF">
            <w:pPr>
              <w:pStyle w:val="SingleTxtG"/>
              <w:spacing w:before="40" w:after="40" w:line="220" w:lineRule="exact"/>
              <w:ind w:left="0" w:right="0"/>
              <w:jc w:val="right"/>
              <w:rPr>
                <w:sz w:val="18"/>
                <w:szCs w:val="18"/>
                <w:lang w:val="es-ES"/>
              </w:rPr>
            </w:pPr>
            <w:r w:rsidRPr="00960E47">
              <w:rPr>
                <w:sz w:val="18"/>
                <w:szCs w:val="18"/>
                <w:lang w:val="es-ES"/>
              </w:rPr>
              <w:t>36</w:t>
            </w:r>
            <w:r w:rsidR="00D463CF" w:rsidRPr="00960E47">
              <w:rPr>
                <w:sz w:val="18"/>
                <w:szCs w:val="18"/>
                <w:lang w:val="es-ES"/>
              </w:rPr>
              <w:t xml:space="preserve"> </w:t>
            </w:r>
            <w:r w:rsidRPr="00960E47">
              <w:rPr>
                <w:sz w:val="18"/>
                <w:szCs w:val="18"/>
                <w:lang w:val="es-ES"/>
              </w:rPr>
              <w:t>960</w:t>
            </w:r>
            <w:r w:rsidR="00D463CF" w:rsidRPr="00960E47">
              <w:rPr>
                <w:sz w:val="18"/>
                <w:szCs w:val="18"/>
                <w:lang w:val="es-ES"/>
              </w:rPr>
              <w:t xml:space="preserve"> </w:t>
            </w:r>
            <w:r w:rsidRPr="00960E47">
              <w:rPr>
                <w:sz w:val="18"/>
                <w:szCs w:val="18"/>
                <w:lang w:val="es-ES"/>
              </w:rPr>
              <w:t>102</w:t>
            </w:r>
          </w:p>
        </w:tc>
        <w:tc>
          <w:tcPr>
            <w:tcW w:w="1199" w:type="pct"/>
            <w:shd w:val="clear" w:color="auto" w:fill="auto"/>
            <w:vAlign w:val="bottom"/>
          </w:tcPr>
          <w:p w:rsidR="00E421FD" w:rsidRPr="00960E47" w:rsidRDefault="00E421FD" w:rsidP="00D463CF">
            <w:pPr>
              <w:pStyle w:val="SingleTxtG"/>
              <w:spacing w:before="40" w:after="40" w:line="220" w:lineRule="exact"/>
              <w:ind w:left="0" w:right="0"/>
              <w:jc w:val="right"/>
              <w:rPr>
                <w:sz w:val="18"/>
                <w:szCs w:val="18"/>
                <w:lang w:val="es-ES"/>
              </w:rPr>
            </w:pPr>
            <w:r w:rsidRPr="00960E47">
              <w:rPr>
                <w:sz w:val="18"/>
                <w:szCs w:val="18"/>
                <w:lang w:val="es-ES"/>
              </w:rPr>
              <w:t xml:space="preserve">India </w:t>
            </w:r>
          </w:p>
        </w:tc>
        <w:tc>
          <w:tcPr>
            <w:tcW w:w="1198" w:type="pct"/>
            <w:shd w:val="clear" w:color="auto" w:fill="auto"/>
            <w:vAlign w:val="bottom"/>
          </w:tcPr>
          <w:p w:rsidR="00E421FD" w:rsidRPr="00960E47" w:rsidRDefault="00E421FD" w:rsidP="00D463CF">
            <w:pPr>
              <w:pStyle w:val="SingleTxtG"/>
              <w:spacing w:before="40" w:after="40" w:line="220" w:lineRule="exact"/>
              <w:ind w:left="0" w:right="0"/>
              <w:jc w:val="right"/>
              <w:rPr>
                <w:sz w:val="18"/>
                <w:szCs w:val="18"/>
                <w:lang w:val="es-ES"/>
              </w:rPr>
            </w:pPr>
            <w:r w:rsidRPr="00960E47">
              <w:rPr>
                <w:sz w:val="18"/>
                <w:szCs w:val="18"/>
                <w:lang w:val="es-ES"/>
              </w:rPr>
              <w:t>3</w:t>
            </w:r>
            <w:r w:rsidR="00D463CF" w:rsidRPr="00960E47">
              <w:rPr>
                <w:sz w:val="18"/>
                <w:szCs w:val="18"/>
                <w:lang w:val="es-ES"/>
              </w:rPr>
              <w:t xml:space="preserve"> </w:t>
            </w:r>
            <w:r w:rsidRPr="00960E47">
              <w:rPr>
                <w:sz w:val="18"/>
                <w:szCs w:val="18"/>
                <w:lang w:val="es-ES"/>
              </w:rPr>
              <w:t>892</w:t>
            </w:r>
            <w:r w:rsidR="00D463CF" w:rsidRPr="00960E47">
              <w:rPr>
                <w:sz w:val="18"/>
                <w:szCs w:val="18"/>
                <w:lang w:val="es-ES"/>
              </w:rPr>
              <w:t xml:space="preserve"> </w:t>
            </w:r>
            <w:r w:rsidRPr="00960E47">
              <w:rPr>
                <w:sz w:val="18"/>
                <w:szCs w:val="18"/>
                <w:lang w:val="es-ES"/>
              </w:rPr>
              <w:t>450</w:t>
            </w:r>
          </w:p>
        </w:tc>
      </w:tr>
      <w:tr w:rsidR="003D5CC3" w:rsidRPr="00960E47" w:rsidTr="003D5CC3">
        <w:tc>
          <w:tcPr>
            <w:tcW w:w="272" w:type="pct"/>
            <w:shd w:val="clear" w:color="auto" w:fill="auto"/>
            <w:vAlign w:val="bottom"/>
          </w:tcPr>
          <w:p w:rsidR="00E421FD" w:rsidRPr="00960E47" w:rsidRDefault="00E421FD" w:rsidP="00D463CF">
            <w:pPr>
              <w:pStyle w:val="SingleTxtG"/>
              <w:spacing w:before="40" w:after="40" w:line="220" w:lineRule="exact"/>
              <w:ind w:left="0" w:right="0"/>
              <w:jc w:val="left"/>
              <w:rPr>
                <w:sz w:val="18"/>
                <w:szCs w:val="18"/>
                <w:lang w:val="es-ES"/>
              </w:rPr>
            </w:pPr>
            <w:r w:rsidRPr="00960E47">
              <w:rPr>
                <w:sz w:val="18"/>
                <w:szCs w:val="18"/>
                <w:lang w:val="es-ES"/>
              </w:rPr>
              <w:t>9</w:t>
            </w:r>
          </w:p>
        </w:tc>
        <w:tc>
          <w:tcPr>
            <w:tcW w:w="1132" w:type="pct"/>
            <w:shd w:val="clear" w:color="auto" w:fill="auto"/>
            <w:vAlign w:val="bottom"/>
          </w:tcPr>
          <w:p w:rsidR="00E421FD" w:rsidRPr="00960E47" w:rsidRDefault="00E421FD" w:rsidP="00D463CF">
            <w:pPr>
              <w:pStyle w:val="SingleTxtG"/>
              <w:spacing w:before="40" w:after="40" w:line="220" w:lineRule="exact"/>
              <w:ind w:left="0" w:right="0"/>
              <w:jc w:val="right"/>
              <w:rPr>
                <w:sz w:val="18"/>
                <w:szCs w:val="18"/>
                <w:lang w:val="es-ES"/>
              </w:rPr>
            </w:pPr>
            <w:r w:rsidRPr="00960E47">
              <w:rPr>
                <w:sz w:val="18"/>
                <w:szCs w:val="18"/>
                <w:lang w:val="es-ES"/>
              </w:rPr>
              <w:t>Reino Unido</w:t>
            </w:r>
          </w:p>
        </w:tc>
        <w:tc>
          <w:tcPr>
            <w:tcW w:w="1199" w:type="pct"/>
            <w:shd w:val="clear" w:color="auto" w:fill="auto"/>
            <w:vAlign w:val="bottom"/>
          </w:tcPr>
          <w:p w:rsidR="00E421FD" w:rsidRPr="00960E47" w:rsidRDefault="00E421FD" w:rsidP="00D463CF">
            <w:pPr>
              <w:pStyle w:val="SingleTxtG"/>
              <w:spacing w:before="40" w:after="40" w:line="220" w:lineRule="exact"/>
              <w:ind w:left="0" w:right="0"/>
              <w:jc w:val="right"/>
              <w:rPr>
                <w:sz w:val="18"/>
                <w:szCs w:val="18"/>
                <w:lang w:val="es-ES"/>
              </w:rPr>
            </w:pPr>
            <w:r w:rsidRPr="00960E47">
              <w:rPr>
                <w:sz w:val="18"/>
                <w:szCs w:val="18"/>
                <w:lang w:val="es-ES"/>
              </w:rPr>
              <w:t>21</w:t>
            </w:r>
            <w:r w:rsidR="00D463CF" w:rsidRPr="00960E47">
              <w:rPr>
                <w:sz w:val="18"/>
                <w:szCs w:val="18"/>
                <w:lang w:val="es-ES"/>
              </w:rPr>
              <w:t xml:space="preserve"> </w:t>
            </w:r>
            <w:r w:rsidRPr="00960E47">
              <w:rPr>
                <w:sz w:val="18"/>
                <w:szCs w:val="18"/>
                <w:lang w:val="es-ES"/>
              </w:rPr>
              <w:t>584</w:t>
            </w:r>
            <w:r w:rsidR="00D463CF" w:rsidRPr="00960E47">
              <w:rPr>
                <w:sz w:val="18"/>
                <w:szCs w:val="18"/>
                <w:lang w:val="es-ES"/>
              </w:rPr>
              <w:t xml:space="preserve"> </w:t>
            </w:r>
            <w:r w:rsidRPr="00960E47">
              <w:rPr>
                <w:sz w:val="18"/>
                <w:szCs w:val="18"/>
                <w:lang w:val="es-ES"/>
              </w:rPr>
              <w:t>034</w:t>
            </w:r>
          </w:p>
        </w:tc>
        <w:tc>
          <w:tcPr>
            <w:tcW w:w="1199" w:type="pct"/>
            <w:shd w:val="clear" w:color="auto" w:fill="auto"/>
            <w:vAlign w:val="bottom"/>
          </w:tcPr>
          <w:p w:rsidR="00E421FD" w:rsidRPr="00960E47" w:rsidRDefault="00E421FD" w:rsidP="00D463CF">
            <w:pPr>
              <w:pStyle w:val="SingleTxtG"/>
              <w:spacing w:before="40" w:after="40" w:line="220" w:lineRule="exact"/>
              <w:ind w:left="0" w:right="0"/>
              <w:jc w:val="right"/>
              <w:rPr>
                <w:sz w:val="18"/>
                <w:szCs w:val="18"/>
                <w:lang w:val="es-ES"/>
              </w:rPr>
            </w:pPr>
            <w:r w:rsidRPr="00960E47">
              <w:rPr>
                <w:sz w:val="18"/>
                <w:szCs w:val="18"/>
                <w:lang w:val="es-ES"/>
              </w:rPr>
              <w:t>Italia</w:t>
            </w:r>
          </w:p>
        </w:tc>
        <w:tc>
          <w:tcPr>
            <w:tcW w:w="1198" w:type="pct"/>
            <w:shd w:val="clear" w:color="auto" w:fill="auto"/>
            <w:vAlign w:val="bottom"/>
          </w:tcPr>
          <w:p w:rsidR="00E421FD" w:rsidRPr="00960E47" w:rsidRDefault="00E421FD" w:rsidP="00D463CF">
            <w:pPr>
              <w:pStyle w:val="SingleTxtG"/>
              <w:spacing w:before="40" w:after="40" w:line="220" w:lineRule="exact"/>
              <w:ind w:left="0" w:right="0"/>
              <w:jc w:val="right"/>
              <w:rPr>
                <w:sz w:val="18"/>
                <w:szCs w:val="18"/>
                <w:lang w:val="es-ES"/>
              </w:rPr>
            </w:pPr>
            <w:r w:rsidRPr="00960E47">
              <w:rPr>
                <w:sz w:val="18"/>
                <w:szCs w:val="18"/>
                <w:lang w:val="es-ES"/>
              </w:rPr>
              <w:t>3</w:t>
            </w:r>
            <w:r w:rsidR="00D463CF" w:rsidRPr="00960E47">
              <w:rPr>
                <w:sz w:val="18"/>
                <w:szCs w:val="18"/>
                <w:lang w:val="es-ES"/>
              </w:rPr>
              <w:t xml:space="preserve"> </w:t>
            </w:r>
            <w:r w:rsidRPr="00960E47">
              <w:rPr>
                <w:sz w:val="18"/>
                <w:szCs w:val="18"/>
                <w:lang w:val="es-ES"/>
              </w:rPr>
              <w:t>716</w:t>
            </w:r>
            <w:r w:rsidR="00D463CF" w:rsidRPr="00960E47">
              <w:rPr>
                <w:sz w:val="18"/>
                <w:szCs w:val="18"/>
                <w:lang w:val="es-ES"/>
              </w:rPr>
              <w:t xml:space="preserve"> </w:t>
            </w:r>
            <w:r w:rsidRPr="00960E47">
              <w:rPr>
                <w:sz w:val="18"/>
                <w:szCs w:val="18"/>
                <w:lang w:val="es-ES"/>
              </w:rPr>
              <w:t>213</w:t>
            </w:r>
          </w:p>
        </w:tc>
      </w:tr>
      <w:tr w:rsidR="003D5CC3" w:rsidRPr="00960E47" w:rsidTr="003D5CC3">
        <w:tc>
          <w:tcPr>
            <w:tcW w:w="272" w:type="pct"/>
            <w:shd w:val="clear" w:color="auto" w:fill="auto"/>
            <w:vAlign w:val="bottom"/>
          </w:tcPr>
          <w:p w:rsidR="00E421FD" w:rsidRPr="00960E47" w:rsidRDefault="00E421FD" w:rsidP="00D463CF">
            <w:pPr>
              <w:pStyle w:val="SingleTxtG"/>
              <w:spacing w:before="40" w:after="40" w:line="220" w:lineRule="exact"/>
              <w:ind w:left="0" w:right="0"/>
              <w:jc w:val="left"/>
              <w:rPr>
                <w:sz w:val="18"/>
                <w:szCs w:val="18"/>
                <w:lang w:val="es-ES"/>
              </w:rPr>
            </w:pPr>
            <w:r w:rsidRPr="00960E47">
              <w:rPr>
                <w:sz w:val="18"/>
                <w:szCs w:val="18"/>
                <w:lang w:val="es-ES"/>
              </w:rPr>
              <w:t>10</w:t>
            </w:r>
          </w:p>
        </w:tc>
        <w:tc>
          <w:tcPr>
            <w:tcW w:w="1132" w:type="pct"/>
            <w:shd w:val="clear" w:color="auto" w:fill="auto"/>
            <w:vAlign w:val="bottom"/>
          </w:tcPr>
          <w:p w:rsidR="00E421FD" w:rsidRPr="00960E47" w:rsidRDefault="00E421FD" w:rsidP="00D463CF">
            <w:pPr>
              <w:pStyle w:val="SingleTxtG"/>
              <w:spacing w:before="40" w:after="40" w:line="220" w:lineRule="exact"/>
              <w:ind w:left="0" w:right="0"/>
              <w:jc w:val="right"/>
              <w:rPr>
                <w:sz w:val="18"/>
                <w:szCs w:val="18"/>
                <w:lang w:val="es-ES"/>
              </w:rPr>
            </w:pPr>
            <w:r w:rsidRPr="00960E47">
              <w:rPr>
                <w:sz w:val="18"/>
                <w:szCs w:val="18"/>
                <w:lang w:val="es-ES"/>
              </w:rPr>
              <w:t>Swazilandia</w:t>
            </w:r>
          </w:p>
        </w:tc>
        <w:tc>
          <w:tcPr>
            <w:tcW w:w="1199" w:type="pct"/>
            <w:shd w:val="clear" w:color="auto" w:fill="auto"/>
            <w:vAlign w:val="bottom"/>
          </w:tcPr>
          <w:p w:rsidR="00E421FD" w:rsidRPr="00960E47" w:rsidRDefault="00E421FD" w:rsidP="00D463CF">
            <w:pPr>
              <w:pStyle w:val="SingleTxtG"/>
              <w:spacing w:before="40" w:after="40" w:line="220" w:lineRule="exact"/>
              <w:ind w:left="0" w:right="0"/>
              <w:jc w:val="right"/>
              <w:rPr>
                <w:sz w:val="18"/>
                <w:szCs w:val="18"/>
                <w:lang w:val="es-ES"/>
              </w:rPr>
            </w:pPr>
            <w:r w:rsidRPr="00960E47">
              <w:rPr>
                <w:sz w:val="18"/>
                <w:szCs w:val="18"/>
                <w:lang w:val="es-ES"/>
              </w:rPr>
              <w:t>53</w:t>
            </w:r>
            <w:r w:rsidR="00D463CF" w:rsidRPr="00960E47">
              <w:rPr>
                <w:sz w:val="18"/>
                <w:szCs w:val="18"/>
                <w:lang w:val="es-ES"/>
              </w:rPr>
              <w:t xml:space="preserve"> </w:t>
            </w:r>
            <w:r w:rsidRPr="00960E47">
              <w:rPr>
                <w:sz w:val="18"/>
                <w:szCs w:val="18"/>
                <w:lang w:val="es-ES"/>
              </w:rPr>
              <w:t>145</w:t>
            </w:r>
          </w:p>
        </w:tc>
        <w:tc>
          <w:tcPr>
            <w:tcW w:w="1199" w:type="pct"/>
            <w:shd w:val="clear" w:color="auto" w:fill="auto"/>
            <w:vAlign w:val="bottom"/>
          </w:tcPr>
          <w:p w:rsidR="00E421FD" w:rsidRPr="00960E47" w:rsidRDefault="00E421FD" w:rsidP="00D463CF">
            <w:pPr>
              <w:pStyle w:val="SingleTxtG"/>
              <w:spacing w:before="40" w:after="40" w:line="220" w:lineRule="exact"/>
              <w:ind w:left="0" w:right="0"/>
              <w:jc w:val="right"/>
              <w:rPr>
                <w:sz w:val="18"/>
                <w:szCs w:val="18"/>
                <w:lang w:val="es-ES"/>
              </w:rPr>
            </w:pPr>
            <w:r w:rsidRPr="00960E47">
              <w:rPr>
                <w:sz w:val="18"/>
                <w:szCs w:val="18"/>
                <w:lang w:val="es-ES"/>
              </w:rPr>
              <w:t>Botswana</w:t>
            </w:r>
          </w:p>
        </w:tc>
        <w:tc>
          <w:tcPr>
            <w:tcW w:w="1198" w:type="pct"/>
            <w:shd w:val="clear" w:color="auto" w:fill="auto"/>
            <w:vAlign w:val="bottom"/>
          </w:tcPr>
          <w:p w:rsidR="00E421FD" w:rsidRPr="00960E47" w:rsidRDefault="00E421FD" w:rsidP="00D463CF">
            <w:pPr>
              <w:pStyle w:val="SingleTxtG"/>
              <w:spacing w:before="40" w:after="40" w:line="220" w:lineRule="exact"/>
              <w:ind w:left="0" w:right="0"/>
              <w:jc w:val="right"/>
              <w:rPr>
                <w:sz w:val="18"/>
                <w:szCs w:val="18"/>
                <w:lang w:val="es-ES"/>
              </w:rPr>
            </w:pPr>
            <w:r w:rsidRPr="00960E47">
              <w:rPr>
                <w:sz w:val="18"/>
                <w:szCs w:val="18"/>
                <w:lang w:val="es-ES"/>
              </w:rPr>
              <w:t>2</w:t>
            </w:r>
            <w:r w:rsidR="00D463CF" w:rsidRPr="00960E47">
              <w:rPr>
                <w:sz w:val="18"/>
                <w:szCs w:val="18"/>
                <w:lang w:val="es-ES"/>
              </w:rPr>
              <w:t xml:space="preserve"> </w:t>
            </w:r>
            <w:r w:rsidRPr="00960E47">
              <w:rPr>
                <w:sz w:val="18"/>
                <w:szCs w:val="18"/>
                <w:lang w:val="es-ES"/>
              </w:rPr>
              <w:t>715</w:t>
            </w:r>
            <w:r w:rsidR="00D463CF" w:rsidRPr="00960E47">
              <w:rPr>
                <w:sz w:val="18"/>
                <w:szCs w:val="18"/>
                <w:lang w:val="es-ES"/>
              </w:rPr>
              <w:t xml:space="preserve"> </w:t>
            </w:r>
            <w:r w:rsidRPr="00960E47">
              <w:rPr>
                <w:sz w:val="18"/>
                <w:szCs w:val="18"/>
                <w:lang w:val="es-ES"/>
              </w:rPr>
              <w:t xml:space="preserve">431 </w:t>
            </w:r>
          </w:p>
        </w:tc>
      </w:tr>
    </w:tbl>
    <w:p w:rsidR="00E421FD" w:rsidRPr="00960E47" w:rsidRDefault="00E421FD" w:rsidP="00BD2CEB">
      <w:pPr>
        <w:pStyle w:val="H23G"/>
        <w:rPr>
          <w:lang w:val="es-ES"/>
        </w:rPr>
      </w:pPr>
      <w:r w:rsidRPr="00960E47">
        <w:rPr>
          <w:lang w:val="es-ES"/>
        </w:rPr>
        <w:tab/>
      </w:r>
      <w:r w:rsidRPr="00960E47">
        <w:rPr>
          <w:lang w:val="es-ES"/>
        </w:rPr>
        <w:tab/>
        <w:t>Diez principales países exportadores</w:t>
      </w:r>
    </w:p>
    <w:tbl>
      <w:tblPr>
        <w:tblW w:w="8505" w:type="dxa"/>
        <w:tblInd w:w="1134" w:type="dxa"/>
        <w:tblBorders>
          <w:top w:val="single" w:sz="4" w:space="0" w:color="auto"/>
          <w:bottom w:val="single" w:sz="12" w:space="0" w:color="auto"/>
        </w:tblBorders>
        <w:tblLayout w:type="fixed"/>
        <w:tblCellMar>
          <w:left w:w="0" w:type="dxa"/>
          <w:right w:w="0" w:type="dxa"/>
        </w:tblCellMar>
        <w:tblLook w:val="04A0"/>
      </w:tblPr>
      <w:tblGrid>
        <w:gridCol w:w="463"/>
        <w:gridCol w:w="1927"/>
        <w:gridCol w:w="2039"/>
        <w:gridCol w:w="2038"/>
        <w:gridCol w:w="2038"/>
      </w:tblGrid>
      <w:tr w:rsidR="00E421FD" w:rsidRPr="00960E47" w:rsidTr="003D5CC3">
        <w:trPr>
          <w:tblHeader/>
        </w:trPr>
        <w:tc>
          <w:tcPr>
            <w:tcW w:w="272" w:type="pct"/>
            <w:vMerge w:val="restart"/>
            <w:tcBorders>
              <w:top w:val="single" w:sz="4" w:space="0" w:color="auto"/>
            </w:tcBorders>
            <w:shd w:val="clear" w:color="auto" w:fill="auto"/>
            <w:vAlign w:val="bottom"/>
          </w:tcPr>
          <w:p w:rsidR="00E421FD" w:rsidRPr="00960E47" w:rsidRDefault="00E421FD" w:rsidP="003D5CC3">
            <w:pPr>
              <w:pStyle w:val="SingleTxtG"/>
              <w:spacing w:before="80" w:after="80" w:line="200" w:lineRule="exact"/>
              <w:ind w:left="0" w:right="0"/>
              <w:rPr>
                <w:i/>
                <w:sz w:val="16"/>
                <w:szCs w:val="18"/>
                <w:lang w:val="es-ES"/>
              </w:rPr>
            </w:pPr>
          </w:p>
        </w:tc>
        <w:tc>
          <w:tcPr>
            <w:tcW w:w="2332" w:type="pct"/>
            <w:gridSpan w:val="2"/>
            <w:tcBorders>
              <w:top w:val="single" w:sz="4" w:space="0" w:color="auto"/>
              <w:bottom w:val="single" w:sz="4" w:space="0" w:color="000000"/>
              <w:right w:val="single" w:sz="24" w:space="0" w:color="FFFFFF"/>
            </w:tcBorders>
            <w:shd w:val="clear" w:color="auto" w:fill="auto"/>
            <w:vAlign w:val="bottom"/>
          </w:tcPr>
          <w:p w:rsidR="00E421FD" w:rsidRPr="00960E47" w:rsidRDefault="00E421FD" w:rsidP="003D5CC3">
            <w:pPr>
              <w:pStyle w:val="SingleTxtG"/>
              <w:spacing w:before="80" w:after="80" w:line="200" w:lineRule="exact"/>
              <w:ind w:left="0" w:right="0"/>
              <w:jc w:val="center"/>
              <w:rPr>
                <w:i/>
                <w:sz w:val="16"/>
                <w:szCs w:val="18"/>
                <w:lang w:val="es-ES"/>
              </w:rPr>
            </w:pPr>
            <w:r w:rsidRPr="00960E47">
              <w:rPr>
                <w:i/>
                <w:sz w:val="16"/>
                <w:szCs w:val="18"/>
                <w:lang w:val="es-ES"/>
              </w:rPr>
              <w:t>2004</w:t>
            </w:r>
          </w:p>
        </w:tc>
        <w:tc>
          <w:tcPr>
            <w:tcW w:w="2397" w:type="pct"/>
            <w:gridSpan w:val="2"/>
            <w:tcBorders>
              <w:top w:val="single" w:sz="4" w:space="0" w:color="auto"/>
              <w:left w:val="single" w:sz="24" w:space="0" w:color="FFFFFF"/>
              <w:bottom w:val="single" w:sz="4" w:space="0" w:color="000000"/>
            </w:tcBorders>
            <w:shd w:val="clear" w:color="auto" w:fill="auto"/>
            <w:vAlign w:val="bottom"/>
          </w:tcPr>
          <w:p w:rsidR="00E421FD" w:rsidRPr="00960E47" w:rsidRDefault="00E421FD" w:rsidP="003D5CC3">
            <w:pPr>
              <w:pStyle w:val="SingleTxtG"/>
              <w:spacing w:before="80" w:after="80" w:line="200" w:lineRule="exact"/>
              <w:ind w:left="0" w:right="0"/>
              <w:jc w:val="center"/>
              <w:rPr>
                <w:i/>
                <w:sz w:val="16"/>
                <w:szCs w:val="18"/>
                <w:lang w:val="es-ES"/>
              </w:rPr>
            </w:pPr>
            <w:r w:rsidRPr="00960E47">
              <w:rPr>
                <w:i/>
                <w:sz w:val="16"/>
                <w:szCs w:val="18"/>
                <w:lang w:val="es-ES"/>
              </w:rPr>
              <w:t>2008</w:t>
            </w:r>
          </w:p>
        </w:tc>
      </w:tr>
      <w:tr w:rsidR="00E421FD" w:rsidRPr="00960E47" w:rsidTr="003D5CC3">
        <w:trPr>
          <w:tblHeader/>
        </w:trPr>
        <w:tc>
          <w:tcPr>
            <w:tcW w:w="272" w:type="pct"/>
            <w:vMerge/>
            <w:tcBorders>
              <w:bottom w:val="single" w:sz="12" w:space="0" w:color="000000"/>
            </w:tcBorders>
            <w:shd w:val="clear" w:color="auto" w:fill="auto"/>
          </w:tcPr>
          <w:p w:rsidR="00E421FD" w:rsidRPr="00960E47" w:rsidRDefault="00E421FD" w:rsidP="003D5CC3">
            <w:pPr>
              <w:pStyle w:val="SingleTxtG"/>
              <w:spacing w:before="80" w:after="80" w:line="200" w:lineRule="exact"/>
              <w:ind w:left="0" w:right="0"/>
              <w:rPr>
                <w:i/>
                <w:sz w:val="16"/>
                <w:szCs w:val="18"/>
                <w:lang w:val="es-ES"/>
              </w:rPr>
            </w:pPr>
          </w:p>
        </w:tc>
        <w:tc>
          <w:tcPr>
            <w:tcW w:w="1133" w:type="pct"/>
            <w:tcBorders>
              <w:top w:val="single" w:sz="4" w:space="0" w:color="000000"/>
              <w:bottom w:val="single" w:sz="12" w:space="0" w:color="000000"/>
            </w:tcBorders>
            <w:shd w:val="clear" w:color="auto" w:fill="auto"/>
            <w:vAlign w:val="bottom"/>
          </w:tcPr>
          <w:p w:rsidR="00E421FD" w:rsidRPr="00960E47" w:rsidRDefault="00E421FD" w:rsidP="003D5CC3">
            <w:pPr>
              <w:pStyle w:val="SingleTxtG"/>
              <w:spacing w:before="80" w:after="80" w:line="200" w:lineRule="exact"/>
              <w:ind w:left="0" w:right="0"/>
              <w:jc w:val="right"/>
              <w:rPr>
                <w:i/>
                <w:sz w:val="16"/>
                <w:szCs w:val="18"/>
                <w:lang w:val="es-ES"/>
              </w:rPr>
            </w:pPr>
            <w:r w:rsidRPr="00960E47">
              <w:rPr>
                <w:i/>
                <w:sz w:val="16"/>
                <w:szCs w:val="18"/>
                <w:lang w:val="es-ES"/>
              </w:rPr>
              <w:t>País</w:t>
            </w:r>
          </w:p>
        </w:tc>
        <w:tc>
          <w:tcPr>
            <w:tcW w:w="1199" w:type="pct"/>
            <w:tcBorders>
              <w:top w:val="single" w:sz="4" w:space="0" w:color="000000"/>
              <w:bottom w:val="single" w:sz="12" w:space="0" w:color="000000"/>
              <w:right w:val="single" w:sz="24" w:space="0" w:color="FFFFFF"/>
            </w:tcBorders>
            <w:shd w:val="clear" w:color="auto" w:fill="auto"/>
            <w:vAlign w:val="bottom"/>
          </w:tcPr>
          <w:p w:rsidR="00E421FD" w:rsidRPr="00960E47" w:rsidRDefault="00E421FD" w:rsidP="003D5CC3">
            <w:pPr>
              <w:pStyle w:val="SingleTxtG"/>
              <w:spacing w:before="80" w:after="80" w:line="200" w:lineRule="exact"/>
              <w:ind w:left="0" w:right="0"/>
              <w:jc w:val="right"/>
              <w:rPr>
                <w:i/>
                <w:sz w:val="16"/>
                <w:szCs w:val="18"/>
                <w:lang w:val="es-ES"/>
              </w:rPr>
            </w:pPr>
            <w:r w:rsidRPr="00960E47">
              <w:rPr>
                <w:i/>
                <w:sz w:val="16"/>
                <w:szCs w:val="18"/>
                <w:lang w:val="es-ES"/>
              </w:rPr>
              <w:t>Valores</w:t>
            </w:r>
          </w:p>
        </w:tc>
        <w:tc>
          <w:tcPr>
            <w:tcW w:w="1198" w:type="pct"/>
            <w:tcBorders>
              <w:top w:val="single" w:sz="4" w:space="0" w:color="000000"/>
              <w:left w:val="single" w:sz="24" w:space="0" w:color="FFFFFF"/>
              <w:bottom w:val="single" w:sz="12" w:space="0" w:color="000000"/>
            </w:tcBorders>
            <w:shd w:val="clear" w:color="auto" w:fill="auto"/>
            <w:vAlign w:val="bottom"/>
          </w:tcPr>
          <w:p w:rsidR="00E421FD" w:rsidRPr="00960E47" w:rsidRDefault="00E421FD" w:rsidP="003D5CC3">
            <w:pPr>
              <w:pStyle w:val="SingleTxtG"/>
              <w:spacing w:before="80" w:after="80" w:line="200" w:lineRule="exact"/>
              <w:ind w:left="0" w:right="0"/>
              <w:jc w:val="right"/>
              <w:rPr>
                <w:i/>
                <w:sz w:val="16"/>
                <w:szCs w:val="18"/>
                <w:lang w:val="es-ES"/>
              </w:rPr>
            </w:pPr>
            <w:r w:rsidRPr="00960E47">
              <w:rPr>
                <w:i/>
                <w:sz w:val="16"/>
                <w:szCs w:val="18"/>
                <w:lang w:val="es-ES"/>
              </w:rPr>
              <w:t>País</w:t>
            </w:r>
          </w:p>
        </w:tc>
        <w:tc>
          <w:tcPr>
            <w:tcW w:w="1199" w:type="pct"/>
            <w:tcBorders>
              <w:top w:val="single" w:sz="4" w:space="0" w:color="000000"/>
              <w:bottom w:val="single" w:sz="12" w:space="0" w:color="000000"/>
            </w:tcBorders>
            <w:shd w:val="clear" w:color="auto" w:fill="auto"/>
            <w:vAlign w:val="bottom"/>
          </w:tcPr>
          <w:p w:rsidR="00E421FD" w:rsidRPr="00960E47" w:rsidRDefault="00E421FD" w:rsidP="003D5CC3">
            <w:pPr>
              <w:pStyle w:val="SingleTxtG"/>
              <w:spacing w:before="80" w:after="80" w:line="200" w:lineRule="exact"/>
              <w:ind w:left="0" w:right="0"/>
              <w:jc w:val="right"/>
              <w:rPr>
                <w:i/>
                <w:sz w:val="16"/>
                <w:szCs w:val="18"/>
                <w:lang w:val="es-ES"/>
              </w:rPr>
            </w:pPr>
            <w:r w:rsidRPr="00960E47">
              <w:rPr>
                <w:i/>
                <w:sz w:val="16"/>
                <w:szCs w:val="18"/>
                <w:lang w:val="es-ES"/>
              </w:rPr>
              <w:t>Valores</w:t>
            </w:r>
          </w:p>
        </w:tc>
      </w:tr>
      <w:tr w:rsidR="00E421FD" w:rsidRPr="00960E47" w:rsidTr="003D5CC3">
        <w:tc>
          <w:tcPr>
            <w:tcW w:w="272" w:type="pct"/>
            <w:tcBorders>
              <w:top w:val="single" w:sz="12" w:space="0" w:color="000000"/>
            </w:tcBorders>
            <w:shd w:val="clear" w:color="auto" w:fill="auto"/>
          </w:tcPr>
          <w:p w:rsidR="00E421FD" w:rsidRPr="00960E47" w:rsidRDefault="00E421FD" w:rsidP="00BD2CEB">
            <w:pPr>
              <w:pStyle w:val="SingleTxtG"/>
              <w:spacing w:before="40" w:after="40" w:line="220" w:lineRule="exact"/>
              <w:ind w:left="0" w:right="0"/>
              <w:rPr>
                <w:sz w:val="18"/>
                <w:szCs w:val="18"/>
                <w:lang w:val="es-ES"/>
              </w:rPr>
            </w:pPr>
            <w:r w:rsidRPr="00960E47">
              <w:rPr>
                <w:sz w:val="18"/>
                <w:szCs w:val="18"/>
                <w:lang w:val="es-ES"/>
              </w:rPr>
              <w:t>1</w:t>
            </w:r>
          </w:p>
        </w:tc>
        <w:tc>
          <w:tcPr>
            <w:tcW w:w="1133" w:type="pct"/>
            <w:tcBorders>
              <w:top w:val="single" w:sz="12" w:space="0" w:color="000000"/>
            </w:tcBorders>
            <w:shd w:val="clear" w:color="auto" w:fill="auto"/>
            <w:vAlign w:val="bottom"/>
          </w:tcPr>
          <w:p w:rsidR="00E421FD" w:rsidRPr="00960E47" w:rsidRDefault="00E421FD" w:rsidP="003D5CC3">
            <w:pPr>
              <w:pStyle w:val="SingleTxtG"/>
              <w:spacing w:before="40" w:after="40" w:line="220" w:lineRule="exact"/>
              <w:ind w:left="0" w:right="0"/>
              <w:jc w:val="right"/>
              <w:rPr>
                <w:sz w:val="18"/>
                <w:szCs w:val="18"/>
                <w:lang w:val="es-ES"/>
              </w:rPr>
            </w:pPr>
            <w:r w:rsidRPr="00960E47">
              <w:rPr>
                <w:sz w:val="18"/>
                <w:szCs w:val="18"/>
                <w:lang w:val="es-ES"/>
              </w:rPr>
              <w:t>Estados Unidos</w:t>
            </w:r>
          </w:p>
        </w:tc>
        <w:tc>
          <w:tcPr>
            <w:tcW w:w="1199" w:type="pct"/>
            <w:tcBorders>
              <w:top w:val="single" w:sz="12" w:space="0" w:color="000000"/>
            </w:tcBorders>
            <w:shd w:val="clear" w:color="auto" w:fill="auto"/>
            <w:vAlign w:val="bottom"/>
          </w:tcPr>
          <w:p w:rsidR="00E421FD" w:rsidRPr="00960E47" w:rsidRDefault="00E421FD" w:rsidP="003D5CC3">
            <w:pPr>
              <w:pStyle w:val="SingleTxtG"/>
              <w:spacing w:before="40" w:after="40" w:line="220" w:lineRule="exact"/>
              <w:ind w:left="0" w:right="0"/>
              <w:jc w:val="right"/>
              <w:rPr>
                <w:sz w:val="18"/>
                <w:szCs w:val="18"/>
                <w:lang w:val="es-ES"/>
              </w:rPr>
            </w:pPr>
            <w:r w:rsidRPr="00960E47">
              <w:rPr>
                <w:sz w:val="18"/>
                <w:szCs w:val="18"/>
                <w:lang w:val="es-ES"/>
              </w:rPr>
              <w:t>4</w:t>
            </w:r>
            <w:r w:rsidR="003D5CC3" w:rsidRPr="00960E47">
              <w:rPr>
                <w:sz w:val="18"/>
                <w:szCs w:val="18"/>
                <w:lang w:val="es-ES"/>
              </w:rPr>
              <w:t xml:space="preserve"> </w:t>
            </w:r>
            <w:r w:rsidRPr="00960E47">
              <w:rPr>
                <w:sz w:val="18"/>
                <w:szCs w:val="18"/>
                <w:lang w:val="es-ES"/>
              </w:rPr>
              <w:t>248</w:t>
            </w:r>
            <w:r w:rsidR="003D5CC3" w:rsidRPr="00960E47">
              <w:rPr>
                <w:sz w:val="18"/>
                <w:szCs w:val="18"/>
                <w:lang w:val="es-ES"/>
              </w:rPr>
              <w:t xml:space="preserve"> </w:t>
            </w:r>
            <w:r w:rsidRPr="00960E47">
              <w:rPr>
                <w:sz w:val="18"/>
                <w:szCs w:val="18"/>
                <w:lang w:val="es-ES"/>
              </w:rPr>
              <w:t>768</w:t>
            </w:r>
            <w:r w:rsidR="003D5CC3" w:rsidRPr="00960E47">
              <w:rPr>
                <w:sz w:val="18"/>
                <w:szCs w:val="18"/>
                <w:lang w:val="es-ES"/>
              </w:rPr>
              <w:t xml:space="preserve"> </w:t>
            </w:r>
            <w:r w:rsidRPr="00960E47">
              <w:rPr>
                <w:sz w:val="18"/>
                <w:szCs w:val="18"/>
                <w:lang w:val="es-ES"/>
              </w:rPr>
              <w:t>270</w:t>
            </w:r>
          </w:p>
        </w:tc>
        <w:tc>
          <w:tcPr>
            <w:tcW w:w="1198" w:type="pct"/>
            <w:tcBorders>
              <w:top w:val="single" w:sz="12" w:space="0" w:color="000000"/>
            </w:tcBorders>
            <w:shd w:val="clear" w:color="auto" w:fill="auto"/>
            <w:vAlign w:val="bottom"/>
          </w:tcPr>
          <w:p w:rsidR="00E421FD" w:rsidRPr="00960E47" w:rsidRDefault="00E421FD" w:rsidP="003D5CC3">
            <w:pPr>
              <w:pStyle w:val="SingleTxtG"/>
              <w:spacing w:before="40" w:after="40" w:line="220" w:lineRule="exact"/>
              <w:ind w:left="0" w:right="0"/>
              <w:jc w:val="right"/>
              <w:rPr>
                <w:sz w:val="18"/>
                <w:szCs w:val="18"/>
                <w:lang w:val="es-ES"/>
              </w:rPr>
            </w:pPr>
            <w:r w:rsidRPr="00960E47">
              <w:rPr>
                <w:sz w:val="18"/>
                <w:szCs w:val="18"/>
                <w:lang w:val="es-ES"/>
              </w:rPr>
              <w:t>Estados Unidos</w:t>
            </w:r>
          </w:p>
        </w:tc>
        <w:tc>
          <w:tcPr>
            <w:tcW w:w="1199" w:type="pct"/>
            <w:tcBorders>
              <w:top w:val="single" w:sz="12" w:space="0" w:color="000000"/>
            </w:tcBorders>
            <w:shd w:val="clear" w:color="auto" w:fill="auto"/>
            <w:vAlign w:val="bottom"/>
          </w:tcPr>
          <w:p w:rsidR="00E421FD" w:rsidRPr="00960E47" w:rsidRDefault="00E421FD" w:rsidP="003D5CC3">
            <w:pPr>
              <w:pStyle w:val="SingleTxtG"/>
              <w:spacing w:before="40" w:after="40" w:line="220" w:lineRule="exact"/>
              <w:ind w:left="0" w:right="0"/>
              <w:jc w:val="right"/>
              <w:rPr>
                <w:sz w:val="18"/>
                <w:szCs w:val="18"/>
                <w:lang w:val="es-ES"/>
              </w:rPr>
            </w:pPr>
            <w:r w:rsidRPr="00960E47">
              <w:rPr>
                <w:sz w:val="18"/>
                <w:szCs w:val="18"/>
                <w:lang w:val="es-ES"/>
              </w:rPr>
              <w:t>3</w:t>
            </w:r>
            <w:r w:rsidR="003D5CC3" w:rsidRPr="00960E47">
              <w:rPr>
                <w:sz w:val="18"/>
                <w:szCs w:val="18"/>
                <w:lang w:val="es-ES"/>
              </w:rPr>
              <w:t xml:space="preserve"> </w:t>
            </w:r>
            <w:r w:rsidRPr="00960E47">
              <w:rPr>
                <w:sz w:val="18"/>
                <w:szCs w:val="18"/>
                <w:lang w:val="es-ES"/>
              </w:rPr>
              <w:t>187</w:t>
            </w:r>
            <w:r w:rsidR="003D5CC3" w:rsidRPr="00960E47">
              <w:rPr>
                <w:sz w:val="18"/>
                <w:szCs w:val="18"/>
                <w:lang w:val="es-ES"/>
              </w:rPr>
              <w:t xml:space="preserve"> </w:t>
            </w:r>
            <w:r w:rsidRPr="00960E47">
              <w:rPr>
                <w:sz w:val="18"/>
                <w:szCs w:val="18"/>
                <w:lang w:val="es-ES"/>
              </w:rPr>
              <w:t>801</w:t>
            </w:r>
            <w:r w:rsidR="003D5CC3" w:rsidRPr="00960E47">
              <w:rPr>
                <w:sz w:val="18"/>
                <w:szCs w:val="18"/>
                <w:lang w:val="es-ES"/>
              </w:rPr>
              <w:t xml:space="preserve"> </w:t>
            </w:r>
            <w:r w:rsidRPr="00960E47">
              <w:rPr>
                <w:sz w:val="18"/>
                <w:szCs w:val="18"/>
                <w:lang w:val="es-ES"/>
              </w:rPr>
              <w:t>300</w:t>
            </w:r>
          </w:p>
        </w:tc>
      </w:tr>
      <w:tr w:rsidR="00E421FD" w:rsidRPr="00960E47" w:rsidTr="003D5CC3">
        <w:tc>
          <w:tcPr>
            <w:tcW w:w="272" w:type="pct"/>
            <w:shd w:val="clear" w:color="auto" w:fill="auto"/>
          </w:tcPr>
          <w:p w:rsidR="00E421FD" w:rsidRPr="00960E47" w:rsidRDefault="00E421FD" w:rsidP="00BD2CEB">
            <w:pPr>
              <w:pStyle w:val="SingleTxtG"/>
              <w:spacing w:before="40" w:after="40" w:line="220" w:lineRule="exact"/>
              <w:ind w:left="0" w:right="0"/>
              <w:rPr>
                <w:sz w:val="18"/>
                <w:szCs w:val="18"/>
                <w:lang w:val="es-ES"/>
              </w:rPr>
            </w:pPr>
            <w:r w:rsidRPr="00960E47">
              <w:rPr>
                <w:sz w:val="18"/>
                <w:szCs w:val="18"/>
                <w:lang w:val="es-ES"/>
              </w:rPr>
              <w:t>2</w:t>
            </w:r>
          </w:p>
        </w:tc>
        <w:tc>
          <w:tcPr>
            <w:tcW w:w="1133" w:type="pct"/>
            <w:shd w:val="clear" w:color="auto" w:fill="auto"/>
            <w:vAlign w:val="bottom"/>
          </w:tcPr>
          <w:p w:rsidR="00E421FD" w:rsidRPr="00960E47" w:rsidRDefault="00E421FD" w:rsidP="003D5CC3">
            <w:pPr>
              <w:pStyle w:val="SingleTxtG"/>
              <w:spacing w:before="40" w:after="40" w:line="220" w:lineRule="exact"/>
              <w:ind w:left="0" w:right="0"/>
              <w:jc w:val="right"/>
              <w:rPr>
                <w:sz w:val="18"/>
                <w:szCs w:val="18"/>
                <w:lang w:val="es-ES"/>
              </w:rPr>
            </w:pPr>
            <w:r w:rsidRPr="00960E47">
              <w:rPr>
                <w:sz w:val="18"/>
                <w:szCs w:val="18"/>
                <w:lang w:val="es-ES"/>
              </w:rPr>
              <w:t>República de Sudáfrica</w:t>
            </w:r>
          </w:p>
        </w:tc>
        <w:tc>
          <w:tcPr>
            <w:tcW w:w="1199" w:type="pct"/>
            <w:shd w:val="clear" w:color="auto" w:fill="auto"/>
            <w:vAlign w:val="bottom"/>
          </w:tcPr>
          <w:p w:rsidR="00E421FD" w:rsidRPr="00960E47" w:rsidRDefault="00E421FD" w:rsidP="003D5CC3">
            <w:pPr>
              <w:pStyle w:val="SingleTxtG"/>
              <w:spacing w:before="40" w:after="40" w:line="220" w:lineRule="exact"/>
              <w:ind w:left="0" w:right="0"/>
              <w:jc w:val="right"/>
              <w:rPr>
                <w:sz w:val="18"/>
                <w:szCs w:val="18"/>
                <w:lang w:val="es-ES"/>
              </w:rPr>
            </w:pPr>
            <w:r w:rsidRPr="00960E47">
              <w:rPr>
                <w:sz w:val="18"/>
                <w:szCs w:val="18"/>
                <w:lang w:val="es-ES"/>
              </w:rPr>
              <w:t>1</w:t>
            </w:r>
            <w:r w:rsidR="003D5CC3" w:rsidRPr="00960E47">
              <w:rPr>
                <w:sz w:val="18"/>
                <w:szCs w:val="18"/>
                <w:lang w:val="es-ES"/>
              </w:rPr>
              <w:t xml:space="preserve"> </w:t>
            </w:r>
            <w:r w:rsidRPr="00960E47">
              <w:rPr>
                <w:sz w:val="18"/>
                <w:szCs w:val="18"/>
                <w:lang w:val="es-ES"/>
              </w:rPr>
              <w:t>119</w:t>
            </w:r>
            <w:r w:rsidR="003D5CC3" w:rsidRPr="00960E47">
              <w:rPr>
                <w:sz w:val="18"/>
                <w:szCs w:val="18"/>
                <w:lang w:val="es-ES"/>
              </w:rPr>
              <w:t xml:space="preserve"> </w:t>
            </w:r>
            <w:r w:rsidRPr="00960E47">
              <w:rPr>
                <w:sz w:val="18"/>
                <w:szCs w:val="18"/>
                <w:lang w:val="es-ES"/>
              </w:rPr>
              <w:t>457</w:t>
            </w:r>
            <w:r w:rsidR="003D5CC3" w:rsidRPr="00960E47">
              <w:rPr>
                <w:sz w:val="18"/>
                <w:szCs w:val="18"/>
                <w:lang w:val="es-ES"/>
              </w:rPr>
              <w:t xml:space="preserve"> </w:t>
            </w:r>
            <w:r w:rsidRPr="00960E47">
              <w:rPr>
                <w:sz w:val="18"/>
                <w:szCs w:val="18"/>
                <w:lang w:val="es-ES"/>
              </w:rPr>
              <w:t>190</w:t>
            </w:r>
          </w:p>
        </w:tc>
        <w:tc>
          <w:tcPr>
            <w:tcW w:w="1198" w:type="pct"/>
            <w:shd w:val="clear" w:color="auto" w:fill="auto"/>
            <w:vAlign w:val="bottom"/>
          </w:tcPr>
          <w:p w:rsidR="00E421FD" w:rsidRPr="00960E47" w:rsidRDefault="00E421FD" w:rsidP="003D5CC3">
            <w:pPr>
              <w:pStyle w:val="SingleTxtG"/>
              <w:spacing w:before="40" w:after="40" w:line="220" w:lineRule="exact"/>
              <w:ind w:left="0" w:right="0"/>
              <w:jc w:val="right"/>
              <w:rPr>
                <w:sz w:val="18"/>
                <w:szCs w:val="18"/>
                <w:lang w:val="es-ES"/>
              </w:rPr>
            </w:pPr>
            <w:r w:rsidRPr="00960E47">
              <w:rPr>
                <w:sz w:val="18"/>
                <w:szCs w:val="18"/>
                <w:lang w:val="es-ES"/>
              </w:rPr>
              <w:t>República de Sudáfrica</w:t>
            </w:r>
          </w:p>
        </w:tc>
        <w:tc>
          <w:tcPr>
            <w:tcW w:w="1199" w:type="pct"/>
            <w:shd w:val="clear" w:color="auto" w:fill="auto"/>
            <w:vAlign w:val="bottom"/>
          </w:tcPr>
          <w:p w:rsidR="00E421FD" w:rsidRPr="00960E47" w:rsidRDefault="00E421FD" w:rsidP="003D5CC3">
            <w:pPr>
              <w:pStyle w:val="SingleTxtG"/>
              <w:spacing w:before="40" w:after="40" w:line="220" w:lineRule="exact"/>
              <w:ind w:left="0" w:right="0"/>
              <w:jc w:val="right"/>
              <w:rPr>
                <w:sz w:val="18"/>
                <w:szCs w:val="18"/>
                <w:lang w:val="es-ES"/>
              </w:rPr>
            </w:pPr>
            <w:r w:rsidRPr="00960E47">
              <w:rPr>
                <w:sz w:val="18"/>
                <w:szCs w:val="18"/>
                <w:lang w:val="es-ES"/>
              </w:rPr>
              <w:t>2</w:t>
            </w:r>
            <w:r w:rsidR="003D5CC3" w:rsidRPr="00960E47">
              <w:rPr>
                <w:sz w:val="18"/>
                <w:szCs w:val="18"/>
                <w:lang w:val="es-ES"/>
              </w:rPr>
              <w:t xml:space="preserve"> </w:t>
            </w:r>
            <w:r w:rsidRPr="00960E47">
              <w:rPr>
                <w:sz w:val="18"/>
                <w:szCs w:val="18"/>
                <w:lang w:val="es-ES"/>
              </w:rPr>
              <w:t>395</w:t>
            </w:r>
            <w:r w:rsidR="003D5CC3" w:rsidRPr="00960E47">
              <w:rPr>
                <w:sz w:val="18"/>
                <w:szCs w:val="18"/>
                <w:lang w:val="es-ES"/>
              </w:rPr>
              <w:t xml:space="preserve"> </w:t>
            </w:r>
            <w:r w:rsidRPr="00960E47">
              <w:rPr>
                <w:sz w:val="18"/>
                <w:szCs w:val="18"/>
                <w:lang w:val="es-ES"/>
              </w:rPr>
              <w:t>545</w:t>
            </w:r>
            <w:r w:rsidR="003D5CC3" w:rsidRPr="00960E47">
              <w:rPr>
                <w:sz w:val="18"/>
                <w:szCs w:val="18"/>
                <w:lang w:val="es-ES"/>
              </w:rPr>
              <w:t xml:space="preserve"> </w:t>
            </w:r>
            <w:r w:rsidRPr="00960E47">
              <w:rPr>
                <w:sz w:val="18"/>
                <w:szCs w:val="18"/>
                <w:lang w:val="es-ES"/>
              </w:rPr>
              <w:t>700</w:t>
            </w:r>
          </w:p>
        </w:tc>
      </w:tr>
      <w:tr w:rsidR="00E421FD" w:rsidRPr="00960E47" w:rsidTr="003D5CC3">
        <w:tc>
          <w:tcPr>
            <w:tcW w:w="272" w:type="pct"/>
            <w:shd w:val="clear" w:color="auto" w:fill="auto"/>
          </w:tcPr>
          <w:p w:rsidR="00E421FD" w:rsidRPr="00960E47" w:rsidRDefault="00E421FD" w:rsidP="00BD2CEB">
            <w:pPr>
              <w:pStyle w:val="SingleTxtG"/>
              <w:spacing w:before="40" w:after="40" w:line="220" w:lineRule="exact"/>
              <w:ind w:left="0" w:right="0"/>
              <w:rPr>
                <w:sz w:val="18"/>
                <w:szCs w:val="18"/>
                <w:lang w:val="es-ES"/>
              </w:rPr>
            </w:pPr>
            <w:r w:rsidRPr="00960E47">
              <w:rPr>
                <w:sz w:val="18"/>
                <w:szCs w:val="18"/>
                <w:lang w:val="es-ES"/>
              </w:rPr>
              <w:t>3</w:t>
            </w:r>
          </w:p>
        </w:tc>
        <w:tc>
          <w:tcPr>
            <w:tcW w:w="1133" w:type="pct"/>
            <w:shd w:val="clear" w:color="auto" w:fill="auto"/>
            <w:vAlign w:val="bottom"/>
          </w:tcPr>
          <w:p w:rsidR="00E421FD" w:rsidRPr="00960E47" w:rsidRDefault="00E421FD" w:rsidP="003D5CC3">
            <w:pPr>
              <w:pStyle w:val="SingleTxtG"/>
              <w:spacing w:before="40" w:after="40" w:line="220" w:lineRule="exact"/>
              <w:ind w:left="0" w:right="0"/>
              <w:jc w:val="right"/>
              <w:rPr>
                <w:sz w:val="18"/>
                <w:szCs w:val="18"/>
                <w:lang w:val="es-ES"/>
              </w:rPr>
            </w:pPr>
            <w:r w:rsidRPr="00960E47">
              <w:rPr>
                <w:sz w:val="18"/>
                <w:szCs w:val="18"/>
                <w:lang w:val="es-ES"/>
              </w:rPr>
              <w:t>Bélgica</w:t>
            </w:r>
          </w:p>
        </w:tc>
        <w:tc>
          <w:tcPr>
            <w:tcW w:w="1199" w:type="pct"/>
            <w:shd w:val="clear" w:color="auto" w:fill="auto"/>
            <w:vAlign w:val="bottom"/>
          </w:tcPr>
          <w:p w:rsidR="00E421FD" w:rsidRPr="00960E47" w:rsidRDefault="00E421FD" w:rsidP="003D5CC3">
            <w:pPr>
              <w:pStyle w:val="SingleTxtG"/>
              <w:spacing w:before="40" w:after="40" w:line="220" w:lineRule="exact"/>
              <w:ind w:left="0" w:right="0"/>
              <w:jc w:val="right"/>
              <w:rPr>
                <w:sz w:val="18"/>
                <w:szCs w:val="18"/>
                <w:lang w:val="es-ES"/>
              </w:rPr>
            </w:pPr>
            <w:r w:rsidRPr="00960E47">
              <w:rPr>
                <w:sz w:val="18"/>
                <w:szCs w:val="18"/>
                <w:lang w:val="es-ES"/>
              </w:rPr>
              <w:t>605</w:t>
            </w:r>
            <w:r w:rsidR="003D5CC3" w:rsidRPr="00960E47">
              <w:rPr>
                <w:sz w:val="18"/>
                <w:szCs w:val="18"/>
                <w:lang w:val="es-ES"/>
              </w:rPr>
              <w:t xml:space="preserve"> </w:t>
            </w:r>
            <w:r w:rsidRPr="00960E47">
              <w:rPr>
                <w:sz w:val="18"/>
                <w:szCs w:val="18"/>
                <w:lang w:val="es-ES"/>
              </w:rPr>
              <w:t>393</w:t>
            </w:r>
            <w:r w:rsidR="003D5CC3" w:rsidRPr="00960E47">
              <w:rPr>
                <w:sz w:val="18"/>
                <w:szCs w:val="18"/>
                <w:lang w:val="es-ES"/>
              </w:rPr>
              <w:t xml:space="preserve"> </w:t>
            </w:r>
            <w:r w:rsidRPr="00960E47">
              <w:rPr>
                <w:sz w:val="18"/>
                <w:szCs w:val="18"/>
                <w:lang w:val="es-ES"/>
              </w:rPr>
              <w:t>949</w:t>
            </w:r>
          </w:p>
        </w:tc>
        <w:tc>
          <w:tcPr>
            <w:tcW w:w="1198" w:type="pct"/>
            <w:shd w:val="clear" w:color="auto" w:fill="auto"/>
            <w:vAlign w:val="bottom"/>
          </w:tcPr>
          <w:p w:rsidR="00E421FD" w:rsidRPr="00960E47" w:rsidRDefault="00E421FD" w:rsidP="003D5CC3">
            <w:pPr>
              <w:pStyle w:val="SingleTxtG"/>
              <w:spacing w:before="40" w:after="40" w:line="220" w:lineRule="exact"/>
              <w:ind w:left="0" w:right="0"/>
              <w:jc w:val="right"/>
              <w:rPr>
                <w:sz w:val="18"/>
                <w:szCs w:val="18"/>
                <w:lang w:val="es-ES"/>
              </w:rPr>
            </w:pPr>
            <w:r w:rsidRPr="00960E47">
              <w:rPr>
                <w:sz w:val="18"/>
                <w:szCs w:val="18"/>
                <w:lang w:val="es-ES"/>
              </w:rPr>
              <w:t>Bélgica</w:t>
            </w:r>
          </w:p>
        </w:tc>
        <w:tc>
          <w:tcPr>
            <w:tcW w:w="1199" w:type="pct"/>
            <w:shd w:val="clear" w:color="auto" w:fill="auto"/>
            <w:vAlign w:val="bottom"/>
          </w:tcPr>
          <w:p w:rsidR="00E421FD" w:rsidRPr="00960E47" w:rsidRDefault="00E421FD" w:rsidP="003D5CC3">
            <w:pPr>
              <w:pStyle w:val="SingleTxtG"/>
              <w:spacing w:before="40" w:after="40" w:line="220" w:lineRule="exact"/>
              <w:ind w:left="0" w:right="0"/>
              <w:jc w:val="right"/>
              <w:rPr>
                <w:sz w:val="18"/>
                <w:szCs w:val="18"/>
                <w:lang w:val="es-ES"/>
              </w:rPr>
            </w:pPr>
            <w:r w:rsidRPr="00960E47">
              <w:rPr>
                <w:sz w:val="18"/>
                <w:szCs w:val="18"/>
                <w:lang w:val="es-ES"/>
              </w:rPr>
              <w:t>315</w:t>
            </w:r>
            <w:r w:rsidR="003D5CC3" w:rsidRPr="00960E47">
              <w:rPr>
                <w:sz w:val="18"/>
                <w:szCs w:val="18"/>
                <w:lang w:val="es-ES"/>
              </w:rPr>
              <w:t xml:space="preserve"> </w:t>
            </w:r>
            <w:r w:rsidRPr="00960E47">
              <w:rPr>
                <w:sz w:val="18"/>
                <w:szCs w:val="18"/>
                <w:lang w:val="es-ES"/>
              </w:rPr>
              <w:t>07</w:t>
            </w:r>
            <w:r w:rsidR="003D5CC3" w:rsidRPr="00960E47">
              <w:rPr>
                <w:sz w:val="18"/>
                <w:szCs w:val="18"/>
                <w:lang w:val="es-ES"/>
              </w:rPr>
              <w:t xml:space="preserve"> </w:t>
            </w:r>
            <w:r w:rsidRPr="00960E47">
              <w:rPr>
                <w:sz w:val="18"/>
                <w:szCs w:val="18"/>
                <w:lang w:val="es-ES"/>
              </w:rPr>
              <w:t xml:space="preserve">600 </w:t>
            </w:r>
          </w:p>
        </w:tc>
      </w:tr>
      <w:tr w:rsidR="00E421FD" w:rsidRPr="00960E47" w:rsidTr="003D5CC3">
        <w:tc>
          <w:tcPr>
            <w:tcW w:w="272" w:type="pct"/>
            <w:shd w:val="clear" w:color="auto" w:fill="auto"/>
          </w:tcPr>
          <w:p w:rsidR="00E421FD" w:rsidRPr="00960E47" w:rsidRDefault="00E421FD" w:rsidP="00BD2CEB">
            <w:pPr>
              <w:pStyle w:val="SingleTxtG"/>
              <w:spacing w:before="40" w:after="40" w:line="220" w:lineRule="exact"/>
              <w:ind w:left="0" w:right="0"/>
              <w:rPr>
                <w:sz w:val="18"/>
                <w:szCs w:val="18"/>
                <w:lang w:val="es-ES"/>
              </w:rPr>
            </w:pPr>
            <w:r w:rsidRPr="00960E47">
              <w:rPr>
                <w:sz w:val="18"/>
                <w:szCs w:val="18"/>
                <w:lang w:val="es-ES"/>
              </w:rPr>
              <w:t>4</w:t>
            </w:r>
          </w:p>
        </w:tc>
        <w:tc>
          <w:tcPr>
            <w:tcW w:w="1133" w:type="pct"/>
            <w:shd w:val="clear" w:color="auto" w:fill="auto"/>
            <w:vAlign w:val="bottom"/>
          </w:tcPr>
          <w:p w:rsidR="00E421FD" w:rsidRPr="00960E47" w:rsidRDefault="00E421FD" w:rsidP="003D5CC3">
            <w:pPr>
              <w:pStyle w:val="SingleTxtG"/>
              <w:spacing w:before="40" w:after="40" w:line="220" w:lineRule="exact"/>
              <w:ind w:left="0" w:right="0"/>
              <w:jc w:val="right"/>
              <w:rPr>
                <w:sz w:val="18"/>
                <w:szCs w:val="18"/>
                <w:lang w:val="es-ES"/>
              </w:rPr>
            </w:pPr>
            <w:r w:rsidRPr="00960E47">
              <w:rPr>
                <w:sz w:val="18"/>
                <w:szCs w:val="18"/>
                <w:lang w:val="es-ES"/>
              </w:rPr>
              <w:t>Suiza</w:t>
            </w:r>
          </w:p>
        </w:tc>
        <w:tc>
          <w:tcPr>
            <w:tcW w:w="1199" w:type="pct"/>
            <w:shd w:val="clear" w:color="auto" w:fill="auto"/>
            <w:vAlign w:val="bottom"/>
          </w:tcPr>
          <w:p w:rsidR="00E421FD" w:rsidRPr="00960E47" w:rsidRDefault="00E421FD" w:rsidP="003D5CC3">
            <w:pPr>
              <w:pStyle w:val="SingleTxtG"/>
              <w:spacing w:before="40" w:after="40" w:line="220" w:lineRule="exact"/>
              <w:ind w:left="0" w:right="0"/>
              <w:jc w:val="right"/>
              <w:rPr>
                <w:sz w:val="18"/>
                <w:szCs w:val="18"/>
                <w:lang w:val="es-ES"/>
              </w:rPr>
            </w:pPr>
            <w:r w:rsidRPr="00960E47">
              <w:rPr>
                <w:sz w:val="18"/>
                <w:szCs w:val="18"/>
                <w:lang w:val="es-ES"/>
              </w:rPr>
              <w:t>173</w:t>
            </w:r>
            <w:r w:rsidR="003D5CC3" w:rsidRPr="00960E47">
              <w:rPr>
                <w:sz w:val="18"/>
                <w:szCs w:val="18"/>
                <w:lang w:val="es-ES"/>
              </w:rPr>
              <w:t xml:space="preserve"> </w:t>
            </w:r>
            <w:r w:rsidRPr="00960E47">
              <w:rPr>
                <w:sz w:val="18"/>
                <w:szCs w:val="18"/>
                <w:lang w:val="es-ES"/>
              </w:rPr>
              <w:t>500</w:t>
            </w:r>
            <w:r w:rsidR="003D5CC3" w:rsidRPr="00960E47">
              <w:rPr>
                <w:sz w:val="18"/>
                <w:szCs w:val="18"/>
                <w:lang w:val="es-ES"/>
              </w:rPr>
              <w:t xml:space="preserve"> </w:t>
            </w:r>
            <w:r w:rsidRPr="00960E47">
              <w:rPr>
                <w:sz w:val="18"/>
                <w:szCs w:val="18"/>
                <w:lang w:val="es-ES"/>
              </w:rPr>
              <w:t>143</w:t>
            </w:r>
          </w:p>
        </w:tc>
        <w:tc>
          <w:tcPr>
            <w:tcW w:w="1198" w:type="pct"/>
            <w:shd w:val="clear" w:color="auto" w:fill="auto"/>
            <w:vAlign w:val="bottom"/>
          </w:tcPr>
          <w:p w:rsidR="00E421FD" w:rsidRPr="00960E47" w:rsidRDefault="00E421FD" w:rsidP="003D5CC3">
            <w:pPr>
              <w:pStyle w:val="SingleTxtG"/>
              <w:spacing w:before="40" w:after="40" w:line="220" w:lineRule="exact"/>
              <w:ind w:left="0" w:right="0"/>
              <w:jc w:val="right"/>
              <w:rPr>
                <w:sz w:val="18"/>
                <w:szCs w:val="18"/>
                <w:lang w:val="es-ES"/>
              </w:rPr>
            </w:pPr>
            <w:r w:rsidRPr="00960E47">
              <w:rPr>
                <w:sz w:val="18"/>
                <w:szCs w:val="18"/>
                <w:lang w:val="es-ES"/>
              </w:rPr>
              <w:t>Canadá</w:t>
            </w:r>
          </w:p>
        </w:tc>
        <w:tc>
          <w:tcPr>
            <w:tcW w:w="1199" w:type="pct"/>
            <w:shd w:val="clear" w:color="auto" w:fill="auto"/>
            <w:vAlign w:val="bottom"/>
          </w:tcPr>
          <w:p w:rsidR="00E421FD" w:rsidRPr="00960E47" w:rsidRDefault="00E421FD" w:rsidP="003D5CC3">
            <w:pPr>
              <w:pStyle w:val="SingleTxtG"/>
              <w:spacing w:before="40" w:after="40" w:line="220" w:lineRule="exact"/>
              <w:ind w:left="0" w:right="0"/>
              <w:jc w:val="right"/>
              <w:rPr>
                <w:sz w:val="18"/>
                <w:szCs w:val="18"/>
                <w:lang w:val="es-ES"/>
              </w:rPr>
            </w:pPr>
            <w:r w:rsidRPr="00960E47">
              <w:rPr>
                <w:sz w:val="18"/>
                <w:szCs w:val="18"/>
                <w:lang w:val="es-ES"/>
              </w:rPr>
              <w:t>29</w:t>
            </w:r>
            <w:r w:rsidR="003D5CC3" w:rsidRPr="00960E47">
              <w:rPr>
                <w:sz w:val="18"/>
                <w:szCs w:val="18"/>
                <w:lang w:val="es-ES"/>
              </w:rPr>
              <w:t xml:space="preserve"> </w:t>
            </w:r>
            <w:r w:rsidRPr="00960E47">
              <w:rPr>
                <w:sz w:val="18"/>
                <w:szCs w:val="18"/>
                <w:lang w:val="es-ES"/>
              </w:rPr>
              <w:t>162</w:t>
            </w:r>
            <w:r w:rsidR="003D5CC3" w:rsidRPr="00960E47">
              <w:rPr>
                <w:sz w:val="18"/>
                <w:szCs w:val="18"/>
                <w:lang w:val="es-ES"/>
              </w:rPr>
              <w:t xml:space="preserve"> </w:t>
            </w:r>
            <w:r w:rsidRPr="00960E47">
              <w:rPr>
                <w:sz w:val="18"/>
                <w:szCs w:val="18"/>
                <w:lang w:val="es-ES"/>
              </w:rPr>
              <w:t>400</w:t>
            </w:r>
          </w:p>
        </w:tc>
      </w:tr>
      <w:tr w:rsidR="00E421FD" w:rsidRPr="00960E47" w:rsidTr="003D5CC3">
        <w:tc>
          <w:tcPr>
            <w:tcW w:w="272" w:type="pct"/>
            <w:shd w:val="clear" w:color="auto" w:fill="auto"/>
          </w:tcPr>
          <w:p w:rsidR="00E421FD" w:rsidRPr="00960E47" w:rsidRDefault="00E421FD" w:rsidP="00BD2CEB">
            <w:pPr>
              <w:pStyle w:val="SingleTxtG"/>
              <w:spacing w:before="40" w:after="40" w:line="220" w:lineRule="exact"/>
              <w:ind w:left="0" w:right="0"/>
              <w:rPr>
                <w:sz w:val="18"/>
                <w:szCs w:val="18"/>
                <w:lang w:val="es-ES"/>
              </w:rPr>
            </w:pPr>
            <w:r w:rsidRPr="00960E47">
              <w:rPr>
                <w:sz w:val="18"/>
                <w:szCs w:val="18"/>
                <w:lang w:val="es-ES"/>
              </w:rPr>
              <w:t>5</w:t>
            </w:r>
          </w:p>
        </w:tc>
        <w:tc>
          <w:tcPr>
            <w:tcW w:w="1133" w:type="pct"/>
            <w:shd w:val="clear" w:color="auto" w:fill="auto"/>
            <w:vAlign w:val="bottom"/>
          </w:tcPr>
          <w:p w:rsidR="00E421FD" w:rsidRPr="00960E47" w:rsidRDefault="00E421FD" w:rsidP="003D5CC3">
            <w:pPr>
              <w:pStyle w:val="SingleTxtG"/>
              <w:spacing w:before="40" w:after="40" w:line="220" w:lineRule="exact"/>
              <w:ind w:left="0" w:right="0"/>
              <w:jc w:val="right"/>
              <w:rPr>
                <w:sz w:val="18"/>
                <w:szCs w:val="18"/>
                <w:lang w:val="es-ES"/>
              </w:rPr>
            </w:pPr>
            <w:r w:rsidRPr="00960E47">
              <w:rPr>
                <w:sz w:val="18"/>
                <w:szCs w:val="18"/>
                <w:lang w:val="es-ES"/>
              </w:rPr>
              <w:t>Canadá</w:t>
            </w:r>
          </w:p>
        </w:tc>
        <w:tc>
          <w:tcPr>
            <w:tcW w:w="1199" w:type="pct"/>
            <w:shd w:val="clear" w:color="auto" w:fill="auto"/>
            <w:vAlign w:val="bottom"/>
          </w:tcPr>
          <w:p w:rsidR="00E421FD" w:rsidRPr="00960E47" w:rsidRDefault="00E421FD" w:rsidP="003D5CC3">
            <w:pPr>
              <w:pStyle w:val="SingleTxtG"/>
              <w:spacing w:before="40" w:after="40" w:line="220" w:lineRule="exact"/>
              <w:ind w:left="0" w:right="0"/>
              <w:jc w:val="right"/>
              <w:rPr>
                <w:sz w:val="18"/>
                <w:szCs w:val="18"/>
                <w:lang w:val="es-ES"/>
              </w:rPr>
            </w:pPr>
            <w:r w:rsidRPr="00960E47">
              <w:rPr>
                <w:sz w:val="18"/>
                <w:szCs w:val="18"/>
                <w:lang w:val="es-ES"/>
              </w:rPr>
              <w:t>35</w:t>
            </w:r>
            <w:r w:rsidR="003D5CC3" w:rsidRPr="00960E47">
              <w:rPr>
                <w:sz w:val="18"/>
                <w:szCs w:val="18"/>
                <w:lang w:val="es-ES"/>
              </w:rPr>
              <w:t xml:space="preserve"> </w:t>
            </w:r>
            <w:r w:rsidRPr="00960E47">
              <w:rPr>
                <w:sz w:val="18"/>
                <w:szCs w:val="18"/>
                <w:lang w:val="es-ES"/>
              </w:rPr>
              <w:t>177</w:t>
            </w:r>
            <w:r w:rsidR="003D5CC3" w:rsidRPr="00960E47">
              <w:rPr>
                <w:sz w:val="18"/>
                <w:szCs w:val="18"/>
                <w:lang w:val="es-ES"/>
              </w:rPr>
              <w:t xml:space="preserve"> </w:t>
            </w:r>
            <w:r w:rsidRPr="00960E47">
              <w:rPr>
                <w:sz w:val="18"/>
                <w:szCs w:val="18"/>
                <w:lang w:val="es-ES"/>
              </w:rPr>
              <w:t>760</w:t>
            </w:r>
          </w:p>
        </w:tc>
        <w:tc>
          <w:tcPr>
            <w:tcW w:w="1198" w:type="pct"/>
            <w:shd w:val="clear" w:color="auto" w:fill="auto"/>
            <w:vAlign w:val="bottom"/>
          </w:tcPr>
          <w:p w:rsidR="00E421FD" w:rsidRPr="00960E47" w:rsidRDefault="00E421FD" w:rsidP="003D5CC3">
            <w:pPr>
              <w:pStyle w:val="SingleTxtG"/>
              <w:spacing w:before="40" w:after="40" w:line="220" w:lineRule="exact"/>
              <w:ind w:left="0" w:right="0"/>
              <w:jc w:val="right"/>
              <w:rPr>
                <w:sz w:val="18"/>
                <w:szCs w:val="18"/>
                <w:lang w:val="es-ES"/>
              </w:rPr>
            </w:pPr>
            <w:r w:rsidRPr="00960E47">
              <w:rPr>
                <w:sz w:val="18"/>
                <w:szCs w:val="18"/>
                <w:lang w:val="es-ES"/>
              </w:rPr>
              <w:t>Madagascar</w:t>
            </w:r>
          </w:p>
        </w:tc>
        <w:tc>
          <w:tcPr>
            <w:tcW w:w="1199" w:type="pct"/>
            <w:shd w:val="clear" w:color="auto" w:fill="auto"/>
            <w:vAlign w:val="bottom"/>
          </w:tcPr>
          <w:p w:rsidR="00E421FD" w:rsidRPr="00960E47" w:rsidRDefault="00E421FD" w:rsidP="003D5CC3">
            <w:pPr>
              <w:pStyle w:val="SingleTxtG"/>
              <w:spacing w:before="40" w:after="40" w:line="220" w:lineRule="exact"/>
              <w:ind w:left="0" w:right="0"/>
              <w:jc w:val="right"/>
              <w:rPr>
                <w:sz w:val="18"/>
                <w:szCs w:val="18"/>
                <w:lang w:val="es-ES"/>
              </w:rPr>
            </w:pPr>
            <w:r w:rsidRPr="00960E47">
              <w:rPr>
                <w:sz w:val="18"/>
                <w:szCs w:val="18"/>
                <w:lang w:val="es-ES"/>
              </w:rPr>
              <w:t>25</w:t>
            </w:r>
            <w:r w:rsidR="003D5CC3" w:rsidRPr="00960E47">
              <w:rPr>
                <w:sz w:val="18"/>
                <w:szCs w:val="18"/>
                <w:lang w:val="es-ES"/>
              </w:rPr>
              <w:t xml:space="preserve"> </w:t>
            </w:r>
            <w:r w:rsidRPr="00960E47">
              <w:rPr>
                <w:sz w:val="18"/>
                <w:szCs w:val="18"/>
                <w:lang w:val="es-ES"/>
              </w:rPr>
              <w:t>279</w:t>
            </w:r>
            <w:r w:rsidR="003D5CC3" w:rsidRPr="00960E47">
              <w:rPr>
                <w:sz w:val="18"/>
                <w:szCs w:val="18"/>
                <w:lang w:val="es-ES"/>
              </w:rPr>
              <w:t xml:space="preserve"> </w:t>
            </w:r>
            <w:r w:rsidRPr="00960E47">
              <w:rPr>
                <w:sz w:val="18"/>
                <w:szCs w:val="18"/>
                <w:lang w:val="es-ES"/>
              </w:rPr>
              <w:t>200</w:t>
            </w:r>
          </w:p>
        </w:tc>
      </w:tr>
      <w:tr w:rsidR="00E421FD" w:rsidRPr="00960E47" w:rsidTr="003D5CC3">
        <w:tc>
          <w:tcPr>
            <w:tcW w:w="272" w:type="pct"/>
            <w:shd w:val="clear" w:color="auto" w:fill="auto"/>
          </w:tcPr>
          <w:p w:rsidR="00E421FD" w:rsidRPr="00960E47" w:rsidRDefault="00E421FD" w:rsidP="00BD2CEB">
            <w:pPr>
              <w:pStyle w:val="SingleTxtG"/>
              <w:spacing w:before="40" w:after="40" w:line="220" w:lineRule="exact"/>
              <w:ind w:left="0" w:right="0"/>
              <w:rPr>
                <w:sz w:val="18"/>
                <w:szCs w:val="18"/>
                <w:lang w:val="es-ES"/>
              </w:rPr>
            </w:pPr>
            <w:r w:rsidRPr="00960E47">
              <w:rPr>
                <w:sz w:val="18"/>
                <w:szCs w:val="18"/>
                <w:lang w:val="es-ES"/>
              </w:rPr>
              <w:t>6</w:t>
            </w:r>
          </w:p>
        </w:tc>
        <w:tc>
          <w:tcPr>
            <w:tcW w:w="1133" w:type="pct"/>
            <w:shd w:val="clear" w:color="auto" w:fill="auto"/>
            <w:vAlign w:val="bottom"/>
          </w:tcPr>
          <w:p w:rsidR="00E421FD" w:rsidRPr="00960E47" w:rsidRDefault="00E421FD" w:rsidP="003D5CC3">
            <w:pPr>
              <w:pStyle w:val="SingleTxtG"/>
              <w:spacing w:before="40" w:after="40" w:line="220" w:lineRule="exact"/>
              <w:ind w:left="0" w:right="0"/>
              <w:jc w:val="right"/>
              <w:rPr>
                <w:sz w:val="18"/>
                <w:szCs w:val="18"/>
                <w:lang w:val="es-ES"/>
              </w:rPr>
            </w:pPr>
            <w:r w:rsidRPr="00960E47">
              <w:rPr>
                <w:sz w:val="18"/>
                <w:szCs w:val="18"/>
                <w:lang w:val="es-ES"/>
              </w:rPr>
              <w:t>Botswana</w:t>
            </w:r>
          </w:p>
        </w:tc>
        <w:tc>
          <w:tcPr>
            <w:tcW w:w="1199" w:type="pct"/>
            <w:shd w:val="clear" w:color="auto" w:fill="auto"/>
            <w:vAlign w:val="bottom"/>
          </w:tcPr>
          <w:p w:rsidR="00E421FD" w:rsidRPr="00960E47" w:rsidRDefault="00E421FD" w:rsidP="003D5CC3">
            <w:pPr>
              <w:pStyle w:val="SingleTxtG"/>
              <w:spacing w:before="40" w:after="40" w:line="220" w:lineRule="exact"/>
              <w:ind w:left="0" w:right="0"/>
              <w:jc w:val="right"/>
              <w:rPr>
                <w:sz w:val="18"/>
                <w:szCs w:val="18"/>
                <w:lang w:val="es-ES"/>
              </w:rPr>
            </w:pPr>
            <w:r w:rsidRPr="00960E47">
              <w:rPr>
                <w:sz w:val="18"/>
                <w:szCs w:val="18"/>
                <w:lang w:val="es-ES"/>
              </w:rPr>
              <w:t>22</w:t>
            </w:r>
            <w:r w:rsidR="003D5CC3" w:rsidRPr="00960E47">
              <w:rPr>
                <w:sz w:val="18"/>
                <w:szCs w:val="18"/>
                <w:lang w:val="es-ES"/>
              </w:rPr>
              <w:t xml:space="preserve"> </w:t>
            </w:r>
            <w:r w:rsidRPr="00960E47">
              <w:rPr>
                <w:sz w:val="18"/>
                <w:szCs w:val="18"/>
                <w:lang w:val="es-ES"/>
              </w:rPr>
              <w:t>448</w:t>
            </w:r>
            <w:r w:rsidR="003D5CC3" w:rsidRPr="00960E47">
              <w:rPr>
                <w:sz w:val="18"/>
                <w:szCs w:val="18"/>
                <w:lang w:val="es-ES"/>
              </w:rPr>
              <w:t xml:space="preserve"> </w:t>
            </w:r>
            <w:r w:rsidRPr="00960E47">
              <w:rPr>
                <w:sz w:val="18"/>
                <w:szCs w:val="18"/>
                <w:lang w:val="es-ES"/>
              </w:rPr>
              <w:t xml:space="preserve">263 </w:t>
            </w:r>
          </w:p>
        </w:tc>
        <w:tc>
          <w:tcPr>
            <w:tcW w:w="1198" w:type="pct"/>
            <w:shd w:val="clear" w:color="auto" w:fill="auto"/>
            <w:vAlign w:val="bottom"/>
          </w:tcPr>
          <w:p w:rsidR="00E421FD" w:rsidRPr="00960E47" w:rsidRDefault="00E421FD" w:rsidP="003D5CC3">
            <w:pPr>
              <w:pStyle w:val="SingleTxtG"/>
              <w:spacing w:before="40" w:after="40" w:line="220" w:lineRule="exact"/>
              <w:ind w:left="0" w:right="0"/>
              <w:jc w:val="right"/>
              <w:rPr>
                <w:sz w:val="18"/>
                <w:szCs w:val="18"/>
                <w:lang w:val="es-ES"/>
              </w:rPr>
            </w:pPr>
            <w:r w:rsidRPr="00960E47">
              <w:rPr>
                <w:sz w:val="18"/>
                <w:szCs w:val="18"/>
                <w:lang w:val="es-ES"/>
              </w:rPr>
              <w:t>Mauricio</w:t>
            </w:r>
          </w:p>
        </w:tc>
        <w:tc>
          <w:tcPr>
            <w:tcW w:w="1199" w:type="pct"/>
            <w:shd w:val="clear" w:color="auto" w:fill="auto"/>
            <w:vAlign w:val="bottom"/>
          </w:tcPr>
          <w:p w:rsidR="00E421FD" w:rsidRPr="00960E47" w:rsidRDefault="00E421FD" w:rsidP="003D5CC3">
            <w:pPr>
              <w:pStyle w:val="SingleTxtG"/>
              <w:spacing w:before="40" w:after="40" w:line="220" w:lineRule="exact"/>
              <w:ind w:left="0" w:right="0"/>
              <w:jc w:val="right"/>
              <w:rPr>
                <w:sz w:val="18"/>
                <w:szCs w:val="18"/>
                <w:lang w:val="es-ES"/>
              </w:rPr>
            </w:pPr>
            <w:r w:rsidRPr="00960E47">
              <w:rPr>
                <w:sz w:val="18"/>
                <w:szCs w:val="18"/>
                <w:lang w:val="es-ES"/>
              </w:rPr>
              <w:t>1</w:t>
            </w:r>
            <w:r w:rsidR="003D5CC3" w:rsidRPr="00960E47">
              <w:rPr>
                <w:sz w:val="18"/>
                <w:szCs w:val="18"/>
                <w:lang w:val="es-ES"/>
              </w:rPr>
              <w:t xml:space="preserve"> </w:t>
            </w:r>
            <w:r w:rsidRPr="00960E47">
              <w:rPr>
                <w:sz w:val="18"/>
                <w:szCs w:val="18"/>
                <w:lang w:val="es-ES"/>
              </w:rPr>
              <w:t>127</w:t>
            </w:r>
            <w:r w:rsidR="003D5CC3" w:rsidRPr="00960E47">
              <w:rPr>
                <w:sz w:val="18"/>
                <w:szCs w:val="18"/>
                <w:lang w:val="es-ES"/>
              </w:rPr>
              <w:t xml:space="preserve"> </w:t>
            </w:r>
            <w:r w:rsidRPr="00960E47">
              <w:rPr>
                <w:sz w:val="18"/>
                <w:szCs w:val="18"/>
                <w:lang w:val="es-ES"/>
              </w:rPr>
              <w:t>246</w:t>
            </w:r>
          </w:p>
        </w:tc>
      </w:tr>
      <w:tr w:rsidR="00E421FD" w:rsidRPr="00960E47" w:rsidTr="003D5CC3">
        <w:tc>
          <w:tcPr>
            <w:tcW w:w="272" w:type="pct"/>
            <w:shd w:val="clear" w:color="auto" w:fill="auto"/>
          </w:tcPr>
          <w:p w:rsidR="00E421FD" w:rsidRPr="00960E47" w:rsidRDefault="00E421FD" w:rsidP="00BD2CEB">
            <w:pPr>
              <w:pStyle w:val="SingleTxtG"/>
              <w:spacing w:before="40" w:after="40" w:line="220" w:lineRule="exact"/>
              <w:ind w:left="0" w:right="0"/>
              <w:rPr>
                <w:sz w:val="18"/>
                <w:szCs w:val="18"/>
                <w:lang w:val="es-ES"/>
              </w:rPr>
            </w:pPr>
            <w:r w:rsidRPr="00960E47">
              <w:rPr>
                <w:sz w:val="18"/>
                <w:szCs w:val="18"/>
                <w:lang w:val="es-ES"/>
              </w:rPr>
              <w:t>7</w:t>
            </w:r>
          </w:p>
        </w:tc>
        <w:tc>
          <w:tcPr>
            <w:tcW w:w="1133" w:type="pct"/>
            <w:shd w:val="clear" w:color="auto" w:fill="auto"/>
            <w:vAlign w:val="bottom"/>
          </w:tcPr>
          <w:p w:rsidR="00E421FD" w:rsidRPr="00960E47" w:rsidRDefault="00E421FD" w:rsidP="003D5CC3">
            <w:pPr>
              <w:pStyle w:val="SingleTxtG"/>
              <w:spacing w:before="40" w:after="40" w:line="220" w:lineRule="exact"/>
              <w:ind w:left="0" w:right="0"/>
              <w:jc w:val="right"/>
              <w:rPr>
                <w:sz w:val="18"/>
                <w:szCs w:val="18"/>
                <w:lang w:val="es-ES"/>
              </w:rPr>
            </w:pPr>
            <w:r w:rsidRPr="00960E47">
              <w:rPr>
                <w:sz w:val="18"/>
                <w:szCs w:val="18"/>
                <w:lang w:val="es-ES"/>
              </w:rPr>
              <w:t>Reino Unido</w:t>
            </w:r>
          </w:p>
        </w:tc>
        <w:tc>
          <w:tcPr>
            <w:tcW w:w="1199" w:type="pct"/>
            <w:shd w:val="clear" w:color="auto" w:fill="auto"/>
            <w:vAlign w:val="bottom"/>
          </w:tcPr>
          <w:p w:rsidR="00E421FD" w:rsidRPr="00960E47" w:rsidRDefault="00E421FD" w:rsidP="003D5CC3">
            <w:pPr>
              <w:pStyle w:val="SingleTxtG"/>
              <w:spacing w:before="40" w:after="40" w:line="220" w:lineRule="exact"/>
              <w:ind w:left="0" w:right="0"/>
              <w:jc w:val="right"/>
              <w:rPr>
                <w:sz w:val="18"/>
                <w:szCs w:val="18"/>
                <w:lang w:val="es-ES"/>
              </w:rPr>
            </w:pPr>
            <w:r w:rsidRPr="00960E47">
              <w:rPr>
                <w:sz w:val="18"/>
                <w:szCs w:val="18"/>
                <w:lang w:val="es-ES"/>
              </w:rPr>
              <w:t>4</w:t>
            </w:r>
            <w:r w:rsidR="003D5CC3" w:rsidRPr="00960E47">
              <w:rPr>
                <w:sz w:val="18"/>
                <w:szCs w:val="18"/>
                <w:lang w:val="es-ES"/>
              </w:rPr>
              <w:t xml:space="preserve"> </w:t>
            </w:r>
            <w:r w:rsidRPr="00960E47">
              <w:rPr>
                <w:sz w:val="18"/>
                <w:szCs w:val="18"/>
                <w:lang w:val="es-ES"/>
              </w:rPr>
              <w:t>132</w:t>
            </w:r>
            <w:r w:rsidR="003D5CC3" w:rsidRPr="00960E47">
              <w:rPr>
                <w:sz w:val="18"/>
                <w:szCs w:val="18"/>
                <w:lang w:val="es-ES"/>
              </w:rPr>
              <w:t xml:space="preserve"> </w:t>
            </w:r>
            <w:r w:rsidRPr="00960E47">
              <w:rPr>
                <w:sz w:val="18"/>
                <w:szCs w:val="18"/>
                <w:lang w:val="es-ES"/>
              </w:rPr>
              <w:t>682</w:t>
            </w:r>
          </w:p>
        </w:tc>
        <w:tc>
          <w:tcPr>
            <w:tcW w:w="1198" w:type="pct"/>
            <w:shd w:val="clear" w:color="auto" w:fill="auto"/>
            <w:vAlign w:val="bottom"/>
          </w:tcPr>
          <w:p w:rsidR="00E421FD" w:rsidRPr="00960E47" w:rsidRDefault="00E421FD" w:rsidP="003D5CC3">
            <w:pPr>
              <w:pStyle w:val="SingleTxtG"/>
              <w:spacing w:before="40" w:after="40" w:line="220" w:lineRule="exact"/>
              <w:ind w:left="0" w:right="0"/>
              <w:jc w:val="right"/>
              <w:rPr>
                <w:sz w:val="18"/>
                <w:szCs w:val="18"/>
                <w:lang w:val="es-ES"/>
              </w:rPr>
            </w:pPr>
            <w:r w:rsidRPr="00960E47">
              <w:rPr>
                <w:sz w:val="18"/>
                <w:szCs w:val="18"/>
                <w:lang w:val="es-ES"/>
              </w:rPr>
              <w:t>Swazilandia</w:t>
            </w:r>
          </w:p>
        </w:tc>
        <w:tc>
          <w:tcPr>
            <w:tcW w:w="1199" w:type="pct"/>
            <w:shd w:val="clear" w:color="auto" w:fill="auto"/>
            <w:vAlign w:val="bottom"/>
          </w:tcPr>
          <w:p w:rsidR="00E421FD" w:rsidRPr="00960E47" w:rsidRDefault="00E421FD" w:rsidP="003D5CC3">
            <w:pPr>
              <w:pStyle w:val="SingleTxtG"/>
              <w:spacing w:before="40" w:after="40" w:line="220" w:lineRule="exact"/>
              <w:ind w:left="0" w:right="0"/>
              <w:jc w:val="right"/>
              <w:rPr>
                <w:sz w:val="18"/>
                <w:szCs w:val="18"/>
                <w:lang w:val="es-ES"/>
              </w:rPr>
            </w:pPr>
            <w:r w:rsidRPr="00960E47">
              <w:rPr>
                <w:sz w:val="18"/>
                <w:szCs w:val="18"/>
                <w:lang w:val="es-ES"/>
              </w:rPr>
              <w:t>1</w:t>
            </w:r>
            <w:r w:rsidR="003D5CC3" w:rsidRPr="00960E47">
              <w:rPr>
                <w:sz w:val="18"/>
                <w:szCs w:val="18"/>
                <w:lang w:val="es-ES"/>
              </w:rPr>
              <w:t xml:space="preserve"> </w:t>
            </w:r>
            <w:r w:rsidRPr="00960E47">
              <w:rPr>
                <w:sz w:val="18"/>
                <w:szCs w:val="18"/>
                <w:lang w:val="es-ES"/>
              </w:rPr>
              <w:t>848</w:t>
            </w:r>
            <w:r w:rsidR="003D5CC3" w:rsidRPr="00960E47">
              <w:rPr>
                <w:sz w:val="18"/>
                <w:szCs w:val="18"/>
                <w:lang w:val="es-ES"/>
              </w:rPr>
              <w:t xml:space="preserve"> </w:t>
            </w:r>
            <w:r w:rsidRPr="00960E47">
              <w:rPr>
                <w:sz w:val="18"/>
                <w:szCs w:val="18"/>
                <w:lang w:val="es-ES"/>
              </w:rPr>
              <w:t>954</w:t>
            </w:r>
          </w:p>
        </w:tc>
      </w:tr>
      <w:tr w:rsidR="00E421FD" w:rsidRPr="00960E47" w:rsidTr="003D5CC3">
        <w:tc>
          <w:tcPr>
            <w:tcW w:w="272" w:type="pct"/>
            <w:shd w:val="clear" w:color="auto" w:fill="auto"/>
          </w:tcPr>
          <w:p w:rsidR="00E421FD" w:rsidRPr="00960E47" w:rsidRDefault="00E421FD" w:rsidP="00BD2CEB">
            <w:pPr>
              <w:pStyle w:val="SingleTxtG"/>
              <w:spacing w:before="40" w:after="40" w:line="220" w:lineRule="exact"/>
              <w:ind w:left="0" w:right="0"/>
              <w:rPr>
                <w:sz w:val="18"/>
                <w:szCs w:val="18"/>
                <w:lang w:val="es-ES"/>
              </w:rPr>
            </w:pPr>
            <w:r w:rsidRPr="00960E47">
              <w:rPr>
                <w:sz w:val="18"/>
                <w:szCs w:val="18"/>
                <w:lang w:val="es-ES"/>
              </w:rPr>
              <w:t>8</w:t>
            </w:r>
          </w:p>
        </w:tc>
        <w:tc>
          <w:tcPr>
            <w:tcW w:w="1133" w:type="pct"/>
            <w:shd w:val="clear" w:color="auto" w:fill="auto"/>
            <w:vAlign w:val="bottom"/>
          </w:tcPr>
          <w:p w:rsidR="00E421FD" w:rsidRPr="00960E47" w:rsidRDefault="00E421FD" w:rsidP="003D5CC3">
            <w:pPr>
              <w:pStyle w:val="SingleTxtG"/>
              <w:spacing w:before="40" w:after="40" w:line="220" w:lineRule="exact"/>
              <w:ind w:left="0" w:right="0"/>
              <w:jc w:val="right"/>
              <w:rPr>
                <w:sz w:val="18"/>
                <w:szCs w:val="18"/>
                <w:lang w:val="es-ES"/>
              </w:rPr>
            </w:pPr>
            <w:r w:rsidRPr="00960E47">
              <w:rPr>
                <w:sz w:val="18"/>
                <w:szCs w:val="18"/>
                <w:lang w:val="es-ES"/>
              </w:rPr>
              <w:t>Países Bajos</w:t>
            </w:r>
          </w:p>
        </w:tc>
        <w:tc>
          <w:tcPr>
            <w:tcW w:w="1199" w:type="pct"/>
            <w:shd w:val="clear" w:color="auto" w:fill="auto"/>
            <w:vAlign w:val="bottom"/>
          </w:tcPr>
          <w:p w:rsidR="00E421FD" w:rsidRPr="00960E47" w:rsidRDefault="00E421FD" w:rsidP="003D5CC3">
            <w:pPr>
              <w:pStyle w:val="SingleTxtG"/>
              <w:spacing w:before="40" w:after="40" w:line="220" w:lineRule="exact"/>
              <w:ind w:left="0" w:right="0"/>
              <w:jc w:val="right"/>
              <w:rPr>
                <w:sz w:val="18"/>
                <w:szCs w:val="18"/>
                <w:lang w:val="es-ES"/>
              </w:rPr>
            </w:pPr>
            <w:r w:rsidRPr="00960E47">
              <w:rPr>
                <w:sz w:val="18"/>
                <w:szCs w:val="18"/>
                <w:lang w:val="es-ES"/>
              </w:rPr>
              <w:t>1</w:t>
            </w:r>
            <w:r w:rsidR="003D5CC3" w:rsidRPr="00960E47">
              <w:rPr>
                <w:sz w:val="18"/>
                <w:szCs w:val="18"/>
                <w:lang w:val="es-ES"/>
              </w:rPr>
              <w:t xml:space="preserve"> </w:t>
            </w:r>
            <w:r w:rsidRPr="00960E47">
              <w:rPr>
                <w:sz w:val="18"/>
                <w:szCs w:val="18"/>
                <w:lang w:val="es-ES"/>
              </w:rPr>
              <w:t>029</w:t>
            </w:r>
            <w:r w:rsidR="003D5CC3" w:rsidRPr="00960E47">
              <w:rPr>
                <w:sz w:val="18"/>
                <w:szCs w:val="18"/>
                <w:lang w:val="es-ES"/>
              </w:rPr>
              <w:t xml:space="preserve"> </w:t>
            </w:r>
            <w:r w:rsidRPr="00960E47">
              <w:rPr>
                <w:sz w:val="18"/>
                <w:szCs w:val="18"/>
                <w:lang w:val="es-ES"/>
              </w:rPr>
              <w:t>540</w:t>
            </w:r>
          </w:p>
        </w:tc>
        <w:tc>
          <w:tcPr>
            <w:tcW w:w="1198" w:type="pct"/>
            <w:shd w:val="clear" w:color="auto" w:fill="auto"/>
            <w:vAlign w:val="bottom"/>
          </w:tcPr>
          <w:p w:rsidR="00E421FD" w:rsidRPr="00960E47" w:rsidRDefault="00E421FD" w:rsidP="003D5CC3">
            <w:pPr>
              <w:pStyle w:val="SingleTxtG"/>
              <w:spacing w:before="40" w:after="40" w:line="220" w:lineRule="exact"/>
              <w:ind w:left="0" w:right="0"/>
              <w:jc w:val="right"/>
              <w:rPr>
                <w:sz w:val="18"/>
                <w:szCs w:val="18"/>
                <w:lang w:val="es-ES"/>
              </w:rPr>
            </w:pPr>
            <w:r w:rsidRPr="00960E47">
              <w:rPr>
                <w:sz w:val="18"/>
                <w:szCs w:val="18"/>
                <w:lang w:val="es-ES"/>
              </w:rPr>
              <w:t>Países Bajos</w:t>
            </w:r>
          </w:p>
        </w:tc>
        <w:tc>
          <w:tcPr>
            <w:tcW w:w="1199" w:type="pct"/>
            <w:shd w:val="clear" w:color="auto" w:fill="auto"/>
            <w:vAlign w:val="bottom"/>
          </w:tcPr>
          <w:p w:rsidR="00E421FD" w:rsidRPr="00960E47" w:rsidRDefault="00E421FD" w:rsidP="003D5CC3">
            <w:pPr>
              <w:pStyle w:val="SingleTxtG"/>
              <w:spacing w:before="40" w:after="40" w:line="220" w:lineRule="exact"/>
              <w:ind w:left="0" w:right="0"/>
              <w:jc w:val="right"/>
              <w:rPr>
                <w:sz w:val="18"/>
                <w:szCs w:val="18"/>
                <w:lang w:val="es-ES"/>
              </w:rPr>
            </w:pPr>
            <w:r w:rsidRPr="00960E47">
              <w:rPr>
                <w:sz w:val="18"/>
                <w:szCs w:val="18"/>
                <w:lang w:val="es-ES"/>
              </w:rPr>
              <w:t>493</w:t>
            </w:r>
            <w:r w:rsidR="003D5CC3" w:rsidRPr="00960E47">
              <w:rPr>
                <w:sz w:val="18"/>
                <w:szCs w:val="18"/>
                <w:lang w:val="es-ES"/>
              </w:rPr>
              <w:t xml:space="preserve"> </w:t>
            </w:r>
            <w:r w:rsidRPr="00960E47">
              <w:rPr>
                <w:sz w:val="18"/>
                <w:szCs w:val="18"/>
                <w:lang w:val="es-ES"/>
              </w:rPr>
              <w:t>516</w:t>
            </w:r>
          </w:p>
        </w:tc>
      </w:tr>
      <w:tr w:rsidR="00E421FD" w:rsidRPr="00960E47" w:rsidTr="003D5CC3">
        <w:tc>
          <w:tcPr>
            <w:tcW w:w="272" w:type="pct"/>
            <w:shd w:val="clear" w:color="auto" w:fill="auto"/>
          </w:tcPr>
          <w:p w:rsidR="00E421FD" w:rsidRPr="00960E47" w:rsidRDefault="00E421FD" w:rsidP="00BD2CEB">
            <w:pPr>
              <w:pStyle w:val="SingleTxtG"/>
              <w:spacing w:before="40" w:after="40" w:line="220" w:lineRule="exact"/>
              <w:ind w:left="0" w:right="0"/>
              <w:rPr>
                <w:sz w:val="18"/>
                <w:szCs w:val="18"/>
                <w:lang w:val="es-ES"/>
              </w:rPr>
            </w:pPr>
            <w:r w:rsidRPr="00960E47">
              <w:rPr>
                <w:sz w:val="18"/>
                <w:szCs w:val="18"/>
                <w:lang w:val="es-ES"/>
              </w:rPr>
              <w:t>9</w:t>
            </w:r>
          </w:p>
        </w:tc>
        <w:tc>
          <w:tcPr>
            <w:tcW w:w="1133" w:type="pct"/>
            <w:shd w:val="clear" w:color="auto" w:fill="auto"/>
            <w:vAlign w:val="bottom"/>
          </w:tcPr>
          <w:p w:rsidR="00E421FD" w:rsidRPr="00960E47" w:rsidRDefault="00E421FD" w:rsidP="003D5CC3">
            <w:pPr>
              <w:pStyle w:val="SingleTxtG"/>
              <w:spacing w:before="40" w:after="40" w:line="220" w:lineRule="exact"/>
              <w:ind w:left="0" w:right="0"/>
              <w:jc w:val="right"/>
              <w:rPr>
                <w:sz w:val="18"/>
                <w:szCs w:val="18"/>
                <w:lang w:val="es-ES"/>
              </w:rPr>
            </w:pPr>
            <w:r w:rsidRPr="00960E47">
              <w:rPr>
                <w:sz w:val="18"/>
                <w:szCs w:val="18"/>
                <w:lang w:val="es-ES"/>
              </w:rPr>
              <w:t>Madagascar</w:t>
            </w:r>
          </w:p>
        </w:tc>
        <w:tc>
          <w:tcPr>
            <w:tcW w:w="1199" w:type="pct"/>
            <w:shd w:val="clear" w:color="auto" w:fill="auto"/>
            <w:vAlign w:val="bottom"/>
          </w:tcPr>
          <w:p w:rsidR="00E421FD" w:rsidRPr="00960E47" w:rsidRDefault="00E421FD" w:rsidP="003D5CC3">
            <w:pPr>
              <w:pStyle w:val="SingleTxtG"/>
              <w:spacing w:before="40" w:after="40" w:line="220" w:lineRule="exact"/>
              <w:ind w:left="0" w:right="0"/>
              <w:jc w:val="right"/>
              <w:rPr>
                <w:sz w:val="18"/>
                <w:szCs w:val="18"/>
                <w:lang w:val="es-ES"/>
              </w:rPr>
            </w:pPr>
            <w:r w:rsidRPr="00960E47">
              <w:rPr>
                <w:sz w:val="18"/>
                <w:szCs w:val="18"/>
                <w:lang w:val="es-ES"/>
              </w:rPr>
              <w:t>4</w:t>
            </w:r>
            <w:r w:rsidR="003D5CC3" w:rsidRPr="00960E47">
              <w:rPr>
                <w:sz w:val="18"/>
                <w:szCs w:val="18"/>
                <w:lang w:val="es-ES"/>
              </w:rPr>
              <w:t xml:space="preserve"> </w:t>
            </w:r>
            <w:r w:rsidRPr="00960E47">
              <w:rPr>
                <w:sz w:val="18"/>
                <w:szCs w:val="18"/>
                <w:lang w:val="es-ES"/>
              </w:rPr>
              <w:t>988</w:t>
            </w:r>
            <w:r w:rsidR="003D5CC3" w:rsidRPr="00960E47">
              <w:rPr>
                <w:sz w:val="18"/>
                <w:szCs w:val="18"/>
                <w:lang w:val="es-ES"/>
              </w:rPr>
              <w:t xml:space="preserve"> </w:t>
            </w:r>
            <w:r w:rsidRPr="00960E47">
              <w:rPr>
                <w:sz w:val="18"/>
                <w:szCs w:val="18"/>
                <w:lang w:val="es-ES"/>
              </w:rPr>
              <w:t>920</w:t>
            </w:r>
          </w:p>
        </w:tc>
        <w:tc>
          <w:tcPr>
            <w:tcW w:w="1198" w:type="pct"/>
            <w:shd w:val="clear" w:color="auto" w:fill="auto"/>
            <w:vAlign w:val="bottom"/>
          </w:tcPr>
          <w:p w:rsidR="00E421FD" w:rsidRPr="00960E47" w:rsidRDefault="00E421FD" w:rsidP="003D5CC3">
            <w:pPr>
              <w:pStyle w:val="SingleTxtG"/>
              <w:spacing w:before="40" w:after="40" w:line="220" w:lineRule="exact"/>
              <w:ind w:left="0" w:right="0"/>
              <w:jc w:val="right"/>
              <w:rPr>
                <w:sz w:val="18"/>
                <w:szCs w:val="18"/>
                <w:lang w:val="es-ES"/>
              </w:rPr>
            </w:pPr>
            <w:r w:rsidRPr="00960E47">
              <w:rPr>
                <w:sz w:val="18"/>
                <w:szCs w:val="18"/>
                <w:lang w:val="es-ES"/>
              </w:rPr>
              <w:t>Reino Unido</w:t>
            </w:r>
          </w:p>
        </w:tc>
        <w:tc>
          <w:tcPr>
            <w:tcW w:w="1199" w:type="pct"/>
            <w:shd w:val="clear" w:color="auto" w:fill="auto"/>
            <w:vAlign w:val="bottom"/>
          </w:tcPr>
          <w:p w:rsidR="00E421FD" w:rsidRPr="00960E47" w:rsidRDefault="00E421FD" w:rsidP="003D5CC3">
            <w:pPr>
              <w:pStyle w:val="SingleTxtG"/>
              <w:spacing w:before="40" w:after="40" w:line="220" w:lineRule="exact"/>
              <w:ind w:left="0" w:right="0"/>
              <w:jc w:val="right"/>
              <w:rPr>
                <w:sz w:val="18"/>
                <w:szCs w:val="18"/>
                <w:lang w:val="es-ES"/>
              </w:rPr>
            </w:pPr>
            <w:r w:rsidRPr="00960E47">
              <w:rPr>
                <w:sz w:val="18"/>
                <w:szCs w:val="18"/>
                <w:lang w:val="es-ES"/>
              </w:rPr>
              <w:t>236</w:t>
            </w:r>
            <w:r w:rsidR="003D5CC3" w:rsidRPr="00960E47">
              <w:rPr>
                <w:sz w:val="18"/>
                <w:szCs w:val="18"/>
                <w:lang w:val="es-ES"/>
              </w:rPr>
              <w:t xml:space="preserve"> </w:t>
            </w:r>
            <w:r w:rsidRPr="00960E47">
              <w:rPr>
                <w:sz w:val="18"/>
                <w:szCs w:val="18"/>
                <w:lang w:val="es-ES"/>
              </w:rPr>
              <w:t>880</w:t>
            </w:r>
          </w:p>
        </w:tc>
      </w:tr>
      <w:tr w:rsidR="00E421FD" w:rsidRPr="00960E47" w:rsidTr="003D5CC3">
        <w:tc>
          <w:tcPr>
            <w:tcW w:w="272" w:type="pct"/>
            <w:shd w:val="clear" w:color="auto" w:fill="auto"/>
          </w:tcPr>
          <w:p w:rsidR="00E421FD" w:rsidRPr="00960E47" w:rsidRDefault="00E421FD" w:rsidP="00BD2CEB">
            <w:pPr>
              <w:pStyle w:val="SingleTxtG"/>
              <w:spacing w:before="40" w:after="40" w:line="220" w:lineRule="exact"/>
              <w:ind w:left="0" w:right="0"/>
              <w:rPr>
                <w:sz w:val="18"/>
                <w:szCs w:val="18"/>
                <w:lang w:val="es-ES"/>
              </w:rPr>
            </w:pPr>
            <w:r w:rsidRPr="00960E47">
              <w:rPr>
                <w:sz w:val="18"/>
                <w:szCs w:val="18"/>
                <w:lang w:val="es-ES"/>
              </w:rPr>
              <w:t>10</w:t>
            </w:r>
          </w:p>
        </w:tc>
        <w:tc>
          <w:tcPr>
            <w:tcW w:w="1133" w:type="pct"/>
            <w:shd w:val="clear" w:color="auto" w:fill="auto"/>
            <w:vAlign w:val="bottom"/>
          </w:tcPr>
          <w:p w:rsidR="00E421FD" w:rsidRPr="00960E47" w:rsidRDefault="00E421FD" w:rsidP="003D5CC3">
            <w:pPr>
              <w:pStyle w:val="SingleTxtG"/>
              <w:spacing w:before="40" w:after="40" w:line="220" w:lineRule="exact"/>
              <w:ind w:left="0" w:right="0"/>
              <w:jc w:val="right"/>
              <w:rPr>
                <w:sz w:val="18"/>
                <w:szCs w:val="18"/>
                <w:lang w:val="es-ES"/>
              </w:rPr>
            </w:pPr>
            <w:r w:rsidRPr="00960E47">
              <w:rPr>
                <w:sz w:val="18"/>
                <w:szCs w:val="18"/>
                <w:lang w:val="es-ES"/>
              </w:rPr>
              <w:t>Japón</w:t>
            </w:r>
          </w:p>
        </w:tc>
        <w:tc>
          <w:tcPr>
            <w:tcW w:w="1199" w:type="pct"/>
            <w:shd w:val="clear" w:color="auto" w:fill="auto"/>
            <w:vAlign w:val="bottom"/>
          </w:tcPr>
          <w:p w:rsidR="00E421FD" w:rsidRPr="00960E47" w:rsidRDefault="00E421FD" w:rsidP="003D5CC3">
            <w:pPr>
              <w:pStyle w:val="SingleTxtG"/>
              <w:spacing w:before="40" w:after="40" w:line="220" w:lineRule="exact"/>
              <w:ind w:left="0" w:right="0"/>
              <w:jc w:val="right"/>
              <w:rPr>
                <w:sz w:val="18"/>
                <w:szCs w:val="18"/>
                <w:lang w:val="es-ES"/>
              </w:rPr>
            </w:pPr>
            <w:r w:rsidRPr="00960E47">
              <w:rPr>
                <w:sz w:val="18"/>
                <w:szCs w:val="18"/>
                <w:lang w:val="es-ES"/>
              </w:rPr>
              <w:t>937</w:t>
            </w:r>
            <w:r w:rsidR="003D5CC3" w:rsidRPr="00960E47">
              <w:rPr>
                <w:sz w:val="18"/>
                <w:szCs w:val="18"/>
                <w:lang w:val="es-ES"/>
              </w:rPr>
              <w:t xml:space="preserve"> </w:t>
            </w:r>
            <w:r w:rsidRPr="00960E47">
              <w:rPr>
                <w:sz w:val="18"/>
                <w:szCs w:val="18"/>
                <w:lang w:val="es-ES"/>
              </w:rPr>
              <w:t>000</w:t>
            </w:r>
          </w:p>
        </w:tc>
        <w:tc>
          <w:tcPr>
            <w:tcW w:w="1198" w:type="pct"/>
            <w:shd w:val="clear" w:color="auto" w:fill="auto"/>
            <w:vAlign w:val="bottom"/>
          </w:tcPr>
          <w:p w:rsidR="00E421FD" w:rsidRPr="00960E47" w:rsidRDefault="00E421FD" w:rsidP="003D5CC3">
            <w:pPr>
              <w:pStyle w:val="SingleTxtG"/>
              <w:spacing w:before="40" w:after="40" w:line="220" w:lineRule="exact"/>
              <w:ind w:left="0" w:right="0"/>
              <w:jc w:val="right"/>
              <w:rPr>
                <w:sz w:val="18"/>
                <w:szCs w:val="18"/>
                <w:lang w:val="es-ES"/>
              </w:rPr>
            </w:pPr>
            <w:r w:rsidRPr="00960E47">
              <w:rPr>
                <w:sz w:val="18"/>
                <w:szCs w:val="18"/>
                <w:lang w:val="es-ES"/>
              </w:rPr>
              <w:t>Emiratos Árabes Unidos</w:t>
            </w:r>
          </w:p>
        </w:tc>
        <w:tc>
          <w:tcPr>
            <w:tcW w:w="1199" w:type="pct"/>
            <w:shd w:val="clear" w:color="auto" w:fill="auto"/>
            <w:vAlign w:val="bottom"/>
          </w:tcPr>
          <w:p w:rsidR="00E421FD" w:rsidRPr="00960E47" w:rsidRDefault="00E421FD" w:rsidP="003D5CC3">
            <w:pPr>
              <w:pStyle w:val="SingleTxtG"/>
              <w:spacing w:before="40" w:after="40" w:line="220" w:lineRule="exact"/>
              <w:ind w:left="0" w:right="0"/>
              <w:jc w:val="right"/>
              <w:rPr>
                <w:sz w:val="18"/>
                <w:szCs w:val="18"/>
                <w:lang w:val="es-ES"/>
              </w:rPr>
            </w:pPr>
            <w:r w:rsidRPr="00960E47">
              <w:rPr>
                <w:sz w:val="18"/>
                <w:szCs w:val="18"/>
                <w:lang w:val="es-ES"/>
              </w:rPr>
              <w:t>77</w:t>
            </w:r>
            <w:r w:rsidR="003D5CC3" w:rsidRPr="00960E47">
              <w:rPr>
                <w:sz w:val="18"/>
                <w:szCs w:val="18"/>
                <w:lang w:val="es-ES"/>
              </w:rPr>
              <w:t xml:space="preserve"> </w:t>
            </w:r>
            <w:r w:rsidRPr="00960E47">
              <w:rPr>
                <w:sz w:val="18"/>
                <w:szCs w:val="18"/>
                <w:lang w:val="es-ES"/>
              </w:rPr>
              <w:t>273</w:t>
            </w:r>
          </w:p>
        </w:tc>
      </w:tr>
    </w:tbl>
    <w:p w:rsidR="00E421FD" w:rsidRPr="00960E47" w:rsidRDefault="00B66F60" w:rsidP="00BD2CEB">
      <w:pPr>
        <w:pStyle w:val="H23G"/>
        <w:rPr>
          <w:lang w:val="es-ES"/>
        </w:rPr>
      </w:pPr>
      <w:r w:rsidRPr="00960E47">
        <w:rPr>
          <w:lang w:val="es-ES"/>
        </w:rPr>
        <w:tab/>
      </w:r>
      <w:r w:rsidRPr="00960E47">
        <w:rPr>
          <w:lang w:val="es-ES"/>
        </w:rPr>
        <w:tab/>
      </w:r>
      <w:r w:rsidR="00E421FD" w:rsidRPr="00960E47">
        <w:rPr>
          <w:lang w:val="es-ES"/>
        </w:rPr>
        <w:t>Sector de la construcción</w:t>
      </w:r>
    </w:p>
    <w:p w:rsidR="00E421FD" w:rsidRPr="00960E47" w:rsidRDefault="00B66F60" w:rsidP="00BD2CEB">
      <w:pPr>
        <w:pStyle w:val="SingleTxtG"/>
        <w:rPr>
          <w:lang w:val="es-ES"/>
        </w:rPr>
      </w:pPr>
      <w:r w:rsidRPr="00960E47">
        <w:rPr>
          <w:lang w:val="es-ES"/>
        </w:rPr>
        <w:t>38.</w:t>
      </w:r>
      <w:r w:rsidRPr="00960E47">
        <w:rPr>
          <w:lang w:val="es-ES"/>
        </w:rPr>
        <w:tab/>
      </w:r>
      <w:r w:rsidR="00E421FD" w:rsidRPr="00960E47">
        <w:rPr>
          <w:lang w:val="es-ES"/>
        </w:rPr>
        <w:t xml:space="preserve">Otro sector importante es el de la construcción. El Proyecto de Aprovechamiento de los Recursos Hídricos de las Tierras Altas de Lesotho ha realizado una notable contribución a las actividades de construcción de presas hidráulicas en Mohale, Katse y Matsoku. Lesotho vende el agua excedente a Sudáfrica y ha generado energía para consumo local en la central hidroeléctrica de Muela. Ello ha contribuido a un auge repentino del sector de la construcción. Este proyecto de muchos miles de millones de dólares implicó la construcción de obras de infraestructura y actividades de desarrollo socioeconómico, ya que la mayoría de las personas trabajaron en el proyecto durante más de </w:t>
      </w:r>
      <w:r w:rsidR="009C0031" w:rsidRPr="00960E47">
        <w:rPr>
          <w:lang w:val="es-ES"/>
        </w:rPr>
        <w:t xml:space="preserve">diez </w:t>
      </w:r>
      <w:r w:rsidR="00E421FD" w:rsidRPr="00960E47">
        <w:rPr>
          <w:lang w:val="es-ES"/>
        </w:rPr>
        <w:t xml:space="preserve">años. Como consecuencia del proyecto, entre los años 2005 y 2007, la presa de Mohale experimentó el primer rebose desde su construcción en noviembre de 2002. El Proyecto consiste en una actividad ininterrumpida de abastecimiento de agua, con un componente hidroeléctrico. </w:t>
      </w:r>
    </w:p>
    <w:p w:rsidR="00E421FD" w:rsidRPr="00960E47" w:rsidRDefault="009627D6" w:rsidP="00BD2CEB">
      <w:pPr>
        <w:pStyle w:val="SingleTxtG"/>
        <w:rPr>
          <w:lang w:val="es-ES"/>
        </w:rPr>
      </w:pPr>
      <w:r w:rsidRPr="00960E47">
        <w:rPr>
          <w:lang w:val="es-ES"/>
        </w:rPr>
        <w:t>39.</w:t>
      </w:r>
      <w:r w:rsidRPr="00960E47">
        <w:rPr>
          <w:lang w:val="es-ES"/>
        </w:rPr>
        <w:tab/>
      </w:r>
      <w:r w:rsidR="00E421FD" w:rsidRPr="00960E47">
        <w:rPr>
          <w:lang w:val="es-ES"/>
        </w:rPr>
        <w:t>La construcción de la Fase 1B del Proyecto de Aprovechamiento de los Recursos Hídricos de las Tierras Altas de Lesotho en la presa de Mohale comenzó en 2002. Desde sus inicios, el Proyecto ha conseguido numerosos hitos y beneficios, entre los que se incluye una contribución significativa al sustento y fomento de la biodiversidad en Lesotho mediante programas comunitarios. Se ha logrado también una mayor conciencia sobre las cuestiones relacionadas con la ordenación y la conservación del medio ambiente. El Proyecto ha hecho también posible el establecimiento de dos reservas naturales: la Reserva Natural de Bokong y el Parque Nacional de Ts</w:t>
      </w:r>
      <w:r w:rsidR="00866E12" w:rsidRPr="00960E47">
        <w:rPr>
          <w:lang w:val="es-ES"/>
        </w:rPr>
        <w:t>'</w:t>
      </w:r>
      <w:r w:rsidR="00E421FD" w:rsidRPr="00960E47">
        <w:rPr>
          <w:lang w:val="es-ES"/>
        </w:rPr>
        <w:t>ehlanyane. Las cuevas de Liphofung son un sitio del patrimonio cultural establecido por el Proyecto cerca de la presa de Muela. El Proyecto construyó un centro de visitantes, que incluye una exposición sobre un centro del patrimonio cultural. Se presentan muestras de arte basotho y bosquimano y hay una tienda de artesanías y un centro de alojamiento nocturno.</w:t>
      </w:r>
    </w:p>
    <w:p w:rsidR="00E421FD" w:rsidRPr="00960E47" w:rsidRDefault="009627D6" w:rsidP="00BD2CEB">
      <w:pPr>
        <w:pStyle w:val="SingleTxtG"/>
        <w:rPr>
          <w:lang w:val="es-ES"/>
        </w:rPr>
      </w:pPr>
      <w:r w:rsidRPr="00960E47">
        <w:rPr>
          <w:lang w:val="es-ES"/>
        </w:rPr>
        <w:t>40.</w:t>
      </w:r>
      <w:r w:rsidRPr="00960E47">
        <w:rPr>
          <w:lang w:val="es-ES"/>
        </w:rPr>
        <w:tab/>
      </w:r>
      <w:r w:rsidR="00E421FD" w:rsidRPr="00960E47">
        <w:rPr>
          <w:lang w:val="es-ES"/>
        </w:rPr>
        <w:t>La iniciativa de reasentamiento del Proyecto construyó casas modernas teniendo en cuenta el tamaño de las viviendas afectadas. Las familias recibieron una indemnización anual por la tierra de cultivo perdida, de acuerdo con una estimación generosa de la producción, bien en efectivo o en especie —maíz o frijoles, a discreción del beneficiario. Una planta hidroeléctrica suministra actualmente electricidad a la central de la provincia de Gauteng, donde se concentra buen parte de la actividad industrial y minera así como la generación de energía hidroeléctrica para Lesotho.</w:t>
      </w:r>
    </w:p>
    <w:p w:rsidR="00E421FD" w:rsidRPr="00960E47" w:rsidRDefault="009627D6" w:rsidP="00BD2CEB">
      <w:pPr>
        <w:pStyle w:val="SingleTxtG"/>
        <w:rPr>
          <w:lang w:val="es-ES"/>
        </w:rPr>
      </w:pPr>
      <w:r w:rsidRPr="00960E47">
        <w:rPr>
          <w:lang w:val="es-ES"/>
        </w:rPr>
        <w:t>41.</w:t>
      </w:r>
      <w:r w:rsidRPr="00960E47">
        <w:rPr>
          <w:lang w:val="es-ES"/>
        </w:rPr>
        <w:tab/>
      </w:r>
      <w:r w:rsidR="00E421FD" w:rsidRPr="00960E47">
        <w:rPr>
          <w:lang w:val="es-ES"/>
        </w:rPr>
        <w:t>Para garantizar que las comunidades afectadas por el Proyecto salgan beneficiadas y consigan empleo, la Dirección de Fomento de las Tierras Altas de Lesotho comenzó a distribuir fondos de indemnización en 2002. Las tres primeras comunidades que recibieron financiación fueron las de Setlakalleng (133.800 maloti), Boinyatso (253.289) y Ha Molapo (129.177). Con esos fondos, la comunidad de Ha Molapo ha financiado una cooperativa de actividades múltiples, mientras que las de Boinyatso y Setlakalleng han comprado esmeriladoras. Un método de creación de empleo en Lesotho está aprovechando los acuerdos de inversión y el acceso preferencial a los mercados de que goza el país. Un ejemplo sería el Tratado del Proyecto de Aprovechamiento de los Recursos Hídricos de las Tierras Altas de Lesotho.</w:t>
      </w:r>
    </w:p>
    <w:p w:rsidR="009627D6" w:rsidRPr="00960E47" w:rsidRDefault="009627D6" w:rsidP="00BD2CEB">
      <w:pPr>
        <w:pStyle w:val="SingleTxtG"/>
        <w:rPr>
          <w:lang w:val="es-ES"/>
        </w:rPr>
      </w:pPr>
      <w:r w:rsidRPr="00960E47">
        <w:rPr>
          <w:lang w:val="es-ES"/>
        </w:rPr>
        <w:t>42.</w:t>
      </w:r>
      <w:r w:rsidRPr="00960E47">
        <w:rPr>
          <w:lang w:val="es-ES"/>
        </w:rPr>
        <w:tab/>
      </w:r>
      <w:r w:rsidR="00E421FD" w:rsidRPr="00960E47">
        <w:rPr>
          <w:lang w:val="es-ES"/>
        </w:rPr>
        <w:t>En su fase inicial, el Proyecto creó miles de puestos de trabajo en la construcción y otros sectores de la economía de Lesotho.</w:t>
      </w:r>
    </w:p>
    <w:p w:rsidR="00E421FD" w:rsidRPr="00960E47" w:rsidRDefault="009627D6" w:rsidP="00BD2CEB">
      <w:pPr>
        <w:pStyle w:val="SingleTxtG"/>
        <w:rPr>
          <w:lang w:val="es-ES"/>
        </w:rPr>
      </w:pPr>
      <w:r w:rsidRPr="00960E47">
        <w:rPr>
          <w:lang w:val="es-ES"/>
        </w:rPr>
        <w:t>43.</w:t>
      </w:r>
      <w:r w:rsidRPr="00960E47">
        <w:rPr>
          <w:lang w:val="es-ES"/>
        </w:rPr>
        <w:tab/>
      </w:r>
      <w:r w:rsidR="00E421FD" w:rsidRPr="00960E47">
        <w:rPr>
          <w:lang w:val="es-ES"/>
        </w:rPr>
        <w:t>Gracias al Proyecto, Lesotho percibe regalías fijas y variables por la transferencia de agua a la República de Sudáfrica. Por término medio, las regalías ascienden a 15 millones de maloti al mes. En total, Lesotho ha recibido, hasta julio de 2002, unos 937 millones de maloti gracias a esa regalías.</w:t>
      </w:r>
    </w:p>
    <w:p w:rsidR="00E421FD" w:rsidRPr="00960E47" w:rsidRDefault="009627D6" w:rsidP="00BD2CEB">
      <w:pPr>
        <w:pStyle w:val="SingleTxtG"/>
        <w:rPr>
          <w:lang w:val="es-ES"/>
        </w:rPr>
      </w:pPr>
      <w:r w:rsidRPr="00960E47">
        <w:rPr>
          <w:lang w:val="es-ES"/>
        </w:rPr>
        <w:t>44.</w:t>
      </w:r>
      <w:r w:rsidRPr="00960E47">
        <w:rPr>
          <w:lang w:val="es-ES"/>
        </w:rPr>
        <w:tab/>
      </w:r>
      <w:r w:rsidR="00E421FD" w:rsidRPr="00960E47">
        <w:rPr>
          <w:lang w:val="es-ES"/>
        </w:rPr>
        <w:t>En agosto de 2010, durante la visita estatal del Presidente de Sudáfrica, Jacob Zuma, se firmó una declaración de intenciones entre el Gobierno del Reino de Lesotho y la República de Sudáfrica sobre la Fase 2 del Proyecto de Aprovechamiento de los Recursos Hídricos de las Tierras Altas de Lesotho.</w:t>
      </w:r>
    </w:p>
    <w:p w:rsidR="00E421FD" w:rsidRPr="00960E47" w:rsidRDefault="009627D6" w:rsidP="00BD2CEB">
      <w:pPr>
        <w:pStyle w:val="H23G"/>
        <w:rPr>
          <w:lang w:val="es-ES"/>
        </w:rPr>
      </w:pPr>
      <w:r w:rsidRPr="00960E47">
        <w:rPr>
          <w:lang w:val="es-ES"/>
        </w:rPr>
        <w:tab/>
      </w:r>
      <w:r w:rsidRPr="00960E47">
        <w:rPr>
          <w:lang w:val="es-ES"/>
        </w:rPr>
        <w:tab/>
      </w:r>
      <w:r w:rsidR="00E421FD" w:rsidRPr="00960E47">
        <w:rPr>
          <w:lang w:val="es-ES"/>
        </w:rPr>
        <w:t>Sector de los recursos hídricos</w:t>
      </w:r>
    </w:p>
    <w:p w:rsidR="00E421FD" w:rsidRPr="00960E47" w:rsidRDefault="009627D6" w:rsidP="00BD2CEB">
      <w:pPr>
        <w:pStyle w:val="SingleTxtG"/>
        <w:rPr>
          <w:lang w:val="es-ES"/>
        </w:rPr>
      </w:pPr>
      <w:r w:rsidRPr="00960E47">
        <w:rPr>
          <w:lang w:val="es-ES"/>
        </w:rPr>
        <w:t>45.</w:t>
      </w:r>
      <w:r w:rsidRPr="00960E47">
        <w:rPr>
          <w:lang w:val="es-ES"/>
        </w:rPr>
        <w:tab/>
      </w:r>
      <w:r w:rsidR="00E421FD" w:rsidRPr="00960E47">
        <w:rPr>
          <w:lang w:val="es-ES"/>
        </w:rPr>
        <w:t>La Ley de Recursos Hídricos (1978) especifica que el uso doméstico del agua tiene prioridad con respecto a los demás usos. La Ley del Agua (2008) se promulgó con el fin de regular la gestión, protección, conservación, desarrollo y utilización sostenible de los recursos hídricos.</w:t>
      </w:r>
    </w:p>
    <w:p w:rsidR="00E421FD" w:rsidRPr="00960E47" w:rsidRDefault="009627D6" w:rsidP="00BD2CEB">
      <w:pPr>
        <w:pStyle w:val="SingleTxtG"/>
        <w:rPr>
          <w:lang w:val="es-ES"/>
        </w:rPr>
      </w:pPr>
      <w:r w:rsidRPr="00960E47">
        <w:rPr>
          <w:lang w:val="es-ES"/>
        </w:rPr>
        <w:t>46.</w:t>
      </w:r>
      <w:r w:rsidRPr="00960E47">
        <w:rPr>
          <w:lang w:val="es-ES"/>
        </w:rPr>
        <w:tab/>
      </w:r>
      <w:r w:rsidR="00E421FD" w:rsidRPr="00960E47">
        <w:rPr>
          <w:lang w:val="es-ES"/>
        </w:rPr>
        <w:t>Lesotho elaboró en 1998 la Política Nacional de Medio Ambiente, que establece el marco para la elaboración de la política sobre recursos hídricos. Esta reconoce la prolongada sequía periódica y la escasez de agua para la agricultura, así como la contaminación de la tierra y de los cursos de agua. Promueve el acceso de todos al agua potable. La política introduce también el principio de quien contamina paga. El objetivo de la Política de Ordenación de los Recursos Hídricos (1999) es establecer enfoques integrados y coordinados, eficaces y eficientes para la conservación y aprovechamiento de los limitados recursos hídricos, y promover su conservación y disponibilidad en cantidad suficiente, en forma sostenible y a largo plazo.</w:t>
      </w:r>
    </w:p>
    <w:p w:rsidR="00E421FD" w:rsidRPr="00960E47" w:rsidRDefault="009627D6" w:rsidP="00BD2CEB">
      <w:pPr>
        <w:pStyle w:val="SingleTxtG"/>
        <w:rPr>
          <w:lang w:val="es-ES"/>
        </w:rPr>
      </w:pPr>
      <w:r w:rsidRPr="00960E47">
        <w:rPr>
          <w:lang w:val="es-ES"/>
        </w:rPr>
        <w:t>47.</w:t>
      </w:r>
      <w:r w:rsidRPr="00960E47">
        <w:rPr>
          <w:lang w:val="es-ES"/>
        </w:rPr>
        <w:tab/>
      </w:r>
      <w:r w:rsidR="00E421FD" w:rsidRPr="00960E47">
        <w:rPr>
          <w:lang w:val="es-ES"/>
        </w:rPr>
        <w:t xml:space="preserve">El acceso a fuentes de agua mejoradas se ha incluido entre los indicadores para supervisar el componente </w:t>
      </w:r>
      <w:r w:rsidR="0045213B" w:rsidRPr="00960E47">
        <w:rPr>
          <w:lang w:val="es-ES"/>
        </w:rPr>
        <w:t>"</w:t>
      </w:r>
      <w:r w:rsidR="00E421FD" w:rsidRPr="00960E47">
        <w:rPr>
          <w:lang w:val="es-ES"/>
        </w:rPr>
        <w:t>base de recursos sana y bien desarrollada</w:t>
      </w:r>
      <w:r w:rsidR="0045213B" w:rsidRPr="00960E47">
        <w:rPr>
          <w:lang w:val="es-ES"/>
        </w:rPr>
        <w:t>"</w:t>
      </w:r>
      <w:r w:rsidR="00E421FD" w:rsidRPr="00960E47">
        <w:rPr>
          <w:lang w:val="es-ES"/>
        </w:rPr>
        <w:t xml:space="preserve"> de Visión 2020. El aumento del suministro de agua potable y de servicios de saneamiento adecuados representa una acción estratégica cuyos principales protagonistas son el Ministerio de Recursos Naturales, a través del Departamento de Abastecimiento de Agua en Zonas Rurales, el Organismo de Abastecimiento de Agua y Alcantarillado y la División de Salud Ambiental del Ministerio de Salud y Bienestar Social.</w:t>
      </w:r>
    </w:p>
    <w:p w:rsidR="00E421FD" w:rsidRPr="00960E47" w:rsidRDefault="009627D6" w:rsidP="00BD2CEB">
      <w:pPr>
        <w:pStyle w:val="SingleTxtG"/>
        <w:rPr>
          <w:lang w:val="es-ES"/>
        </w:rPr>
      </w:pPr>
      <w:r w:rsidRPr="00960E47">
        <w:rPr>
          <w:lang w:val="es-ES"/>
        </w:rPr>
        <w:t>48.</w:t>
      </w:r>
      <w:r w:rsidRPr="00960E47">
        <w:rPr>
          <w:lang w:val="es-ES"/>
        </w:rPr>
        <w:tab/>
      </w:r>
      <w:r w:rsidR="00E421FD" w:rsidRPr="00960E47">
        <w:rPr>
          <w:lang w:val="es-ES"/>
        </w:rPr>
        <w:t xml:space="preserve">El Organismo de Abastecimiento de Agua y Alcantarillado se encarga de los servicios de abastecimiento de agua potable, tratamiento de vertidos y eliminación de desechos líquidos en las zonas urbanas, tanto de las tierras bajas como de las tierras altas. No suministra agua para la agricultura ni el riego. Gestiona el sistema de distribución del agua, el agua no contabilizada, la toma de muestras de laboratorio y el análisis del agua. </w:t>
      </w:r>
    </w:p>
    <w:p w:rsidR="00E421FD" w:rsidRPr="00960E47" w:rsidRDefault="009627D6" w:rsidP="00BD2CEB">
      <w:pPr>
        <w:pStyle w:val="SingleTxtG"/>
        <w:rPr>
          <w:lang w:val="es-ES"/>
        </w:rPr>
      </w:pPr>
      <w:r w:rsidRPr="00960E47">
        <w:rPr>
          <w:lang w:val="es-ES"/>
        </w:rPr>
        <w:t>49.</w:t>
      </w:r>
      <w:r w:rsidRPr="00960E47">
        <w:rPr>
          <w:lang w:val="es-ES"/>
        </w:rPr>
        <w:tab/>
      </w:r>
      <w:r w:rsidR="00E421FD" w:rsidRPr="00960E47">
        <w:rPr>
          <w:lang w:val="es-ES"/>
        </w:rPr>
        <w:t xml:space="preserve">En 2007, el Ministerio de Recursos Naturales elaboró la Política de Abastecimiento de Agua y Saneamiento de Lesotho, en la que se reconoce el derecho de acceso al agua. El objetivo nacional era suministrar 30 </w:t>
      </w:r>
      <w:r w:rsidR="00BC5B93" w:rsidRPr="00960E47">
        <w:rPr>
          <w:lang w:val="es-ES"/>
        </w:rPr>
        <w:t xml:space="preserve">l </w:t>
      </w:r>
      <w:r w:rsidR="00E421FD" w:rsidRPr="00960E47">
        <w:rPr>
          <w:lang w:val="es-ES"/>
        </w:rPr>
        <w:t xml:space="preserve">de agua potable por persona y día, y conseguir que el desplazamiento necesario para recoger el agua no fuera de más de 150 </w:t>
      </w:r>
      <w:r w:rsidR="00FF41FD" w:rsidRPr="00960E47">
        <w:rPr>
          <w:lang w:val="es-ES"/>
        </w:rPr>
        <w:t>m</w:t>
      </w:r>
      <w:r w:rsidR="00E421FD" w:rsidRPr="00960E47">
        <w:rPr>
          <w:lang w:val="es-ES"/>
        </w:rPr>
        <w:t>.</w:t>
      </w:r>
    </w:p>
    <w:p w:rsidR="00E421FD" w:rsidRPr="00960E47" w:rsidRDefault="009627D6" w:rsidP="00BD2CEB">
      <w:pPr>
        <w:pStyle w:val="SingleTxtG"/>
        <w:rPr>
          <w:lang w:val="es-ES"/>
        </w:rPr>
      </w:pPr>
      <w:r w:rsidRPr="00960E47">
        <w:rPr>
          <w:lang w:val="es-ES"/>
        </w:rPr>
        <w:t>50.</w:t>
      </w:r>
      <w:r w:rsidRPr="00960E47">
        <w:rPr>
          <w:lang w:val="es-ES"/>
        </w:rPr>
        <w:tab/>
      </w:r>
      <w:r w:rsidR="00E421FD" w:rsidRPr="00960E47">
        <w:rPr>
          <w:lang w:val="es-ES"/>
        </w:rPr>
        <w:t>El Departamento de Abastecimiento de Agua en Zonas Rurales ha elaborado una estrategia para alcanzar los objetivos definidos sobre cobertura y mantenimiento de los recursos hídricos. Los dos elementos clave de la estrategia son aumentar la velocidad en el suministro de agua potable y en cantidades suficientes a las comunidades y establecer un mecanismo viable para garantizar la sostenibilidad a largo plazo de los sistemas de abastecimiento de agua, una vez terminados.</w:t>
      </w:r>
    </w:p>
    <w:p w:rsidR="00E421FD" w:rsidRPr="00960E47" w:rsidRDefault="009627D6" w:rsidP="00BD2CEB">
      <w:pPr>
        <w:pStyle w:val="SingleTxtG"/>
        <w:rPr>
          <w:lang w:val="es-ES"/>
        </w:rPr>
      </w:pPr>
      <w:r w:rsidRPr="00960E47">
        <w:rPr>
          <w:lang w:val="es-ES"/>
        </w:rPr>
        <w:t>51.</w:t>
      </w:r>
      <w:r w:rsidRPr="00960E47">
        <w:rPr>
          <w:lang w:val="es-ES"/>
        </w:rPr>
        <w:tab/>
      </w:r>
      <w:r w:rsidR="00E421FD" w:rsidRPr="00960E47">
        <w:rPr>
          <w:lang w:val="es-ES"/>
        </w:rPr>
        <w:t>El Departamento de Abastecimiento de Agua en Zonas Rurales se encarga del diseño, desarrollo y mantenimiento de la infraestructura del abastecimiento de agua en zonas rurales. La Estrategia de Abastecimiento de Agua en las Zonas Rurales adopta un enfoque de la planificación basado en la demanda, en cooperación con las comunidades; en concreto, la decisión acerca del tipo de sistema de abastecimiento de agua seleccionado, el nivel de servicio ofrecido y la gestión a largo plazo de los sistemas se toma contando con la participación activa de la comunidad en todas las etapas.</w:t>
      </w:r>
    </w:p>
    <w:p w:rsidR="00E421FD" w:rsidRPr="00960E47" w:rsidRDefault="009627D6" w:rsidP="00BD2CEB">
      <w:pPr>
        <w:pStyle w:val="SingleTxtG"/>
        <w:rPr>
          <w:lang w:val="es-ES"/>
        </w:rPr>
      </w:pPr>
      <w:r w:rsidRPr="00960E47">
        <w:rPr>
          <w:lang w:val="es-ES"/>
        </w:rPr>
        <w:t>52.</w:t>
      </w:r>
      <w:r w:rsidRPr="00960E47">
        <w:rPr>
          <w:lang w:val="es-ES"/>
        </w:rPr>
        <w:tab/>
      </w:r>
      <w:r w:rsidR="00E421FD" w:rsidRPr="00960E47">
        <w:rPr>
          <w:lang w:val="es-ES"/>
        </w:rPr>
        <w:t>En el cuadro siguiente se observa que el porcentaje de hogares que deben desplazarse menos de 15 minutos para recoger el agua oscila entre el 45,6% y el 63,5%. El porcentaje más elevado corresponde a Maseru y el más bajo al distrito montañoso de Thaba-Tseka. Los que necesitan entre 15 y 29 minutos representan el 20,5%. Asimismo, menos del 3% de los miembros de los hogares se desplazan durante dos o más horas para conseguir agua para sus hogares.</w:t>
      </w:r>
    </w:p>
    <w:p w:rsidR="00E421FD" w:rsidRPr="00960E47" w:rsidRDefault="009627D6" w:rsidP="00BD2CEB">
      <w:pPr>
        <w:pStyle w:val="H23G"/>
        <w:rPr>
          <w:lang w:val="es-ES"/>
        </w:rPr>
      </w:pPr>
      <w:r w:rsidRPr="00960E47">
        <w:rPr>
          <w:lang w:val="es-ES"/>
        </w:rPr>
        <w:tab/>
      </w:r>
      <w:r w:rsidRPr="00960E47">
        <w:rPr>
          <w:lang w:val="es-ES"/>
        </w:rPr>
        <w:tab/>
      </w:r>
      <w:r w:rsidR="00E421FD" w:rsidRPr="00960E47">
        <w:rPr>
          <w:lang w:val="es-ES"/>
        </w:rPr>
        <w:t>Tiempo necesario, en minutos, para ir caminando a buscar agua y regresar</w:t>
      </w:r>
    </w:p>
    <w:p w:rsidR="00E421FD" w:rsidRPr="00960E47" w:rsidRDefault="009627D6" w:rsidP="00D939A4">
      <w:pPr>
        <w:pStyle w:val="H23G"/>
        <w:spacing w:before="120"/>
        <w:rPr>
          <w:lang w:val="es-ES"/>
        </w:rPr>
      </w:pPr>
      <w:r w:rsidRPr="00960E47">
        <w:rPr>
          <w:lang w:val="es-ES"/>
        </w:rPr>
        <w:tab/>
      </w:r>
      <w:r w:rsidRPr="00960E47">
        <w:rPr>
          <w:lang w:val="es-ES"/>
        </w:rPr>
        <w:tab/>
      </w:r>
      <w:r w:rsidR="00E421FD" w:rsidRPr="00960E47">
        <w:rPr>
          <w:lang w:val="es-ES"/>
        </w:rPr>
        <w:t>Distribución porcentual de los hogares, por distrito y minutos necesarios para ir caminando a buscar agua y regresar, Censo de 2006</w:t>
      </w:r>
    </w:p>
    <w:tbl>
      <w:tblPr>
        <w:tblW w:w="8506" w:type="dxa"/>
        <w:tblInd w:w="1134" w:type="dxa"/>
        <w:tblBorders>
          <w:top w:val="single" w:sz="4" w:space="0" w:color="auto"/>
          <w:bottom w:val="single" w:sz="12" w:space="0" w:color="auto"/>
        </w:tblBorders>
        <w:tblLayout w:type="fixed"/>
        <w:tblCellMar>
          <w:left w:w="0" w:type="dxa"/>
          <w:right w:w="0" w:type="dxa"/>
        </w:tblCellMar>
        <w:tblLook w:val="04A0"/>
      </w:tblPr>
      <w:tblGrid>
        <w:gridCol w:w="1400"/>
        <w:gridCol w:w="771"/>
        <w:gridCol w:w="872"/>
        <w:gridCol w:w="873"/>
        <w:gridCol w:w="872"/>
        <w:gridCol w:w="873"/>
        <w:gridCol w:w="872"/>
        <w:gridCol w:w="816"/>
        <w:gridCol w:w="1157"/>
      </w:tblGrid>
      <w:tr w:rsidR="003D5CC3" w:rsidRPr="00960E47" w:rsidTr="00560A22">
        <w:trPr>
          <w:tblHeader/>
        </w:trPr>
        <w:tc>
          <w:tcPr>
            <w:tcW w:w="1400" w:type="dxa"/>
            <w:vMerge w:val="restart"/>
            <w:tcBorders>
              <w:top w:val="single" w:sz="4" w:space="0" w:color="auto"/>
            </w:tcBorders>
            <w:shd w:val="clear" w:color="auto" w:fill="auto"/>
            <w:noWrap/>
            <w:vAlign w:val="bottom"/>
          </w:tcPr>
          <w:p w:rsidR="003D5CC3" w:rsidRPr="00960E47" w:rsidRDefault="003D5CC3" w:rsidP="003D5CC3">
            <w:pPr>
              <w:pStyle w:val="SingleTxtG"/>
              <w:spacing w:before="80" w:after="80" w:line="200" w:lineRule="exact"/>
              <w:ind w:left="0" w:right="0"/>
              <w:jc w:val="left"/>
              <w:rPr>
                <w:i/>
                <w:sz w:val="16"/>
                <w:szCs w:val="18"/>
                <w:lang w:val="es-ES"/>
              </w:rPr>
            </w:pPr>
            <w:r w:rsidRPr="00960E47">
              <w:rPr>
                <w:i/>
                <w:sz w:val="16"/>
                <w:szCs w:val="18"/>
                <w:lang w:val="es-ES"/>
              </w:rPr>
              <w:t>Distrito</w:t>
            </w:r>
          </w:p>
        </w:tc>
        <w:tc>
          <w:tcPr>
            <w:tcW w:w="7106" w:type="dxa"/>
            <w:gridSpan w:val="8"/>
            <w:tcBorders>
              <w:top w:val="single" w:sz="4" w:space="0" w:color="auto"/>
              <w:bottom w:val="single" w:sz="4" w:space="0" w:color="000000"/>
            </w:tcBorders>
            <w:shd w:val="clear" w:color="auto" w:fill="auto"/>
            <w:vAlign w:val="bottom"/>
          </w:tcPr>
          <w:p w:rsidR="003D5CC3" w:rsidRPr="00960E47" w:rsidRDefault="003D5CC3" w:rsidP="003D5CC3">
            <w:pPr>
              <w:pStyle w:val="SingleTxtG"/>
              <w:spacing w:before="80" w:after="80" w:line="200" w:lineRule="exact"/>
              <w:ind w:left="0" w:right="0"/>
              <w:jc w:val="center"/>
              <w:rPr>
                <w:i/>
                <w:sz w:val="16"/>
                <w:szCs w:val="18"/>
                <w:lang w:val="es-ES"/>
              </w:rPr>
            </w:pPr>
            <w:r w:rsidRPr="00960E47">
              <w:rPr>
                <w:i/>
                <w:sz w:val="16"/>
                <w:szCs w:val="18"/>
                <w:lang w:val="es-ES"/>
              </w:rPr>
              <w:t>Tiempo necesario para la recogida del agua</w:t>
            </w:r>
          </w:p>
        </w:tc>
      </w:tr>
      <w:tr w:rsidR="003D5CC3" w:rsidRPr="00960E47" w:rsidTr="00560A22">
        <w:tc>
          <w:tcPr>
            <w:tcW w:w="1400" w:type="dxa"/>
            <w:vMerge/>
            <w:tcBorders>
              <w:bottom w:val="single" w:sz="12" w:space="0" w:color="000000"/>
            </w:tcBorders>
            <w:shd w:val="clear" w:color="auto" w:fill="auto"/>
            <w:noWrap/>
            <w:vAlign w:val="bottom"/>
          </w:tcPr>
          <w:p w:rsidR="003D5CC3" w:rsidRPr="00960E47" w:rsidRDefault="003D5CC3" w:rsidP="003D5CC3">
            <w:pPr>
              <w:pStyle w:val="SingleTxtG"/>
              <w:spacing w:before="80" w:after="80" w:line="200" w:lineRule="exact"/>
              <w:ind w:left="0" w:right="0"/>
              <w:jc w:val="left"/>
              <w:rPr>
                <w:i/>
                <w:sz w:val="16"/>
                <w:szCs w:val="18"/>
                <w:lang w:val="es-ES"/>
              </w:rPr>
            </w:pPr>
          </w:p>
        </w:tc>
        <w:tc>
          <w:tcPr>
            <w:tcW w:w="771" w:type="dxa"/>
            <w:tcBorders>
              <w:top w:val="single" w:sz="4" w:space="0" w:color="000000"/>
              <w:bottom w:val="single" w:sz="12" w:space="0" w:color="000000"/>
            </w:tcBorders>
            <w:shd w:val="clear" w:color="auto" w:fill="auto"/>
            <w:noWrap/>
            <w:vAlign w:val="bottom"/>
          </w:tcPr>
          <w:p w:rsidR="003D5CC3" w:rsidRPr="00960E47" w:rsidRDefault="003D5CC3" w:rsidP="003D5CC3">
            <w:pPr>
              <w:pStyle w:val="SingleTxtG"/>
              <w:spacing w:before="80" w:after="80" w:line="200" w:lineRule="exact"/>
              <w:ind w:left="0" w:right="0"/>
              <w:jc w:val="right"/>
              <w:rPr>
                <w:i/>
                <w:sz w:val="16"/>
                <w:szCs w:val="18"/>
                <w:lang w:val="es-ES"/>
              </w:rPr>
            </w:pPr>
            <w:r w:rsidRPr="00960E47">
              <w:rPr>
                <w:i/>
                <w:sz w:val="16"/>
                <w:szCs w:val="18"/>
                <w:lang w:val="es-ES"/>
              </w:rPr>
              <w:t>0-14</w:t>
            </w:r>
          </w:p>
        </w:tc>
        <w:tc>
          <w:tcPr>
            <w:tcW w:w="872" w:type="dxa"/>
            <w:tcBorders>
              <w:top w:val="single" w:sz="4" w:space="0" w:color="000000"/>
              <w:bottom w:val="single" w:sz="12" w:space="0" w:color="000000"/>
            </w:tcBorders>
            <w:shd w:val="clear" w:color="auto" w:fill="auto"/>
            <w:noWrap/>
            <w:vAlign w:val="bottom"/>
          </w:tcPr>
          <w:p w:rsidR="003D5CC3" w:rsidRPr="00960E47" w:rsidRDefault="003D5CC3" w:rsidP="003D5CC3">
            <w:pPr>
              <w:pStyle w:val="SingleTxtG"/>
              <w:spacing w:before="80" w:after="80" w:line="200" w:lineRule="exact"/>
              <w:ind w:left="0" w:right="0"/>
              <w:jc w:val="right"/>
              <w:rPr>
                <w:i/>
                <w:sz w:val="16"/>
                <w:szCs w:val="18"/>
                <w:lang w:val="es-ES"/>
              </w:rPr>
            </w:pPr>
            <w:r w:rsidRPr="00960E47">
              <w:rPr>
                <w:i/>
                <w:sz w:val="16"/>
                <w:szCs w:val="18"/>
                <w:lang w:val="es-ES"/>
              </w:rPr>
              <w:t>15-29</w:t>
            </w:r>
          </w:p>
        </w:tc>
        <w:tc>
          <w:tcPr>
            <w:tcW w:w="873" w:type="dxa"/>
            <w:tcBorders>
              <w:top w:val="single" w:sz="4" w:space="0" w:color="000000"/>
              <w:bottom w:val="single" w:sz="12" w:space="0" w:color="000000"/>
            </w:tcBorders>
            <w:shd w:val="clear" w:color="auto" w:fill="auto"/>
            <w:noWrap/>
            <w:vAlign w:val="bottom"/>
          </w:tcPr>
          <w:p w:rsidR="003D5CC3" w:rsidRPr="00960E47" w:rsidRDefault="003D5CC3" w:rsidP="003D5CC3">
            <w:pPr>
              <w:pStyle w:val="SingleTxtG"/>
              <w:spacing w:before="80" w:after="80" w:line="200" w:lineRule="exact"/>
              <w:ind w:left="0" w:right="0"/>
              <w:jc w:val="right"/>
              <w:rPr>
                <w:i/>
                <w:sz w:val="16"/>
                <w:szCs w:val="18"/>
                <w:lang w:val="es-ES"/>
              </w:rPr>
            </w:pPr>
            <w:r w:rsidRPr="00960E47">
              <w:rPr>
                <w:i/>
                <w:sz w:val="16"/>
                <w:szCs w:val="18"/>
                <w:lang w:val="es-ES"/>
              </w:rPr>
              <w:t>30-44</w:t>
            </w:r>
          </w:p>
        </w:tc>
        <w:tc>
          <w:tcPr>
            <w:tcW w:w="872" w:type="dxa"/>
            <w:tcBorders>
              <w:top w:val="single" w:sz="4" w:space="0" w:color="000000"/>
              <w:bottom w:val="single" w:sz="12" w:space="0" w:color="000000"/>
            </w:tcBorders>
            <w:shd w:val="clear" w:color="auto" w:fill="auto"/>
            <w:noWrap/>
            <w:vAlign w:val="bottom"/>
          </w:tcPr>
          <w:p w:rsidR="003D5CC3" w:rsidRPr="00960E47" w:rsidRDefault="003D5CC3" w:rsidP="003D5CC3">
            <w:pPr>
              <w:pStyle w:val="SingleTxtG"/>
              <w:spacing w:before="80" w:after="80" w:line="200" w:lineRule="exact"/>
              <w:ind w:left="0" w:right="0"/>
              <w:jc w:val="right"/>
              <w:rPr>
                <w:i/>
                <w:sz w:val="16"/>
                <w:szCs w:val="18"/>
                <w:lang w:val="es-ES"/>
              </w:rPr>
            </w:pPr>
            <w:r w:rsidRPr="00960E47">
              <w:rPr>
                <w:i/>
                <w:sz w:val="16"/>
                <w:szCs w:val="18"/>
                <w:lang w:val="es-ES"/>
              </w:rPr>
              <w:t>45-49</w:t>
            </w:r>
          </w:p>
        </w:tc>
        <w:tc>
          <w:tcPr>
            <w:tcW w:w="873" w:type="dxa"/>
            <w:tcBorders>
              <w:top w:val="single" w:sz="4" w:space="0" w:color="000000"/>
              <w:bottom w:val="single" w:sz="12" w:space="0" w:color="000000"/>
            </w:tcBorders>
            <w:shd w:val="clear" w:color="auto" w:fill="auto"/>
            <w:noWrap/>
            <w:vAlign w:val="bottom"/>
          </w:tcPr>
          <w:p w:rsidR="003D5CC3" w:rsidRPr="00960E47" w:rsidRDefault="003D5CC3" w:rsidP="003D5CC3">
            <w:pPr>
              <w:pStyle w:val="SingleTxtG"/>
              <w:spacing w:before="80" w:after="80" w:line="200" w:lineRule="exact"/>
              <w:ind w:left="0" w:right="0"/>
              <w:jc w:val="right"/>
              <w:rPr>
                <w:i/>
                <w:sz w:val="16"/>
                <w:szCs w:val="18"/>
                <w:lang w:val="es-ES"/>
              </w:rPr>
            </w:pPr>
            <w:r w:rsidRPr="00960E47">
              <w:rPr>
                <w:i/>
                <w:sz w:val="16"/>
                <w:szCs w:val="18"/>
                <w:lang w:val="es-ES"/>
              </w:rPr>
              <w:t>50-59</w:t>
            </w:r>
          </w:p>
        </w:tc>
        <w:tc>
          <w:tcPr>
            <w:tcW w:w="872" w:type="dxa"/>
            <w:tcBorders>
              <w:top w:val="single" w:sz="4" w:space="0" w:color="000000"/>
              <w:bottom w:val="single" w:sz="12" w:space="0" w:color="000000"/>
            </w:tcBorders>
            <w:shd w:val="clear" w:color="auto" w:fill="auto"/>
            <w:noWrap/>
            <w:vAlign w:val="bottom"/>
          </w:tcPr>
          <w:p w:rsidR="003D5CC3" w:rsidRPr="00960E47" w:rsidRDefault="003D5CC3" w:rsidP="003D5CC3">
            <w:pPr>
              <w:pStyle w:val="SingleTxtG"/>
              <w:spacing w:before="80" w:after="80" w:line="200" w:lineRule="exact"/>
              <w:ind w:left="0" w:right="0"/>
              <w:jc w:val="right"/>
              <w:rPr>
                <w:i/>
                <w:sz w:val="16"/>
                <w:szCs w:val="18"/>
                <w:lang w:val="es-ES"/>
              </w:rPr>
            </w:pPr>
            <w:r w:rsidRPr="00960E47">
              <w:rPr>
                <w:i/>
                <w:sz w:val="16"/>
                <w:szCs w:val="18"/>
                <w:lang w:val="es-ES"/>
              </w:rPr>
              <w:t>60-119</w:t>
            </w:r>
          </w:p>
        </w:tc>
        <w:tc>
          <w:tcPr>
            <w:tcW w:w="816" w:type="dxa"/>
            <w:tcBorders>
              <w:top w:val="single" w:sz="4" w:space="0" w:color="000000"/>
              <w:bottom w:val="single" w:sz="12" w:space="0" w:color="000000"/>
            </w:tcBorders>
            <w:shd w:val="clear" w:color="auto" w:fill="auto"/>
            <w:noWrap/>
            <w:vAlign w:val="bottom"/>
          </w:tcPr>
          <w:p w:rsidR="003D5CC3" w:rsidRPr="00960E47" w:rsidRDefault="003D5CC3" w:rsidP="003D5CC3">
            <w:pPr>
              <w:pStyle w:val="SingleTxtG"/>
              <w:spacing w:before="80" w:after="80" w:line="200" w:lineRule="exact"/>
              <w:ind w:left="0" w:right="0"/>
              <w:jc w:val="right"/>
              <w:rPr>
                <w:i/>
                <w:sz w:val="16"/>
                <w:szCs w:val="18"/>
                <w:lang w:val="es-ES"/>
              </w:rPr>
            </w:pPr>
            <w:r w:rsidRPr="00960E47">
              <w:rPr>
                <w:i/>
                <w:sz w:val="16"/>
                <w:szCs w:val="18"/>
                <w:lang w:val="es-ES"/>
              </w:rPr>
              <w:t>120+</w:t>
            </w:r>
          </w:p>
        </w:tc>
        <w:tc>
          <w:tcPr>
            <w:tcW w:w="1157" w:type="dxa"/>
            <w:tcBorders>
              <w:top w:val="single" w:sz="4" w:space="0" w:color="000000"/>
              <w:bottom w:val="single" w:sz="12" w:space="0" w:color="000000"/>
            </w:tcBorders>
            <w:shd w:val="clear" w:color="auto" w:fill="auto"/>
            <w:noWrap/>
            <w:vAlign w:val="bottom"/>
          </w:tcPr>
          <w:p w:rsidR="003D5CC3" w:rsidRPr="00960E47" w:rsidRDefault="003D5CC3" w:rsidP="003D5CC3">
            <w:pPr>
              <w:pStyle w:val="SingleTxtG"/>
              <w:spacing w:before="80" w:after="80" w:line="200" w:lineRule="exact"/>
              <w:ind w:left="0" w:right="0"/>
              <w:jc w:val="right"/>
              <w:rPr>
                <w:i/>
                <w:sz w:val="16"/>
                <w:szCs w:val="18"/>
                <w:lang w:val="es-ES"/>
              </w:rPr>
            </w:pPr>
            <w:r w:rsidRPr="00960E47">
              <w:rPr>
                <w:i/>
                <w:sz w:val="16"/>
                <w:szCs w:val="18"/>
                <w:lang w:val="es-ES"/>
              </w:rPr>
              <w:t>Número</w:t>
            </w:r>
          </w:p>
        </w:tc>
      </w:tr>
      <w:tr w:rsidR="003D5CC3" w:rsidRPr="00960E47" w:rsidTr="003D5CC3">
        <w:tc>
          <w:tcPr>
            <w:tcW w:w="1400" w:type="dxa"/>
            <w:tcBorders>
              <w:top w:val="single" w:sz="12" w:space="0" w:color="000000"/>
            </w:tcBorders>
            <w:shd w:val="clear" w:color="auto" w:fill="auto"/>
            <w:noWrap/>
            <w:vAlign w:val="bottom"/>
          </w:tcPr>
          <w:p w:rsidR="003D5CC3" w:rsidRPr="00960E47" w:rsidRDefault="003D5CC3" w:rsidP="003D5CC3">
            <w:pPr>
              <w:pStyle w:val="SingleTxtG"/>
              <w:spacing w:before="40" w:after="40" w:line="220" w:lineRule="exact"/>
              <w:ind w:left="0" w:right="0"/>
              <w:jc w:val="left"/>
              <w:rPr>
                <w:sz w:val="18"/>
                <w:szCs w:val="18"/>
                <w:lang w:val="es-ES"/>
              </w:rPr>
            </w:pPr>
            <w:r w:rsidRPr="00960E47">
              <w:rPr>
                <w:sz w:val="18"/>
                <w:szCs w:val="18"/>
                <w:lang w:val="es-ES"/>
              </w:rPr>
              <w:t>Botha-Bothe</w:t>
            </w:r>
          </w:p>
        </w:tc>
        <w:tc>
          <w:tcPr>
            <w:tcW w:w="771" w:type="dxa"/>
            <w:tcBorders>
              <w:top w:val="single" w:sz="12" w:space="0" w:color="000000"/>
            </w:tcBorders>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52,7</w:t>
            </w:r>
          </w:p>
        </w:tc>
        <w:tc>
          <w:tcPr>
            <w:tcW w:w="872" w:type="dxa"/>
            <w:tcBorders>
              <w:top w:val="single" w:sz="12" w:space="0" w:color="000000"/>
            </w:tcBorders>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22,0</w:t>
            </w:r>
          </w:p>
        </w:tc>
        <w:tc>
          <w:tcPr>
            <w:tcW w:w="873" w:type="dxa"/>
            <w:tcBorders>
              <w:top w:val="single" w:sz="12" w:space="0" w:color="000000"/>
            </w:tcBorders>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10,8</w:t>
            </w:r>
          </w:p>
        </w:tc>
        <w:tc>
          <w:tcPr>
            <w:tcW w:w="872" w:type="dxa"/>
            <w:tcBorders>
              <w:top w:val="single" w:sz="12" w:space="0" w:color="000000"/>
            </w:tcBorders>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4,0</w:t>
            </w:r>
          </w:p>
        </w:tc>
        <w:tc>
          <w:tcPr>
            <w:tcW w:w="873" w:type="dxa"/>
            <w:tcBorders>
              <w:top w:val="single" w:sz="12" w:space="0" w:color="000000"/>
            </w:tcBorders>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4,5</w:t>
            </w:r>
          </w:p>
        </w:tc>
        <w:tc>
          <w:tcPr>
            <w:tcW w:w="872" w:type="dxa"/>
            <w:tcBorders>
              <w:top w:val="single" w:sz="12" w:space="0" w:color="000000"/>
            </w:tcBorders>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3,8</w:t>
            </w:r>
          </w:p>
        </w:tc>
        <w:tc>
          <w:tcPr>
            <w:tcW w:w="816" w:type="dxa"/>
            <w:tcBorders>
              <w:top w:val="single" w:sz="12" w:space="0" w:color="000000"/>
            </w:tcBorders>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2,2</w:t>
            </w:r>
          </w:p>
        </w:tc>
        <w:tc>
          <w:tcPr>
            <w:tcW w:w="1157" w:type="dxa"/>
            <w:tcBorders>
              <w:top w:val="single" w:sz="12" w:space="0" w:color="000000"/>
            </w:tcBorders>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100 (23 724)</w:t>
            </w:r>
          </w:p>
        </w:tc>
      </w:tr>
      <w:tr w:rsidR="003D5CC3" w:rsidRPr="00960E47" w:rsidTr="003D5CC3">
        <w:tc>
          <w:tcPr>
            <w:tcW w:w="1400" w:type="dxa"/>
            <w:shd w:val="clear" w:color="auto" w:fill="auto"/>
            <w:noWrap/>
            <w:vAlign w:val="bottom"/>
          </w:tcPr>
          <w:p w:rsidR="003D5CC3" w:rsidRPr="00960E47" w:rsidRDefault="003D5CC3" w:rsidP="003D5CC3">
            <w:pPr>
              <w:pStyle w:val="SingleTxtG"/>
              <w:spacing w:before="40" w:after="40" w:line="220" w:lineRule="exact"/>
              <w:ind w:left="0" w:right="0"/>
              <w:jc w:val="left"/>
              <w:rPr>
                <w:sz w:val="18"/>
                <w:szCs w:val="18"/>
                <w:lang w:val="es-ES"/>
              </w:rPr>
            </w:pPr>
            <w:r w:rsidRPr="00960E47">
              <w:rPr>
                <w:sz w:val="18"/>
                <w:szCs w:val="18"/>
                <w:lang w:val="es-ES"/>
              </w:rPr>
              <w:t>Leribe</w:t>
            </w:r>
          </w:p>
        </w:tc>
        <w:tc>
          <w:tcPr>
            <w:tcW w:w="771" w:type="dxa"/>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47,5</w:t>
            </w:r>
          </w:p>
        </w:tc>
        <w:tc>
          <w:tcPr>
            <w:tcW w:w="872" w:type="dxa"/>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22,0</w:t>
            </w:r>
          </w:p>
        </w:tc>
        <w:tc>
          <w:tcPr>
            <w:tcW w:w="873" w:type="dxa"/>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11,7</w:t>
            </w:r>
          </w:p>
        </w:tc>
        <w:tc>
          <w:tcPr>
            <w:tcW w:w="872" w:type="dxa"/>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4,7</w:t>
            </w:r>
          </w:p>
        </w:tc>
        <w:tc>
          <w:tcPr>
            <w:tcW w:w="873" w:type="dxa"/>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6,2</w:t>
            </w:r>
          </w:p>
        </w:tc>
        <w:tc>
          <w:tcPr>
            <w:tcW w:w="872" w:type="dxa"/>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4,6</w:t>
            </w:r>
          </w:p>
        </w:tc>
        <w:tc>
          <w:tcPr>
            <w:tcW w:w="816" w:type="dxa"/>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3,2</w:t>
            </w:r>
          </w:p>
        </w:tc>
        <w:tc>
          <w:tcPr>
            <w:tcW w:w="1157" w:type="dxa"/>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100 (66 697)</w:t>
            </w:r>
          </w:p>
        </w:tc>
      </w:tr>
      <w:tr w:rsidR="003D5CC3" w:rsidRPr="00960E47" w:rsidTr="003D5CC3">
        <w:tc>
          <w:tcPr>
            <w:tcW w:w="1400" w:type="dxa"/>
            <w:shd w:val="clear" w:color="auto" w:fill="auto"/>
            <w:noWrap/>
            <w:vAlign w:val="bottom"/>
          </w:tcPr>
          <w:p w:rsidR="003D5CC3" w:rsidRPr="00960E47" w:rsidRDefault="003D5CC3" w:rsidP="003D5CC3">
            <w:pPr>
              <w:pStyle w:val="SingleTxtG"/>
              <w:spacing w:before="40" w:after="40" w:line="220" w:lineRule="exact"/>
              <w:ind w:left="0" w:right="0"/>
              <w:jc w:val="left"/>
              <w:rPr>
                <w:sz w:val="18"/>
                <w:szCs w:val="18"/>
                <w:lang w:val="es-ES"/>
              </w:rPr>
            </w:pPr>
            <w:r w:rsidRPr="00960E47">
              <w:rPr>
                <w:sz w:val="18"/>
                <w:szCs w:val="18"/>
                <w:lang w:val="es-ES"/>
              </w:rPr>
              <w:t>Berea</w:t>
            </w:r>
          </w:p>
        </w:tc>
        <w:tc>
          <w:tcPr>
            <w:tcW w:w="771" w:type="dxa"/>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54,4</w:t>
            </w:r>
          </w:p>
        </w:tc>
        <w:tc>
          <w:tcPr>
            <w:tcW w:w="872" w:type="dxa"/>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19,2</w:t>
            </w:r>
          </w:p>
        </w:tc>
        <w:tc>
          <w:tcPr>
            <w:tcW w:w="873" w:type="dxa"/>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10,2</w:t>
            </w:r>
          </w:p>
        </w:tc>
        <w:tc>
          <w:tcPr>
            <w:tcW w:w="872" w:type="dxa"/>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3,7</w:t>
            </w:r>
          </w:p>
        </w:tc>
        <w:tc>
          <w:tcPr>
            <w:tcW w:w="873" w:type="dxa"/>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5,6</w:t>
            </w:r>
          </w:p>
        </w:tc>
        <w:tc>
          <w:tcPr>
            <w:tcW w:w="872" w:type="dxa"/>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3,9</w:t>
            </w:r>
          </w:p>
        </w:tc>
        <w:tc>
          <w:tcPr>
            <w:tcW w:w="816" w:type="dxa"/>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3,0</w:t>
            </w:r>
          </w:p>
        </w:tc>
        <w:tc>
          <w:tcPr>
            <w:tcW w:w="1157" w:type="dxa"/>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100 (56 567)</w:t>
            </w:r>
          </w:p>
        </w:tc>
      </w:tr>
      <w:tr w:rsidR="003D5CC3" w:rsidRPr="00960E47" w:rsidTr="003D5CC3">
        <w:tc>
          <w:tcPr>
            <w:tcW w:w="1400" w:type="dxa"/>
            <w:shd w:val="clear" w:color="auto" w:fill="auto"/>
            <w:noWrap/>
            <w:vAlign w:val="bottom"/>
          </w:tcPr>
          <w:p w:rsidR="003D5CC3" w:rsidRPr="00960E47" w:rsidRDefault="003D5CC3" w:rsidP="003D5CC3">
            <w:pPr>
              <w:pStyle w:val="SingleTxtG"/>
              <w:spacing w:before="40" w:after="40" w:line="220" w:lineRule="exact"/>
              <w:ind w:left="0" w:right="0"/>
              <w:jc w:val="left"/>
              <w:rPr>
                <w:sz w:val="18"/>
                <w:szCs w:val="18"/>
                <w:lang w:val="es-ES"/>
              </w:rPr>
            </w:pPr>
            <w:r w:rsidRPr="00960E47">
              <w:rPr>
                <w:sz w:val="18"/>
                <w:szCs w:val="18"/>
                <w:lang w:val="es-ES"/>
              </w:rPr>
              <w:t>Maseru</w:t>
            </w:r>
          </w:p>
        </w:tc>
        <w:tc>
          <w:tcPr>
            <w:tcW w:w="771" w:type="dxa"/>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63,5</w:t>
            </w:r>
          </w:p>
        </w:tc>
        <w:tc>
          <w:tcPr>
            <w:tcW w:w="872" w:type="dxa"/>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17,4</w:t>
            </w:r>
          </w:p>
        </w:tc>
        <w:tc>
          <w:tcPr>
            <w:tcW w:w="873" w:type="dxa"/>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8,1</w:t>
            </w:r>
          </w:p>
        </w:tc>
        <w:tc>
          <w:tcPr>
            <w:tcW w:w="872" w:type="dxa"/>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2,8</w:t>
            </w:r>
          </w:p>
        </w:tc>
        <w:tc>
          <w:tcPr>
            <w:tcW w:w="873" w:type="dxa"/>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3,5</w:t>
            </w:r>
          </w:p>
        </w:tc>
        <w:tc>
          <w:tcPr>
            <w:tcW w:w="872" w:type="dxa"/>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2,9</w:t>
            </w:r>
          </w:p>
        </w:tc>
        <w:tc>
          <w:tcPr>
            <w:tcW w:w="816" w:type="dxa"/>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1,7</w:t>
            </w:r>
          </w:p>
        </w:tc>
        <w:tc>
          <w:tcPr>
            <w:tcW w:w="1157" w:type="dxa"/>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100 (109 978)</w:t>
            </w:r>
          </w:p>
        </w:tc>
      </w:tr>
      <w:tr w:rsidR="003D5CC3" w:rsidRPr="00960E47" w:rsidTr="003D5CC3">
        <w:tc>
          <w:tcPr>
            <w:tcW w:w="1400" w:type="dxa"/>
            <w:shd w:val="clear" w:color="auto" w:fill="auto"/>
            <w:noWrap/>
            <w:vAlign w:val="bottom"/>
          </w:tcPr>
          <w:p w:rsidR="003D5CC3" w:rsidRPr="00960E47" w:rsidRDefault="003D5CC3" w:rsidP="003D5CC3">
            <w:pPr>
              <w:pStyle w:val="SingleTxtG"/>
              <w:spacing w:before="40" w:after="40" w:line="220" w:lineRule="exact"/>
              <w:ind w:left="0" w:right="0"/>
              <w:jc w:val="left"/>
              <w:rPr>
                <w:sz w:val="18"/>
                <w:szCs w:val="18"/>
                <w:lang w:val="es-ES"/>
              </w:rPr>
            </w:pPr>
            <w:r w:rsidRPr="00960E47">
              <w:rPr>
                <w:sz w:val="18"/>
                <w:szCs w:val="18"/>
                <w:lang w:val="es-ES"/>
              </w:rPr>
              <w:t>Mafeteng</w:t>
            </w:r>
          </w:p>
        </w:tc>
        <w:tc>
          <w:tcPr>
            <w:tcW w:w="771" w:type="dxa"/>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49,7</w:t>
            </w:r>
          </w:p>
        </w:tc>
        <w:tc>
          <w:tcPr>
            <w:tcW w:w="872" w:type="dxa"/>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21,8</w:t>
            </w:r>
          </w:p>
        </w:tc>
        <w:tc>
          <w:tcPr>
            <w:tcW w:w="873" w:type="dxa"/>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11,8</w:t>
            </w:r>
          </w:p>
        </w:tc>
        <w:tc>
          <w:tcPr>
            <w:tcW w:w="872" w:type="dxa"/>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4,6</w:t>
            </w:r>
          </w:p>
        </w:tc>
        <w:tc>
          <w:tcPr>
            <w:tcW w:w="873" w:type="dxa"/>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5,8</w:t>
            </w:r>
          </w:p>
        </w:tc>
        <w:tc>
          <w:tcPr>
            <w:tcW w:w="872" w:type="dxa"/>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4,0</w:t>
            </w:r>
          </w:p>
        </w:tc>
        <w:tc>
          <w:tcPr>
            <w:tcW w:w="816" w:type="dxa"/>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2,2</w:t>
            </w:r>
          </w:p>
        </w:tc>
        <w:tc>
          <w:tcPr>
            <w:tcW w:w="1157" w:type="dxa"/>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100 (42 948)</w:t>
            </w:r>
          </w:p>
        </w:tc>
      </w:tr>
      <w:tr w:rsidR="003D5CC3" w:rsidRPr="00960E47" w:rsidTr="003D5CC3">
        <w:tc>
          <w:tcPr>
            <w:tcW w:w="1400" w:type="dxa"/>
            <w:shd w:val="clear" w:color="auto" w:fill="auto"/>
            <w:noWrap/>
            <w:vAlign w:val="bottom"/>
          </w:tcPr>
          <w:p w:rsidR="003D5CC3" w:rsidRPr="00960E47" w:rsidRDefault="003D5CC3" w:rsidP="003D5CC3">
            <w:pPr>
              <w:pStyle w:val="SingleTxtG"/>
              <w:spacing w:before="40" w:after="40" w:line="220" w:lineRule="exact"/>
              <w:ind w:left="0" w:right="0"/>
              <w:jc w:val="left"/>
              <w:rPr>
                <w:sz w:val="18"/>
                <w:szCs w:val="18"/>
                <w:lang w:val="es-ES"/>
              </w:rPr>
            </w:pPr>
            <w:r w:rsidRPr="00960E47">
              <w:rPr>
                <w:sz w:val="18"/>
                <w:szCs w:val="18"/>
                <w:lang w:val="es-ES"/>
              </w:rPr>
              <w:t>Mohale's Hoek</w:t>
            </w:r>
          </w:p>
        </w:tc>
        <w:tc>
          <w:tcPr>
            <w:tcW w:w="771" w:type="dxa"/>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53,2</w:t>
            </w:r>
          </w:p>
        </w:tc>
        <w:tc>
          <w:tcPr>
            <w:tcW w:w="872" w:type="dxa"/>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20,6</w:t>
            </w:r>
          </w:p>
        </w:tc>
        <w:tc>
          <w:tcPr>
            <w:tcW w:w="873" w:type="dxa"/>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10,3</w:t>
            </w:r>
          </w:p>
        </w:tc>
        <w:tc>
          <w:tcPr>
            <w:tcW w:w="872" w:type="dxa"/>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3,4</w:t>
            </w:r>
          </w:p>
        </w:tc>
        <w:tc>
          <w:tcPr>
            <w:tcW w:w="873" w:type="dxa"/>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5,7</w:t>
            </w:r>
          </w:p>
        </w:tc>
        <w:tc>
          <w:tcPr>
            <w:tcW w:w="872" w:type="dxa"/>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4,7</w:t>
            </w:r>
          </w:p>
        </w:tc>
        <w:tc>
          <w:tcPr>
            <w:tcW w:w="816" w:type="dxa"/>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2,2</w:t>
            </w:r>
          </w:p>
        </w:tc>
        <w:tc>
          <w:tcPr>
            <w:tcW w:w="1157" w:type="dxa"/>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100 (37 631)</w:t>
            </w:r>
          </w:p>
        </w:tc>
      </w:tr>
      <w:tr w:rsidR="003D5CC3" w:rsidRPr="00960E47" w:rsidTr="003D5CC3">
        <w:tc>
          <w:tcPr>
            <w:tcW w:w="1400" w:type="dxa"/>
            <w:shd w:val="clear" w:color="auto" w:fill="auto"/>
            <w:noWrap/>
            <w:vAlign w:val="bottom"/>
          </w:tcPr>
          <w:p w:rsidR="003D5CC3" w:rsidRPr="00960E47" w:rsidRDefault="003D5CC3" w:rsidP="003D5CC3">
            <w:pPr>
              <w:pStyle w:val="SingleTxtG"/>
              <w:spacing w:before="40" w:after="40" w:line="220" w:lineRule="exact"/>
              <w:ind w:left="0" w:right="0"/>
              <w:jc w:val="left"/>
              <w:rPr>
                <w:sz w:val="18"/>
                <w:szCs w:val="18"/>
                <w:lang w:val="es-ES"/>
              </w:rPr>
            </w:pPr>
            <w:r w:rsidRPr="00960E47">
              <w:rPr>
                <w:sz w:val="18"/>
                <w:szCs w:val="18"/>
                <w:lang w:val="es-ES"/>
              </w:rPr>
              <w:t>Quthing</w:t>
            </w:r>
          </w:p>
        </w:tc>
        <w:tc>
          <w:tcPr>
            <w:tcW w:w="771" w:type="dxa"/>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50,6</w:t>
            </w:r>
          </w:p>
        </w:tc>
        <w:tc>
          <w:tcPr>
            <w:tcW w:w="872" w:type="dxa"/>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23,2</w:t>
            </w:r>
          </w:p>
        </w:tc>
        <w:tc>
          <w:tcPr>
            <w:tcW w:w="873" w:type="dxa"/>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10,0</w:t>
            </w:r>
          </w:p>
        </w:tc>
        <w:tc>
          <w:tcPr>
            <w:tcW w:w="872" w:type="dxa"/>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3,1</w:t>
            </w:r>
          </w:p>
        </w:tc>
        <w:tc>
          <w:tcPr>
            <w:tcW w:w="873" w:type="dxa"/>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5,4</w:t>
            </w:r>
          </w:p>
        </w:tc>
        <w:tc>
          <w:tcPr>
            <w:tcW w:w="872" w:type="dxa"/>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4,6</w:t>
            </w:r>
          </w:p>
        </w:tc>
        <w:tc>
          <w:tcPr>
            <w:tcW w:w="816" w:type="dxa"/>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3,1</w:t>
            </w:r>
          </w:p>
        </w:tc>
        <w:tc>
          <w:tcPr>
            <w:tcW w:w="1157" w:type="dxa"/>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100 (23 528)</w:t>
            </w:r>
          </w:p>
        </w:tc>
      </w:tr>
      <w:tr w:rsidR="003D5CC3" w:rsidRPr="00960E47" w:rsidTr="003D5CC3">
        <w:tc>
          <w:tcPr>
            <w:tcW w:w="1400" w:type="dxa"/>
            <w:shd w:val="clear" w:color="auto" w:fill="auto"/>
            <w:noWrap/>
            <w:vAlign w:val="bottom"/>
          </w:tcPr>
          <w:p w:rsidR="003D5CC3" w:rsidRPr="00960E47" w:rsidRDefault="003D5CC3" w:rsidP="003D5CC3">
            <w:pPr>
              <w:pStyle w:val="SingleTxtG"/>
              <w:spacing w:before="40" w:after="40" w:line="220" w:lineRule="exact"/>
              <w:ind w:left="0" w:right="0"/>
              <w:jc w:val="left"/>
              <w:rPr>
                <w:sz w:val="18"/>
                <w:szCs w:val="18"/>
                <w:lang w:val="es-ES"/>
              </w:rPr>
            </w:pPr>
            <w:r w:rsidRPr="00960E47">
              <w:rPr>
                <w:sz w:val="18"/>
                <w:szCs w:val="18"/>
                <w:lang w:val="es-ES"/>
              </w:rPr>
              <w:t>Qacha's Nek</w:t>
            </w:r>
          </w:p>
        </w:tc>
        <w:tc>
          <w:tcPr>
            <w:tcW w:w="771" w:type="dxa"/>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61,9</w:t>
            </w:r>
          </w:p>
        </w:tc>
        <w:tc>
          <w:tcPr>
            <w:tcW w:w="872" w:type="dxa"/>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22,0</w:t>
            </w:r>
          </w:p>
        </w:tc>
        <w:tc>
          <w:tcPr>
            <w:tcW w:w="873" w:type="dxa"/>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8,2</w:t>
            </w:r>
          </w:p>
        </w:tc>
        <w:tc>
          <w:tcPr>
            <w:tcW w:w="872" w:type="dxa"/>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2,5</w:t>
            </w:r>
          </w:p>
        </w:tc>
        <w:tc>
          <w:tcPr>
            <w:tcW w:w="873" w:type="dxa"/>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2,5</w:t>
            </w:r>
          </w:p>
        </w:tc>
        <w:tc>
          <w:tcPr>
            <w:tcW w:w="872" w:type="dxa"/>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2,1</w:t>
            </w:r>
          </w:p>
        </w:tc>
        <w:tc>
          <w:tcPr>
            <w:tcW w:w="816" w:type="dxa"/>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0,8</w:t>
            </w:r>
          </w:p>
        </w:tc>
        <w:tc>
          <w:tcPr>
            <w:tcW w:w="1157" w:type="dxa"/>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100 (14 122)</w:t>
            </w:r>
          </w:p>
        </w:tc>
      </w:tr>
      <w:tr w:rsidR="003D5CC3" w:rsidRPr="00960E47" w:rsidTr="003D5CC3">
        <w:tc>
          <w:tcPr>
            <w:tcW w:w="1400" w:type="dxa"/>
            <w:shd w:val="clear" w:color="auto" w:fill="auto"/>
            <w:noWrap/>
            <w:vAlign w:val="bottom"/>
          </w:tcPr>
          <w:p w:rsidR="003D5CC3" w:rsidRPr="00960E47" w:rsidRDefault="003D5CC3" w:rsidP="003D5CC3">
            <w:pPr>
              <w:pStyle w:val="SingleTxtG"/>
              <w:spacing w:before="40" w:after="40" w:line="220" w:lineRule="exact"/>
              <w:ind w:left="0" w:right="0"/>
              <w:jc w:val="left"/>
              <w:rPr>
                <w:sz w:val="18"/>
                <w:szCs w:val="18"/>
                <w:lang w:val="es-ES"/>
              </w:rPr>
            </w:pPr>
            <w:r w:rsidRPr="00960E47">
              <w:rPr>
                <w:sz w:val="18"/>
                <w:szCs w:val="18"/>
                <w:lang w:val="es-ES"/>
              </w:rPr>
              <w:t>Mokhotlong</w:t>
            </w:r>
          </w:p>
        </w:tc>
        <w:tc>
          <w:tcPr>
            <w:tcW w:w="771" w:type="dxa"/>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54,5</w:t>
            </w:r>
          </w:p>
        </w:tc>
        <w:tc>
          <w:tcPr>
            <w:tcW w:w="872" w:type="dxa"/>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22,0</w:t>
            </w:r>
          </w:p>
        </w:tc>
        <w:tc>
          <w:tcPr>
            <w:tcW w:w="873" w:type="dxa"/>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10,7</w:t>
            </w:r>
          </w:p>
        </w:tc>
        <w:tc>
          <w:tcPr>
            <w:tcW w:w="872" w:type="dxa"/>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4,0</w:t>
            </w:r>
          </w:p>
        </w:tc>
        <w:tc>
          <w:tcPr>
            <w:tcW w:w="873" w:type="dxa"/>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4,3</w:t>
            </w:r>
          </w:p>
        </w:tc>
        <w:tc>
          <w:tcPr>
            <w:tcW w:w="872" w:type="dxa"/>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3,0</w:t>
            </w:r>
          </w:p>
        </w:tc>
        <w:tc>
          <w:tcPr>
            <w:tcW w:w="816" w:type="dxa"/>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1,5</w:t>
            </w:r>
          </w:p>
        </w:tc>
        <w:tc>
          <w:tcPr>
            <w:tcW w:w="1157" w:type="dxa"/>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100 (20 431)</w:t>
            </w:r>
          </w:p>
        </w:tc>
      </w:tr>
      <w:tr w:rsidR="003D5CC3" w:rsidRPr="00960E47" w:rsidTr="003D5CC3">
        <w:tc>
          <w:tcPr>
            <w:tcW w:w="1400" w:type="dxa"/>
            <w:shd w:val="clear" w:color="auto" w:fill="auto"/>
            <w:noWrap/>
            <w:vAlign w:val="bottom"/>
          </w:tcPr>
          <w:p w:rsidR="003D5CC3" w:rsidRPr="00960E47" w:rsidRDefault="003D5CC3" w:rsidP="003D5CC3">
            <w:pPr>
              <w:pStyle w:val="SingleTxtG"/>
              <w:spacing w:before="40" w:after="40" w:line="220" w:lineRule="exact"/>
              <w:ind w:left="0" w:right="0"/>
              <w:jc w:val="left"/>
              <w:rPr>
                <w:sz w:val="18"/>
                <w:szCs w:val="18"/>
                <w:lang w:val="es-ES"/>
              </w:rPr>
            </w:pPr>
            <w:r w:rsidRPr="00960E47">
              <w:rPr>
                <w:sz w:val="18"/>
                <w:szCs w:val="18"/>
                <w:lang w:val="es-ES"/>
              </w:rPr>
              <w:t>Thaba-Tseka</w:t>
            </w:r>
          </w:p>
        </w:tc>
        <w:tc>
          <w:tcPr>
            <w:tcW w:w="771" w:type="dxa"/>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45,6</w:t>
            </w:r>
          </w:p>
        </w:tc>
        <w:tc>
          <w:tcPr>
            <w:tcW w:w="872" w:type="dxa"/>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24,1</w:t>
            </w:r>
          </w:p>
        </w:tc>
        <w:tc>
          <w:tcPr>
            <w:tcW w:w="873" w:type="dxa"/>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12,8</w:t>
            </w:r>
          </w:p>
        </w:tc>
        <w:tc>
          <w:tcPr>
            <w:tcW w:w="872" w:type="dxa"/>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5,5</w:t>
            </w:r>
          </w:p>
        </w:tc>
        <w:tc>
          <w:tcPr>
            <w:tcW w:w="873" w:type="dxa"/>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6,9</w:t>
            </w:r>
          </w:p>
        </w:tc>
        <w:tc>
          <w:tcPr>
            <w:tcW w:w="872" w:type="dxa"/>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3,7</w:t>
            </w:r>
          </w:p>
        </w:tc>
        <w:tc>
          <w:tcPr>
            <w:tcW w:w="816" w:type="dxa"/>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1,4</w:t>
            </w:r>
          </w:p>
        </w:tc>
        <w:tc>
          <w:tcPr>
            <w:tcW w:w="1157" w:type="dxa"/>
            <w:shd w:val="clear" w:color="auto" w:fill="auto"/>
            <w:noWrap/>
            <w:vAlign w:val="bottom"/>
          </w:tcPr>
          <w:p w:rsidR="003D5CC3" w:rsidRPr="00960E47" w:rsidRDefault="003D5CC3" w:rsidP="003D5CC3">
            <w:pPr>
              <w:pStyle w:val="SingleTxtG"/>
              <w:spacing w:before="40" w:after="40" w:line="220" w:lineRule="exact"/>
              <w:ind w:left="0" w:right="0"/>
              <w:jc w:val="right"/>
              <w:rPr>
                <w:sz w:val="18"/>
                <w:szCs w:val="18"/>
                <w:lang w:val="es-ES"/>
              </w:rPr>
            </w:pPr>
            <w:r w:rsidRPr="00960E47">
              <w:rPr>
                <w:sz w:val="18"/>
                <w:szCs w:val="18"/>
                <w:lang w:val="es-ES"/>
              </w:rPr>
              <w:t>100 (26 745)</w:t>
            </w:r>
          </w:p>
        </w:tc>
      </w:tr>
    </w:tbl>
    <w:p w:rsidR="00E421FD" w:rsidRPr="00960E47" w:rsidRDefault="00B66F60" w:rsidP="00BD2CEB">
      <w:pPr>
        <w:pStyle w:val="SingleTxtG"/>
        <w:spacing w:before="240"/>
        <w:rPr>
          <w:lang w:val="es-ES"/>
        </w:rPr>
      </w:pPr>
      <w:r w:rsidRPr="00960E47">
        <w:rPr>
          <w:lang w:val="es-ES"/>
        </w:rPr>
        <w:t>53.</w:t>
      </w:r>
      <w:r w:rsidRPr="00960E47">
        <w:rPr>
          <w:lang w:val="es-ES"/>
        </w:rPr>
        <w:tab/>
      </w:r>
      <w:r w:rsidR="00E421FD" w:rsidRPr="00960E47">
        <w:rPr>
          <w:lang w:val="es-ES"/>
        </w:rPr>
        <w:t>Según un estudio sobre disponibilidad y capacidad de pagar llevado a cabo en una de las zonas de los distritos meridionales, el 9% de los hogares tienen empleo, mientras que 72% estaban desempleados, y el resto participaban en actividades del sector informal y en la agricultura de subsistencia, sin ningún ingreso fijo.</w:t>
      </w:r>
    </w:p>
    <w:p w:rsidR="00E421FD" w:rsidRPr="00960E47" w:rsidRDefault="00B66F60" w:rsidP="00BD2CEB">
      <w:pPr>
        <w:pStyle w:val="SingleTxtG"/>
        <w:rPr>
          <w:lang w:val="es-ES"/>
        </w:rPr>
      </w:pPr>
      <w:r w:rsidRPr="00960E47">
        <w:rPr>
          <w:lang w:val="es-ES"/>
        </w:rPr>
        <w:t>54.</w:t>
      </w:r>
      <w:r w:rsidRPr="00960E47">
        <w:rPr>
          <w:lang w:val="es-ES"/>
        </w:rPr>
        <w:tab/>
      </w:r>
      <w:r w:rsidR="00E421FD" w:rsidRPr="00960E47">
        <w:rPr>
          <w:lang w:val="es-ES"/>
        </w:rPr>
        <w:t>El Departamento de Abastecimiento de Agua en Zonas Rurales sigue siendo el responsable de las grandes obras de reparación o expansión de los sistemas de abastecimiento de agua; el Gobierno paga no más del 90% de los costos, y el resto corresponde a la comunidad.</w:t>
      </w:r>
    </w:p>
    <w:p w:rsidR="00E421FD" w:rsidRPr="00960E47" w:rsidRDefault="00B66F60" w:rsidP="00BD2CEB">
      <w:pPr>
        <w:pStyle w:val="SingleTxtG"/>
        <w:rPr>
          <w:lang w:val="es-ES"/>
        </w:rPr>
      </w:pPr>
      <w:r w:rsidRPr="00960E47">
        <w:rPr>
          <w:lang w:val="es-ES"/>
        </w:rPr>
        <w:t>55.</w:t>
      </w:r>
      <w:r w:rsidRPr="00960E47">
        <w:rPr>
          <w:lang w:val="es-ES"/>
        </w:rPr>
        <w:tab/>
      </w:r>
      <w:r w:rsidR="00E421FD" w:rsidRPr="00960E47">
        <w:rPr>
          <w:lang w:val="es-ES"/>
        </w:rPr>
        <w:t>El Organismo de Abastecimiento de Agua y Alcantarillado es legalmente responsable de la propiedad, funcionamiento y mantenimiento de los sistemas de abastecimiento de agua y saneamiento en las zonas urbanas. Hay tres categorías de prestación de servicios en esas zonas, a saber, quioscos de agua, puntos de abastecimiento de agua compartidos y sistema de prepago. Hay dos estructuras de tarifas, una para los consumidores domésticos y otra para los consumidores no domésticos. Esta última es más elevada.</w:t>
      </w:r>
    </w:p>
    <w:p w:rsidR="00E421FD" w:rsidRPr="00960E47" w:rsidRDefault="00E421FD" w:rsidP="00BD2CEB">
      <w:pPr>
        <w:pStyle w:val="SingleTxtG"/>
        <w:rPr>
          <w:lang w:val="es-ES"/>
        </w:rPr>
      </w:pPr>
      <w:r w:rsidRPr="00960E47">
        <w:rPr>
          <w:lang w:val="es-ES"/>
        </w:rPr>
        <w:t>56</w:t>
      </w:r>
      <w:r w:rsidR="00B66F60" w:rsidRPr="00960E47">
        <w:rPr>
          <w:lang w:val="es-ES"/>
        </w:rPr>
        <w:t>.</w:t>
      </w:r>
      <w:r w:rsidR="00B66F60" w:rsidRPr="00960E47">
        <w:rPr>
          <w:lang w:val="es-ES"/>
        </w:rPr>
        <w:tab/>
      </w:r>
      <w:r w:rsidRPr="00960E47">
        <w:rPr>
          <w:lang w:val="es-ES"/>
        </w:rPr>
        <w:t>El Organismo supervisa la calidad del agua y comprueba que sea objeto de tratamiento periódico en las zonas urbanas. Se está construyendo actualmente en la ciudad de Maseru una planta de tratamiento del agua. El Organismo ha establecido un laboratorio para analizar la calidad del agua. El Departamento de Abastecimiento de Agua en Zonas Rurales no supervisa la calidad del agua. El Ministerio de Salud y Bienestar Social, a través de la División de Salud Ambiental, ha elaborado estrategias de educación ambiental. El objetivo es hacer posible que el sector de la salud aumente los conocimientos y la conciencia de las comunidades acerca de la relación entre medio ambiente y salud. El programa de educación sanitaria incluye los siguientes temas: capacitación de los hogares sobre el uso higiénico del agua y los servicios de saneamiento; higiene personal, en particular en lo que respecta al lavado de las manos después del uso del sanitario y antes de manipular alimentos; abastecimiento de agua potable; sistemas adecuados de saneamiento; y exclusión de los portadores de gérmenes de la manipulación de alimentos.</w:t>
      </w:r>
    </w:p>
    <w:p w:rsidR="00E421FD" w:rsidRPr="00960E47" w:rsidRDefault="00B66F60" w:rsidP="00BD2CEB">
      <w:pPr>
        <w:pStyle w:val="SingleTxtG"/>
        <w:rPr>
          <w:lang w:val="es-ES"/>
        </w:rPr>
      </w:pPr>
      <w:r w:rsidRPr="00960E47">
        <w:rPr>
          <w:lang w:val="es-ES"/>
        </w:rPr>
        <w:t>57.</w:t>
      </w:r>
      <w:r w:rsidRPr="00960E47">
        <w:rPr>
          <w:lang w:val="es-ES"/>
        </w:rPr>
        <w:tab/>
      </w:r>
      <w:r w:rsidR="00E421FD" w:rsidRPr="00960E47">
        <w:rPr>
          <w:lang w:val="es-ES"/>
        </w:rPr>
        <w:t>El Departamento ha elaborado una estrategia cuyo objetivo es conseguir y mejorar la sostenibilidad de los sistemas de abastecimiento de agua y aumentar la responsabilidad comunitaria en lo que respecta a las actividades de explotación y mantenimiento. Entre los elementos clave de la estrategia se incluyen la asignación de responsabilidades de vigilancia y supervisión de los sistemas de abastecimiento de agua ante los consejos comunitarios. Los comités rurales de abastecimiento de agua y salud, legalmente establecidos en el marco de dichos consejos, serían responsables del Plan de Explotación y Mantenimiento, así como de la educación en materia de higiene.</w:t>
      </w:r>
    </w:p>
    <w:p w:rsidR="00E421FD" w:rsidRPr="00960E47" w:rsidRDefault="00E421FD" w:rsidP="00BD2CEB">
      <w:pPr>
        <w:pStyle w:val="SingleTxtG"/>
        <w:rPr>
          <w:lang w:val="es-ES"/>
        </w:rPr>
      </w:pPr>
      <w:r w:rsidRPr="00960E47">
        <w:rPr>
          <w:lang w:val="es-ES"/>
        </w:rPr>
        <w:t>58.</w:t>
      </w:r>
      <w:r w:rsidR="00B66F60" w:rsidRPr="00960E47">
        <w:rPr>
          <w:lang w:val="es-ES"/>
        </w:rPr>
        <w:tab/>
      </w:r>
      <w:r w:rsidRPr="00960E47">
        <w:rPr>
          <w:lang w:val="es-ES"/>
        </w:rPr>
        <w:t xml:space="preserve">El Organismo de Abastecimiento de Agua y Alcantarillado ha emprendido numerosos programas para reducir el desperdicio de agua y supervisa el agua no contabilizada. Entre los programas se incluyen actividades de rehabilitación de las conducciones y embalses de agua existentes en las zonas urbanas. </w:t>
      </w:r>
    </w:p>
    <w:p w:rsidR="00E421FD" w:rsidRPr="00960E47" w:rsidRDefault="00B66F60" w:rsidP="00BD2CEB">
      <w:pPr>
        <w:pStyle w:val="H23G"/>
        <w:rPr>
          <w:lang w:val="es-ES"/>
        </w:rPr>
      </w:pPr>
      <w:r w:rsidRPr="00960E47">
        <w:rPr>
          <w:lang w:val="es-ES"/>
        </w:rPr>
        <w:tab/>
      </w:r>
      <w:r w:rsidRPr="00960E47">
        <w:rPr>
          <w:lang w:val="es-ES"/>
        </w:rPr>
        <w:tab/>
      </w:r>
      <w:r w:rsidR="00E421FD" w:rsidRPr="00960E47">
        <w:rPr>
          <w:lang w:val="es-ES"/>
        </w:rPr>
        <w:t>Sector agrícola</w:t>
      </w:r>
    </w:p>
    <w:p w:rsidR="00E421FD" w:rsidRPr="00960E47" w:rsidRDefault="00B66F60" w:rsidP="00BD2CEB">
      <w:pPr>
        <w:pStyle w:val="SingleTxtG"/>
        <w:rPr>
          <w:lang w:val="es-ES"/>
        </w:rPr>
      </w:pPr>
      <w:r w:rsidRPr="00960E47">
        <w:rPr>
          <w:lang w:val="es-ES"/>
        </w:rPr>
        <w:t>59.</w:t>
      </w:r>
      <w:r w:rsidRPr="00960E47">
        <w:rPr>
          <w:lang w:val="es-ES"/>
        </w:rPr>
        <w:tab/>
      </w:r>
      <w:r w:rsidR="00E421FD" w:rsidRPr="00960E47">
        <w:rPr>
          <w:lang w:val="es-ES"/>
        </w:rPr>
        <w:t>Lesotho es una economía predominantemente rural: el 76% de la población vive en zonas rurales. Su sector más importante es la agricultura. Los principales productos agrícolas son el maíz, el trigo, el sorgo, la cebada, los guisantes, los frijoles, los espárragos, la lana, el mohair y el ganado. Este sector ha contribuido a aproximadamente el 20% del PIB. Ese 20% correspondió a los años comprendidos entre 2001 y 2006, mientras que en 2008 se estimaba en el 46,7%. El sector agrícola ha debido hacer frente a difíciles obstáculos, resultantes del hecho de que dos tercios de la tierra son zonas montañosas y no aptas para la agricultura.</w:t>
      </w:r>
    </w:p>
    <w:p w:rsidR="00E421FD" w:rsidRPr="00960E47" w:rsidRDefault="00B66F60" w:rsidP="00BD2CEB">
      <w:pPr>
        <w:pStyle w:val="SingleTxtG"/>
        <w:rPr>
          <w:lang w:val="es-ES"/>
        </w:rPr>
      </w:pPr>
      <w:r w:rsidRPr="00960E47">
        <w:rPr>
          <w:lang w:val="es-ES"/>
        </w:rPr>
        <w:t>60.</w:t>
      </w:r>
      <w:r w:rsidRPr="00960E47">
        <w:rPr>
          <w:lang w:val="es-ES"/>
        </w:rPr>
        <w:tab/>
      </w:r>
      <w:r w:rsidR="00E421FD" w:rsidRPr="00960E47">
        <w:rPr>
          <w:lang w:val="es-ES"/>
        </w:rPr>
        <w:t>El 9% de la tierra de cultivo tiene problemas crónicos de erosión y degradación del suelo. El resultado es que solo se cultiva un porcentaje mínimo de la tierra. En 2005, se produjo una fuerte sequía que afectó a la subregión y al país. El resultado fue una recesión económica que influyó también en los resultados de la agricultura y otros sectores de la economía. El Gobierno ha adoptado medidas para revitalizar el sector agrícola y diversificar la economía a fin de lograr mejores resultados y contribuir al desarrollo. Se introdujo la estrategia de agricultura en bloques, con algunos subsidios, como mecanismo de comercialización y revitalización del sector agrícola. Desde que se puso en marcha esa estrategia, el sector agrícola ha conseguido resultados mucho mejores. La utilización prudente de los abundantes recursos naturales del país, como el agua para riego, uso interno y exportación a la República de Sudáfrica, ofrece opciones viables de diversificación económica</w:t>
      </w:r>
      <w:r w:rsidR="00E421FD" w:rsidRPr="00960E47">
        <w:rPr>
          <w:rStyle w:val="FootnoteReference"/>
          <w:lang w:val="es-ES"/>
        </w:rPr>
        <w:footnoteReference w:id="12"/>
      </w:r>
      <w:r w:rsidR="00E421FD" w:rsidRPr="00960E47">
        <w:rPr>
          <w:lang w:val="es-ES"/>
        </w:rPr>
        <w:t>.</w:t>
      </w:r>
    </w:p>
    <w:p w:rsidR="00E421FD" w:rsidRPr="00960E47" w:rsidRDefault="00B66F60" w:rsidP="00BD2CEB">
      <w:pPr>
        <w:pStyle w:val="SingleTxtG"/>
        <w:rPr>
          <w:lang w:val="es-ES"/>
        </w:rPr>
      </w:pPr>
      <w:r w:rsidRPr="00960E47">
        <w:rPr>
          <w:lang w:val="es-ES"/>
        </w:rPr>
        <w:t>61.</w:t>
      </w:r>
      <w:r w:rsidRPr="00960E47">
        <w:rPr>
          <w:lang w:val="es-ES"/>
        </w:rPr>
        <w:tab/>
      </w:r>
      <w:r w:rsidR="00E421FD" w:rsidRPr="00960E47">
        <w:rPr>
          <w:lang w:val="es-ES"/>
        </w:rPr>
        <w:t>Actualmente, Lesotho no puede producir alimentos suficientes para atender la demanda interna. Casi el 70% de las necesidades anuales de cereales se atienden con importaciones, sobre todo de Sudáfrica. La mayoría de la población, en particular en las zonas rurales, depende fuertemente de la agricultura de subsistencia. Una considerable proporción de la población rural vive en la pobreza, ya que los rendimientos agrícolas son limitados y disponen de recursos escasos o nulos para comprar alimentos importados. En consecuencia, en 2009 aproximadamente el 25% de la población se encontraba en situación de inseguridad alimentaria</w:t>
      </w:r>
      <w:r w:rsidR="00E421FD" w:rsidRPr="00960E47">
        <w:rPr>
          <w:rStyle w:val="FootnoteReference"/>
          <w:lang w:val="es-ES"/>
        </w:rPr>
        <w:footnoteReference w:id="13"/>
      </w:r>
      <w:r w:rsidR="00E421FD" w:rsidRPr="00960E47">
        <w:rPr>
          <w:lang w:val="es-ES"/>
        </w:rPr>
        <w:t>.</w:t>
      </w:r>
    </w:p>
    <w:p w:rsidR="00E421FD" w:rsidRPr="00960E47" w:rsidRDefault="00B66F60" w:rsidP="00BD2CEB">
      <w:pPr>
        <w:pStyle w:val="H23G"/>
        <w:rPr>
          <w:lang w:val="es-ES"/>
        </w:rPr>
      </w:pPr>
      <w:r w:rsidRPr="00960E47">
        <w:rPr>
          <w:lang w:val="es-ES"/>
        </w:rPr>
        <w:tab/>
      </w:r>
      <w:r w:rsidRPr="00960E47">
        <w:rPr>
          <w:lang w:val="es-ES"/>
        </w:rPr>
        <w:tab/>
        <w:t>Sector del turismo</w:t>
      </w:r>
    </w:p>
    <w:p w:rsidR="00E421FD" w:rsidRPr="00960E47" w:rsidRDefault="00B66F60" w:rsidP="00BD2CEB">
      <w:pPr>
        <w:pStyle w:val="SingleTxtG"/>
        <w:rPr>
          <w:lang w:val="es-ES"/>
        </w:rPr>
      </w:pPr>
      <w:r w:rsidRPr="00960E47">
        <w:rPr>
          <w:lang w:val="es-ES"/>
        </w:rPr>
        <w:t>62.</w:t>
      </w:r>
      <w:r w:rsidRPr="00960E47">
        <w:rPr>
          <w:lang w:val="es-ES"/>
        </w:rPr>
        <w:tab/>
      </w:r>
      <w:r w:rsidR="00E421FD" w:rsidRPr="00960E47">
        <w:rPr>
          <w:lang w:val="es-ES"/>
        </w:rPr>
        <w:t>El sector del turismo de Lesotho tiene un potencial muy elevado de contribuir al PIB del país. Sus montañas y bellos paisajes son un gran reclamo para los turistas. Lesotho y Sudáfrica están desarrollando conjuntamente el triángulo transfronterizo Underberg, para permitir disfrutar mejor de las zonas montañosas. Un gran atractivo es la nieve caída durante el invierno en los distritos montañosos de Lesotho. El centro turístico y de deportes de invierno de Oxbow es una gran atracción turística sobre todo para los aficionados al esquí. Otro lugar de interés turístico es la reserva de animales y de caza de Ts</w:t>
      </w:r>
      <w:r w:rsidR="00866E12" w:rsidRPr="00960E47">
        <w:rPr>
          <w:lang w:val="es-ES"/>
        </w:rPr>
        <w:t>'</w:t>
      </w:r>
      <w:r w:rsidR="00E421FD" w:rsidRPr="00960E47">
        <w:rPr>
          <w:lang w:val="es-ES"/>
        </w:rPr>
        <w:t>ehlanyana. Hay también una reserva de caza en Sehlaba-Thebe, donde pueden verse algunos animales en peligro de extinción. Las cuevas de Kome forman también parte del acervo turístico de Lesotho, lo mismo que la montaña y la aldea cultural de Thaba-Bosiu. El refugio de Malea</w:t>
      </w:r>
      <w:r w:rsidR="00DA3204" w:rsidRPr="00960E47">
        <w:rPr>
          <w:lang w:val="es-ES"/>
        </w:rPr>
        <w:noBreakHyphen/>
      </w:r>
      <w:r w:rsidR="00E421FD" w:rsidRPr="00960E47">
        <w:rPr>
          <w:lang w:val="es-ES"/>
        </w:rPr>
        <w:t>lea, y muchos otros lugares de vacaciones dispersos en las inmediaciones de Maseru, ofrecen a los turistas la posibilidad de disfrutar el aire puro y el cielo de Mountain Kingdom. La presa de Katse, en el distrito de Leribe, y la de Mohale, en el de Thaba-Tseka, complementan la belleza de Lesotho, al mismo tiempo que generan ingresos en forma de regalías procedentes del agua vendida a la provincia de Guateng en Sudáfrica, para consumo doméstico. Están aumentando los servicios de hospitalidad en numerosos centros de alojamiento con desayuno y albergues. El sector turístico da muestras de contar con un gran potencial para la generación de ingresos en Lesotho.</w:t>
      </w:r>
    </w:p>
    <w:p w:rsidR="00E421FD" w:rsidRPr="00960E47" w:rsidRDefault="00B66F60" w:rsidP="00BD2CEB">
      <w:pPr>
        <w:pStyle w:val="H23G"/>
        <w:rPr>
          <w:lang w:val="es-ES"/>
        </w:rPr>
      </w:pPr>
      <w:r w:rsidRPr="00960E47">
        <w:rPr>
          <w:lang w:val="es-ES"/>
        </w:rPr>
        <w:tab/>
      </w:r>
      <w:r w:rsidRPr="00960E47">
        <w:rPr>
          <w:lang w:val="es-ES"/>
        </w:rPr>
        <w:tab/>
        <w:t>Indicadores de pobreza</w:t>
      </w:r>
    </w:p>
    <w:p w:rsidR="00E421FD" w:rsidRPr="00960E47" w:rsidRDefault="00B66F60" w:rsidP="00BD2CEB">
      <w:pPr>
        <w:pStyle w:val="SingleTxtG"/>
        <w:rPr>
          <w:lang w:val="es-ES"/>
        </w:rPr>
      </w:pPr>
      <w:r w:rsidRPr="00960E47">
        <w:rPr>
          <w:lang w:val="es-ES"/>
        </w:rPr>
        <w:t>63.</w:t>
      </w:r>
      <w:r w:rsidRPr="00960E47">
        <w:rPr>
          <w:lang w:val="es-ES"/>
        </w:rPr>
        <w:tab/>
      </w:r>
      <w:r w:rsidR="00E421FD" w:rsidRPr="00960E47">
        <w:rPr>
          <w:lang w:val="es-ES"/>
        </w:rPr>
        <w:t>La pobreza en Lesotho es un problema predominantemente rural, con variaciones en función del género, el tamaño de los hogares y el acceso a los servicios básicos, con inclusión del agua y la vivienda. El desempleo y la distribución irregular de los ingresos son las principales causas de pobreza. Asimismo, un número significativo de trabajadores se dedican a la agricultura de secano y a actividades ganaderas poco productivas, que no ofrecen medios de vida suficientes sin el complemento del empleo no agrícola y las remesas de los migrantes. No obstante, el sector agrícola continúa siendo la principal fuente de medios de subsistencia y de ingresos para la población rural pobre. El país debe hacer frente a un grave deterioro de los recursos naturales y condiciones ambientales delicadas. El desempeño de la economía rural continúa estando muy afectado por la escasa productividad agrícola, la falta de infraestructura y la prolongada sequía. La transición de una economía predominantemente agrícola a las manufacturas ha mejorado las opciones para disponer de medios de subsistencia en el sector urbano. No obstante, ello ha minado significativamente la capacidad del sector rural y agrícola como fuente de medios de subsistencia, empleo e ingresos. El desplazamiento de la balanza hacia las manufacturas ha agravado también la pobreza en las comunidades rurales, sobre todo de quienes dependen de la producción de alimentos. Por ello, será necesario adoptar medidas para restablecer las fuentes de medios de subsistencia de la población rural. Lesotho es miembro de las Naciones Unidas y ha ratificado varias convenciones, convenios y tratados, incluido el Pacto Internacional de Derechos Económicos, Sociales y Culturales. No obstante, Lesotho debe hacer frente al desafío de aplicar las convenciones, convenios y tratados ratificados.</w:t>
      </w:r>
    </w:p>
    <w:p w:rsidR="00E421FD" w:rsidRPr="00960E47" w:rsidRDefault="00B66F60" w:rsidP="00BD2CEB">
      <w:pPr>
        <w:pStyle w:val="SingleTxtG"/>
        <w:rPr>
          <w:lang w:val="es-ES"/>
        </w:rPr>
      </w:pPr>
      <w:r w:rsidRPr="00960E47">
        <w:rPr>
          <w:lang w:val="es-ES"/>
        </w:rPr>
        <w:t>64.</w:t>
      </w:r>
      <w:r w:rsidRPr="00960E47">
        <w:rPr>
          <w:lang w:val="es-ES"/>
        </w:rPr>
        <w:tab/>
      </w:r>
      <w:r w:rsidR="00E421FD" w:rsidRPr="00960E47">
        <w:rPr>
          <w:lang w:val="es-ES"/>
        </w:rPr>
        <w:t>El Informe sobre el desarrollo humano de Lesotho ha publicado el índice de desarrollo humano, que es un indicador compuesto de tres dimensiones del desarrollo humano: vida larga y sana (en función de la esperanza de vida), nivel de instrucción (en función de la tasa de alfabetización de adultos y la tasa bruta de matriculación) y nivel de vida decente (en función de la paridad de poder adquisitivo y los ingresos). No obstante, en ese índice no se incluyen indicadores importantes, como el género o la desigualdad de ingresos, el respeto de los derechos humanos y las libertades políticas. Permite observar el progreso humano y la compleja relación entre ingresos y bienestar. Entre 2000 y 2007, el índice de desarrollo humano de Lesotho bajó un 0,52% anual, desde 0,533 a 0,514 en 2009. En 2007, era de 0,514, lo que situaba al país en el puesto 156 de un total de 182.</w:t>
      </w:r>
    </w:p>
    <w:p w:rsidR="00E421FD" w:rsidRPr="00960E47" w:rsidRDefault="00B66F60" w:rsidP="00BD2CEB">
      <w:pPr>
        <w:pStyle w:val="H1G"/>
        <w:rPr>
          <w:lang w:val="es-ES"/>
        </w:rPr>
      </w:pPr>
      <w:r w:rsidRPr="00960E47">
        <w:rPr>
          <w:lang w:val="es-ES"/>
        </w:rPr>
        <w:tab/>
      </w:r>
      <w:r w:rsidR="00E421FD" w:rsidRPr="00960E47">
        <w:rPr>
          <w:lang w:val="es-ES"/>
        </w:rPr>
        <w:t>I</w:t>
      </w:r>
      <w:r w:rsidRPr="00960E47">
        <w:rPr>
          <w:lang w:val="es-ES"/>
        </w:rPr>
        <w:t>.</w:t>
      </w:r>
      <w:r w:rsidRPr="00960E47">
        <w:rPr>
          <w:lang w:val="es-ES"/>
        </w:rPr>
        <w:tab/>
      </w:r>
      <w:r w:rsidR="00E421FD" w:rsidRPr="00960E47">
        <w:rPr>
          <w:lang w:val="es-ES"/>
        </w:rPr>
        <w:t>Salud</w:t>
      </w:r>
    </w:p>
    <w:p w:rsidR="00E421FD" w:rsidRPr="00960E47" w:rsidRDefault="00B66F60" w:rsidP="00BD2CEB">
      <w:pPr>
        <w:pStyle w:val="SingleTxtG"/>
        <w:rPr>
          <w:lang w:val="es-ES"/>
        </w:rPr>
      </w:pPr>
      <w:r w:rsidRPr="00960E47">
        <w:rPr>
          <w:lang w:val="es-ES"/>
        </w:rPr>
        <w:t>65.</w:t>
      </w:r>
      <w:r w:rsidRPr="00960E47">
        <w:rPr>
          <w:lang w:val="es-ES"/>
        </w:rPr>
        <w:tab/>
      </w:r>
      <w:r w:rsidR="00E421FD" w:rsidRPr="00960E47">
        <w:rPr>
          <w:lang w:val="es-ES"/>
        </w:rPr>
        <w:t>La atención de la salud abarca en Lesotho los servicios curativos, preventivos y de rehabilitación. Hay 22 hospitales, 18 de los cuales son hospitales generales. Algunos de ellos son propiedad del Gobierno y otros de la Asociación Cristiana de la Salud. Dos de los hospitales gubernamentales están especializados en salud mental y lepra. Hay también un hospital militar y un hospital privado en Thetsane y más de 170 centros de salud, la mayoría de ellos propiedad de la Asociación Cristiana de la Salud. Existe también una red de unos 7.000 trabajadores de salud voluntarios, incluidos auxiliares sanitarios tradicionales. Los centros de salud prestan servicios curativos básicos, de inmunización infantil y de planificación familiar. El sector de la salud presentaba indicadores preocupantes entre 1996 y 2001. Así se reconoce en la Política de Salud Reproductiva de 2009</w:t>
      </w:r>
      <w:r w:rsidR="00E421FD" w:rsidRPr="00960E47">
        <w:rPr>
          <w:rStyle w:val="FootnoteReference"/>
          <w:lang w:val="es-ES"/>
        </w:rPr>
        <w:footnoteReference w:id="14"/>
      </w:r>
      <w:r w:rsidR="00E421FD" w:rsidRPr="00960E47">
        <w:rPr>
          <w:lang w:val="es-ES"/>
        </w:rPr>
        <w:t>. Los programas del sector de la salud se proponen conseguir la supervivencia y desarrollo de los niños mediante servicios de salud básica, y en particular de inmunización, nutrición y tratamiento de enfermedades comunes. Debido a la escasa capacidad del sector de la salud, Lesotho acusa un retraso en relación con dos indicadores que afectan a los niños, a saber, la mortalidad infantil de los menores de 5 años y los lactantes. No obstante, se está registrando un lento progreso en la cobertura de la inmunización</w:t>
      </w:r>
      <w:r w:rsidR="00E421FD" w:rsidRPr="00960E47">
        <w:rPr>
          <w:rStyle w:val="FootnoteReference"/>
          <w:lang w:val="es-ES"/>
        </w:rPr>
        <w:footnoteReference w:id="15"/>
      </w:r>
      <w:r w:rsidR="00E421FD" w:rsidRPr="00960E47">
        <w:rPr>
          <w:lang w:val="es-ES"/>
        </w:rPr>
        <w:t>.</w:t>
      </w:r>
    </w:p>
    <w:p w:rsidR="00E421FD" w:rsidRPr="00960E47" w:rsidRDefault="00B66F60" w:rsidP="00BD2CEB">
      <w:pPr>
        <w:pStyle w:val="H23G"/>
        <w:rPr>
          <w:lang w:val="es-ES"/>
        </w:rPr>
      </w:pPr>
      <w:r w:rsidRPr="00960E47">
        <w:rPr>
          <w:lang w:val="es-ES"/>
        </w:rPr>
        <w:tab/>
      </w:r>
      <w:r w:rsidRPr="00960E47">
        <w:rPr>
          <w:lang w:val="es-ES"/>
        </w:rPr>
        <w:tab/>
      </w:r>
      <w:r w:rsidR="00E421FD" w:rsidRPr="00960E47">
        <w:rPr>
          <w:lang w:val="es-ES"/>
        </w:rPr>
        <w:t>Indicadores vitales en 1986, 1996 y 2006</w:t>
      </w:r>
    </w:p>
    <w:tbl>
      <w:tblPr>
        <w:tblW w:w="8505" w:type="dxa"/>
        <w:tblInd w:w="1134" w:type="dxa"/>
        <w:tblBorders>
          <w:top w:val="single" w:sz="4" w:space="0" w:color="auto"/>
          <w:bottom w:val="single" w:sz="12" w:space="0" w:color="auto"/>
        </w:tblBorders>
        <w:tblLayout w:type="fixed"/>
        <w:tblCellMar>
          <w:left w:w="0" w:type="dxa"/>
          <w:right w:w="0" w:type="dxa"/>
        </w:tblCellMar>
        <w:tblLook w:val="04A0"/>
      </w:tblPr>
      <w:tblGrid>
        <w:gridCol w:w="5461"/>
        <w:gridCol w:w="760"/>
        <w:gridCol w:w="762"/>
        <w:gridCol w:w="760"/>
        <w:gridCol w:w="762"/>
      </w:tblGrid>
      <w:tr w:rsidR="00E421FD" w:rsidRPr="00960E47" w:rsidTr="00D959B8">
        <w:trPr>
          <w:tblHeader/>
        </w:trPr>
        <w:tc>
          <w:tcPr>
            <w:tcW w:w="3209" w:type="pct"/>
            <w:tcBorders>
              <w:top w:val="single" w:sz="4" w:space="0" w:color="auto"/>
              <w:bottom w:val="single" w:sz="12" w:space="0" w:color="auto"/>
            </w:tcBorders>
            <w:shd w:val="clear" w:color="auto" w:fill="auto"/>
            <w:vAlign w:val="bottom"/>
          </w:tcPr>
          <w:p w:rsidR="00E421FD" w:rsidRPr="00960E47" w:rsidRDefault="00E421FD" w:rsidP="00D959B8">
            <w:pPr>
              <w:pStyle w:val="SingleTxtG"/>
              <w:spacing w:before="80" w:after="80" w:line="200" w:lineRule="exact"/>
              <w:ind w:left="284" w:right="0" w:hanging="284"/>
              <w:jc w:val="left"/>
              <w:rPr>
                <w:i/>
                <w:sz w:val="16"/>
                <w:szCs w:val="18"/>
                <w:lang w:val="es-ES"/>
              </w:rPr>
            </w:pPr>
          </w:p>
        </w:tc>
        <w:tc>
          <w:tcPr>
            <w:tcW w:w="447" w:type="pct"/>
            <w:tcBorders>
              <w:top w:val="single" w:sz="4" w:space="0" w:color="auto"/>
              <w:bottom w:val="single" w:sz="12" w:space="0" w:color="auto"/>
            </w:tcBorders>
            <w:shd w:val="clear" w:color="auto" w:fill="auto"/>
            <w:vAlign w:val="bottom"/>
          </w:tcPr>
          <w:p w:rsidR="00E421FD" w:rsidRPr="00960E47" w:rsidRDefault="00E421FD" w:rsidP="00D959B8">
            <w:pPr>
              <w:pStyle w:val="SingleTxtG"/>
              <w:spacing w:before="80" w:after="80" w:line="200" w:lineRule="exact"/>
              <w:ind w:left="0" w:right="0"/>
              <w:jc w:val="right"/>
              <w:rPr>
                <w:i/>
                <w:sz w:val="16"/>
                <w:szCs w:val="18"/>
                <w:lang w:val="es-ES"/>
              </w:rPr>
            </w:pPr>
            <w:r w:rsidRPr="00960E47">
              <w:rPr>
                <w:i/>
                <w:sz w:val="16"/>
                <w:szCs w:val="18"/>
                <w:lang w:val="es-ES"/>
              </w:rPr>
              <w:t>1986</w:t>
            </w:r>
          </w:p>
        </w:tc>
        <w:tc>
          <w:tcPr>
            <w:tcW w:w="448" w:type="pct"/>
            <w:tcBorders>
              <w:top w:val="single" w:sz="4" w:space="0" w:color="auto"/>
              <w:bottom w:val="single" w:sz="12" w:space="0" w:color="auto"/>
            </w:tcBorders>
            <w:shd w:val="clear" w:color="auto" w:fill="auto"/>
            <w:vAlign w:val="bottom"/>
          </w:tcPr>
          <w:p w:rsidR="00E421FD" w:rsidRPr="00960E47" w:rsidRDefault="00E421FD" w:rsidP="00D959B8">
            <w:pPr>
              <w:pStyle w:val="SingleTxtG"/>
              <w:spacing w:before="80" w:after="80" w:line="200" w:lineRule="exact"/>
              <w:ind w:left="0" w:right="0"/>
              <w:jc w:val="right"/>
              <w:rPr>
                <w:i/>
                <w:sz w:val="16"/>
                <w:szCs w:val="18"/>
                <w:lang w:val="es-ES"/>
              </w:rPr>
            </w:pPr>
            <w:r w:rsidRPr="00960E47">
              <w:rPr>
                <w:i/>
                <w:sz w:val="16"/>
                <w:szCs w:val="18"/>
                <w:lang w:val="es-ES"/>
              </w:rPr>
              <w:t>1996</w:t>
            </w:r>
          </w:p>
        </w:tc>
        <w:tc>
          <w:tcPr>
            <w:tcW w:w="447" w:type="pct"/>
            <w:tcBorders>
              <w:top w:val="single" w:sz="4" w:space="0" w:color="auto"/>
              <w:bottom w:val="single" w:sz="12" w:space="0" w:color="auto"/>
            </w:tcBorders>
            <w:shd w:val="clear" w:color="auto" w:fill="auto"/>
            <w:vAlign w:val="bottom"/>
          </w:tcPr>
          <w:p w:rsidR="00E421FD" w:rsidRPr="00960E47" w:rsidRDefault="00E421FD" w:rsidP="00D959B8">
            <w:pPr>
              <w:pStyle w:val="SingleTxtG"/>
              <w:spacing w:before="80" w:after="80" w:line="200" w:lineRule="exact"/>
              <w:ind w:left="0" w:right="0"/>
              <w:jc w:val="right"/>
              <w:rPr>
                <w:i/>
                <w:sz w:val="16"/>
                <w:szCs w:val="18"/>
                <w:lang w:val="es-ES"/>
              </w:rPr>
            </w:pPr>
            <w:r w:rsidRPr="00960E47">
              <w:rPr>
                <w:i/>
                <w:sz w:val="16"/>
                <w:szCs w:val="18"/>
                <w:lang w:val="es-ES"/>
              </w:rPr>
              <w:t>2006</w:t>
            </w:r>
          </w:p>
        </w:tc>
        <w:tc>
          <w:tcPr>
            <w:tcW w:w="448" w:type="pct"/>
            <w:tcBorders>
              <w:top w:val="single" w:sz="4" w:space="0" w:color="auto"/>
              <w:bottom w:val="single" w:sz="12" w:space="0" w:color="auto"/>
            </w:tcBorders>
            <w:vAlign w:val="bottom"/>
          </w:tcPr>
          <w:p w:rsidR="00E421FD" w:rsidRPr="00960E47" w:rsidRDefault="00E421FD" w:rsidP="00D959B8">
            <w:pPr>
              <w:pStyle w:val="SingleTxtG"/>
              <w:spacing w:before="80" w:after="80" w:line="200" w:lineRule="exact"/>
              <w:ind w:left="0" w:right="0"/>
              <w:jc w:val="right"/>
              <w:rPr>
                <w:i/>
                <w:sz w:val="16"/>
                <w:szCs w:val="18"/>
                <w:lang w:val="es-ES"/>
              </w:rPr>
            </w:pPr>
            <w:r w:rsidRPr="00960E47">
              <w:rPr>
                <w:i/>
                <w:sz w:val="16"/>
                <w:szCs w:val="18"/>
                <w:lang w:val="es-ES"/>
              </w:rPr>
              <w:t>2009</w:t>
            </w:r>
          </w:p>
        </w:tc>
      </w:tr>
      <w:tr w:rsidR="00E421FD" w:rsidRPr="00960E47" w:rsidTr="00D959B8">
        <w:tc>
          <w:tcPr>
            <w:tcW w:w="3209" w:type="pct"/>
            <w:tcBorders>
              <w:top w:val="single" w:sz="12" w:space="0" w:color="auto"/>
            </w:tcBorders>
            <w:shd w:val="clear" w:color="auto" w:fill="auto"/>
            <w:vAlign w:val="bottom"/>
          </w:tcPr>
          <w:p w:rsidR="00E421FD" w:rsidRPr="00960E47" w:rsidRDefault="00E421FD" w:rsidP="00D959B8">
            <w:pPr>
              <w:pStyle w:val="SingleTxtG"/>
              <w:spacing w:before="40" w:after="40" w:line="220" w:lineRule="exact"/>
              <w:ind w:left="284" w:right="0" w:hanging="284"/>
              <w:jc w:val="left"/>
              <w:rPr>
                <w:sz w:val="18"/>
                <w:szCs w:val="18"/>
                <w:lang w:val="es-ES"/>
              </w:rPr>
            </w:pPr>
            <w:r w:rsidRPr="00960E47">
              <w:rPr>
                <w:sz w:val="18"/>
                <w:szCs w:val="18"/>
                <w:lang w:val="es-ES"/>
              </w:rPr>
              <w:t>a)</w:t>
            </w:r>
            <w:r w:rsidRPr="00960E47">
              <w:rPr>
                <w:sz w:val="18"/>
                <w:szCs w:val="18"/>
                <w:lang w:val="es-ES"/>
              </w:rPr>
              <w:tab/>
              <w:t>Tasa bruta de natalidad (por cada 100 habitantes)</w:t>
            </w:r>
          </w:p>
        </w:tc>
        <w:tc>
          <w:tcPr>
            <w:tcW w:w="447" w:type="pct"/>
            <w:tcBorders>
              <w:top w:val="single" w:sz="12" w:space="0" w:color="auto"/>
            </w:tcBorders>
            <w:shd w:val="clear" w:color="auto" w:fill="auto"/>
            <w:vAlign w:val="bottom"/>
          </w:tcPr>
          <w:p w:rsidR="00E421FD" w:rsidRPr="00960E47" w:rsidRDefault="00E421FD" w:rsidP="00D959B8">
            <w:pPr>
              <w:pStyle w:val="SingleTxtG"/>
              <w:spacing w:before="40" w:after="40" w:line="220" w:lineRule="exact"/>
              <w:ind w:left="0" w:right="0"/>
              <w:jc w:val="right"/>
              <w:rPr>
                <w:sz w:val="18"/>
                <w:szCs w:val="18"/>
                <w:lang w:val="es-ES"/>
              </w:rPr>
            </w:pPr>
            <w:r w:rsidRPr="00960E47">
              <w:rPr>
                <w:sz w:val="18"/>
                <w:szCs w:val="18"/>
                <w:lang w:val="es-ES"/>
              </w:rPr>
              <w:t>37</w:t>
            </w:r>
          </w:p>
        </w:tc>
        <w:tc>
          <w:tcPr>
            <w:tcW w:w="448" w:type="pct"/>
            <w:tcBorders>
              <w:top w:val="single" w:sz="12" w:space="0" w:color="auto"/>
            </w:tcBorders>
            <w:shd w:val="clear" w:color="auto" w:fill="auto"/>
            <w:vAlign w:val="bottom"/>
          </w:tcPr>
          <w:p w:rsidR="00E421FD" w:rsidRPr="00960E47" w:rsidRDefault="00D959B8" w:rsidP="00D959B8">
            <w:pPr>
              <w:pStyle w:val="SingleTxtG"/>
              <w:spacing w:before="40" w:after="40" w:line="220" w:lineRule="exact"/>
              <w:ind w:left="0" w:right="0"/>
              <w:jc w:val="right"/>
              <w:rPr>
                <w:sz w:val="18"/>
                <w:szCs w:val="18"/>
                <w:lang w:val="es-ES"/>
              </w:rPr>
            </w:pPr>
            <w:r w:rsidRPr="00960E47">
              <w:rPr>
                <w:sz w:val="18"/>
                <w:szCs w:val="18"/>
                <w:lang w:val="es-ES"/>
              </w:rPr>
              <w:t>30,</w:t>
            </w:r>
            <w:r w:rsidR="00E421FD" w:rsidRPr="00960E47">
              <w:rPr>
                <w:sz w:val="18"/>
                <w:szCs w:val="18"/>
                <w:lang w:val="es-ES"/>
              </w:rPr>
              <w:t>0</w:t>
            </w:r>
          </w:p>
        </w:tc>
        <w:tc>
          <w:tcPr>
            <w:tcW w:w="447" w:type="pct"/>
            <w:tcBorders>
              <w:top w:val="single" w:sz="12" w:space="0" w:color="auto"/>
            </w:tcBorders>
            <w:shd w:val="clear" w:color="auto" w:fill="auto"/>
            <w:vAlign w:val="bottom"/>
          </w:tcPr>
          <w:p w:rsidR="00E421FD" w:rsidRPr="00960E47" w:rsidRDefault="00E421FD" w:rsidP="00D959B8">
            <w:pPr>
              <w:pStyle w:val="SingleTxtG"/>
              <w:spacing w:before="40" w:after="40" w:line="220" w:lineRule="exact"/>
              <w:ind w:left="0" w:right="0"/>
              <w:jc w:val="right"/>
              <w:rPr>
                <w:sz w:val="18"/>
                <w:szCs w:val="18"/>
                <w:lang w:val="es-ES"/>
              </w:rPr>
            </w:pPr>
          </w:p>
        </w:tc>
        <w:tc>
          <w:tcPr>
            <w:tcW w:w="448" w:type="pct"/>
            <w:tcBorders>
              <w:top w:val="single" w:sz="12" w:space="0" w:color="auto"/>
            </w:tcBorders>
            <w:vAlign w:val="bottom"/>
          </w:tcPr>
          <w:p w:rsidR="00E421FD" w:rsidRPr="00960E47" w:rsidRDefault="00E421FD" w:rsidP="00D959B8">
            <w:pPr>
              <w:pStyle w:val="SingleTxtG"/>
              <w:spacing w:before="40" w:after="40" w:line="220" w:lineRule="exact"/>
              <w:ind w:left="0" w:right="0"/>
              <w:jc w:val="right"/>
              <w:rPr>
                <w:sz w:val="18"/>
                <w:szCs w:val="18"/>
                <w:lang w:val="es-ES"/>
              </w:rPr>
            </w:pPr>
          </w:p>
        </w:tc>
      </w:tr>
      <w:tr w:rsidR="00E421FD" w:rsidRPr="00960E47" w:rsidTr="00D959B8">
        <w:tc>
          <w:tcPr>
            <w:tcW w:w="3209" w:type="pct"/>
            <w:shd w:val="clear" w:color="auto" w:fill="auto"/>
            <w:vAlign w:val="bottom"/>
          </w:tcPr>
          <w:p w:rsidR="00E421FD" w:rsidRPr="00960E47" w:rsidRDefault="00E421FD" w:rsidP="00D959B8">
            <w:pPr>
              <w:pStyle w:val="SingleTxtG"/>
              <w:spacing w:before="40" w:after="40" w:line="220" w:lineRule="exact"/>
              <w:ind w:left="284" w:right="0" w:hanging="284"/>
              <w:jc w:val="left"/>
              <w:rPr>
                <w:sz w:val="18"/>
                <w:szCs w:val="18"/>
                <w:lang w:val="es-ES"/>
              </w:rPr>
            </w:pPr>
            <w:r w:rsidRPr="00960E47">
              <w:rPr>
                <w:sz w:val="18"/>
                <w:szCs w:val="18"/>
                <w:lang w:val="es-ES"/>
              </w:rPr>
              <w:t>b)</w:t>
            </w:r>
            <w:r w:rsidRPr="00960E47">
              <w:rPr>
                <w:sz w:val="18"/>
                <w:szCs w:val="18"/>
                <w:lang w:val="es-ES"/>
              </w:rPr>
              <w:tab/>
              <w:t xml:space="preserve">Tasa bruta de mortalidad (por cada 100 habitantes) </w:t>
            </w:r>
          </w:p>
        </w:tc>
        <w:tc>
          <w:tcPr>
            <w:tcW w:w="447" w:type="pct"/>
            <w:shd w:val="clear" w:color="auto" w:fill="auto"/>
            <w:vAlign w:val="bottom"/>
          </w:tcPr>
          <w:p w:rsidR="00E421FD" w:rsidRPr="00960E47" w:rsidRDefault="00E421FD" w:rsidP="00D959B8">
            <w:pPr>
              <w:pStyle w:val="SingleTxtG"/>
              <w:spacing w:before="40" w:after="40" w:line="220" w:lineRule="exact"/>
              <w:ind w:left="0" w:right="0"/>
              <w:jc w:val="right"/>
              <w:rPr>
                <w:sz w:val="18"/>
                <w:szCs w:val="18"/>
                <w:lang w:val="es-ES"/>
              </w:rPr>
            </w:pPr>
            <w:r w:rsidRPr="00960E47">
              <w:rPr>
                <w:sz w:val="18"/>
                <w:szCs w:val="18"/>
                <w:lang w:val="es-ES"/>
              </w:rPr>
              <w:t>11,6</w:t>
            </w:r>
          </w:p>
        </w:tc>
        <w:tc>
          <w:tcPr>
            <w:tcW w:w="448" w:type="pct"/>
            <w:shd w:val="clear" w:color="auto" w:fill="auto"/>
            <w:vAlign w:val="bottom"/>
          </w:tcPr>
          <w:p w:rsidR="00E421FD" w:rsidRPr="00960E47" w:rsidRDefault="00E421FD" w:rsidP="00D959B8">
            <w:pPr>
              <w:pStyle w:val="SingleTxtG"/>
              <w:spacing w:before="40" w:after="40" w:line="220" w:lineRule="exact"/>
              <w:ind w:left="0" w:right="0"/>
              <w:jc w:val="right"/>
              <w:rPr>
                <w:sz w:val="18"/>
                <w:szCs w:val="18"/>
                <w:lang w:val="es-ES"/>
              </w:rPr>
            </w:pPr>
            <w:r w:rsidRPr="00960E47">
              <w:rPr>
                <w:sz w:val="18"/>
                <w:szCs w:val="18"/>
                <w:lang w:val="es-ES"/>
              </w:rPr>
              <w:t>12,8</w:t>
            </w:r>
          </w:p>
        </w:tc>
        <w:tc>
          <w:tcPr>
            <w:tcW w:w="447" w:type="pct"/>
            <w:shd w:val="clear" w:color="auto" w:fill="auto"/>
            <w:vAlign w:val="bottom"/>
          </w:tcPr>
          <w:p w:rsidR="00E421FD" w:rsidRPr="00960E47" w:rsidRDefault="00E421FD" w:rsidP="00D959B8">
            <w:pPr>
              <w:pStyle w:val="SingleTxtG"/>
              <w:spacing w:before="40" w:after="40" w:line="220" w:lineRule="exact"/>
              <w:ind w:left="0" w:right="0"/>
              <w:jc w:val="right"/>
              <w:rPr>
                <w:sz w:val="18"/>
                <w:szCs w:val="18"/>
                <w:lang w:val="es-ES"/>
              </w:rPr>
            </w:pPr>
          </w:p>
        </w:tc>
        <w:tc>
          <w:tcPr>
            <w:tcW w:w="448" w:type="pct"/>
            <w:vAlign w:val="bottom"/>
          </w:tcPr>
          <w:p w:rsidR="00E421FD" w:rsidRPr="00960E47" w:rsidRDefault="00E421FD" w:rsidP="00D959B8">
            <w:pPr>
              <w:pStyle w:val="SingleTxtG"/>
              <w:spacing w:before="40" w:after="40" w:line="220" w:lineRule="exact"/>
              <w:ind w:left="0" w:right="0"/>
              <w:jc w:val="right"/>
              <w:rPr>
                <w:sz w:val="18"/>
                <w:szCs w:val="18"/>
                <w:lang w:val="es-ES"/>
              </w:rPr>
            </w:pPr>
          </w:p>
        </w:tc>
      </w:tr>
      <w:tr w:rsidR="00E421FD" w:rsidRPr="00960E47" w:rsidTr="00D959B8">
        <w:tc>
          <w:tcPr>
            <w:tcW w:w="3209" w:type="pct"/>
            <w:shd w:val="clear" w:color="auto" w:fill="auto"/>
            <w:vAlign w:val="bottom"/>
          </w:tcPr>
          <w:p w:rsidR="00E421FD" w:rsidRPr="00960E47" w:rsidRDefault="00E421FD" w:rsidP="00D959B8">
            <w:pPr>
              <w:pStyle w:val="SingleTxtG"/>
              <w:spacing w:before="40" w:after="40" w:line="220" w:lineRule="exact"/>
              <w:ind w:left="284" w:right="0" w:hanging="284"/>
              <w:jc w:val="left"/>
              <w:rPr>
                <w:sz w:val="18"/>
                <w:szCs w:val="18"/>
                <w:lang w:val="es-ES"/>
              </w:rPr>
            </w:pPr>
            <w:r w:rsidRPr="00960E47">
              <w:rPr>
                <w:sz w:val="18"/>
                <w:szCs w:val="18"/>
                <w:lang w:val="es-ES"/>
              </w:rPr>
              <w:t>c)</w:t>
            </w:r>
            <w:r w:rsidRPr="00960E47">
              <w:rPr>
                <w:sz w:val="18"/>
                <w:szCs w:val="18"/>
                <w:lang w:val="es-ES"/>
              </w:rPr>
              <w:tab/>
              <w:t xml:space="preserve">Tasa de aumento natural (por cada 100 habitantes) </w:t>
            </w:r>
          </w:p>
        </w:tc>
        <w:tc>
          <w:tcPr>
            <w:tcW w:w="447" w:type="pct"/>
            <w:shd w:val="clear" w:color="auto" w:fill="auto"/>
            <w:vAlign w:val="bottom"/>
          </w:tcPr>
          <w:p w:rsidR="00E421FD" w:rsidRPr="00960E47" w:rsidRDefault="00E421FD" w:rsidP="00D959B8">
            <w:pPr>
              <w:pStyle w:val="SingleTxtG"/>
              <w:spacing w:before="40" w:after="40" w:line="220" w:lineRule="exact"/>
              <w:ind w:left="0" w:right="0"/>
              <w:jc w:val="right"/>
              <w:rPr>
                <w:sz w:val="18"/>
                <w:szCs w:val="18"/>
                <w:lang w:val="es-ES"/>
              </w:rPr>
            </w:pPr>
          </w:p>
        </w:tc>
        <w:tc>
          <w:tcPr>
            <w:tcW w:w="448" w:type="pct"/>
            <w:shd w:val="clear" w:color="auto" w:fill="auto"/>
            <w:vAlign w:val="bottom"/>
          </w:tcPr>
          <w:p w:rsidR="00E421FD" w:rsidRPr="00960E47" w:rsidRDefault="00E421FD" w:rsidP="00D959B8">
            <w:pPr>
              <w:pStyle w:val="SingleTxtG"/>
              <w:spacing w:before="40" w:after="40" w:line="220" w:lineRule="exact"/>
              <w:ind w:left="0" w:right="0"/>
              <w:jc w:val="right"/>
              <w:rPr>
                <w:sz w:val="18"/>
                <w:szCs w:val="18"/>
                <w:lang w:val="es-ES"/>
              </w:rPr>
            </w:pPr>
          </w:p>
        </w:tc>
        <w:tc>
          <w:tcPr>
            <w:tcW w:w="447" w:type="pct"/>
            <w:shd w:val="clear" w:color="auto" w:fill="auto"/>
            <w:vAlign w:val="bottom"/>
          </w:tcPr>
          <w:p w:rsidR="00E421FD" w:rsidRPr="00960E47" w:rsidRDefault="00E421FD" w:rsidP="00D959B8">
            <w:pPr>
              <w:pStyle w:val="SingleTxtG"/>
              <w:spacing w:before="40" w:after="40" w:line="220" w:lineRule="exact"/>
              <w:ind w:left="0" w:right="0"/>
              <w:jc w:val="right"/>
              <w:rPr>
                <w:sz w:val="18"/>
                <w:szCs w:val="18"/>
                <w:lang w:val="es-ES"/>
              </w:rPr>
            </w:pPr>
          </w:p>
        </w:tc>
        <w:tc>
          <w:tcPr>
            <w:tcW w:w="448" w:type="pct"/>
            <w:vAlign w:val="bottom"/>
          </w:tcPr>
          <w:p w:rsidR="00E421FD" w:rsidRPr="00960E47" w:rsidRDefault="00E421FD" w:rsidP="00D959B8">
            <w:pPr>
              <w:pStyle w:val="SingleTxtG"/>
              <w:spacing w:before="40" w:after="40" w:line="220" w:lineRule="exact"/>
              <w:ind w:left="0" w:right="0"/>
              <w:jc w:val="right"/>
              <w:rPr>
                <w:sz w:val="18"/>
                <w:szCs w:val="18"/>
                <w:lang w:val="es-ES"/>
              </w:rPr>
            </w:pPr>
          </w:p>
        </w:tc>
      </w:tr>
      <w:tr w:rsidR="00E421FD" w:rsidRPr="00960E47" w:rsidTr="00D959B8">
        <w:tc>
          <w:tcPr>
            <w:tcW w:w="3209" w:type="pct"/>
            <w:shd w:val="clear" w:color="auto" w:fill="auto"/>
            <w:vAlign w:val="bottom"/>
          </w:tcPr>
          <w:p w:rsidR="00E421FD" w:rsidRPr="00960E47" w:rsidRDefault="00E421FD" w:rsidP="00D959B8">
            <w:pPr>
              <w:pStyle w:val="SingleTxtG"/>
              <w:spacing w:before="40" w:after="40" w:line="220" w:lineRule="exact"/>
              <w:ind w:left="284" w:right="0" w:hanging="284"/>
              <w:jc w:val="left"/>
              <w:rPr>
                <w:sz w:val="18"/>
                <w:szCs w:val="18"/>
                <w:lang w:val="es-ES"/>
              </w:rPr>
            </w:pPr>
            <w:r w:rsidRPr="00960E47">
              <w:rPr>
                <w:sz w:val="18"/>
                <w:szCs w:val="18"/>
                <w:lang w:val="es-ES"/>
              </w:rPr>
              <w:t>d)</w:t>
            </w:r>
            <w:r w:rsidRPr="00960E47">
              <w:rPr>
                <w:sz w:val="18"/>
                <w:szCs w:val="18"/>
                <w:lang w:val="es-ES"/>
              </w:rPr>
              <w:tab/>
              <w:t xml:space="preserve">Tiempo de duplicación (en años) </w:t>
            </w:r>
          </w:p>
        </w:tc>
        <w:tc>
          <w:tcPr>
            <w:tcW w:w="447" w:type="pct"/>
            <w:shd w:val="clear" w:color="auto" w:fill="auto"/>
            <w:vAlign w:val="bottom"/>
          </w:tcPr>
          <w:p w:rsidR="00E421FD" w:rsidRPr="00960E47" w:rsidRDefault="00E421FD" w:rsidP="00D959B8">
            <w:pPr>
              <w:pStyle w:val="SingleTxtG"/>
              <w:spacing w:before="40" w:after="40" w:line="220" w:lineRule="exact"/>
              <w:ind w:left="0" w:right="0"/>
              <w:jc w:val="right"/>
              <w:rPr>
                <w:sz w:val="18"/>
                <w:szCs w:val="18"/>
                <w:lang w:val="es-ES"/>
              </w:rPr>
            </w:pPr>
          </w:p>
        </w:tc>
        <w:tc>
          <w:tcPr>
            <w:tcW w:w="448" w:type="pct"/>
            <w:shd w:val="clear" w:color="auto" w:fill="auto"/>
            <w:vAlign w:val="bottom"/>
          </w:tcPr>
          <w:p w:rsidR="00E421FD" w:rsidRPr="00960E47" w:rsidRDefault="00E421FD" w:rsidP="00D959B8">
            <w:pPr>
              <w:pStyle w:val="SingleTxtG"/>
              <w:spacing w:before="40" w:after="40" w:line="220" w:lineRule="exact"/>
              <w:ind w:left="0" w:right="0"/>
              <w:jc w:val="right"/>
              <w:rPr>
                <w:sz w:val="18"/>
                <w:szCs w:val="18"/>
                <w:lang w:val="es-ES"/>
              </w:rPr>
            </w:pPr>
          </w:p>
        </w:tc>
        <w:tc>
          <w:tcPr>
            <w:tcW w:w="447" w:type="pct"/>
            <w:shd w:val="clear" w:color="auto" w:fill="auto"/>
            <w:vAlign w:val="bottom"/>
          </w:tcPr>
          <w:p w:rsidR="00E421FD" w:rsidRPr="00960E47" w:rsidRDefault="00E421FD" w:rsidP="00D959B8">
            <w:pPr>
              <w:pStyle w:val="SingleTxtG"/>
              <w:spacing w:before="40" w:after="40" w:line="220" w:lineRule="exact"/>
              <w:ind w:left="0" w:right="0"/>
              <w:jc w:val="right"/>
              <w:rPr>
                <w:sz w:val="18"/>
                <w:szCs w:val="18"/>
                <w:lang w:val="es-ES"/>
              </w:rPr>
            </w:pPr>
          </w:p>
        </w:tc>
        <w:tc>
          <w:tcPr>
            <w:tcW w:w="448" w:type="pct"/>
            <w:vAlign w:val="bottom"/>
          </w:tcPr>
          <w:p w:rsidR="00E421FD" w:rsidRPr="00960E47" w:rsidRDefault="00E421FD" w:rsidP="00D959B8">
            <w:pPr>
              <w:pStyle w:val="SingleTxtG"/>
              <w:spacing w:before="40" w:after="40" w:line="220" w:lineRule="exact"/>
              <w:ind w:left="0" w:right="0"/>
              <w:jc w:val="right"/>
              <w:rPr>
                <w:sz w:val="18"/>
                <w:szCs w:val="18"/>
                <w:lang w:val="es-ES"/>
              </w:rPr>
            </w:pPr>
          </w:p>
        </w:tc>
      </w:tr>
      <w:tr w:rsidR="00E421FD" w:rsidRPr="00960E47" w:rsidTr="00D959B8">
        <w:tc>
          <w:tcPr>
            <w:tcW w:w="3209" w:type="pct"/>
            <w:shd w:val="clear" w:color="auto" w:fill="auto"/>
            <w:vAlign w:val="bottom"/>
          </w:tcPr>
          <w:p w:rsidR="00E421FD" w:rsidRPr="00960E47" w:rsidRDefault="00E421FD" w:rsidP="00D959B8">
            <w:pPr>
              <w:pStyle w:val="SingleTxtG"/>
              <w:spacing w:before="40" w:after="40" w:line="220" w:lineRule="exact"/>
              <w:ind w:left="284" w:right="0" w:hanging="284"/>
              <w:jc w:val="left"/>
              <w:rPr>
                <w:sz w:val="18"/>
                <w:szCs w:val="18"/>
                <w:lang w:val="es-ES"/>
              </w:rPr>
            </w:pPr>
            <w:r w:rsidRPr="00960E47">
              <w:rPr>
                <w:sz w:val="18"/>
                <w:szCs w:val="18"/>
                <w:lang w:val="es-ES"/>
              </w:rPr>
              <w:t>e)</w:t>
            </w:r>
            <w:r w:rsidRPr="00960E47">
              <w:rPr>
                <w:sz w:val="18"/>
                <w:szCs w:val="18"/>
                <w:lang w:val="es-ES"/>
              </w:rPr>
              <w:tab/>
              <w:t xml:space="preserve">Número total estimado de nacidos vivos </w:t>
            </w:r>
          </w:p>
        </w:tc>
        <w:tc>
          <w:tcPr>
            <w:tcW w:w="447" w:type="pct"/>
            <w:shd w:val="clear" w:color="auto" w:fill="auto"/>
            <w:vAlign w:val="bottom"/>
          </w:tcPr>
          <w:p w:rsidR="00E421FD" w:rsidRPr="00960E47" w:rsidRDefault="00E421FD" w:rsidP="00D959B8">
            <w:pPr>
              <w:pStyle w:val="SingleTxtG"/>
              <w:spacing w:before="40" w:after="40" w:line="220" w:lineRule="exact"/>
              <w:ind w:left="0" w:right="0"/>
              <w:jc w:val="right"/>
              <w:rPr>
                <w:sz w:val="18"/>
                <w:szCs w:val="18"/>
                <w:lang w:val="es-ES"/>
              </w:rPr>
            </w:pPr>
          </w:p>
        </w:tc>
        <w:tc>
          <w:tcPr>
            <w:tcW w:w="448" w:type="pct"/>
            <w:shd w:val="clear" w:color="auto" w:fill="auto"/>
            <w:vAlign w:val="bottom"/>
          </w:tcPr>
          <w:p w:rsidR="00E421FD" w:rsidRPr="00960E47" w:rsidRDefault="00E421FD" w:rsidP="00D959B8">
            <w:pPr>
              <w:pStyle w:val="SingleTxtG"/>
              <w:spacing w:before="40" w:after="40" w:line="220" w:lineRule="exact"/>
              <w:ind w:left="0" w:right="0"/>
              <w:jc w:val="right"/>
              <w:rPr>
                <w:sz w:val="18"/>
                <w:szCs w:val="18"/>
                <w:lang w:val="es-ES"/>
              </w:rPr>
            </w:pPr>
          </w:p>
        </w:tc>
        <w:tc>
          <w:tcPr>
            <w:tcW w:w="447" w:type="pct"/>
            <w:shd w:val="clear" w:color="auto" w:fill="auto"/>
            <w:vAlign w:val="bottom"/>
          </w:tcPr>
          <w:p w:rsidR="00E421FD" w:rsidRPr="00960E47" w:rsidRDefault="00E421FD" w:rsidP="00D959B8">
            <w:pPr>
              <w:pStyle w:val="SingleTxtG"/>
              <w:spacing w:before="40" w:after="40" w:line="220" w:lineRule="exact"/>
              <w:ind w:left="0" w:right="0"/>
              <w:jc w:val="right"/>
              <w:rPr>
                <w:sz w:val="18"/>
                <w:szCs w:val="18"/>
                <w:lang w:val="es-ES"/>
              </w:rPr>
            </w:pPr>
          </w:p>
        </w:tc>
        <w:tc>
          <w:tcPr>
            <w:tcW w:w="448" w:type="pct"/>
            <w:vAlign w:val="bottom"/>
          </w:tcPr>
          <w:p w:rsidR="00E421FD" w:rsidRPr="00960E47" w:rsidRDefault="00E421FD" w:rsidP="00D959B8">
            <w:pPr>
              <w:pStyle w:val="SingleTxtG"/>
              <w:spacing w:before="40" w:after="40" w:line="220" w:lineRule="exact"/>
              <w:ind w:left="0" w:right="0"/>
              <w:jc w:val="right"/>
              <w:rPr>
                <w:sz w:val="18"/>
                <w:szCs w:val="18"/>
                <w:lang w:val="es-ES"/>
              </w:rPr>
            </w:pPr>
          </w:p>
        </w:tc>
      </w:tr>
      <w:tr w:rsidR="00E421FD" w:rsidRPr="00960E47" w:rsidTr="00D959B8">
        <w:tc>
          <w:tcPr>
            <w:tcW w:w="3209" w:type="pct"/>
            <w:shd w:val="clear" w:color="auto" w:fill="auto"/>
            <w:vAlign w:val="bottom"/>
          </w:tcPr>
          <w:p w:rsidR="00E421FD" w:rsidRPr="00960E47" w:rsidRDefault="00E421FD" w:rsidP="00D959B8">
            <w:pPr>
              <w:pStyle w:val="SingleTxtG"/>
              <w:spacing w:before="40" w:after="40" w:line="220" w:lineRule="exact"/>
              <w:ind w:left="284" w:right="0" w:hanging="284"/>
              <w:jc w:val="left"/>
              <w:rPr>
                <w:sz w:val="18"/>
                <w:szCs w:val="18"/>
                <w:lang w:val="es-ES"/>
              </w:rPr>
            </w:pPr>
            <w:r w:rsidRPr="00960E47">
              <w:rPr>
                <w:sz w:val="18"/>
                <w:szCs w:val="18"/>
                <w:lang w:val="es-ES"/>
              </w:rPr>
              <w:t>f)</w:t>
            </w:r>
            <w:r w:rsidRPr="00960E47">
              <w:rPr>
                <w:sz w:val="18"/>
                <w:szCs w:val="18"/>
                <w:lang w:val="es-ES"/>
              </w:rPr>
              <w:tab/>
              <w:t xml:space="preserve">Esperanza de vida al nacer </w:t>
            </w:r>
          </w:p>
        </w:tc>
        <w:tc>
          <w:tcPr>
            <w:tcW w:w="447" w:type="pct"/>
            <w:shd w:val="clear" w:color="auto" w:fill="auto"/>
            <w:vAlign w:val="bottom"/>
          </w:tcPr>
          <w:p w:rsidR="00E421FD" w:rsidRPr="00960E47" w:rsidRDefault="00E421FD" w:rsidP="00D959B8">
            <w:pPr>
              <w:pStyle w:val="SingleTxtG"/>
              <w:spacing w:before="40" w:after="40" w:line="220" w:lineRule="exact"/>
              <w:ind w:left="0" w:right="0"/>
              <w:jc w:val="right"/>
              <w:rPr>
                <w:sz w:val="18"/>
                <w:szCs w:val="18"/>
                <w:lang w:val="es-ES"/>
              </w:rPr>
            </w:pPr>
            <w:r w:rsidRPr="00960E47">
              <w:rPr>
                <w:sz w:val="18"/>
                <w:szCs w:val="18"/>
                <w:lang w:val="es-ES"/>
              </w:rPr>
              <w:t>55</w:t>
            </w:r>
          </w:p>
        </w:tc>
        <w:tc>
          <w:tcPr>
            <w:tcW w:w="448" w:type="pct"/>
            <w:shd w:val="clear" w:color="auto" w:fill="auto"/>
            <w:vAlign w:val="bottom"/>
          </w:tcPr>
          <w:p w:rsidR="00E421FD" w:rsidRPr="00960E47" w:rsidRDefault="00E421FD" w:rsidP="00D959B8">
            <w:pPr>
              <w:pStyle w:val="SingleTxtG"/>
              <w:spacing w:before="40" w:after="40" w:line="220" w:lineRule="exact"/>
              <w:ind w:left="0" w:right="0"/>
              <w:jc w:val="right"/>
              <w:rPr>
                <w:sz w:val="18"/>
                <w:szCs w:val="18"/>
                <w:lang w:val="es-ES"/>
              </w:rPr>
            </w:pPr>
            <w:r w:rsidRPr="00960E47">
              <w:rPr>
                <w:sz w:val="18"/>
                <w:szCs w:val="18"/>
                <w:lang w:val="es-ES"/>
              </w:rPr>
              <w:t>59</w:t>
            </w:r>
          </w:p>
        </w:tc>
        <w:tc>
          <w:tcPr>
            <w:tcW w:w="447" w:type="pct"/>
            <w:shd w:val="clear" w:color="auto" w:fill="auto"/>
            <w:vAlign w:val="bottom"/>
          </w:tcPr>
          <w:p w:rsidR="00E421FD" w:rsidRPr="00960E47" w:rsidRDefault="00E421FD" w:rsidP="00D959B8">
            <w:pPr>
              <w:pStyle w:val="SingleTxtG"/>
              <w:spacing w:before="40" w:after="40" w:line="220" w:lineRule="exact"/>
              <w:ind w:left="0" w:right="0"/>
              <w:jc w:val="right"/>
              <w:rPr>
                <w:sz w:val="18"/>
                <w:szCs w:val="18"/>
                <w:lang w:val="es-ES"/>
              </w:rPr>
            </w:pPr>
          </w:p>
        </w:tc>
        <w:tc>
          <w:tcPr>
            <w:tcW w:w="448" w:type="pct"/>
            <w:vAlign w:val="bottom"/>
          </w:tcPr>
          <w:p w:rsidR="00E421FD" w:rsidRPr="00960E47" w:rsidRDefault="00E421FD" w:rsidP="00D959B8">
            <w:pPr>
              <w:pStyle w:val="SingleTxtG"/>
              <w:spacing w:before="40" w:after="40" w:line="220" w:lineRule="exact"/>
              <w:ind w:left="0" w:right="0"/>
              <w:jc w:val="right"/>
              <w:rPr>
                <w:sz w:val="18"/>
                <w:szCs w:val="18"/>
                <w:lang w:val="es-ES"/>
              </w:rPr>
            </w:pPr>
          </w:p>
        </w:tc>
      </w:tr>
      <w:tr w:rsidR="00E421FD" w:rsidRPr="00960E47" w:rsidTr="00D959B8">
        <w:tc>
          <w:tcPr>
            <w:tcW w:w="3209" w:type="pct"/>
            <w:shd w:val="clear" w:color="auto" w:fill="auto"/>
            <w:vAlign w:val="bottom"/>
          </w:tcPr>
          <w:p w:rsidR="00E421FD" w:rsidRPr="00960E47" w:rsidRDefault="00E421FD" w:rsidP="00D959B8">
            <w:pPr>
              <w:pStyle w:val="SingleTxtG"/>
              <w:spacing w:before="40" w:after="40" w:line="220" w:lineRule="exact"/>
              <w:ind w:left="284" w:right="0" w:hanging="284"/>
              <w:jc w:val="left"/>
              <w:rPr>
                <w:sz w:val="18"/>
                <w:szCs w:val="18"/>
                <w:lang w:val="es-ES"/>
              </w:rPr>
            </w:pPr>
            <w:r w:rsidRPr="00960E47">
              <w:rPr>
                <w:sz w:val="18"/>
                <w:szCs w:val="18"/>
                <w:lang w:val="es-ES"/>
              </w:rPr>
              <w:tab/>
              <w:t>Mujeres</w:t>
            </w:r>
          </w:p>
        </w:tc>
        <w:tc>
          <w:tcPr>
            <w:tcW w:w="447" w:type="pct"/>
            <w:shd w:val="clear" w:color="auto" w:fill="auto"/>
            <w:vAlign w:val="bottom"/>
          </w:tcPr>
          <w:p w:rsidR="00E421FD" w:rsidRPr="00960E47" w:rsidRDefault="00E421FD" w:rsidP="00D959B8">
            <w:pPr>
              <w:pStyle w:val="SingleTxtG"/>
              <w:spacing w:before="40" w:after="40" w:line="220" w:lineRule="exact"/>
              <w:ind w:left="0" w:right="0"/>
              <w:jc w:val="right"/>
              <w:rPr>
                <w:sz w:val="18"/>
                <w:szCs w:val="18"/>
                <w:lang w:val="es-ES"/>
              </w:rPr>
            </w:pPr>
            <w:r w:rsidRPr="00960E47">
              <w:rPr>
                <w:sz w:val="18"/>
                <w:szCs w:val="18"/>
                <w:lang w:val="es-ES"/>
              </w:rPr>
              <w:t>56,7</w:t>
            </w:r>
          </w:p>
        </w:tc>
        <w:tc>
          <w:tcPr>
            <w:tcW w:w="448" w:type="pct"/>
            <w:shd w:val="clear" w:color="auto" w:fill="auto"/>
            <w:vAlign w:val="bottom"/>
          </w:tcPr>
          <w:p w:rsidR="00E421FD" w:rsidRPr="00960E47" w:rsidRDefault="00E421FD" w:rsidP="00D959B8">
            <w:pPr>
              <w:pStyle w:val="SingleTxtG"/>
              <w:spacing w:before="40" w:after="40" w:line="220" w:lineRule="exact"/>
              <w:ind w:left="0" w:right="0"/>
              <w:jc w:val="right"/>
              <w:rPr>
                <w:sz w:val="18"/>
                <w:szCs w:val="18"/>
                <w:lang w:val="es-ES"/>
              </w:rPr>
            </w:pPr>
            <w:r w:rsidRPr="00960E47">
              <w:rPr>
                <w:sz w:val="18"/>
                <w:szCs w:val="18"/>
                <w:lang w:val="es-ES"/>
              </w:rPr>
              <w:t>60,2</w:t>
            </w:r>
          </w:p>
        </w:tc>
        <w:tc>
          <w:tcPr>
            <w:tcW w:w="447" w:type="pct"/>
            <w:shd w:val="clear" w:color="auto" w:fill="auto"/>
            <w:vAlign w:val="bottom"/>
          </w:tcPr>
          <w:p w:rsidR="00E421FD" w:rsidRPr="00960E47" w:rsidRDefault="00E421FD" w:rsidP="00D959B8">
            <w:pPr>
              <w:pStyle w:val="SingleTxtG"/>
              <w:spacing w:before="40" w:after="40" w:line="220" w:lineRule="exact"/>
              <w:ind w:left="0" w:right="0"/>
              <w:jc w:val="right"/>
              <w:rPr>
                <w:sz w:val="18"/>
                <w:szCs w:val="18"/>
                <w:lang w:val="es-ES"/>
              </w:rPr>
            </w:pPr>
          </w:p>
        </w:tc>
        <w:tc>
          <w:tcPr>
            <w:tcW w:w="448" w:type="pct"/>
            <w:vAlign w:val="bottom"/>
          </w:tcPr>
          <w:p w:rsidR="00E421FD" w:rsidRPr="00960E47" w:rsidRDefault="00E421FD" w:rsidP="00D959B8">
            <w:pPr>
              <w:pStyle w:val="SingleTxtG"/>
              <w:spacing w:before="40" w:after="40" w:line="220" w:lineRule="exact"/>
              <w:ind w:left="0" w:right="0"/>
              <w:jc w:val="right"/>
              <w:rPr>
                <w:sz w:val="18"/>
                <w:szCs w:val="18"/>
                <w:lang w:val="es-ES"/>
              </w:rPr>
            </w:pPr>
          </w:p>
        </w:tc>
      </w:tr>
      <w:tr w:rsidR="00E421FD" w:rsidRPr="00960E47" w:rsidTr="00D959B8">
        <w:tc>
          <w:tcPr>
            <w:tcW w:w="3209" w:type="pct"/>
            <w:shd w:val="clear" w:color="auto" w:fill="auto"/>
            <w:vAlign w:val="bottom"/>
          </w:tcPr>
          <w:p w:rsidR="00E421FD" w:rsidRPr="00960E47" w:rsidRDefault="00E421FD" w:rsidP="00D959B8">
            <w:pPr>
              <w:pStyle w:val="SingleTxtG"/>
              <w:spacing w:before="40" w:after="40" w:line="220" w:lineRule="exact"/>
              <w:ind w:left="284" w:right="0" w:hanging="284"/>
              <w:jc w:val="left"/>
              <w:rPr>
                <w:sz w:val="18"/>
                <w:szCs w:val="18"/>
                <w:lang w:val="es-ES"/>
              </w:rPr>
            </w:pPr>
            <w:r w:rsidRPr="00960E47">
              <w:rPr>
                <w:sz w:val="18"/>
                <w:szCs w:val="18"/>
                <w:lang w:val="es-ES"/>
              </w:rPr>
              <w:tab/>
              <w:t>Varones</w:t>
            </w:r>
          </w:p>
        </w:tc>
        <w:tc>
          <w:tcPr>
            <w:tcW w:w="447" w:type="pct"/>
            <w:shd w:val="clear" w:color="auto" w:fill="auto"/>
            <w:vAlign w:val="bottom"/>
          </w:tcPr>
          <w:p w:rsidR="00E421FD" w:rsidRPr="00960E47" w:rsidRDefault="00E421FD" w:rsidP="00D959B8">
            <w:pPr>
              <w:pStyle w:val="SingleTxtG"/>
              <w:spacing w:before="40" w:after="40" w:line="220" w:lineRule="exact"/>
              <w:ind w:left="0" w:right="0"/>
              <w:jc w:val="right"/>
              <w:rPr>
                <w:sz w:val="18"/>
                <w:szCs w:val="18"/>
                <w:lang w:val="es-ES"/>
              </w:rPr>
            </w:pPr>
            <w:r w:rsidRPr="00960E47">
              <w:rPr>
                <w:sz w:val="18"/>
                <w:szCs w:val="18"/>
                <w:lang w:val="es-ES"/>
              </w:rPr>
              <w:t>49,3</w:t>
            </w:r>
          </w:p>
        </w:tc>
        <w:tc>
          <w:tcPr>
            <w:tcW w:w="448" w:type="pct"/>
            <w:shd w:val="clear" w:color="auto" w:fill="auto"/>
            <w:vAlign w:val="bottom"/>
          </w:tcPr>
          <w:p w:rsidR="00E421FD" w:rsidRPr="00960E47" w:rsidRDefault="00E421FD" w:rsidP="00D959B8">
            <w:pPr>
              <w:pStyle w:val="SingleTxtG"/>
              <w:spacing w:before="40" w:after="40" w:line="220" w:lineRule="exact"/>
              <w:ind w:left="0" w:right="0"/>
              <w:jc w:val="right"/>
              <w:rPr>
                <w:sz w:val="18"/>
                <w:szCs w:val="18"/>
                <w:lang w:val="es-ES"/>
              </w:rPr>
            </w:pPr>
            <w:r w:rsidRPr="00960E47">
              <w:rPr>
                <w:sz w:val="18"/>
                <w:szCs w:val="18"/>
                <w:lang w:val="es-ES"/>
              </w:rPr>
              <w:t>58,6</w:t>
            </w:r>
          </w:p>
        </w:tc>
        <w:tc>
          <w:tcPr>
            <w:tcW w:w="447" w:type="pct"/>
            <w:shd w:val="clear" w:color="auto" w:fill="auto"/>
            <w:vAlign w:val="bottom"/>
          </w:tcPr>
          <w:p w:rsidR="00E421FD" w:rsidRPr="00960E47" w:rsidRDefault="00E421FD" w:rsidP="00D959B8">
            <w:pPr>
              <w:pStyle w:val="SingleTxtG"/>
              <w:spacing w:before="40" w:after="40" w:line="220" w:lineRule="exact"/>
              <w:ind w:left="0" w:right="0"/>
              <w:jc w:val="right"/>
              <w:rPr>
                <w:sz w:val="18"/>
                <w:szCs w:val="18"/>
                <w:lang w:val="es-ES"/>
              </w:rPr>
            </w:pPr>
          </w:p>
        </w:tc>
        <w:tc>
          <w:tcPr>
            <w:tcW w:w="448" w:type="pct"/>
            <w:vAlign w:val="bottom"/>
          </w:tcPr>
          <w:p w:rsidR="00E421FD" w:rsidRPr="00960E47" w:rsidRDefault="00E421FD" w:rsidP="00D959B8">
            <w:pPr>
              <w:pStyle w:val="SingleTxtG"/>
              <w:spacing w:before="40" w:after="40" w:line="220" w:lineRule="exact"/>
              <w:ind w:left="0" w:right="0"/>
              <w:jc w:val="right"/>
              <w:rPr>
                <w:sz w:val="18"/>
                <w:szCs w:val="18"/>
                <w:lang w:val="es-ES"/>
              </w:rPr>
            </w:pPr>
          </w:p>
        </w:tc>
      </w:tr>
      <w:tr w:rsidR="00E421FD" w:rsidRPr="00960E47" w:rsidTr="00D959B8">
        <w:tc>
          <w:tcPr>
            <w:tcW w:w="3209" w:type="pct"/>
            <w:shd w:val="clear" w:color="auto" w:fill="auto"/>
            <w:vAlign w:val="bottom"/>
          </w:tcPr>
          <w:p w:rsidR="00E421FD" w:rsidRPr="00960E47" w:rsidRDefault="00E421FD" w:rsidP="00D959B8">
            <w:pPr>
              <w:pStyle w:val="SingleTxtG"/>
              <w:spacing w:before="40" w:after="40" w:line="220" w:lineRule="exact"/>
              <w:ind w:left="284" w:right="0" w:hanging="284"/>
              <w:jc w:val="left"/>
              <w:rPr>
                <w:sz w:val="18"/>
                <w:szCs w:val="18"/>
                <w:lang w:val="es-ES"/>
              </w:rPr>
            </w:pPr>
            <w:r w:rsidRPr="00960E47">
              <w:rPr>
                <w:sz w:val="18"/>
                <w:szCs w:val="18"/>
                <w:lang w:val="es-ES"/>
              </w:rPr>
              <w:t>g)</w:t>
            </w:r>
            <w:r w:rsidRPr="00960E47">
              <w:rPr>
                <w:sz w:val="18"/>
                <w:szCs w:val="18"/>
                <w:lang w:val="es-ES"/>
              </w:rPr>
              <w:tab/>
              <w:t xml:space="preserve">Tasa de mortalidad infantil (menores de un año) (por cada 1.000 niños) </w:t>
            </w:r>
          </w:p>
        </w:tc>
        <w:tc>
          <w:tcPr>
            <w:tcW w:w="447" w:type="pct"/>
            <w:shd w:val="clear" w:color="auto" w:fill="auto"/>
            <w:vAlign w:val="bottom"/>
          </w:tcPr>
          <w:p w:rsidR="00E421FD" w:rsidRPr="00960E47" w:rsidRDefault="00E421FD" w:rsidP="00D959B8">
            <w:pPr>
              <w:pStyle w:val="SingleTxtG"/>
              <w:spacing w:before="40" w:after="40" w:line="220" w:lineRule="exact"/>
              <w:ind w:left="0" w:right="0"/>
              <w:jc w:val="right"/>
              <w:rPr>
                <w:sz w:val="18"/>
                <w:szCs w:val="18"/>
                <w:lang w:val="es-ES"/>
              </w:rPr>
            </w:pPr>
            <w:r w:rsidRPr="00960E47">
              <w:rPr>
                <w:sz w:val="18"/>
                <w:szCs w:val="18"/>
                <w:lang w:val="es-ES"/>
              </w:rPr>
              <w:t>85</w:t>
            </w:r>
          </w:p>
        </w:tc>
        <w:tc>
          <w:tcPr>
            <w:tcW w:w="448" w:type="pct"/>
            <w:shd w:val="clear" w:color="auto" w:fill="auto"/>
            <w:vAlign w:val="bottom"/>
          </w:tcPr>
          <w:p w:rsidR="00E421FD" w:rsidRPr="00960E47" w:rsidRDefault="00E421FD" w:rsidP="00D959B8">
            <w:pPr>
              <w:pStyle w:val="SingleTxtG"/>
              <w:spacing w:before="40" w:after="40" w:line="220" w:lineRule="exact"/>
              <w:ind w:left="0" w:right="0"/>
              <w:jc w:val="right"/>
              <w:rPr>
                <w:sz w:val="18"/>
                <w:szCs w:val="18"/>
                <w:lang w:val="es-ES"/>
              </w:rPr>
            </w:pPr>
            <w:r w:rsidRPr="00960E47">
              <w:rPr>
                <w:sz w:val="18"/>
                <w:szCs w:val="18"/>
                <w:lang w:val="es-ES"/>
              </w:rPr>
              <w:t>74</w:t>
            </w:r>
          </w:p>
        </w:tc>
        <w:tc>
          <w:tcPr>
            <w:tcW w:w="447" w:type="pct"/>
            <w:shd w:val="clear" w:color="auto" w:fill="auto"/>
            <w:vAlign w:val="bottom"/>
          </w:tcPr>
          <w:p w:rsidR="00E421FD" w:rsidRPr="00960E47" w:rsidRDefault="00E421FD" w:rsidP="00D959B8">
            <w:pPr>
              <w:pStyle w:val="SingleTxtG"/>
              <w:spacing w:before="40" w:after="40" w:line="220" w:lineRule="exact"/>
              <w:ind w:left="0" w:right="0"/>
              <w:jc w:val="right"/>
              <w:rPr>
                <w:sz w:val="18"/>
                <w:szCs w:val="18"/>
                <w:lang w:val="es-ES"/>
              </w:rPr>
            </w:pPr>
            <w:r w:rsidRPr="00960E47">
              <w:rPr>
                <w:sz w:val="18"/>
                <w:szCs w:val="18"/>
                <w:lang w:val="es-ES"/>
              </w:rPr>
              <w:t>96</w:t>
            </w:r>
          </w:p>
        </w:tc>
        <w:tc>
          <w:tcPr>
            <w:tcW w:w="448" w:type="pct"/>
            <w:vAlign w:val="bottom"/>
          </w:tcPr>
          <w:p w:rsidR="00E421FD" w:rsidRPr="00960E47" w:rsidRDefault="00E421FD" w:rsidP="00D959B8">
            <w:pPr>
              <w:pStyle w:val="SingleTxtG"/>
              <w:spacing w:before="40" w:after="40" w:line="220" w:lineRule="exact"/>
              <w:ind w:left="0" w:right="0"/>
              <w:jc w:val="right"/>
              <w:rPr>
                <w:sz w:val="18"/>
                <w:szCs w:val="18"/>
                <w:lang w:val="es-ES"/>
              </w:rPr>
            </w:pPr>
          </w:p>
        </w:tc>
      </w:tr>
      <w:tr w:rsidR="00E421FD" w:rsidRPr="00960E47" w:rsidTr="00D959B8">
        <w:tc>
          <w:tcPr>
            <w:tcW w:w="3209" w:type="pct"/>
            <w:shd w:val="clear" w:color="auto" w:fill="auto"/>
            <w:vAlign w:val="bottom"/>
          </w:tcPr>
          <w:p w:rsidR="00E421FD" w:rsidRPr="00960E47" w:rsidRDefault="00E421FD" w:rsidP="00D959B8">
            <w:pPr>
              <w:pStyle w:val="SingleTxtG"/>
              <w:spacing w:before="40" w:after="40" w:line="220" w:lineRule="exact"/>
              <w:ind w:left="284" w:right="0" w:hanging="284"/>
              <w:jc w:val="left"/>
              <w:rPr>
                <w:sz w:val="18"/>
                <w:szCs w:val="18"/>
                <w:lang w:val="es-ES"/>
              </w:rPr>
            </w:pPr>
            <w:r w:rsidRPr="00960E47">
              <w:rPr>
                <w:sz w:val="18"/>
                <w:szCs w:val="18"/>
                <w:lang w:val="es-ES"/>
              </w:rPr>
              <w:t>h)</w:t>
            </w:r>
            <w:r w:rsidRPr="00960E47">
              <w:rPr>
                <w:sz w:val="18"/>
                <w:szCs w:val="18"/>
                <w:lang w:val="es-ES"/>
              </w:rPr>
              <w:tab/>
              <w:t xml:space="preserve">Tasa de mortalidad infantil (por cada 1.000 niños) </w:t>
            </w:r>
          </w:p>
        </w:tc>
        <w:tc>
          <w:tcPr>
            <w:tcW w:w="447" w:type="pct"/>
            <w:shd w:val="clear" w:color="auto" w:fill="auto"/>
            <w:vAlign w:val="bottom"/>
          </w:tcPr>
          <w:p w:rsidR="00E421FD" w:rsidRPr="00960E47" w:rsidRDefault="00E421FD" w:rsidP="00D959B8">
            <w:pPr>
              <w:pStyle w:val="SingleTxtG"/>
              <w:spacing w:before="40" w:after="40" w:line="220" w:lineRule="exact"/>
              <w:ind w:left="0" w:right="0"/>
              <w:jc w:val="right"/>
              <w:rPr>
                <w:sz w:val="18"/>
                <w:szCs w:val="18"/>
                <w:lang w:val="es-ES"/>
              </w:rPr>
            </w:pPr>
          </w:p>
        </w:tc>
        <w:tc>
          <w:tcPr>
            <w:tcW w:w="448" w:type="pct"/>
            <w:shd w:val="clear" w:color="auto" w:fill="auto"/>
            <w:vAlign w:val="bottom"/>
          </w:tcPr>
          <w:p w:rsidR="00E421FD" w:rsidRPr="00960E47" w:rsidRDefault="00E421FD" w:rsidP="00D959B8">
            <w:pPr>
              <w:pStyle w:val="SingleTxtG"/>
              <w:spacing w:before="40" w:after="40" w:line="220" w:lineRule="exact"/>
              <w:ind w:left="0" w:right="0"/>
              <w:jc w:val="right"/>
              <w:rPr>
                <w:sz w:val="18"/>
                <w:szCs w:val="18"/>
                <w:lang w:val="es-ES"/>
              </w:rPr>
            </w:pPr>
          </w:p>
        </w:tc>
        <w:tc>
          <w:tcPr>
            <w:tcW w:w="447" w:type="pct"/>
            <w:shd w:val="clear" w:color="auto" w:fill="auto"/>
            <w:vAlign w:val="bottom"/>
          </w:tcPr>
          <w:p w:rsidR="00E421FD" w:rsidRPr="00960E47" w:rsidRDefault="00E421FD" w:rsidP="00D959B8">
            <w:pPr>
              <w:pStyle w:val="SingleTxtG"/>
              <w:spacing w:before="40" w:after="40" w:line="220" w:lineRule="exact"/>
              <w:ind w:left="0" w:right="0"/>
              <w:jc w:val="right"/>
              <w:rPr>
                <w:sz w:val="18"/>
                <w:szCs w:val="18"/>
                <w:lang w:val="es-ES"/>
              </w:rPr>
            </w:pPr>
          </w:p>
        </w:tc>
        <w:tc>
          <w:tcPr>
            <w:tcW w:w="448" w:type="pct"/>
            <w:vAlign w:val="bottom"/>
          </w:tcPr>
          <w:p w:rsidR="00E421FD" w:rsidRPr="00960E47" w:rsidRDefault="00E421FD" w:rsidP="00D959B8">
            <w:pPr>
              <w:pStyle w:val="SingleTxtG"/>
              <w:spacing w:before="40" w:after="40" w:line="220" w:lineRule="exact"/>
              <w:ind w:left="0" w:right="0"/>
              <w:jc w:val="right"/>
              <w:rPr>
                <w:sz w:val="18"/>
                <w:szCs w:val="18"/>
                <w:lang w:val="es-ES"/>
              </w:rPr>
            </w:pPr>
          </w:p>
        </w:tc>
      </w:tr>
      <w:tr w:rsidR="00E421FD" w:rsidRPr="00960E47" w:rsidTr="00D959B8">
        <w:tc>
          <w:tcPr>
            <w:tcW w:w="3209" w:type="pct"/>
            <w:shd w:val="clear" w:color="auto" w:fill="auto"/>
            <w:vAlign w:val="bottom"/>
          </w:tcPr>
          <w:p w:rsidR="00E421FD" w:rsidRPr="00960E47" w:rsidRDefault="00E421FD" w:rsidP="00D959B8">
            <w:pPr>
              <w:pStyle w:val="SingleTxtG"/>
              <w:spacing w:before="40" w:after="40" w:line="220" w:lineRule="exact"/>
              <w:ind w:left="284" w:right="0" w:hanging="284"/>
              <w:jc w:val="left"/>
              <w:rPr>
                <w:sz w:val="18"/>
                <w:szCs w:val="18"/>
                <w:lang w:val="es-ES"/>
              </w:rPr>
            </w:pPr>
            <w:r w:rsidRPr="00960E47">
              <w:rPr>
                <w:sz w:val="18"/>
                <w:szCs w:val="18"/>
                <w:lang w:val="es-ES"/>
              </w:rPr>
              <w:t>i)</w:t>
            </w:r>
            <w:r w:rsidRPr="00960E47">
              <w:rPr>
                <w:sz w:val="18"/>
                <w:szCs w:val="18"/>
                <w:lang w:val="es-ES"/>
              </w:rPr>
              <w:tab/>
              <w:t xml:space="preserve">Tasa de mortalidad materna (por cada 100.000 nacidos vivos) </w:t>
            </w:r>
          </w:p>
        </w:tc>
        <w:tc>
          <w:tcPr>
            <w:tcW w:w="447" w:type="pct"/>
            <w:shd w:val="clear" w:color="auto" w:fill="auto"/>
            <w:vAlign w:val="bottom"/>
          </w:tcPr>
          <w:p w:rsidR="00E421FD" w:rsidRPr="00960E47" w:rsidRDefault="00E421FD" w:rsidP="00D959B8">
            <w:pPr>
              <w:pStyle w:val="SingleTxtG"/>
              <w:spacing w:before="40" w:after="40" w:line="220" w:lineRule="exact"/>
              <w:ind w:left="0" w:right="0"/>
              <w:jc w:val="right"/>
              <w:rPr>
                <w:sz w:val="18"/>
                <w:szCs w:val="18"/>
                <w:lang w:val="es-ES"/>
              </w:rPr>
            </w:pPr>
          </w:p>
        </w:tc>
        <w:tc>
          <w:tcPr>
            <w:tcW w:w="448" w:type="pct"/>
            <w:shd w:val="clear" w:color="auto" w:fill="auto"/>
            <w:vAlign w:val="bottom"/>
          </w:tcPr>
          <w:p w:rsidR="00E421FD" w:rsidRPr="00960E47" w:rsidRDefault="00E421FD" w:rsidP="00D959B8">
            <w:pPr>
              <w:pStyle w:val="SingleTxtG"/>
              <w:spacing w:before="40" w:after="40" w:line="220" w:lineRule="exact"/>
              <w:ind w:left="0" w:right="0"/>
              <w:jc w:val="right"/>
              <w:rPr>
                <w:sz w:val="18"/>
                <w:szCs w:val="18"/>
                <w:lang w:val="es-ES"/>
              </w:rPr>
            </w:pPr>
          </w:p>
        </w:tc>
        <w:tc>
          <w:tcPr>
            <w:tcW w:w="447" w:type="pct"/>
            <w:shd w:val="clear" w:color="auto" w:fill="auto"/>
            <w:vAlign w:val="bottom"/>
          </w:tcPr>
          <w:p w:rsidR="00E421FD" w:rsidRPr="00960E47" w:rsidRDefault="00E421FD" w:rsidP="00D959B8">
            <w:pPr>
              <w:pStyle w:val="SingleTxtG"/>
              <w:spacing w:before="40" w:after="40" w:line="220" w:lineRule="exact"/>
              <w:ind w:left="0" w:right="0"/>
              <w:jc w:val="right"/>
              <w:rPr>
                <w:sz w:val="18"/>
                <w:szCs w:val="18"/>
                <w:lang w:val="es-ES"/>
              </w:rPr>
            </w:pPr>
          </w:p>
        </w:tc>
        <w:tc>
          <w:tcPr>
            <w:tcW w:w="448" w:type="pct"/>
            <w:vAlign w:val="bottom"/>
          </w:tcPr>
          <w:p w:rsidR="00E421FD" w:rsidRPr="00960E47" w:rsidRDefault="00E421FD" w:rsidP="00D959B8">
            <w:pPr>
              <w:pStyle w:val="SingleTxtG"/>
              <w:spacing w:before="40" w:after="40" w:line="220" w:lineRule="exact"/>
              <w:ind w:left="0" w:right="0"/>
              <w:jc w:val="right"/>
              <w:rPr>
                <w:sz w:val="18"/>
                <w:szCs w:val="18"/>
                <w:lang w:val="es-ES"/>
              </w:rPr>
            </w:pPr>
          </w:p>
        </w:tc>
      </w:tr>
    </w:tbl>
    <w:p w:rsidR="00E421FD" w:rsidRPr="00960E47" w:rsidRDefault="009627D6" w:rsidP="00BD2CEB">
      <w:pPr>
        <w:pStyle w:val="H23G"/>
        <w:rPr>
          <w:lang w:val="es-ES"/>
        </w:rPr>
      </w:pPr>
      <w:r w:rsidRPr="00960E47">
        <w:rPr>
          <w:lang w:val="es-ES"/>
        </w:rPr>
        <w:tab/>
      </w:r>
      <w:r w:rsidRPr="00960E47">
        <w:rPr>
          <w:lang w:val="es-ES"/>
        </w:rPr>
        <w:tab/>
      </w:r>
      <w:r w:rsidR="00E421FD" w:rsidRPr="00960E47">
        <w:rPr>
          <w:lang w:val="es-ES"/>
        </w:rPr>
        <w:t xml:space="preserve">VIH y </w:t>
      </w:r>
      <w:r w:rsidRPr="00960E47">
        <w:rPr>
          <w:lang w:val="es-ES"/>
        </w:rPr>
        <w:t>sida</w:t>
      </w:r>
    </w:p>
    <w:p w:rsidR="00E421FD" w:rsidRPr="00960E47" w:rsidRDefault="009627D6" w:rsidP="00BD2CEB">
      <w:pPr>
        <w:pStyle w:val="SingleTxtG"/>
        <w:rPr>
          <w:lang w:val="es-ES"/>
        </w:rPr>
      </w:pPr>
      <w:r w:rsidRPr="00960E47">
        <w:rPr>
          <w:lang w:val="es-ES"/>
        </w:rPr>
        <w:t>66.</w:t>
      </w:r>
      <w:r w:rsidRPr="00960E47">
        <w:rPr>
          <w:lang w:val="es-ES"/>
        </w:rPr>
        <w:tab/>
      </w:r>
      <w:r w:rsidR="00E421FD" w:rsidRPr="00960E47">
        <w:rPr>
          <w:lang w:val="es-ES"/>
        </w:rPr>
        <w:t>En Lesotho hay 270.000 personas que viven con el VIH/SIDA</w:t>
      </w:r>
      <w:r w:rsidR="00E421FD" w:rsidRPr="00960E47">
        <w:rPr>
          <w:rStyle w:val="FootnoteReference"/>
          <w:lang w:val="es-ES"/>
        </w:rPr>
        <w:footnoteReference w:id="16"/>
      </w:r>
      <w:r w:rsidR="00E421FD" w:rsidRPr="00960E47">
        <w:rPr>
          <w:lang w:val="es-ES"/>
        </w:rPr>
        <w:t>.</w:t>
      </w:r>
    </w:p>
    <w:p w:rsidR="00E421FD" w:rsidRPr="00960E47" w:rsidRDefault="009627D6" w:rsidP="00BD2CEB">
      <w:pPr>
        <w:pStyle w:val="SingleTxtG"/>
        <w:rPr>
          <w:lang w:val="es-ES"/>
        </w:rPr>
      </w:pPr>
      <w:r w:rsidRPr="00960E47">
        <w:rPr>
          <w:lang w:val="es-ES"/>
        </w:rPr>
        <w:t>67.</w:t>
      </w:r>
      <w:r w:rsidRPr="00960E47">
        <w:rPr>
          <w:lang w:val="es-ES"/>
        </w:rPr>
        <w:tab/>
      </w:r>
      <w:r w:rsidR="00E421FD" w:rsidRPr="00960E47">
        <w:rPr>
          <w:lang w:val="es-ES"/>
        </w:rPr>
        <w:t>Según las estimaciones, hay unos 108.700 huérfanos y niños vulnerables en el país como consecuencia del VIH/SIDA. En la mayoría de los casos, esos niños tienen que valerse por sí mismos porque no tienen familiares o, si los tienen, no quieren responsabilizarse de ellos. La tasa de prevalencia del VIH/SIDA en Maseru es del 35,8%, muy superior a la tasa nacional de 23,2%. De esa cifra total, el 26,4% son mujeres y el 19,3% varones. En Lesotho, el Gobierno ha realizado varios esfuerzos para crear un entorno favorable a la lucha contra el VIH/SIDA. La Ley núm. 5 del Código del Trabajo (Enmienda), de 2006 se aprobó con el fin de acabar con la discriminación en el lugar de trabajo de las personas con VIH. El Código del Trabajo (Código de Buenas Prácticas) de 2003 dispone que nadie puede ser despedido únicamente por su condición de seropositivo.</w:t>
      </w:r>
    </w:p>
    <w:p w:rsidR="00E421FD" w:rsidRPr="00960E47" w:rsidRDefault="009627D6" w:rsidP="00BD2CEB">
      <w:pPr>
        <w:pStyle w:val="SingleTxtG"/>
        <w:rPr>
          <w:lang w:val="es-ES"/>
        </w:rPr>
      </w:pPr>
      <w:r w:rsidRPr="00960E47">
        <w:rPr>
          <w:lang w:val="es-ES"/>
        </w:rPr>
        <w:t>68.</w:t>
      </w:r>
      <w:r w:rsidRPr="00960E47">
        <w:rPr>
          <w:lang w:val="es-ES"/>
        </w:rPr>
        <w:tab/>
      </w:r>
      <w:r w:rsidR="00E421FD" w:rsidRPr="00960E47">
        <w:rPr>
          <w:lang w:val="es-ES"/>
        </w:rPr>
        <w:t xml:space="preserve">El Gobierno de Lesotho ha establecido el Organismo de Coordinación del Programa de Lucha contra el </w:t>
      </w:r>
      <w:r w:rsidR="009E572D" w:rsidRPr="00960E47">
        <w:rPr>
          <w:lang w:val="es-ES"/>
        </w:rPr>
        <w:t>Sida</w:t>
      </w:r>
      <w:r w:rsidR="00E421FD" w:rsidRPr="00960E47">
        <w:rPr>
          <w:lang w:val="es-ES"/>
        </w:rPr>
        <w:t xml:space="preserve">, que ejerce las funciones de Secretaría del Comité Nacional de Lucha contra el </w:t>
      </w:r>
      <w:r w:rsidR="009E572D" w:rsidRPr="00960E47">
        <w:rPr>
          <w:lang w:val="es-ES"/>
        </w:rPr>
        <w:t>Sida</w:t>
      </w:r>
      <w:r w:rsidR="00E421FD" w:rsidRPr="00960E47">
        <w:rPr>
          <w:lang w:val="es-ES"/>
        </w:rPr>
        <w:t xml:space="preserve">, integrado por algunos ministros del Gobierno. Se ha establecido un marco normativo para prevenir, frenar y controlar la crisis del VIH/SIDA en el país. En él se incluyen el Plan Nacional Estratégico de Lucha contra el </w:t>
      </w:r>
      <w:r w:rsidR="009E572D" w:rsidRPr="00960E47">
        <w:rPr>
          <w:lang w:val="es-ES"/>
        </w:rPr>
        <w:t>Sida</w:t>
      </w:r>
      <w:r w:rsidR="00E421FD" w:rsidRPr="00960E47">
        <w:rPr>
          <w:lang w:val="es-ES"/>
        </w:rPr>
        <w:t xml:space="preserve"> y el Marco Normativo de Lucha contra el VIH/SIDA, que es una estructura organizativa multisectorial.</w:t>
      </w:r>
    </w:p>
    <w:p w:rsidR="00E421FD" w:rsidRPr="00960E47" w:rsidRDefault="009627D6" w:rsidP="00BD2CEB">
      <w:pPr>
        <w:pStyle w:val="SingleTxtG"/>
        <w:rPr>
          <w:lang w:val="es-ES"/>
        </w:rPr>
      </w:pPr>
      <w:r w:rsidRPr="00960E47">
        <w:rPr>
          <w:lang w:val="es-ES"/>
        </w:rPr>
        <w:t>69.</w:t>
      </w:r>
      <w:r w:rsidRPr="00960E47">
        <w:rPr>
          <w:lang w:val="es-ES"/>
        </w:rPr>
        <w:tab/>
      </w:r>
      <w:r w:rsidR="00E421FD" w:rsidRPr="00960E47">
        <w:rPr>
          <w:lang w:val="es-ES"/>
        </w:rPr>
        <w:t xml:space="preserve">El Plan Nacional Estratégico de Lucha contra el </w:t>
      </w:r>
      <w:r w:rsidR="009E572D" w:rsidRPr="00960E47">
        <w:rPr>
          <w:lang w:val="es-ES"/>
        </w:rPr>
        <w:t>Sida</w:t>
      </w:r>
      <w:r w:rsidR="00E421FD" w:rsidRPr="00960E47">
        <w:rPr>
          <w:lang w:val="es-ES"/>
        </w:rPr>
        <w:t xml:space="preserve"> para 2002/03-2004/05 se ha formulado teniendo en cuenta las orientaciones del Marco Estratégico y Programa de Acción en materia de VIH/SIDA de la Comunidad del África Meridional para el Desarrollo (SADC) para 2000-2004, que establece el marco para los planes nacionales, ofrece orientación y facilita la cooperación en el plano regional. En él se contempla una sociedad libre del </w:t>
      </w:r>
      <w:r w:rsidR="009E572D" w:rsidRPr="00960E47">
        <w:rPr>
          <w:lang w:val="es-ES"/>
        </w:rPr>
        <w:t>sida</w:t>
      </w:r>
      <w:r w:rsidR="00E421FD" w:rsidRPr="00960E47">
        <w:rPr>
          <w:lang w:val="es-ES"/>
        </w:rPr>
        <w:t>, con altos niveles de concienciación, cambio de comportamiento, suministro seguro de sangre, prácticas sexuales sin peligro y acceso equitativo a servicios de calidad y apoyo para las personas infectadas y para todos los afectados. Los objetivos estratégicos de la política son los siguientes: reducción del 5% de la seroprevalencia, aumento de un 30% de la tasa de actividad sexual aplazada en las personas de 10 a 15 años de edad, aumento de un 50% anual del uso de preservativos, ofrecimiento de orientación a todas las personas que viven con el VIH/SID</w:t>
      </w:r>
      <w:r w:rsidR="009E572D" w:rsidRPr="00960E47">
        <w:rPr>
          <w:lang w:val="es-ES"/>
        </w:rPr>
        <w:t>A</w:t>
      </w:r>
      <w:r w:rsidR="00E421FD" w:rsidRPr="00960E47">
        <w:rPr>
          <w:lang w:val="es-ES"/>
        </w:rPr>
        <w:t xml:space="preserve"> y reducción desde el 10% hasta el 5% anual de la propagación del VIH/SIDA en las personas de 15 a 49 años de edad.</w:t>
      </w:r>
    </w:p>
    <w:p w:rsidR="00E421FD" w:rsidRPr="00960E47" w:rsidRDefault="009627D6" w:rsidP="00BD2CEB">
      <w:pPr>
        <w:pStyle w:val="SingleTxtG"/>
        <w:rPr>
          <w:lang w:val="es-ES"/>
        </w:rPr>
      </w:pPr>
      <w:r w:rsidRPr="00960E47">
        <w:rPr>
          <w:lang w:val="es-ES"/>
        </w:rPr>
        <w:t>70.</w:t>
      </w:r>
      <w:r w:rsidRPr="00960E47">
        <w:rPr>
          <w:lang w:val="es-ES"/>
        </w:rPr>
        <w:tab/>
      </w:r>
      <w:r w:rsidR="00E421FD" w:rsidRPr="00960E47">
        <w:rPr>
          <w:lang w:val="es-ES"/>
        </w:rPr>
        <w:t>La pandemia del VIH/SIDA es uno de los factores que contribuyen al aumento del número de huérfanos, que pasó de 99.082 en 2004 a 122.769 en 2006. En el ámbito educativo el número de alumnos huérfanos ascendía a 128.257, de un total de 424.855 alumnos (el 30,1%). Aproximadamente la mitad (56,6%) de esos huérfanos habían perdido a su padre, mientras que el 18,9% habían perdido a la madre. Los que habían perdido a ambos progenitores representaban aproximadamente una quinta parte (22,5%) de los huérfanos.</w:t>
      </w:r>
    </w:p>
    <w:p w:rsidR="00E421FD" w:rsidRPr="00960E47" w:rsidRDefault="009627D6" w:rsidP="00BD2CEB">
      <w:pPr>
        <w:pStyle w:val="SingleTxtG"/>
        <w:rPr>
          <w:lang w:val="es-ES"/>
        </w:rPr>
      </w:pPr>
      <w:r w:rsidRPr="00960E47">
        <w:rPr>
          <w:lang w:val="es-ES"/>
        </w:rPr>
        <w:t>71.</w:t>
      </w:r>
      <w:r w:rsidRPr="00960E47">
        <w:rPr>
          <w:lang w:val="es-ES"/>
        </w:rPr>
        <w:tab/>
      </w:r>
      <w:r w:rsidR="00E421FD" w:rsidRPr="00960E47">
        <w:rPr>
          <w:lang w:val="es-ES"/>
        </w:rPr>
        <w:t>Esta política cuenta con el apoyo del Plan de Acción Estratégico a través de intervenciones para la movilización adecuada de recursos, programas de movilización social y comunicación, promoción de la nutrición y la seguridad alimentaria entre las personas infectadas y afectadas, incluidas muchas otras medidas fundamentales relacionadas con la prevención, el programa de estudios en las escuelas y la participación de los jóvenes.</w:t>
      </w:r>
    </w:p>
    <w:p w:rsidR="00E421FD" w:rsidRPr="00960E47" w:rsidRDefault="009627D6" w:rsidP="00BD2CEB">
      <w:pPr>
        <w:pStyle w:val="SingleTxtG"/>
        <w:rPr>
          <w:lang w:val="es-ES"/>
        </w:rPr>
      </w:pPr>
      <w:r w:rsidRPr="00960E47">
        <w:rPr>
          <w:lang w:val="es-ES"/>
        </w:rPr>
        <w:t>72.</w:t>
      </w:r>
      <w:r w:rsidRPr="00960E47">
        <w:rPr>
          <w:lang w:val="es-ES"/>
        </w:rPr>
        <w:tab/>
      </w:r>
      <w:r w:rsidR="00E421FD" w:rsidRPr="00960E47">
        <w:rPr>
          <w:lang w:val="es-ES"/>
        </w:rPr>
        <w:t>En el informe de 2010 sobre los Objetivos de Desarrollo del Milenio se observa que el sector de la salud cuenta con programas orientados a garantizar la supervivencia y desarrollo de los niños a través de los servicios de salud básica.</w:t>
      </w:r>
    </w:p>
    <w:p w:rsidR="00E421FD" w:rsidRPr="00960E47" w:rsidRDefault="009627D6" w:rsidP="00BD2CEB">
      <w:pPr>
        <w:pStyle w:val="SingleTxtG"/>
        <w:rPr>
          <w:lang w:val="es-ES"/>
        </w:rPr>
      </w:pPr>
      <w:r w:rsidRPr="00960E47">
        <w:rPr>
          <w:lang w:val="es-ES"/>
        </w:rPr>
        <w:t>73.</w:t>
      </w:r>
      <w:r w:rsidRPr="00960E47">
        <w:rPr>
          <w:lang w:val="es-ES"/>
        </w:rPr>
        <w:tab/>
      </w:r>
      <w:r w:rsidR="00E421FD" w:rsidRPr="00960E47">
        <w:rPr>
          <w:lang w:val="es-ES"/>
        </w:rPr>
        <w:t>La Ley de Delitos Sexuales de 2003 contiene varias disposiciones relacionadas con el VIH/SIDA, entre las que se incluye la obligatoriedad de los acusados de someterse a una prueba del VIH antes de transcurrida una semana de la acusación. Se han formulado también cuatro políticas adicionales, que ahora se están poniendo en práctica. Entre ellas se incluye la Política Nacional sobre Huérfanos y Niños Vulnerables, que protege a los huérfanos del VIH/SIDA, que se encuentran en situación vulnerable. A ese respecto, la Unión Europea ha contribuido al apoyo del sistema de transferencias monetarias en beneficio de los huérfanos. El plan es administrado por el Departamento de Bienestar Social, adscrito al Ministerio de Salud y Bienestar Social.</w:t>
      </w:r>
    </w:p>
    <w:p w:rsidR="00E421FD" w:rsidRPr="00960E47" w:rsidRDefault="009627D6" w:rsidP="00BD2CEB">
      <w:pPr>
        <w:pStyle w:val="SingleTxtG"/>
        <w:rPr>
          <w:lang w:val="es-ES"/>
        </w:rPr>
      </w:pPr>
      <w:r w:rsidRPr="00960E47">
        <w:rPr>
          <w:lang w:val="es-ES"/>
        </w:rPr>
        <w:t>74.</w:t>
      </w:r>
      <w:r w:rsidRPr="00960E47">
        <w:rPr>
          <w:lang w:val="es-ES"/>
        </w:rPr>
        <w:tab/>
      </w:r>
      <w:r w:rsidR="00E421FD" w:rsidRPr="00960E47">
        <w:rPr>
          <w:lang w:val="es-ES"/>
        </w:rPr>
        <w:t>La Política del Sector de la Educación sobre el VI</w:t>
      </w:r>
      <w:r w:rsidR="00315DBC" w:rsidRPr="00960E47">
        <w:rPr>
          <w:lang w:val="es-ES"/>
        </w:rPr>
        <w:t>H/SIDA se elaboró en 2007, y la </w:t>
      </w:r>
      <w:r w:rsidR="00E421FD" w:rsidRPr="00960E47">
        <w:rPr>
          <w:lang w:val="es-ES"/>
        </w:rPr>
        <w:t>Política Nacional de Pruebas y Orientación sobre e</w:t>
      </w:r>
      <w:r w:rsidR="00315DBC" w:rsidRPr="00960E47">
        <w:rPr>
          <w:lang w:val="es-ES"/>
        </w:rPr>
        <w:t>l VIH/SIDA en abril de 2006. La </w:t>
      </w:r>
      <w:r w:rsidR="00E421FD" w:rsidRPr="00960E47">
        <w:rPr>
          <w:lang w:val="es-ES"/>
        </w:rPr>
        <w:t xml:space="preserve">Campaña </w:t>
      </w:r>
      <w:r w:rsidR="0045213B" w:rsidRPr="00960E47">
        <w:rPr>
          <w:lang w:val="es-ES"/>
        </w:rPr>
        <w:t>"</w:t>
      </w:r>
      <w:r w:rsidR="00E421FD" w:rsidRPr="00960E47">
        <w:rPr>
          <w:lang w:val="es-ES"/>
        </w:rPr>
        <w:t>Conoce tu Situación</w:t>
      </w:r>
      <w:r w:rsidR="0045213B" w:rsidRPr="00960E47">
        <w:rPr>
          <w:lang w:val="es-ES"/>
        </w:rPr>
        <w:t>"</w:t>
      </w:r>
      <w:r w:rsidR="00E421FD" w:rsidRPr="00960E47">
        <w:rPr>
          <w:lang w:val="es-ES"/>
        </w:rPr>
        <w:t xml:space="preserve"> de 2002, puesta e</w:t>
      </w:r>
      <w:r w:rsidR="00315DBC" w:rsidRPr="00960E47">
        <w:rPr>
          <w:lang w:val="es-ES"/>
        </w:rPr>
        <w:t>n marcha por Su Majestad el Rey </w:t>
      </w:r>
      <w:r w:rsidR="00E421FD" w:rsidRPr="00960E47">
        <w:rPr>
          <w:lang w:val="es-ES"/>
        </w:rPr>
        <w:t>Letsie III y el Muy Honorable Primer Ministro con asistencia técnica del Programa de las Naciones Unidas para el Desarrollo, ha promovido las pruebas voluntarias y el asesoramiento sobre el VIH/SIDA.</w:t>
      </w:r>
    </w:p>
    <w:p w:rsidR="00E421FD" w:rsidRPr="00960E47" w:rsidRDefault="009627D6" w:rsidP="00BD2CEB">
      <w:pPr>
        <w:pStyle w:val="H1G"/>
        <w:rPr>
          <w:lang w:val="es-ES"/>
        </w:rPr>
      </w:pPr>
      <w:r w:rsidRPr="00960E47">
        <w:rPr>
          <w:lang w:val="es-ES"/>
        </w:rPr>
        <w:tab/>
        <w:t>J.</w:t>
      </w:r>
      <w:r w:rsidRPr="00960E47">
        <w:rPr>
          <w:lang w:val="es-ES"/>
        </w:rPr>
        <w:tab/>
      </w:r>
      <w:r w:rsidR="00E421FD" w:rsidRPr="00960E47">
        <w:rPr>
          <w:lang w:val="es-ES"/>
        </w:rPr>
        <w:t>Inflación</w:t>
      </w:r>
    </w:p>
    <w:p w:rsidR="00E421FD" w:rsidRPr="00960E47" w:rsidRDefault="009627D6" w:rsidP="00BD2CEB">
      <w:pPr>
        <w:pStyle w:val="SingleTxtG"/>
        <w:rPr>
          <w:lang w:val="es-ES"/>
        </w:rPr>
      </w:pPr>
      <w:r w:rsidRPr="00960E47">
        <w:rPr>
          <w:lang w:val="es-ES"/>
        </w:rPr>
        <w:t>75.</w:t>
      </w:r>
      <w:r w:rsidRPr="00960E47">
        <w:rPr>
          <w:lang w:val="es-ES"/>
        </w:rPr>
        <w:tab/>
      </w:r>
      <w:r w:rsidR="00E421FD" w:rsidRPr="00960E47">
        <w:rPr>
          <w:lang w:val="es-ES"/>
        </w:rPr>
        <w:t xml:space="preserve">A finales de 2008 la inflación era de aproximadamente el 10%, al parecer como consecuencia de los elevados precios de los alimentos y los combustibles. A finales de 2009, era de aproximadamente el 4,2%, debido a una desaceleración de la inflación de esas dos partidas. La inflación de los precios mundiales de los alimentos se moderó después de la crisis económica, pero en Lesotho continuó siendo elevada. (Ello se debe en parte a que la economía de Lesotho está íntimamente vinculada con la de Sudáfrica, que sin duda es la más fuerte del continente.) </w:t>
      </w:r>
    </w:p>
    <w:p w:rsidR="00E421FD" w:rsidRPr="00960E47" w:rsidRDefault="005F3EEF" w:rsidP="00BD2CEB">
      <w:pPr>
        <w:pStyle w:val="H23G"/>
        <w:rPr>
          <w:lang w:val="es-ES"/>
        </w:rPr>
      </w:pPr>
      <w:r w:rsidRPr="00960E47">
        <w:rPr>
          <w:lang w:val="es-ES"/>
        </w:rPr>
        <w:tab/>
      </w:r>
      <w:r w:rsidRPr="00960E47">
        <w:rPr>
          <w:lang w:val="es-ES"/>
        </w:rPr>
        <w:tab/>
        <w:t>Tasa de inflación de Lesotho</w:t>
      </w:r>
    </w:p>
    <w:tbl>
      <w:tblPr>
        <w:tblW w:w="7372" w:type="dxa"/>
        <w:tblInd w:w="1134" w:type="dxa"/>
        <w:tblBorders>
          <w:top w:val="single" w:sz="4" w:space="0" w:color="auto"/>
          <w:bottom w:val="single" w:sz="12" w:space="0" w:color="auto"/>
        </w:tblBorders>
        <w:tblLayout w:type="fixed"/>
        <w:tblCellMar>
          <w:left w:w="0" w:type="dxa"/>
          <w:right w:w="0" w:type="dxa"/>
        </w:tblCellMar>
        <w:tblLook w:val="04A0"/>
      </w:tblPr>
      <w:tblGrid>
        <w:gridCol w:w="616"/>
        <w:gridCol w:w="1586"/>
        <w:gridCol w:w="1586"/>
        <w:gridCol w:w="1587"/>
        <w:gridCol w:w="1997"/>
      </w:tblGrid>
      <w:tr w:rsidR="00E421FD" w:rsidRPr="00960E47" w:rsidTr="00541C32">
        <w:trPr>
          <w:tblHeader/>
        </w:trPr>
        <w:tc>
          <w:tcPr>
            <w:tcW w:w="616" w:type="dxa"/>
            <w:tcBorders>
              <w:top w:val="single" w:sz="4" w:space="0" w:color="auto"/>
              <w:bottom w:val="single" w:sz="12" w:space="0" w:color="auto"/>
            </w:tcBorders>
            <w:shd w:val="clear" w:color="auto" w:fill="auto"/>
            <w:vAlign w:val="bottom"/>
          </w:tcPr>
          <w:p w:rsidR="00E421FD" w:rsidRPr="00960E47" w:rsidRDefault="00E421FD" w:rsidP="00BD2CEB">
            <w:pPr>
              <w:pStyle w:val="SingleTxtG"/>
              <w:spacing w:before="80" w:after="80" w:line="200" w:lineRule="exact"/>
              <w:ind w:left="0" w:right="0"/>
              <w:jc w:val="left"/>
              <w:rPr>
                <w:i/>
                <w:sz w:val="16"/>
                <w:lang w:val="es-ES"/>
              </w:rPr>
            </w:pPr>
            <w:r w:rsidRPr="00960E47">
              <w:rPr>
                <w:i/>
                <w:sz w:val="16"/>
                <w:lang w:val="es-ES"/>
              </w:rPr>
              <w:t>Año</w:t>
            </w:r>
          </w:p>
        </w:tc>
        <w:tc>
          <w:tcPr>
            <w:tcW w:w="1586" w:type="dxa"/>
            <w:tcBorders>
              <w:top w:val="single" w:sz="4" w:space="0" w:color="auto"/>
              <w:bottom w:val="single" w:sz="12" w:space="0" w:color="auto"/>
            </w:tcBorders>
            <w:shd w:val="clear" w:color="auto" w:fill="auto"/>
            <w:vAlign w:val="bottom"/>
          </w:tcPr>
          <w:p w:rsidR="00E421FD" w:rsidRPr="00960E47" w:rsidRDefault="00E421FD" w:rsidP="00BD2CEB">
            <w:pPr>
              <w:pStyle w:val="SingleTxtG"/>
              <w:spacing w:before="80" w:after="80" w:line="200" w:lineRule="exact"/>
              <w:ind w:left="0" w:right="0"/>
              <w:jc w:val="right"/>
              <w:rPr>
                <w:i/>
                <w:sz w:val="16"/>
                <w:lang w:val="es-ES"/>
              </w:rPr>
            </w:pPr>
            <w:r w:rsidRPr="00960E47">
              <w:rPr>
                <w:i/>
                <w:sz w:val="16"/>
                <w:lang w:val="es-ES"/>
              </w:rPr>
              <w:t>Porcentaje</w:t>
            </w:r>
          </w:p>
        </w:tc>
        <w:tc>
          <w:tcPr>
            <w:tcW w:w="1586" w:type="dxa"/>
            <w:tcBorders>
              <w:top w:val="single" w:sz="4" w:space="0" w:color="auto"/>
              <w:bottom w:val="single" w:sz="12" w:space="0" w:color="auto"/>
            </w:tcBorders>
            <w:shd w:val="clear" w:color="auto" w:fill="auto"/>
            <w:vAlign w:val="bottom"/>
          </w:tcPr>
          <w:p w:rsidR="00E421FD" w:rsidRPr="00960E47" w:rsidRDefault="00E421FD" w:rsidP="00BD2CEB">
            <w:pPr>
              <w:pStyle w:val="SingleTxtG"/>
              <w:spacing w:before="80" w:after="80" w:line="200" w:lineRule="exact"/>
              <w:ind w:left="0" w:right="0"/>
              <w:jc w:val="right"/>
              <w:rPr>
                <w:i/>
                <w:sz w:val="16"/>
                <w:lang w:val="es-ES"/>
              </w:rPr>
            </w:pPr>
            <w:r w:rsidRPr="00960E47">
              <w:rPr>
                <w:i/>
                <w:sz w:val="16"/>
                <w:lang w:val="es-ES"/>
              </w:rPr>
              <w:t>Orden</w:t>
            </w:r>
          </w:p>
        </w:tc>
        <w:tc>
          <w:tcPr>
            <w:tcW w:w="1587" w:type="dxa"/>
            <w:tcBorders>
              <w:top w:val="single" w:sz="4" w:space="0" w:color="auto"/>
              <w:bottom w:val="single" w:sz="12" w:space="0" w:color="auto"/>
            </w:tcBorders>
            <w:shd w:val="clear" w:color="auto" w:fill="auto"/>
            <w:vAlign w:val="bottom"/>
          </w:tcPr>
          <w:p w:rsidR="00E421FD" w:rsidRPr="00960E47" w:rsidRDefault="00E421FD" w:rsidP="00BD2CEB">
            <w:pPr>
              <w:pStyle w:val="SingleTxtG"/>
              <w:spacing w:before="80" w:after="80" w:line="200" w:lineRule="exact"/>
              <w:ind w:left="0" w:right="0"/>
              <w:jc w:val="right"/>
              <w:rPr>
                <w:i/>
                <w:sz w:val="16"/>
                <w:lang w:val="es-ES"/>
              </w:rPr>
            </w:pPr>
            <w:r w:rsidRPr="00960E47">
              <w:rPr>
                <w:i/>
                <w:sz w:val="16"/>
                <w:lang w:val="es-ES"/>
              </w:rPr>
              <w:t>Porcentaje</w:t>
            </w:r>
          </w:p>
        </w:tc>
        <w:tc>
          <w:tcPr>
            <w:tcW w:w="1997" w:type="dxa"/>
            <w:tcBorders>
              <w:top w:val="single" w:sz="4" w:space="0" w:color="auto"/>
              <w:bottom w:val="single" w:sz="12" w:space="0" w:color="auto"/>
            </w:tcBorders>
            <w:shd w:val="clear" w:color="auto" w:fill="auto"/>
            <w:vAlign w:val="bottom"/>
          </w:tcPr>
          <w:p w:rsidR="00E421FD" w:rsidRPr="00960E47" w:rsidRDefault="00E421FD" w:rsidP="00BD2CEB">
            <w:pPr>
              <w:pStyle w:val="SingleTxtG"/>
              <w:spacing w:before="80" w:after="80" w:line="200" w:lineRule="exact"/>
              <w:ind w:left="0" w:right="0"/>
              <w:jc w:val="right"/>
              <w:rPr>
                <w:i/>
                <w:sz w:val="16"/>
                <w:lang w:val="es-ES"/>
              </w:rPr>
            </w:pPr>
            <w:r w:rsidRPr="00960E47">
              <w:rPr>
                <w:i/>
                <w:sz w:val="16"/>
                <w:lang w:val="es-ES"/>
              </w:rPr>
              <w:t>Fecha de información</w:t>
            </w:r>
          </w:p>
        </w:tc>
      </w:tr>
      <w:tr w:rsidR="00E421FD" w:rsidRPr="00960E47" w:rsidTr="00284FBE">
        <w:tc>
          <w:tcPr>
            <w:tcW w:w="616" w:type="dxa"/>
            <w:tcBorders>
              <w:top w:val="single" w:sz="12" w:space="0" w:color="auto"/>
              <w:bottom w:val="nil"/>
            </w:tcBorders>
            <w:shd w:val="clear" w:color="auto" w:fill="auto"/>
            <w:vAlign w:val="bottom"/>
          </w:tcPr>
          <w:p w:rsidR="00E421FD" w:rsidRPr="00960E47" w:rsidRDefault="00E421FD" w:rsidP="00BD2CEB">
            <w:pPr>
              <w:pStyle w:val="SingleTxtG"/>
              <w:spacing w:before="40" w:after="40" w:line="220" w:lineRule="exact"/>
              <w:ind w:left="0" w:right="0"/>
              <w:jc w:val="left"/>
              <w:rPr>
                <w:sz w:val="18"/>
                <w:lang w:val="es-ES"/>
              </w:rPr>
            </w:pPr>
            <w:r w:rsidRPr="00960E47">
              <w:rPr>
                <w:sz w:val="18"/>
                <w:lang w:val="es-ES"/>
              </w:rPr>
              <w:t>2005</w:t>
            </w:r>
          </w:p>
        </w:tc>
        <w:tc>
          <w:tcPr>
            <w:tcW w:w="1586" w:type="dxa"/>
            <w:tcBorders>
              <w:top w:val="single" w:sz="12" w:space="0" w:color="auto"/>
              <w:bottom w:val="nil"/>
            </w:tcBorders>
            <w:shd w:val="clear" w:color="auto" w:fill="auto"/>
            <w:vAlign w:val="bottom"/>
          </w:tcPr>
          <w:p w:rsidR="00E421FD" w:rsidRPr="00960E47" w:rsidRDefault="00E421FD" w:rsidP="00BD2CEB">
            <w:pPr>
              <w:pStyle w:val="SingleTxtG"/>
              <w:spacing w:before="40" w:after="40" w:line="220" w:lineRule="exact"/>
              <w:ind w:left="0" w:right="0"/>
              <w:jc w:val="right"/>
              <w:rPr>
                <w:sz w:val="18"/>
                <w:lang w:val="es-ES"/>
              </w:rPr>
            </w:pPr>
            <w:r w:rsidRPr="00960E47">
              <w:rPr>
                <w:sz w:val="18"/>
                <w:lang w:val="es-ES"/>
              </w:rPr>
              <w:t>-</w:t>
            </w:r>
          </w:p>
        </w:tc>
        <w:tc>
          <w:tcPr>
            <w:tcW w:w="1586" w:type="dxa"/>
            <w:tcBorders>
              <w:top w:val="single" w:sz="12" w:space="0" w:color="auto"/>
              <w:bottom w:val="nil"/>
            </w:tcBorders>
            <w:shd w:val="clear" w:color="auto" w:fill="auto"/>
            <w:vAlign w:val="bottom"/>
          </w:tcPr>
          <w:p w:rsidR="00E421FD" w:rsidRPr="00960E47" w:rsidRDefault="00E421FD" w:rsidP="00BD2CEB">
            <w:pPr>
              <w:pStyle w:val="SingleTxtG"/>
              <w:spacing w:before="40" w:after="40" w:line="220" w:lineRule="exact"/>
              <w:ind w:left="0" w:right="0"/>
              <w:jc w:val="right"/>
              <w:rPr>
                <w:sz w:val="18"/>
                <w:lang w:val="es-ES"/>
              </w:rPr>
            </w:pPr>
            <w:r w:rsidRPr="00960E47">
              <w:rPr>
                <w:sz w:val="18"/>
                <w:lang w:val="es-ES"/>
              </w:rPr>
              <w:t>151</w:t>
            </w:r>
          </w:p>
        </w:tc>
        <w:tc>
          <w:tcPr>
            <w:tcW w:w="1587" w:type="dxa"/>
            <w:tcBorders>
              <w:top w:val="single" w:sz="12" w:space="0" w:color="auto"/>
              <w:bottom w:val="nil"/>
            </w:tcBorders>
            <w:shd w:val="clear" w:color="auto" w:fill="auto"/>
            <w:vAlign w:val="bottom"/>
          </w:tcPr>
          <w:p w:rsidR="00E421FD" w:rsidRPr="00960E47" w:rsidRDefault="00E421FD" w:rsidP="006B7BDF">
            <w:pPr>
              <w:pStyle w:val="SingleTxtG"/>
              <w:spacing w:before="40" w:after="40" w:line="220" w:lineRule="exact"/>
              <w:ind w:left="0" w:right="0"/>
              <w:jc w:val="right"/>
              <w:rPr>
                <w:sz w:val="18"/>
                <w:lang w:val="es-ES"/>
              </w:rPr>
            </w:pPr>
            <w:r w:rsidRPr="00960E47">
              <w:rPr>
                <w:sz w:val="18"/>
                <w:lang w:val="es-ES"/>
              </w:rPr>
              <w:t>-13,11</w:t>
            </w:r>
          </w:p>
        </w:tc>
        <w:tc>
          <w:tcPr>
            <w:tcW w:w="1997" w:type="dxa"/>
            <w:tcBorders>
              <w:top w:val="single" w:sz="12" w:space="0" w:color="auto"/>
              <w:bottom w:val="nil"/>
            </w:tcBorders>
            <w:shd w:val="clear" w:color="auto" w:fill="auto"/>
            <w:vAlign w:val="bottom"/>
          </w:tcPr>
          <w:p w:rsidR="00E421FD" w:rsidRPr="00960E47" w:rsidRDefault="00E421FD" w:rsidP="00BD2CEB">
            <w:pPr>
              <w:pStyle w:val="SingleTxtG"/>
              <w:spacing w:before="40" w:after="40" w:line="220" w:lineRule="exact"/>
              <w:ind w:left="0" w:right="0"/>
              <w:jc w:val="right"/>
              <w:rPr>
                <w:sz w:val="18"/>
                <w:lang w:val="es-ES"/>
              </w:rPr>
            </w:pPr>
            <w:r w:rsidRPr="00960E47">
              <w:rPr>
                <w:sz w:val="18"/>
                <w:lang w:val="es-ES"/>
              </w:rPr>
              <w:t>2004, estimación</w:t>
            </w:r>
          </w:p>
        </w:tc>
      </w:tr>
      <w:tr w:rsidR="00E421FD" w:rsidRPr="00960E47" w:rsidTr="00284FBE">
        <w:tc>
          <w:tcPr>
            <w:tcW w:w="616" w:type="dxa"/>
            <w:tcBorders>
              <w:top w:val="nil"/>
              <w:bottom w:val="nil"/>
            </w:tcBorders>
            <w:shd w:val="clear" w:color="auto" w:fill="auto"/>
            <w:vAlign w:val="bottom"/>
          </w:tcPr>
          <w:p w:rsidR="00E421FD" w:rsidRPr="00960E47" w:rsidRDefault="00E421FD" w:rsidP="00BD2CEB">
            <w:pPr>
              <w:pStyle w:val="SingleTxtG"/>
              <w:spacing w:before="40" w:after="40" w:line="220" w:lineRule="exact"/>
              <w:ind w:left="0" w:right="0"/>
              <w:jc w:val="left"/>
              <w:rPr>
                <w:sz w:val="18"/>
                <w:lang w:val="es-ES"/>
              </w:rPr>
            </w:pPr>
            <w:r w:rsidRPr="00960E47">
              <w:rPr>
                <w:sz w:val="18"/>
                <w:lang w:val="es-ES"/>
              </w:rPr>
              <w:t>2006</w:t>
            </w:r>
          </w:p>
        </w:tc>
        <w:tc>
          <w:tcPr>
            <w:tcW w:w="1586" w:type="dxa"/>
            <w:tcBorders>
              <w:top w:val="nil"/>
              <w:bottom w:val="nil"/>
            </w:tcBorders>
            <w:shd w:val="clear" w:color="auto" w:fill="auto"/>
            <w:vAlign w:val="bottom"/>
          </w:tcPr>
          <w:p w:rsidR="00E421FD" w:rsidRPr="00960E47" w:rsidRDefault="00E421FD" w:rsidP="006B7BDF">
            <w:pPr>
              <w:pStyle w:val="SingleTxtG"/>
              <w:spacing w:before="40" w:after="40" w:line="220" w:lineRule="exact"/>
              <w:ind w:left="0" w:right="0"/>
              <w:jc w:val="right"/>
              <w:rPr>
                <w:sz w:val="18"/>
                <w:lang w:val="es-ES"/>
              </w:rPr>
            </w:pPr>
            <w:r w:rsidRPr="00960E47">
              <w:rPr>
                <w:sz w:val="18"/>
                <w:lang w:val="es-ES"/>
              </w:rPr>
              <w:t>4,70</w:t>
            </w:r>
          </w:p>
        </w:tc>
        <w:tc>
          <w:tcPr>
            <w:tcW w:w="1586" w:type="dxa"/>
            <w:tcBorders>
              <w:top w:val="nil"/>
              <w:bottom w:val="nil"/>
            </w:tcBorders>
            <w:shd w:val="clear" w:color="auto" w:fill="auto"/>
            <w:vAlign w:val="bottom"/>
          </w:tcPr>
          <w:p w:rsidR="00E421FD" w:rsidRPr="00960E47" w:rsidRDefault="00E421FD" w:rsidP="00BD2CEB">
            <w:pPr>
              <w:pStyle w:val="SingleTxtG"/>
              <w:spacing w:before="40" w:after="40" w:line="220" w:lineRule="exact"/>
              <w:ind w:left="0" w:right="0"/>
              <w:jc w:val="right"/>
              <w:rPr>
                <w:sz w:val="18"/>
                <w:lang w:val="es-ES"/>
              </w:rPr>
            </w:pPr>
            <w:r w:rsidRPr="00960E47">
              <w:rPr>
                <w:sz w:val="18"/>
                <w:lang w:val="es-ES"/>
              </w:rPr>
              <w:t>133</w:t>
            </w:r>
          </w:p>
        </w:tc>
        <w:tc>
          <w:tcPr>
            <w:tcW w:w="1587" w:type="dxa"/>
            <w:tcBorders>
              <w:top w:val="nil"/>
              <w:bottom w:val="nil"/>
            </w:tcBorders>
            <w:shd w:val="clear" w:color="auto" w:fill="auto"/>
            <w:vAlign w:val="bottom"/>
          </w:tcPr>
          <w:p w:rsidR="00E421FD" w:rsidRPr="00960E47" w:rsidRDefault="00E421FD" w:rsidP="006B7BDF">
            <w:pPr>
              <w:pStyle w:val="SingleTxtG"/>
              <w:spacing w:before="40" w:after="40" w:line="220" w:lineRule="exact"/>
              <w:ind w:left="0" w:right="0"/>
              <w:jc w:val="right"/>
              <w:rPr>
                <w:sz w:val="18"/>
                <w:lang w:val="es-ES"/>
              </w:rPr>
            </w:pPr>
            <w:r w:rsidRPr="00960E47">
              <w:rPr>
                <w:sz w:val="18"/>
                <w:lang w:val="es-ES"/>
              </w:rPr>
              <w:t>-11,32</w:t>
            </w:r>
          </w:p>
        </w:tc>
        <w:tc>
          <w:tcPr>
            <w:tcW w:w="1997" w:type="dxa"/>
            <w:tcBorders>
              <w:top w:val="nil"/>
              <w:bottom w:val="nil"/>
            </w:tcBorders>
            <w:shd w:val="clear" w:color="auto" w:fill="auto"/>
            <w:vAlign w:val="bottom"/>
          </w:tcPr>
          <w:p w:rsidR="00E421FD" w:rsidRPr="00960E47" w:rsidRDefault="00E421FD" w:rsidP="00BD2CEB">
            <w:pPr>
              <w:pStyle w:val="SingleTxtG"/>
              <w:spacing w:before="40" w:after="40" w:line="220" w:lineRule="exact"/>
              <w:ind w:left="0" w:right="0"/>
              <w:jc w:val="right"/>
              <w:rPr>
                <w:sz w:val="18"/>
                <w:lang w:val="es-ES"/>
              </w:rPr>
            </w:pPr>
            <w:r w:rsidRPr="00960E47">
              <w:rPr>
                <w:sz w:val="18"/>
                <w:lang w:val="es-ES"/>
              </w:rPr>
              <w:t>2005, estimación</w:t>
            </w:r>
          </w:p>
        </w:tc>
      </w:tr>
      <w:tr w:rsidR="00E421FD" w:rsidRPr="00960E47" w:rsidTr="00284FBE">
        <w:tc>
          <w:tcPr>
            <w:tcW w:w="616" w:type="dxa"/>
            <w:tcBorders>
              <w:top w:val="nil"/>
            </w:tcBorders>
            <w:shd w:val="clear" w:color="auto" w:fill="auto"/>
            <w:vAlign w:val="bottom"/>
          </w:tcPr>
          <w:p w:rsidR="00E421FD" w:rsidRPr="00960E47" w:rsidRDefault="00E421FD" w:rsidP="00BD2CEB">
            <w:pPr>
              <w:pStyle w:val="SingleTxtG"/>
              <w:spacing w:before="40" w:after="40" w:line="220" w:lineRule="exact"/>
              <w:ind w:left="0" w:right="0"/>
              <w:jc w:val="left"/>
              <w:rPr>
                <w:sz w:val="18"/>
                <w:lang w:val="es-ES"/>
              </w:rPr>
            </w:pPr>
            <w:r w:rsidRPr="00960E47">
              <w:rPr>
                <w:sz w:val="18"/>
                <w:lang w:val="es-ES"/>
              </w:rPr>
              <w:t>2007</w:t>
            </w:r>
          </w:p>
        </w:tc>
        <w:tc>
          <w:tcPr>
            <w:tcW w:w="1586" w:type="dxa"/>
            <w:tcBorders>
              <w:top w:val="nil"/>
            </w:tcBorders>
            <w:shd w:val="clear" w:color="auto" w:fill="auto"/>
            <w:vAlign w:val="bottom"/>
          </w:tcPr>
          <w:p w:rsidR="00E421FD" w:rsidRPr="00960E47" w:rsidRDefault="00E421FD" w:rsidP="006B7BDF">
            <w:pPr>
              <w:pStyle w:val="SingleTxtG"/>
              <w:spacing w:before="40" w:after="40" w:line="220" w:lineRule="exact"/>
              <w:ind w:left="0" w:right="0"/>
              <w:jc w:val="right"/>
              <w:rPr>
                <w:sz w:val="18"/>
                <w:lang w:val="es-ES"/>
              </w:rPr>
            </w:pPr>
            <w:r w:rsidRPr="00960E47">
              <w:rPr>
                <w:sz w:val="18"/>
                <w:lang w:val="es-ES"/>
              </w:rPr>
              <w:t>5,00</w:t>
            </w:r>
          </w:p>
        </w:tc>
        <w:tc>
          <w:tcPr>
            <w:tcW w:w="1586" w:type="dxa"/>
            <w:tcBorders>
              <w:top w:val="nil"/>
            </w:tcBorders>
            <w:shd w:val="clear" w:color="auto" w:fill="auto"/>
            <w:vAlign w:val="bottom"/>
          </w:tcPr>
          <w:p w:rsidR="00E421FD" w:rsidRPr="00960E47" w:rsidRDefault="00E421FD" w:rsidP="00BD2CEB">
            <w:pPr>
              <w:pStyle w:val="SingleTxtG"/>
              <w:spacing w:before="40" w:after="40" w:line="220" w:lineRule="exact"/>
              <w:ind w:left="0" w:right="0"/>
              <w:jc w:val="right"/>
              <w:rPr>
                <w:sz w:val="18"/>
                <w:lang w:val="es-ES"/>
              </w:rPr>
            </w:pPr>
            <w:r w:rsidRPr="00960E47">
              <w:rPr>
                <w:sz w:val="18"/>
                <w:lang w:val="es-ES"/>
              </w:rPr>
              <w:t>134</w:t>
            </w:r>
          </w:p>
        </w:tc>
        <w:tc>
          <w:tcPr>
            <w:tcW w:w="1587" w:type="dxa"/>
            <w:tcBorders>
              <w:top w:val="nil"/>
            </w:tcBorders>
            <w:shd w:val="clear" w:color="auto" w:fill="auto"/>
            <w:vAlign w:val="bottom"/>
          </w:tcPr>
          <w:p w:rsidR="00E421FD" w:rsidRPr="00960E47" w:rsidRDefault="00E421FD" w:rsidP="006B7BDF">
            <w:pPr>
              <w:pStyle w:val="SingleTxtG"/>
              <w:spacing w:before="40" w:after="40" w:line="220" w:lineRule="exact"/>
              <w:ind w:left="0" w:right="0"/>
              <w:jc w:val="right"/>
              <w:rPr>
                <w:sz w:val="18"/>
                <w:lang w:val="es-ES"/>
              </w:rPr>
            </w:pPr>
            <w:r w:rsidRPr="00960E47">
              <w:rPr>
                <w:sz w:val="18"/>
                <w:lang w:val="es-ES"/>
              </w:rPr>
              <w:t>6,38</w:t>
            </w:r>
          </w:p>
        </w:tc>
        <w:tc>
          <w:tcPr>
            <w:tcW w:w="1997" w:type="dxa"/>
            <w:tcBorders>
              <w:top w:val="nil"/>
            </w:tcBorders>
            <w:shd w:val="clear" w:color="auto" w:fill="auto"/>
            <w:vAlign w:val="bottom"/>
          </w:tcPr>
          <w:p w:rsidR="00E421FD" w:rsidRPr="00960E47" w:rsidRDefault="00E421FD" w:rsidP="00BD2CEB">
            <w:pPr>
              <w:pStyle w:val="SingleTxtG"/>
              <w:spacing w:before="40" w:after="40" w:line="220" w:lineRule="exact"/>
              <w:ind w:left="0" w:right="0"/>
              <w:jc w:val="right"/>
              <w:rPr>
                <w:sz w:val="18"/>
                <w:lang w:val="es-ES"/>
              </w:rPr>
            </w:pPr>
            <w:r w:rsidRPr="00960E47">
              <w:rPr>
                <w:sz w:val="18"/>
                <w:lang w:val="es-ES"/>
              </w:rPr>
              <w:t>2006, estimación</w:t>
            </w:r>
          </w:p>
        </w:tc>
      </w:tr>
      <w:tr w:rsidR="00E421FD" w:rsidRPr="00960E47" w:rsidTr="00541C32">
        <w:tc>
          <w:tcPr>
            <w:tcW w:w="616" w:type="dxa"/>
            <w:shd w:val="clear" w:color="auto" w:fill="auto"/>
            <w:vAlign w:val="bottom"/>
          </w:tcPr>
          <w:p w:rsidR="00E421FD" w:rsidRPr="00960E47" w:rsidRDefault="00E421FD" w:rsidP="00BD2CEB">
            <w:pPr>
              <w:pStyle w:val="SingleTxtG"/>
              <w:spacing w:before="40" w:after="40" w:line="220" w:lineRule="exact"/>
              <w:ind w:left="0" w:right="0"/>
              <w:jc w:val="left"/>
              <w:rPr>
                <w:sz w:val="18"/>
                <w:lang w:val="es-ES"/>
              </w:rPr>
            </w:pPr>
            <w:r w:rsidRPr="00960E47">
              <w:rPr>
                <w:sz w:val="18"/>
                <w:lang w:val="es-ES"/>
              </w:rPr>
              <w:t>2008</w:t>
            </w:r>
          </w:p>
        </w:tc>
        <w:tc>
          <w:tcPr>
            <w:tcW w:w="1586" w:type="dxa"/>
            <w:shd w:val="clear" w:color="auto" w:fill="auto"/>
            <w:vAlign w:val="bottom"/>
          </w:tcPr>
          <w:p w:rsidR="00E421FD" w:rsidRPr="00960E47" w:rsidRDefault="00E421FD" w:rsidP="006B7BDF">
            <w:pPr>
              <w:pStyle w:val="SingleTxtG"/>
              <w:spacing w:before="40" w:after="40" w:line="220" w:lineRule="exact"/>
              <w:ind w:left="0" w:right="0"/>
              <w:jc w:val="right"/>
              <w:rPr>
                <w:sz w:val="18"/>
                <w:lang w:val="es-ES"/>
              </w:rPr>
            </w:pPr>
            <w:r w:rsidRPr="00960E47">
              <w:rPr>
                <w:sz w:val="18"/>
                <w:lang w:val="es-ES"/>
              </w:rPr>
              <w:t>8,00</w:t>
            </w:r>
          </w:p>
        </w:tc>
        <w:tc>
          <w:tcPr>
            <w:tcW w:w="1586" w:type="dxa"/>
            <w:shd w:val="clear" w:color="auto" w:fill="auto"/>
            <w:vAlign w:val="bottom"/>
          </w:tcPr>
          <w:p w:rsidR="00E421FD" w:rsidRPr="00960E47" w:rsidRDefault="00E421FD" w:rsidP="00BD2CEB">
            <w:pPr>
              <w:pStyle w:val="SingleTxtG"/>
              <w:spacing w:before="40" w:after="40" w:line="220" w:lineRule="exact"/>
              <w:ind w:left="0" w:right="0"/>
              <w:jc w:val="right"/>
              <w:rPr>
                <w:sz w:val="18"/>
                <w:lang w:val="es-ES"/>
              </w:rPr>
            </w:pPr>
            <w:r w:rsidRPr="00960E47">
              <w:rPr>
                <w:sz w:val="18"/>
                <w:lang w:val="es-ES"/>
              </w:rPr>
              <w:t>168</w:t>
            </w:r>
          </w:p>
        </w:tc>
        <w:tc>
          <w:tcPr>
            <w:tcW w:w="1587" w:type="dxa"/>
            <w:shd w:val="clear" w:color="auto" w:fill="auto"/>
            <w:vAlign w:val="bottom"/>
          </w:tcPr>
          <w:p w:rsidR="00E421FD" w:rsidRPr="00960E47" w:rsidRDefault="00E421FD" w:rsidP="006B7BDF">
            <w:pPr>
              <w:pStyle w:val="SingleTxtG"/>
              <w:spacing w:before="40" w:after="40" w:line="220" w:lineRule="exact"/>
              <w:ind w:left="0" w:right="0"/>
              <w:jc w:val="right"/>
              <w:rPr>
                <w:sz w:val="18"/>
                <w:lang w:val="es-ES"/>
              </w:rPr>
            </w:pPr>
            <w:r w:rsidRPr="00960E47">
              <w:rPr>
                <w:sz w:val="18"/>
                <w:lang w:val="es-ES"/>
              </w:rPr>
              <w:t>60,00</w:t>
            </w:r>
          </w:p>
        </w:tc>
        <w:tc>
          <w:tcPr>
            <w:tcW w:w="1997" w:type="dxa"/>
            <w:shd w:val="clear" w:color="auto" w:fill="auto"/>
            <w:vAlign w:val="bottom"/>
          </w:tcPr>
          <w:p w:rsidR="00E421FD" w:rsidRPr="00960E47" w:rsidRDefault="00E421FD" w:rsidP="00BD2CEB">
            <w:pPr>
              <w:pStyle w:val="SingleTxtG"/>
              <w:spacing w:before="40" w:after="40" w:line="220" w:lineRule="exact"/>
              <w:ind w:left="0" w:right="0"/>
              <w:jc w:val="right"/>
              <w:rPr>
                <w:sz w:val="18"/>
                <w:lang w:val="es-ES"/>
              </w:rPr>
            </w:pPr>
            <w:r w:rsidRPr="00960E47">
              <w:rPr>
                <w:sz w:val="18"/>
                <w:lang w:val="es-ES"/>
              </w:rPr>
              <w:t>2007, estimación</w:t>
            </w:r>
          </w:p>
        </w:tc>
      </w:tr>
      <w:tr w:rsidR="00E421FD" w:rsidRPr="00960E47" w:rsidTr="00541C32">
        <w:tc>
          <w:tcPr>
            <w:tcW w:w="616" w:type="dxa"/>
            <w:shd w:val="clear" w:color="auto" w:fill="auto"/>
            <w:vAlign w:val="bottom"/>
          </w:tcPr>
          <w:p w:rsidR="00E421FD" w:rsidRPr="00960E47" w:rsidRDefault="00E421FD" w:rsidP="00BD2CEB">
            <w:pPr>
              <w:pStyle w:val="SingleTxtG"/>
              <w:spacing w:before="40" w:after="40" w:line="220" w:lineRule="exact"/>
              <w:ind w:left="0" w:right="0"/>
              <w:jc w:val="left"/>
              <w:rPr>
                <w:sz w:val="18"/>
                <w:lang w:val="es-ES"/>
              </w:rPr>
            </w:pPr>
            <w:r w:rsidRPr="00960E47">
              <w:rPr>
                <w:sz w:val="18"/>
                <w:lang w:val="es-ES"/>
              </w:rPr>
              <w:t>2009</w:t>
            </w:r>
          </w:p>
        </w:tc>
        <w:tc>
          <w:tcPr>
            <w:tcW w:w="1586" w:type="dxa"/>
            <w:shd w:val="clear" w:color="auto" w:fill="auto"/>
            <w:vAlign w:val="bottom"/>
          </w:tcPr>
          <w:p w:rsidR="00E421FD" w:rsidRPr="00960E47" w:rsidRDefault="00E421FD" w:rsidP="006B7BDF">
            <w:pPr>
              <w:pStyle w:val="SingleTxtG"/>
              <w:spacing w:before="40" w:after="40" w:line="220" w:lineRule="exact"/>
              <w:ind w:left="0" w:right="0"/>
              <w:jc w:val="right"/>
              <w:rPr>
                <w:sz w:val="18"/>
                <w:lang w:val="es-ES"/>
              </w:rPr>
            </w:pPr>
            <w:r w:rsidRPr="00960E47">
              <w:rPr>
                <w:sz w:val="18"/>
                <w:lang w:val="es-ES"/>
              </w:rPr>
              <w:t>10,70</w:t>
            </w:r>
          </w:p>
        </w:tc>
        <w:tc>
          <w:tcPr>
            <w:tcW w:w="1586" w:type="dxa"/>
            <w:shd w:val="clear" w:color="auto" w:fill="auto"/>
            <w:vAlign w:val="bottom"/>
          </w:tcPr>
          <w:p w:rsidR="00E421FD" w:rsidRPr="00960E47" w:rsidRDefault="00E421FD" w:rsidP="00BD2CEB">
            <w:pPr>
              <w:pStyle w:val="SingleTxtG"/>
              <w:spacing w:before="40" w:after="40" w:line="220" w:lineRule="exact"/>
              <w:ind w:left="0" w:right="0"/>
              <w:jc w:val="right"/>
              <w:rPr>
                <w:sz w:val="18"/>
                <w:lang w:val="es-ES"/>
              </w:rPr>
            </w:pPr>
            <w:r w:rsidRPr="00960E47">
              <w:rPr>
                <w:sz w:val="18"/>
                <w:lang w:val="es-ES"/>
              </w:rPr>
              <w:t>156</w:t>
            </w:r>
          </w:p>
        </w:tc>
        <w:tc>
          <w:tcPr>
            <w:tcW w:w="1587" w:type="dxa"/>
            <w:shd w:val="clear" w:color="auto" w:fill="auto"/>
            <w:vAlign w:val="bottom"/>
          </w:tcPr>
          <w:p w:rsidR="00E421FD" w:rsidRPr="00960E47" w:rsidRDefault="00E421FD" w:rsidP="006B7BDF">
            <w:pPr>
              <w:pStyle w:val="SingleTxtG"/>
              <w:spacing w:before="40" w:after="40" w:line="220" w:lineRule="exact"/>
              <w:ind w:left="0" w:right="0"/>
              <w:jc w:val="right"/>
              <w:rPr>
                <w:sz w:val="18"/>
                <w:lang w:val="es-ES"/>
              </w:rPr>
            </w:pPr>
            <w:r w:rsidRPr="00960E47">
              <w:rPr>
                <w:sz w:val="18"/>
                <w:lang w:val="es-ES"/>
              </w:rPr>
              <w:t>33,75</w:t>
            </w:r>
          </w:p>
        </w:tc>
        <w:tc>
          <w:tcPr>
            <w:tcW w:w="1997" w:type="dxa"/>
            <w:shd w:val="clear" w:color="auto" w:fill="auto"/>
            <w:vAlign w:val="bottom"/>
          </w:tcPr>
          <w:p w:rsidR="00E421FD" w:rsidRPr="00960E47" w:rsidRDefault="00E421FD" w:rsidP="00BD2CEB">
            <w:pPr>
              <w:pStyle w:val="SingleTxtG"/>
              <w:spacing w:before="40" w:after="40" w:line="220" w:lineRule="exact"/>
              <w:ind w:left="0" w:right="0"/>
              <w:jc w:val="right"/>
              <w:rPr>
                <w:sz w:val="18"/>
                <w:lang w:val="es-ES"/>
              </w:rPr>
            </w:pPr>
            <w:r w:rsidRPr="00960E47">
              <w:rPr>
                <w:sz w:val="18"/>
                <w:lang w:val="es-ES"/>
              </w:rPr>
              <w:t>2008, estimación</w:t>
            </w:r>
          </w:p>
        </w:tc>
      </w:tr>
      <w:tr w:rsidR="00E421FD" w:rsidRPr="00960E47" w:rsidTr="00541C32">
        <w:tc>
          <w:tcPr>
            <w:tcW w:w="616" w:type="dxa"/>
            <w:shd w:val="clear" w:color="auto" w:fill="auto"/>
            <w:vAlign w:val="bottom"/>
          </w:tcPr>
          <w:p w:rsidR="00E421FD" w:rsidRPr="00960E47" w:rsidRDefault="00E421FD" w:rsidP="00BD2CEB">
            <w:pPr>
              <w:pStyle w:val="SingleTxtG"/>
              <w:spacing w:before="40" w:after="40" w:line="220" w:lineRule="exact"/>
              <w:ind w:left="0" w:right="0"/>
              <w:jc w:val="left"/>
              <w:rPr>
                <w:sz w:val="18"/>
                <w:lang w:val="es-ES"/>
              </w:rPr>
            </w:pPr>
            <w:r w:rsidRPr="00960E47">
              <w:rPr>
                <w:sz w:val="18"/>
                <w:lang w:val="es-ES"/>
              </w:rPr>
              <w:t>2010</w:t>
            </w:r>
          </w:p>
        </w:tc>
        <w:tc>
          <w:tcPr>
            <w:tcW w:w="1586" w:type="dxa"/>
            <w:shd w:val="clear" w:color="auto" w:fill="auto"/>
            <w:vAlign w:val="bottom"/>
          </w:tcPr>
          <w:p w:rsidR="00E421FD" w:rsidRPr="00960E47" w:rsidRDefault="00E421FD" w:rsidP="006B7BDF">
            <w:pPr>
              <w:pStyle w:val="SingleTxtG"/>
              <w:spacing w:before="40" w:after="40" w:line="220" w:lineRule="exact"/>
              <w:ind w:left="0" w:right="0"/>
              <w:jc w:val="right"/>
              <w:rPr>
                <w:sz w:val="18"/>
                <w:lang w:val="es-ES"/>
              </w:rPr>
            </w:pPr>
            <w:r w:rsidRPr="00960E47">
              <w:rPr>
                <w:sz w:val="18"/>
                <w:lang w:val="es-ES"/>
              </w:rPr>
              <w:t>8,50</w:t>
            </w:r>
          </w:p>
        </w:tc>
        <w:tc>
          <w:tcPr>
            <w:tcW w:w="1586" w:type="dxa"/>
            <w:shd w:val="clear" w:color="auto" w:fill="auto"/>
            <w:vAlign w:val="bottom"/>
          </w:tcPr>
          <w:p w:rsidR="00E421FD" w:rsidRPr="00960E47" w:rsidRDefault="00E421FD" w:rsidP="00BD2CEB">
            <w:pPr>
              <w:pStyle w:val="SingleTxtG"/>
              <w:spacing w:before="40" w:after="40" w:line="220" w:lineRule="exact"/>
              <w:ind w:left="0" w:right="0"/>
              <w:jc w:val="right"/>
              <w:rPr>
                <w:sz w:val="18"/>
                <w:lang w:val="es-ES"/>
              </w:rPr>
            </w:pPr>
            <w:r w:rsidRPr="00960E47">
              <w:rPr>
                <w:sz w:val="18"/>
                <w:lang w:val="es-ES"/>
              </w:rPr>
              <w:t>181</w:t>
            </w:r>
          </w:p>
        </w:tc>
        <w:tc>
          <w:tcPr>
            <w:tcW w:w="1587" w:type="dxa"/>
            <w:shd w:val="clear" w:color="auto" w:fill="auto"/>
            <w:vAlign w:val="bottom"/>
          </w:tcPr>
          <w:p w:rsidR="00E421FD" w:rsidRPr="00960E47" w:rsidRDefault="00E421FD" w:rsidP="006B7BDF">
            <w:pPr>
              <w:pStyle w:val="SingleTxtG"/>
              <w:spacing w:before="40" w:after="40" w:line="220" w:lineRule="exact"/>
              <w:ind w:left="0" w:right="0"/>
              <w:jc w:val="right"/>
              <w:rPr>
                <w:sz w:val="18"/>
                <w:lang w:val="es-ES"/>
              </w:rPr>
            </w:pPr>
            <w:r w:rsidRPr="00960E47">
              <w:rPr>
                <w:sz w:val="18"/>
                <w:lang w:val="es-ES"/>
              </w:rPr>
              <w:t>-20,56</w:t>
            </w:r>
          </w:p>
        </w:tc>
        <w:tc>
          <w:tcPr>
            <w:tcW w:w="1997" w:type="dxa"/>
            <w:shd w:val="clear" w:color="auto" w:fill="auto"/>
            <w:vAlign w:val="bottom"/>
          </w:tcPr>
          <w:p w:rsidR="00E421FD" w:rsidRPr="00960E47" w:rsidRDefault="00E421FD" w:rsidP="00BD2CEB">
            <w:pPr>
              <w:pStyle w:val="SingleTxtG"/>
              <w:spacing w:before="40" w:after="40" w:line="220" w:lineRule="exact"/>
              <w:ind w:left="0" w:right="0"/>
              <w:jc w:val="right"/>
              <w:rPr>
                <w:sz w:val="18"/>
                <w:lang w:val="es-ES"/>
              </w:rPr>
            </w:pPr>
            <w:r w:rsidRPr="00960E47">
              <w:rPr>
                <w:sz w:val="18"/>
                <w:lang w:val="es-ES"/>
              </w:rPr>
              <w:t>2009, estimación</w:t>
            </w:r>
          </w:p>
        </w:tc>
      </w:tr>
    </w:tbl>
    <w:p w:rsidR="00E421FD" w:rsidRPr="00960E47" w:rsidRDefault="00E421FD" w:rsidP="00BD2CEB">
      <w:pPr>
        <w:spacing w:before="120"/>
        <w:ind w:left="1134" w:right="1134" w:firstLine="170"/>
        <w:rPr>
          <w:sz w:val="18"/>
          <w:lang w:val="es-ES"/>
        </w:rPr>
      </w:pPr>
      <w:r w:rsidRPr="00960E47">
        <w:rPr>
          <w:i/>
          <w:sz w:val="18"/>
          <w:lang w:val="es-ES"/>
        </w:rPr>
        <w:t>Fuente:</w:t>
      </w:r>
      <w:r w:rsidRPr="00960E47">
        <w:rPr>
          <w:sz w:val="18"/>
          <w:lang w:val="es-ES"/>
        </w:rPr>
        <w:t xml:space="preserve"> CIA World Fact Book – Datos váli</w:t>
      </w:r>
      <w:r w:rsidR="009C195E" w:rsidRPr="00960E47">
        <w:rPr>
          <w:sz w:val="18"/>
          <w:lang w:val="es-ES"/>
        </w:rPr>
        <w:t>dos al 19 de febrero de 2010.</w:t>
      </w:r>
    </w:p>
    <w:p w:rsidR="00E421FD" w:rsidRPr="00960E47" w:rsidRDefault="00E421FD" w:rsidP="00BD2CEB">
      <w:pPr>
        <w:spacing w:after="240"/>
        <w:ind w:left="1134" w:right="1134" w:firstLine="170"/>
        <w:rPr>
          <w:sz w:val="18"/>
          <w:lang w:val="es-ES"/>
        </w:rPr>
      </w:pPr>
      <w:r w:rsidRPr="00960E47">
        <w:rPr>
          <w:i/>
          <w:sz w:val="18"/>
          <w:lang w:val="es-ES"/>
        </w:rPr>
        <w:t>Definición:</w:t>
      </w:r>
      <w:r w:rsidRPr="00960E47">
        <w:rPr>
          <w:sz w:val="18"/>
          <w:lang w:val="es-ES"/>
        </w:rPr>
        <w:t xml:space="preserve"> Estos datos reproducen el cambio porcentual anual de los precios de consumo en comparación con los de los años precedentes.</w:t>
      </w:r>
    </w:p>
    <w:p w:rsidR="00E421FD" w:rsidRPr="00960E47" w:rsidRDefault="00C87418" w:rsidP="00BD2CEB">
      <w:pPr>
        <w:pStyle w:val="SingleTxtG"/>
        <w:rPr>
          <w:lang w:val="es-ES"/>
        </w:rPr>
      </w:pPr>
      <w:r w:rsidRPr="00960E47">
        <w:rPr>
          <w:lang w:val="es-ES"/>
        </w:rPr>
        <w:t>76.</w:t>
      </w:r>
      <w:r w:rsidRPr="00960E47">
        <w:rPr>
          <w:lang w:val="es-ES"/>
        </w:rPr>
        <w:tab/>
      </w:r>
      <w:r w:rsidR="00E421FD" w:rsidRPr="00960E47">
        <w:rPr>
          <w:lang w:val="es-ES"/>
        </w:rPr>
        <w:t>La tasa de inflación se ha mantenido relativamente baja en Lesotho y el índice de precios de consumo ha crecido un promedio del 7% anual desde 2000. En 2002, 2003, 2007 y años sucesivos, la inflación ha sido superior a la media, debido a la subida mundial de los precios. La inflación de los precios mundiales de los alimentos ha sido moderada después de 2008, pero la inflación de los productos alimenticios en Lesotho ha continuado siendo elevada. Ello puede tener una enorme repercusión en el logro de los Objetivos de Desarrollo del Milenio en un país como Lesotho, cuyos indicadores de malnutrición y pobreza están al alza.</w:t>
      </w:r>
    </w:p>
    <w:p w:rsidR="00E421FD" w:rsidRPr="00960E47" w:rsidRDefault="009627D6" w:rsidP="00BD2CEB">
      <w:pPr>
        <w:pStyle w:val="H23G"/>
        <w:rPr>
          <w:lang w:val="es-ES"/>
        </w:rPr>
      </w:pPr>
      <w:r w:rsidRPr="00960E47">
        <w:rPr>
          <w:lang w:val="es-ES"/>
        </w:rPr>
        <w:tab/>
      </w:r>
      <w:r w:rsidRPr="00960E47">
        <w:rPr>
          <w:lang w:val="es-ES"/>
        </w:rPr>
        <w:tab/>
      </w:r>
      <w:r w:rsidR="00E421FD" w:rsidRPr="00960E47">
        <w:rPr>
          <w:lang w:val="es-ES"/>
        </w:rPr>
        <w:t>El coeficiente de servicio de la deuda externa de Lesotho, en cifras</w:t>
      </w:r>
      <w:r w:rsidRPr="00960E47">
        <w:rPr>
          <w:lang w:val="es-ES"/>
        </w:rPr>
        <w:t xml:space="preserve"> porcentuales, es el siguiente</w:t>
      </w:r>
    </w:p>
    <w:tbl>
      <w:tblPr>
        <w:tblW w:w="7371" w:type="dxa"/>
        <w:tblInd w:w="1134" w:type="dxa"/>
        <w:tblBorders>
          <w:top w:val="single" w:sz="4" w:space="0" w:color="auto"/>
          <w:bottom w:val="single" w:sz="12" w:space="0" w:color="auto"/>
        </w:tblBorders>
        <w:tblLayout w:type="fixed"/>
        <w:tblCellMar>
          <w:left w:w="0" w:type="dxa"/>
          <w:right w:w="0" w:type="dxa"/>
        </w:tblCellMar>
        <w:tblLook w:val="04A0"/>
      </w:tblPr>
      <w:tblGrid>
        <w:gridCol w:w="532"/>
        <w:gridCol w:w="3419"/>
        <w:gridCol w:w="3420"/>
      </w:tblGrid>
      <w:tr w:rsidR="00E421FD" w:rsidRPr="00960E47" w:rsidTr="00BA5922">
        <w:trPr>
          <w:tblHeader/>
        </w:trPr>
        <w:tc>
          <w:tcPr>
            <w:tcW w:w="532" w:type="dxa"/>
            <w:tcBorders>
              <w:top w:val="single" w:sz="4" w:space="0" w:color="auto"/>
              <w:bottom w:val="single" w:sz="12" w:space="0" w:color="auto"/>
            </w:tcBorders>
            <w:shd w:val="clear" w:color="auto" w:fill="auto"/>
            <w:vAlign w:val="bottom"/>
          </w:tcPr>
          <w:p w:rsidR="00E421FD" w:rsidRPr="00960E47" w:rsidRDefault="00E421FD" w:rsidP="00BD2CEB">
            <w:pPr>
              <w:pStyle w:val="SingleTxtG"/>
              <w:spacing w:before="80" w:after="80" w:line="200" w:lineRule="exact"/>
              <w:ind w:left="0" w:right="0"/>
              <w:jc w:val="right"/>
              <w:rPr>
                <w:i/>
                <w:sz w:val="16"/>
                <w:lang w:val="es-ES"/>
              </w:rPr>
            </w:pPr>
            <w:r w:rsidRPr="00960E47">
              <w:rPr>
                <w:i/>
                <w:sz w:val="16"/>
                <w:lang w:val="es-ES"/>
              </w:rPr>
              <w:t>2000</w:t>
            </w:r>
          </w:p>
        </w:tc>
        <w:tc>
          <w:tcPr>
            <w:tcW w:w="3419" w:type="dxa"/>
            <w:tcBorders>
              <w:top w:val="single" w:sz="4" w:space="0" w:color="auto"/>
              <w:bottom w:val="single" w:sz="12" w:space="0" w:color="auto"/>
            </w:tcBorders>
            <w:shd w:val="clear" w:color="auto" w:fill="auto"/>
            <w:vAlign w:val="bottom"/>
          </w:tcPr>
          <w:p w:rsidR="00E421FD" w:rsidRPr="00960E47" w:rsidRDefault="00E421FD" w:rsidP="00BD2CEB">
            <w:pPr>
              <w:pStyle w:val="SingleTxtG"/>
              <w:spacing w:before="80" w:after="80" w:line="200" w:lineRule="exact"/>
              <w:ind w:left="0" w:right="0"/>
              <w:jc w:val="right"/>
              <w:rPr>
                <w:i/>
                <w:sz w:val="16"/>
                <w:lang w:val="es-ES"/>
              </w:rPr>
            </w:pPr>
            <w:r w:rsidRPr="00960E47">
              <w:rPr>
                <w:i/>
                <w:sz w:val="16"/>
                <w:lang w:val="es-ES"/>
              </w:rPr>
              <w:t>2006</w:t>
            </w:r>
          </w:p>
        </w:tc>
        <w:tc>
          <w:tcPr>
            <w:tcW w:w="3420" w:type="dxa"/>
            <w:tcBorders>
              <w:top w:val="single" w:sz="4" w:space="0" w:color="auto"/>
              <w:bottom w:val="single" w:sz="12" w:space="0" w:color="auto"/>
            </w:tcBorders>
            <w:shd w:val="clear" w:color="auto" w:fill="auto"/>
            <w:vAlign w:val="bottom"/>
          </w:tcPr>
          <w:p w:rsidR="00E421FD" w:rsidRPr="00960E47" w:rsidRDefault="00E421FD" w:rsidP="00BD2CEB">
            <w:pPr>
              <w:pStyle w:val="SingleTxtG"/>
              <w:spacing w:before="80" w:after="80" w:line="200" w:lineRule="exact"/>
              <w:ind w:left="0" w:right="0"/>
              <w:jc w:val="right"/>
              <w:rPr>
                <w:i/>
                <w:sz w:val="16"/>
                <w:lang w:val="es-ES"/>
              </w:rPr>
            </w:pPr>
            <w:r w:rsidRPr="00960E47">
              <w:rPr>
                <w:i/>
                <w:sz w:val="16"/>
                <w:lang w:val="es-ES"/>
              </w:rPr>
              <w:t>2007</w:t>
            </w:r>
          </w:p>
        </w:tc>
      </w:tr>
      <w:tr w:rsidR="00E421FD" w:rsidRPr="00960E47" w:rsidTr="00BA5922">
        <w:tc>
          <w:tcPr>
            <w:tcW w:w="532" w:type="dxa"/>
            <w:tcBorders>
              <w:top w:val="single" w:sz="12" w:space="0" w:color="auto"/>
            </w:tcBorders>
            <w:shd w:val="clear" w:color="auto" w:fill="auto"/>
            <w:vAlign w:val="bottom"/>
          </w:tcPr>
          <w:p w:rsidR="00E421FD" w:rsidRPr="00960E47" w:rsidRDefault="00E421FD" w:rsidP="00BD2CEB">
            <w:pPr>
              <w:pStyle w:val="SingleTxtG"/>
              <w:spacing w:before="40" w:after="40" w:line="220" w:lineRule="exact"/>
              <w:ind w:left="0" w:right="0"/>
              <w:jc w:val="right"/>
              <w:rPr>
                <w:sz w:val="18"/>
                <w:lang w:val="es-ES"/>
              </w:rPr>
            </w:pPr>
            <w:r w:rsidRPr="00960E47">
              <w:rPr>
                <w:sz w:val="18"/>
                <w:lang w:val="es-ES"/>
              </w:rPr>
              <w:t>11,3%</w:t>
            </w:r>
          </w:p>
        </w:tc>
        <w:tc>
          <w:tcPr>
            <w:tcW w:w="3419" w:type="dxa"/>
            <w:tcBorders>
              <w:top w:val="single" w:sz="12" w:space="0" w:color="auto"/>
            </w:tcBorders>
            <w:shd w:val="clear" w:color="auto" w:fill="auto"/>
            <w:vAlign w:val="bottom"/>
          </w:tcPr>
          <w:p w:rsidR="00E421FD" w:rsidRPr="00960E47" w:rsidRDefault="00E421FD" w:rsidP="00BD2CEB">
            <w:pPr>
              <w:pStyle w:val="SingleTxtG"/>
              <w:spacing w:before="40" w:after="40" w:line="220" w:lineRule="exact"/>
              <w:ind w:left="0" w:right="0"/>
              <w:jc w:val="right"/>
              <w:rPr>
                <w:sz w:val="18"/>
                <w:lang w:val="es-ES"/>
              </w:rPr>
            </w:pPr>
            <w:r w:rsidRPr="00960E47">
              <w:rPr>
                <w:sz w:val="18"/>
                <w:lang w:val="es-ES"/>
              </w:rPr>
              <w:t>3,9%</w:t>
            </w:r>
          </w:p>
        </w:tc>
        <w:tc>
          <w:tcPr>
            <w:tcW w:w="3420" w:type="dxa"/>
            <w:tcBorders>
              <w:top w:val="single" w:sz="12" w:space="0" w:color="auto"/>
            </w:tcBorders>
            <w:shd w:val="clear" w:color="auto" w:fill="auto"/>
            <w:vAlign w:val="bottom"/>
          </w:tcPr>
          <w:p w:rsidR="00E421FD" w:rsidRPr="00960E47" w:rsidRDefault="00E421FD" w:rsidP="00BD2CEB">
            <w:pPr>
              <w:pStyle w:val="SingleTxtG"/>
              <w:spacing w:before="40" w:after="40" w:line="220" w:lineRule="exact"/>
              <w:ind w:left="0" w:right="0"/>
              <w:jc w:val="right"/>
              <w:rPr>
                <w:sz w:val="18"/>
                <w:lang w:val="es-ES"/>
              </w:rPr>
            </w:pPr>
            <w:r w:rsidRPr="00960E47">
              <w:rPr>
                <w:sz w:val="18"/>
                <w:lang w:val="es-ES"/>
              </w:rPr>
              <w:t>7,0%</w:t>
            </w:r>
          </w:p>
        </w:tc>
      </w:tr>
    </w:tbl>
    <w:p w:rsidR="00E421FD" w:rsidRPr="00960E47" w:rsidRDefault="00E421FD" w:rsidP="00BD2CEB">
      <w:pPr>
        <w:spacing w:before="120" w:after="240"/>
        <w:ind w:left="1134" w:right="1134" w:firstLine="170"/>
        <w:rPr>
          <w:sz w:val="18"/>
          <w:lang w:val="es-ES"/>
        </w:rPr>
      </w:pPr>
      <w:r w:rsidRPr="00960E47">
        <w:rPr>
          <w:i/>
          <w:sz w:val="18"/>
          <w:lang w:val="es-ES"/>
        </w:rPr>
        <w:t>Fuente:</w:t>
      </w:r>
      <w:r w:rsidRPr="00960E47">
        <w:rPr>
          <w:sz w:val="18"/>
          <w:lang w:val="es-ES"/>
        </w:rPr>
        <w:t xml:space="preserve"> (Asamblea General y Consejo Económico y Social) A/80 – E/2009/79.</w:t>
      </w:r>
    </w:p>
    <w:p w:rsidR="00E421FD" w:rsidRPr="00960E47" w:rsidRDefault="009627D6" w:rsidP="00BD2CEB">
      <w:pPr>
        <w:pStyle w:val="H23G"/>
        <w:rPr>
          <w:lang w:val="es-ES"/>
        </w:rPr>
      </w:pPr>
      <w:r w:rsidRPr="00960E47">
        <w:rPr>
          <w:lang w:val="es-ES"/>
        </w:rPr>
        <w:tab/>
      </w:r>
      <w:r w:rsidRPr="00960E47">
        <w:rPr>
          <w:lang w:val="es-ES"/>
        </w:rPr>
        <w:tab/>
      </w:r>
      <w:r w:rsidR="00E421FD" w:rsidRPr="00960E47">
        <w:rPr>
          <w:lang w:val="es-ES"/>
        </w:rPr>
        <w:t>Deuda externa total es la deuda en poder de un no residente pagadera en divisas, bien</w:t>
      </w:r>
      <w:r w:rsidRPr="00960E47">
        <w:rPr>
          <w:lang w:val="es-ES"/>
        </w:rPr>
        <w:t>es o servicios de otros países</w:t>
      </w:r>
    </w:p>
    <w:tbl>
      <w:tblPr>
        <w:tblW w:w="7371" w:type="dxa"/>
        <w:tblInd w:w="1134" w:type="dxa"/>
        <w:tblBorders>
          <w:top w:val="single" w:sz="4" w:space="0" w:color="auto"/>
          <w:bottom w:val="single" w:sz="12" w:space="0" w:color="auto"/>
        </w:tblBorders>
        <w:tblLayout w:type="fixed"/>
        <w:tblCellMar>
          <w:left w:w="0" w:type="dxa"/>
          <w:right w:w="0" w:type="dxa"/>
        </w:tblCellMar>
        <w:tblLook w:val="04A0"/>
      </w:tblPr>
      <w:tblGrid>
        <w:gridCol w:w="953"/>
        <w:gridCol w:w="1604"/>
        <w:gridCol w:w="1605"/>
        <w:gridCol w:w="1605"/>
        <w:gridCol w:w="1604"/>
      </w:tblGrid>
      <w:tr w:rsidR="00E421FD" w:rsidRPr="00960E47" w:rsidTr="00BA5922">
        <w:trPr>
          <w:tblHeader/>
        </w:trPr>
        <w:tc>
          <w:tcPr>
            <w:tcW w:w="646" w:type="pct"/>
            <w:tcBorders>
              <w:top w:val="single" w:sz="4" w:space="0" w:color="auto"/>
              <w:bottom w:val="single" w:sz="12" w:space="0" w:color="auto"/>
            </w:tcBorders>
            <w:shd w:val="clear" w:color="auto" w:fill="auto"/>
            <w:vAlign w:val="bottom"/>
          </w:tcPr>
          <w:p w:rsidR="00E421FD" w:rsidRPr="00960E47" w:rsidRDefault="00E421FD" w:rsidP="00BD2CEB">
            <w:pPr>
              <w:pStyle w:val="SingleTxtG"/>
              <w:spacing w:before="80" w:after="80" w:line="200" w:lineRule="exact"/>
              <w:ind w:left="0" w:right="0"/>
              <w:jc w:val="right"/>
              <w:rPr>
                <w:i/>
                <w:sz w:val="16"/>
                <w:lang w:val="es-ES"/>
              </w:rPr>
            </w:pPr>
            <w:r w:rsidRPr="00960E47">
              <w:rPr>
                <w:i/>
                <w:sz w:val="16"/>
                <w:lang w:val="es-ES"/>
              </w:rPr>
              <w:t>2005</w:t>
            </w:r>
          </w:p>
        </w:tc>
        <w:tc>
          <w:tcPr>
            <w:tcW w:w="1088" w:type="pct"/>
            <w:tcBorders>
              <w:top w:val="single" w:sz="4" w:space="0" w:color="auto"/>
              <w:bottom w:val="single" w:sz="12" w:space="0" w:color="auto"/>
            </w:tcBorders>
            <w:shd w:val="clear" w:color="auto" w:fill="auto"/>
            <w:vAlign w:val="bottom"/>
          </w:tcPr>
          <w:p w:rsidR="00E421FD" w:rsidRPr="00960E47" w:rsidRDefault="00E421FD" w:rsidP="00BD2CEB">
            <w:pPr>
              <w:pStyle w:val="SingleTxtG"/>
              <w:spacing w:before="80" w:after="80" w:line="200" w:lineRule="exact"/>
              <w:ind w:left="0" w:right="0"/>
              <w:jc w:val="right"/>
              <w:rPr>
                <w:i/>
                <w:sz w:val="16"/>
                <w:lang w:val="es-ES"/>
              </w:rPr>
            </w:pPr>
            <w:r w:rsidRPr="00960E47">
              <w:rPr>
                <w:i/>
                <w:sz w:val="16"/>
                <w:lang w:val="es-ES"/>
              </w:rPr>
              <w:t>2006</w:t>
            </w:r>
          </w:p>
        </w:tc>
        <w:tc>
          <w:tcPr>
            <w:tcW w:w="1089" w:type="pct"/>
            <w:tcBorders>
              <w:top w:val="single" w:sz="4" w:space="0" w:color="auto"/>
              <w:bottom w:val="single" w:sz="12" w:space="0" w:color="auto"/>
            </w:tcBorders>
            <w:shd w:val="clear" w:color="auto" w:fill="auto"/>
            <w:vAlign w:val="bottom"/>
          </w:tcPr>
          <w:p w:rsidR="00E421FD" w:rsidRPr="00960E47" w:rsidRDefault="00E421FD" w:rsidP="00BD2CEB">
            <w:pPr>
              <w:pStyle w:val="SingleTxtG"/>
              <w:spacing w:before="80" w:after="80" w:line="200" w:lineRule="exact"/>
              <w:ind w:left="0" w:right="0"/>
              <w:jc w:val="right"/>
              <w:rPr>
                <w:i/>
                <w:sz w:val="16"/>
                <w:lang w:val="es-ES"/>
              </w:rPr>
            </w:pPr>
            <w:r w:rsidRPr="00960E47">
              <w:rPr>
                <w:i/>
                <w:sz w:val="16"/>
                <w:lang w:val="es-ES"/>
              </w:rPr>
              <w:t>2007</w:t>
            </w:r>
          </w:p>
        </w:tc>
        <w:tc>
          <w:tcPr>
            <w:tcW w:w="1089" w:type="pct"/>
            <w:tcBorders>
              <w:top w:val="single" w:sz="4" w:space="0" w:color="auto"/>
              <w:bottom w:val="single" w:sz="12" w:space="0" w:color="auto"/>
            </w:tcBorders>
            <w:shd w:val="clear" w:color="auto" w:fill="auto"/>
            <w:vAlign w:val="bottom"/>
          </w:tcPr>
          <w:p w:rsidR="00E421FD" w:rsidRPr="00960E47" w:rsidRDefault="00E421FD" w:rsidP="00BD2CEB">
            <w:pPr>
              <w:pStyle w:val="SingleTxtG"/>
              <w:spacing w:before="80" w:after="80" w:line="200" w:lineRule="exact"/>
              <w:ind w:left="0" w:right="0"/>
              <w:jc w:val="right"/>
              <w:rPr>
                <w:i/>
                <w:sz w:val="16"/>
                <w:lang w:val="es-ES"/>
              </w:rPr>
            </w:pPr>
            <w:r w:rsidRPr="00960E47">
              <w:rPr>
                <w:i/>
                <w:sz w:val="16"/>
                <w:lang w:val="es-ES"/>
              </w:rPr>
              <w:t>2008</w:t>
            </w:r>
          </w:p>
        </w:tc>
        <w:tc>
          <w:tcPr>
            <w:tcW w:w="1089" w:type="pct"/>
            <w:tcBorders>
              <w:top w:val="single" w:sz="4" w:space="0" w:color="auto"/>
              <w:bottom w:val="single" w:sz="12" w:space="0" w:color="auto"/>
            </w:tcBorders>
            <w:shd w:val="clear" w:color="auto" w:fill="auto"/>
            <w:vAlign w:val="bottom"/>
          </w:tcPr>
          <w:p w:rsidR="00E421FD" w:rsidRPr="00960E47" w:rsidRDefault="00E421FD" w:rsidP="00BD2CEB">
            <w:pPr>
              <w:pStyle w:val="SingleTxtG"/>
              <w:spacing w:before="80" w:after="80" w:line="200" w:lineRule="exact"/>
              <w:ind w:left="0" w:right="0"/>
              <w:jc w:val="right"/>
              <w:rPr>
                <w:i/>
                <w:sz w:val="16"/>
                <w:lang w:val="es-ES"/>
              </w:rPr>
            </w:pPr>
            <w:r w:rsidRPr="00960E47">
              <w:rPr>
                <w:i/>
                <w:sz w:val="16"/>
                <w:lang w:val="es-ES"/>
              </w:rPr>
              <w:t>2009</w:t>
            </w:r>
          </w:p>
        </w:tc>
      </w:tr>
      <w:tr w:rsidR="00E421FD" w:rsidRPr="00960E47" w:rsidTr="00BA5922">
        <w:tc>
          <w:tcPr>
            <w:tcW w:w="646" w:type="pct"/>
            <w:tcBorders>
              <w:top w:val="single" w:sz="12" w:space="0" w:color="auto"/>
            </w:tcBorders>
            <w:shd w:val="clear" w:color="auto" w:fill="auto"/>
            <w:vAlign w:val="bottom"/>
          </w:tcPr>
          <w:p w:rsidR="00E421FD" w:rsidRPr="00960E47" w:rsidRDefault="00E421FD" w:rsidP="00BD2CEB">
            <w:pPr>
              <w:pStyle w:val="SingleTxtG"/>
              <w:spacing w:before="40" w:after="40" w:line="220" w:lineRule="exact"/>
              <w:ind w:left="0" w:right="0"/>
              <w:jc w:val="right"/>
              <w:rPr>
                <w:sz w:val="18"/>
                <w:lang w:val="es-ES"/>
              </w:rPr>
            </w:pPr>
            <w:r w:rsidRPr="00960E47">
              <w:rPr>
                <w:sz w:val="18"/>
                <w:lang w:val="es-ES"/>
              </w:rPr>
              <w:t>666.953.000</w:t>
            </w:r>
          </w:p>
        </w:tc>
        <w:tc>
          <w:tcPr>
            <w:tcW w:w="1088" w:type="pct"/>
            <w:tcBorders>
              <w:top w:val="single" w:sz="12" w:space="0" w:color="auto"/>
            </w:tcBorders>
            <w:shd w:val="clear" w:color="auto" w:fill="auto"/>
            <w:vAlign w:val="bottom"/>
          </w:tcPr>
          <w:p w:rsidR="00E421FD" w:rsidRPr="00960E47" w:rsidRDefault="00E421FD" w:rsidP="00BD2CEB">
            <w:pPr>
              <w:pStyle w:val="SingleTxtG"/>
              <w:spacing w:before="40" w:after="40" w:line="220" w:lineRule="exact"/>
              <w:ind w:left="0" w:right="0"/>
              <w:jc w:val="right"/>
              <w:rPr>
                <w:sz w:val="18"/>
                <w:lang w:val="es-ES"/>
              </w:rPr>
            </w:pPr>
            <w:r w:rsidRPr="00960E47">
              <w:rPr>
                <w:sz w:val="18"/>
                <w:lang w:val="es-ES"/>
              </w:rPr>
              <w:t>649.893.000</w:t>
            </w:r>
          </w:p>
        </w:tc>
        <w:tc>
          <w:tcPr>
            <w:tcW w:w="1089" w:type="pct"/>
            <w:tcBorders>
              <w:top w:val="single" w:sz="12" w:space="0" w:color="auto"/>
            </w:tcBorders>
            <w:shd w:val="clear" w:color="auto" w:fill="auto"/>
            <w:vAlign w:val="bottom"/>
          </w:tcPr>
          <w:p w:rsidR="00E421FD" w:rsidRPr="00960E47" w:rsidRDefault="00E421FD" w:rsidP="00BD2CEB">
            <w:pPr>
              <w:pStyle w:val="SingleTxtG"/>
              <w:spacing w:before="40" w:after="40" w:line="220" w:lineRule="exact"/>
              <w:ind w:left="0" w:right="0"/>
              <w:jc w:val="right"/>
              <w:rPr>
                <w:sz w:val="18"/>
                <w:lang w:val="es-ES"/>
              </w:rPr>
            </w:pPr>
            <w:r w:rsidRPr="00960E47">
              <w:rPr>
                <w:sz w:val="18"/>
                <w:lang w:val="es-ES"/>
              </w:rPr>
              <w:t>677.577.000</w:t>
            </w:r>
          </w:p>
        </w:tc>
        <w:tc>
          <w:tcPr>
            <w:tcW w:w="1089" w:type="pct"/>
            <w:tcBorders>
              <w:top w:val="single" w:sz="12" w:space="0" w:color="auto"/>
            </w:tcBorders>
            <w:shd w:val="clear" w:color="auto" w:fill="auto"/>
            <w:vAlign w:val="bottom"/>
          </w:tcPr>
          <w:p w:rsidR="00E421FD" w:rsidRPr="00960E47" w:rsidRDefault="00E421FD" w:rsidP="00BD2CEB">
            <w:pPr>
              <w:pStyle w:val="SingleTxtG"/>
              <w:spacing w:before="40" w:after="40" w:line="220" w:lineRule="exact"/>
              <w:ind w:left="0" w:right="0"/>
              <w:jc w:val="right"/>
              <w:rPr>
                <w:sz w:val="18"/>
                <w:lang w:val="es-ES"/>
              </w:rPr>
            </w:pPr>
            <w:r w:rsidRPr="00960E47">
              <w:rPr>
                <w:sz w:val="18"/>
                <w:lang w:val="es-ES"/>
              </w:rPr>
              <w:t>682.314.000</w:t>
            </w:r>
          </w:p>
        </w:tc>
        <w:tc>
          <w:tcPr>
            <w:tcW w:w="1089" w:type="pct"/>
            <w:tcBorders>
              <w:top w:val="single" w:sz="12" w:space="0" w:color="auto"/>
            </w:tcBorders>
            <w:shd w:val="clear" w:color="auto" w:fill="auto"/>
            <w:vAlign w:val="bottom"/>
          </w:tcPr>
          <w:p w:rsidR="00E421FD" w:rsidRPr="00960E47" w:rsidRDefault="00E421FD" w:rsidP="00BD2CEB">
            <w:pPr>
              <w:pStyle w:val="SingleTxtG"/>
              <w:spacing w:before="40" w:after="40" w:line="220" w:lineRule="exact"/>
              <w:ind w:left="0" w:right="0"/>
              <w:jc w:val="right"/>
              <w:rPr>
                <w:sz w:val="18"/>
                <w:lang w:val="es-ES"/>
              </w:rPr>
            </w:pPr>
            <w:r w:rsidRPr="00960E47">
              <w:rPr>
                <w:sz w:val="18"/>
                <w:lang w:val="es-ES"/>
              </w:rPr>
              <w:t>682.314.000</w:t>
            </w:r>
          </w:p>
        </w:tc>
      </w:tr>
    </w:tbl>
    <w:p w:rsidR="00E421FD" w:rsidRPr="00960E47" w:rsidRDefault="00E421FD" w:rsidP="00BD2CEB">
      <w:pPr>
        <w:spacing w:before="120" w:after="240"/>
        <w:ind w:left="1134" w:right="1134" w:firstLine="170"/>
        <w:rPr>
          <w:sz w:val="18"/>
          <w:lang w:val="es-ES"/>
        </w:rPr>
      </w:pPr>
      <w:r w:rsidRPr="00960E47">
        <w:rPr>
          <w:i/>
          <w:sz w:val="18"/>
          <w:lang w:val="es-ES"/>
        </w:rPr>
        <w:t>Fuente:</w:t>
      </w:r>
      <w:r w:rsidRPr="00960E47">
        <w:rPr>
          <w:sz w:val="18"/>
          <w:lang w:val="es-ES"/>
        </w:rPr>
        <w:t xml:space="preserve"> Banco Mundial, Indicadores del desarrollo mundial.</w:t>
      </w:r>
    </w:p>
    <w:tbl>
      <w:tblPr>
        <w:tblW w:w="8505" w:type="dxa"/>
        <w:tblInd w:w="1134" w:type="dxa"/>
        <w:tblBorders>
          <w:top w:val="single" w:sz="4" w:space="0" w:color="auto"/>
          <w:bottom w:val="single" w:sz="12" w:space="0" w:color="auto"/>
        </w:tblBorders>
        <w:tblLayout w:type="fixed"/>
        <w:tblCellMar>
          <w:left w:w="0" w:type="dxa"/>
          <w:right w:w="0" w:type="dxa"/>
        </w:tblCellMar>
        <w:tblLook w:val="04A0"/>
      </w:tblPr>
      <w:tblGrid>
        <w:gridCol w:w="790"/>
        <w:gridCol w:w="2091"/>
        <w:gridCol w:w="1345"/>
        <w:gridCol w:w="1345"/>
        <w:gridCol w:w="2934"/>
      </w:tblGrid>
      <w:tr w:rsidR="00E421FD" w:rsidRPr="00960E47" w:rsidTr="00541C32">
        <w:trPr>
          <w:tblHeader/>
        </w:trPr>
        <w:tc>
          <w:tcPr>
            <w:tcW w:w="464" w:type="pct"/>
            <w:tcBorders>
              <w:top w:val="single" w:sz="4" w:space="0" w:color="auto"/>
              <w:bottom w:val="single" w:sz="12" w:space="0" w:color="auto"/>
            </w:tcBorders>
            <w:shd w:val="clear" w:color="auto" w:fill="auto"/>
            <w:vAlign w:val="bottom"/>
          </w:tcPr>
          <w:p w:rsidR="00E421FD" w:rsidRPr="00960E47" w:rsidRDefault="00E421FD" w:rsidP="00541C32">
            <w:pPr>
              <w:pStyle w:val="SingleTxtG"/>
              <w:spacing w:before="80" w:after="80" w:line="200" w:lineRule="exact"/>
              <w:ind w:left="0" w:right="0"/>
              <w:jc w:val="left"/>
              <w:rPr>
                <w:i/>
                <w:sz w:val="16"/>
                <w:lang w:val="es-ES"/>
              </w:rPr>
            </w:pPr>
            <w:r w:rsidRPr="00960E47">
              <w:rPr>
                <w:i/>
                <w:sz w:val="16"/>
                <w:lang w:val="es-ES"/>
              </w:rPr>
              <w:t>Año</w:t>
            </w:r>
          </w:p>
        </w:tc>
        <w:tc>
          <w:tcPr>
            <w:tcW w:w="1229" w:type="pct"/>
            <w:tcBorders>
              <w:top w:val="single" w:sz="4" w:space="0" w:color="auto"/>
              <w:bottom w:val="single" w:sz="12" w:space="0" w:color="auto"/>
            </w:tcBorders>
            <w:shd w:val="clear" w:color="auto" w:fill="auto"/>
            <w:vAlign w:val="bottom"/>
          </w:tcPr>
          <w:p w:rsidR="00E421FD" w:rsidRPr="00960E47" w:rsidRDefault="00E421FD" w:rsidP="00541C32">
            <w:pPr>
              <w:pStyle w:val="SingleTxtG"/>
              <w:spacing w:before="80" w:after="80" w:line="200" w:lineRule="exact"/>
              <w:ind w:left="0" w:right="0"/>
              <w:jc w:val="right"/>
              <w:rPr>
                <w:i/>
                <w:sz w:val="16"/>
                <w:lang w:val="es-ES"/>
              </w:rPr>
            </w:pPr>
            <w:r w:rsidRPr="00960E47">
              <w:rPr>
                <w:i/>
                <w:sz w:val="16"/>
                <w:lang w:val="es-ES"/>
              </w:rPr>
              <w:t xml:space="preserve">Deuda externa </w:t>
            </w:r>
            <w:r w:rsidR="009C195E" w:rsidRPr="00960E47">
              <w:rPr>
                <w:i/>
                <w:sz w:val="16"/>
                <w:lang w:val="es-ES"/>
              </w:rPr>
              <w:br/>
            </w:r>
            <w:r w:rsidRPr="00960E47">
              <w:rPr>
                <w:i/>
                <w:sz w:val="16"/>
                <w:lang w:val="es-ES"/>
              </w:rPr>
              <w:t>(en dólares de los EE.UU.)</w:t>
            </w:r>
          </w:p>
        </w:tc>
        <w:tc>
          <w:tcPr>
            <w:tcW w:w="791" w:type="pct"/>
            <w:tcBorders>
              <w:top w:val="single" w:sz="4" w:space="0" w:color="auto"/>
              <w:bottom w:val="single" w:sz="12" w:space="0" w:color="auto"/>
            </w:tcBorders>
            <w:shd w:val="clear" w:color="auto" w:fill="auto"/>
            <w:vAlign w:val="bottom"/>
          </w:tcPr>
          <w:p w:rsidR="00E421FD" w:rsidRPr="00960E47" w:rsidRDefault="00E421FD" w:rsidP="00541C32">
            <w:pPr>
              <w:pStyle w:val="SingleTxtG"/>
              <w:spacing w:before="80" w:after="80" w:line="200" w:lineRule="exact"/>
              <w:ind w:left="0" w:right="0"/>
              <w:jc w:val="right"/>
              <w:rPr>
                <w:i/>
                <w:sz w:val="16"/>
                <w:lang w:val="es-ES"/>
              </w:rPr>
            </w:pPr>
            <w:r w:rsidRPr="00960E47">
              <w:rPr>
                <w:i/>
                <w:sz w:val="16"/>
                <w:lang w:val="es-ES"/>
              </w:rPr>
              <w:t>Puesto</w:t>
            </w:r>
          </w:p>
        </w:tc>
        <w:tc>
          <w:tcPr>
            <w:tcW w:w="791" w:type="pct"/>
            <w:tcBorders>
              <w:top w:val="single" w:sz="4" w:space="0" w:color="auto"/>
              <w:bottom w:val="single" w:sz="12" w:space="0" w:color="auto"/>
            </w:tcBorders>
            <w:shd w:val="clear" w:color="auto" w:fill="auto"/>
            <w:vAlign w:val="bottom"/>
          </w:tcPr>
          <w:p w:rsidR="00E421FD" w:rsidRPr="00960E47" w:rsidRDefault="00E421FD" w:rsidP="00541C32">
            <w:pPr>
              <w:pStyle w:val="SingleTxtG"/>
              <w:spacing w:before="80" w:after="80" w:line="200" w:lineRule="exact"/>
              <w:ind w:left="0" w:right="0"/>
              <w:jc w:val="right"/>
              <w:rPr>
                <w:i/>
                <w:sz w:val="16"/>
                <w:lang w:val="es-ES"/>
              </w:rPr>
            </w:pPr>
            <w:r w:rsidRPr="00960E47">
              <w:rPr>
                <w:i/>
                <w:sz w:val="16"/>
                <w:lang w:val="es-ES"/>
              </w:rPr>
              <w:t>Porcentaje</w:t>
            </w:r>
          </w:p>
        </w:tc>
        <w:tc>
          <w:tcPr>
            <w:tcW w:w="1725" w:type="pct"/>
            <w:tcBorders>
              <w:top w:val="single" w:sz="4" w:space="0" w:color="auto"/>
              <w:bottom w:val="single" w:sz="12" w:space="0" w:color="auto"/>
            </w:tcBorders>
            <w:shd w:val="clear" w:color="auto" w:fill="auto"/>
            <w:vAlign w:val="bottom"/>
          </w:tcPr>
          <w:p w:rsidR="00E421FD" w:rsidRPr="00960E47" w:rsidRDefault="00E421FD" w:rsidP="00541C32">
            <w:pPr>
              <w:pStyle w:val="SingleTxtG"/>
              <w:spacing w:before="80" w:after="80" w:line="200" w:lineRule="exact"/>
              <w:ind w:left="0" w:right="0"/>
              <w:jc w:val="right"/>
              <w:rPr>
                <w:i/>
                <w:sz w:val="16"/>
                <w:lang w:val="es-ES"/>
              </w:rPr>
            </w:pPr>
            <w:r w:rsidRPr="00960E47">
              <w:rPr>
                <w:i/>
                <w:sz w:val="16"/>
                <w:lang w:val="es-ES"/>
              </w:rPr>
              <w:t xml:space="preserve">Fecha de información </w:t>
            </w:r>
          </w:p>
        </w:tc>
      </w:tr>
      <w:tr w:rsidR="00E421FD" w:rsidRPr="00960E47" w:rsidTr="00541C32">
        <w:tc>
          <w:tcPr>
            <w:tcW w:w="464" w:type="pct"/>
            <w:tcBorders>
              <w:top w:val="single" w:sz="12" w:space="0" w:color="auto"/>
            </w:tcBorders>
            <w:shd w:val="clear" w:color="auto" w:fill="auto"/>
            <w:vAlign w:val="bottom"/>
          </w:tcPr>
          <w:p w:rsidR="00E421FD" w:rsidRPr="00960E47" w:rsidRDefault="00E421FD" w:rsidP="00541C32">
            <w:pPr>
              <w:pStyle w:val="SingleTxtG"/>
              <w:spacing w:before="40" w:after="40" w:line="220" w:lineRule="exact"/>
              <w:ind w:left="0" w:right="0"/>
              <w:jc w:val="left"/>
              <w:rPr>
                <w:sz w:val="18"/>
                <w:lang w:val="es-ES"/>
              </w:rPr>
            </w:pPr>
            <w:r w:rsidRPr="00960E47">
              <w:rPr>
                <w:sz w:val="18"/>
                <w:lang w:val="es-ES"/>
              </w:rPr>
              <w:t>2005</w:t>
            </w:r>
          </w:p>
        </w:tc>
        <w:tc>
          <w:tcPr>
            <w:tcW w:w="1229" w:type="pct"/>
            <w:tcBorders>
              <w:top w:val="single" w:sz="12" w:space="0" w:color="auto"/>
            </w:tcBorders>
            <w:shd w:val="clear" w:color="auto" w:fill="auto"/>
            <w:vAlign w:val="bottom"/>
          </w:tcPr>
          <w:p w:rsidR="00E421FD" w:rsidRPr="00960E47" w:rsidRDefault="00E421FD" w:rsidP="00541C32">
            <w:pPr>
              <w:pStyle w:val="SingleTxtG"/>
              <w:spacing w:before="40" w:after="40" w:line="220" w:lineRule="exact"/>
              <w:ind w:left="0" w:right="0"/>
              <w:jc w:val="right"/>
              <w:rPr>
                <w:sz w:val="18"/>
                <w:lang w:val="es-ES"/>
              </w:rPr>
            </w:pPr>
            <w:r w:rsidRPr="00960E47">
              <w:rPr>
                <w:sz w:val="18"/>
                <w:lang w:val="es-ES"/>
              </w:rPr>
              <w:t>735</w:t>
            </w:r>
            <w:r w:rsidR="009C195E" w:rsidRPr="00960E47">
              <w:rPr>
                <w:sz w:val="18"/>
                <w:lang w:val="es-ES"/>
              </w:rPr>
              <w:t xml:space="preserve"> </w:t>
            </w:r>
            <w:r w:rsidRPr="00960E47">
              <w:rPr>
                <w:sz w:val="18"/>
                <w:lang w:val="es-ES"/>
              </w:rPr>
              <w:t>000</w:t>
            </w:r>
            <w:r w:rsidR="009C195E" w:rsidRPr="00960E47">
              <w:rPr>
                <w:sz w:val="18"/>
                <w:lang w:val="es-ES"/>
              </w:rPr>
              <w:t xml:space="preserve"> </w:t>
            </w:r>
            <w:r w:rsidRPr="00960E47">
              <w:rPr>
                <w:sz w:val="18"/>
                <w:lang w:val="es-ES"/>
              </w:rPr>
              <w:t>000</w:t>
            </w:r>
          </w:p>
        </w:tc>
        <w:tc>
          <w:tcPr>
            <w:tcW w:w="791" w:type="pct"/>
            <w:tcBorders>
              <w:top w:val="single" w:sz="12" w:space="0" w:color="auto"/>
            </w:tcBorders>
            <w:shd w:val="clear" w:color="auto" w:fill="auto"/>
            <w:vAlign w:val="bottom"/>
          </w:tcPr>
          <w:p w:rsidR="00E421FD" w:rsidRPr="00960E47" w:rsidRDefault="00E421FD" w:rsidP="00541C32">
            <w:pPr>
              <w:pStyle w:val="SingleTxtG"/>
              <w:spacing w:before="40" w:after="40" w:line="220" w:lineRule="exact"/>
              <w:ind w:left="0" w:right="0"/>
              <w:jc w:val="right"/>
              <w:rPr>
                <w:sz w:val="18"/>
                <w:lang w:val="es-ES"/>
              </w:rPr>
            </w:pPr>
            <w:r w:rsidRPr="00960E47">
              <w:rPr>
                <w:sz w:val="18"/>
                <w:lang w:val="es-ES"/>
              </w:rPr>
              <w:t>150</w:t>
            </w:r>
          </w:p>
        </w:tc>
        <w:tc>
          <w:tcPr>
            <w:tcW w:w="791" w:type="pct"/>
            <w:tcBorders>
              <w:top w:val="single" w:sz="12" w:space="0" w:color="auto"/>
            </w:tcBorders>
            <w:shd w:val="clear" w:color="auto" w:fill="auto"/>
            <w:vAlign w:val="bottom"/>
          </w:tcPr>
          <w:p w:rsidR="00E421FD" w:rsidRPr="00960E47" w:rsidRDefault="00E421FD" w:rsidP="00541C32">
            <w:pPr>
              <w:pStyle w:val="SingleTxtG"/>
              <w:spacing w:before="40" w:after="40" w:line="220" w:lineRule="exact"/>
              <w:ind w:left="0" w:right="0"/>
              <w:jc w:val="right"/>
              <w:rPr>
                <w:sz w:val="18"/>
                <w:lang w:val="es-ES"/>
              </w:rPr>
            </w:pPr>
            <w:r w:rsidRPr="00960E47">
              <w:rPr>
                <w:sz w:val="18"/>
                <w:lang w:val="es-ES"/>
              </w:rPr>
              <w:t>0,00</w:t>
            </w:r>
          </w:p>
        </w:tc>
        <w:tc>
          <w:tcPr>
            <w:tcW w:w="1725" w:type="pct"/>
            <w:tcBorders>
              <w:top w:val="single" w:sz="12" w:space="0" w:color="auto"/>
            </w:tcBorders>
            <w:shd w:val="clear" w:color="auto" w:fill="auto"/>
            <w:vAlign w:val="bottom"/>
          </w:tcPr>
          <w:p w:rsidR="00E421FD" w:rsidRPr="00960E47" w:rsidRDefault="00E421FD" w:rsidP="00541C32">
            <w:pPr>
              <w:pStyle w:val="SingleTxtG"/>
              <w:spacing w:before="40" w:after="40" w:line="220" w:lineRule="exact"/>
              <w:ind w:left="0" w:right="0"/>
              <w:jc w:val="right"/>
              <w:rPr>
                <w:sz w:val="18"/>
                <w:lang w:val="es-ES"/>
              </w:rPr>
            </w:pPr>
            <w:r w:rsidRPr="00960E47">
              <w:rPr>
                <w:sz w:val="18"/>
                <w:lang w:val="es-ES"/>
              </w:rPr>
              <w:t>2002</w:t>
            </w:r>
          </w:p>
        </w:tc>
      </w:tr>
      <w:tr w:rsidR="00E421FD" w:rsidRPr="00960E47" w:rsidTr="00541C32">
        <w:tc>
          <w:tcPr>
            <w:tcW w:w="464" w:type="pct"/>
            <w:shd w:val="clear" w:color="auto" w:fill="auto"/>
            <w:vAlign w:val="bottom"/>
          </w:tcPr>
          <w:p w:rsidR="00E421FD" w:rsidRPr="00960E47" w:rsidRDefault="00E421FD" w:rsidP="00541C32">
            <w:pPr>
              <w:pStyle w:val="SingleTxtG"/>
              <w:spacing w:before="40" w:after="40" w:line="220" w:lineRule="exact"/>
              <w:ind w:left="0" w:right="0"/>
              <w:jc w:val="left"/>
              <w:rPr>
                <w:sz w:val="18"/>
                <w:lang w:val="es-ES"/>
              </w:rPr>
            </w:pPr>
            <w:r w:rsidRPr="00960E47">
              <w:rPr>
                <w:sz w:val="18"/>
                <w:lang w:val="es-ES"/>
              </w:rPr>
              <w:t>2006</w:t>
            </w:r>
          </w:p>
        </w:tc>
        <w:tc>
          <w:tcPr>
            <w:tcW w:w="1229" w:type="pct"/>
            <w:shd w:val="clear" w:color="auto" w:fill="auto"/>
            <w:vAlign w:val="bottom"/>
          </w:tcPr>
          <w:p w:rsidR="00E421FD" w:rsidRPr="00960E47" w:rsidRDefault="00E421FD" w:rsidP="00541C32">
            <w:pPr>
              <w:pStyle w:val="SingleTxtG"/>
              <w:spacing w:before="40" w:after="40" w:line="220" w:lineRule="exact"/>
              <w:ind w:left="0" w:right="0"/>
              <w:jc w:val="right"/>
              <w:rPr>
                <w:sz w:val="18"/>
                <w:lang w:val="es-ES"/>
              </w:rPr>
            </w:pPr>
            <w:r w:rsidRPr="00960E47">
              <w:rPr>
                <w:sz w:val="18"/>
                <w:lang w:val="es-ES"/>
              </w:rPr>
              <w:t>735</w:t>
            </w:r>
            <w:r w:rsidR="009C195E" w:rsidRPr="00960E47">
              <w:rPr>
                <w:sz w:val="18"/>
                <w:lang w:val="es-ES"/>
              </w:rPr>
              <w:t xml:space="preserve"> </w:t>
            </w:r>
            <w:r w:rsidRPr="00960E47">
              <w:rPr>
                <w:sz w:val="18"/>
                <w:lang w:val="es-ES"/>
              </w:rPr>
              <w:t>000</w:t>
            </w:r>
            <w:r w:rsidR="009C195E" w:rsidRPr="00960E47">
              <w:rPr>
                <w:sz w:val="18"/>
                <w:lang w:val="es-ES"/>
              </w:rPr>
              <w:t xml:space="preserve"> </w:t>
            </w:r>
            <w:r w:rsidRPr="00960E47">
              <w:rPr>
                <w:sz w:val="18"/>
                <w:lang w:val="es-ES"/>
              </w:rPr>
              <w:t xml:space="preserve">000 </w:t>
            </w:r>
          </w:p>
        </w:tc>
        <w:tc>
          <w:tcPr>
            <w:tcW w:w="791" w:type="pct"/>
            <w:shd w:val="clear" w:color="auto" w:fill="auto"/>
            <w:vAlign w:val="bottom"/>
          </w:tcPr>
          <w:p w:rsidR="00E421FD" w:rsidRPr="00960E47" w:rsidRDefault="00E421FD" w:rsidP="00541C32">
            <w:pPr>
              <w:pStyle w:val="SingleTxtG"/>
              <w:spacing w:before="40" w:after="40" w:line="220" w:lineRule="exact"/>
              <w:ind w:left="0" w:right="0"/>
              <w:jc w:val="right"/>
              <w:rPr>
                <w:sz w:val="18"/>
                <w:lang w:val="es-ES"/>
              </w:rPr>
            </w:pPr>
            <w:r w:rsidRPr="00960E47">
              <w:rPr>
                <w:sz w:val="18"/>
                <w:lang w:val="es-ES"/>
              </w:rPr>
              <w:t>156</w:t>
            </w:r>
          </w:p>
        </w:tc>
        <w:tc>
          <w:tcPr>
            <w:tcW w:w="791" w:type="pct"/>
            <w:shd w:val="clear" w:color="auto" w:fill="auto"/>
            <w:vAlign w:val="bottom"/>
          </w:tcPr>
          <w:p w:rsidR="00E421FD" w:rsidRPr="00960E47" w:rsidRDefault="009C195E" w:rsidP="00541C32">
            <w:pPr>
              <w:pStyle w:val="SingleTxtG"/>
              <w:spacing w:before="40" w:after="40" w:line="220" w:lineRule="exact"/>
              <w:ind w:left="0" w:right="0"/>
              <w:jc w:val="right"/>
              <w:rPr>
                <w:sz w:val="18"/>
                <w:lang w:val="es-ES"/>
              </w:rPr>
            </w:pPr>
            <w:r w:rsidRPr="00960E47">
              <w:rPr>
                <w:sz w:val="18"/>
                <w:lang w:val="es-ES"/>
              </w:rPr>
              <w:t>0,00</w:t>
            </w:r>
          </w:p>
        </w:tc>
        <w:tc>
          <w:tcPr>
            <w:tcW w:w="1725" w:type="pct"/>
            <w:shd w:val="clear" w:color="auto" w:fill="auto"/>
            <w:vAlign w:val="bottom"/>
          </w:tcPr>
          <w:p w:rsidR="00E421FD" w:rsidRPr="00960E47" w:rsidRDefault="00E421FD" w:rsidP="00541C32">
            <w:pPr>
              <w:pStyle w:val="SingleTxtG"/>
              <w:spacing w:before="40" w:after="40" w:line="220" w:lineRule="exact"/>
              <w:ind w:left="0" w:right="0"/>
              <w:jc w:val="right"/>
              <w:rPr>
                <w:sz w:val="18"/>
                <w:lang w:val="es-ES"/>
              </w:rPr>
            </w:pPr>
            <w:r w:rsidRPr="00960E47">
              <w:rPr>
                <w:sz w:val="18"/>
                <w:lang w:val="es-ES"/>
              </w:rPr>
              <w:t>2002</w:t>
            </w:r>
          </w:p>
        </w:tc>
      </w:tr>
      <w:tr w:rsidR="00E421FD" w:rsidRPr="00960E47" w:rsidTr="00541C32">
        <w:tc>
          <w:tcPr>
            <w:tcW w:w="464" w:type="pct"/>
            <w:shd w:val="clear" w:color="auto" w:fill="auto"/>
            <w:vAlign w:val="bottom"/>
          </w:tcPr>
          <w:p w:rsidR="00E421FD" w:rsidRPr="00960E47" w:rsidRDefault="00E421FD" w:rsidP="00541C32">
            <w:pPr>
              <w:pStyle w:val="SingleTxtG"/>
              <w:spacing w:before="40" w:after="40" w:line="220" w:lineRule="exact"/>
              <w:ind w:left="0" w:right="0"/>
              <w:jc w:val="left"/>
              <w:rPr>
                <w:sz w:val="18"/>
                <w:lang w:val="es-ES"/>
              </w:rPr>
            </w:pPr>
            <w:r w:rsidRPr="00960E47">
              <w:rPr>
                <w:sz w:val="18"/>
                <w:lang w:val="es-ES"/>
              </w:rPr>
              <w:t>2007</w:t>
            </w:r>
          </w:p>
        </w:tc>
        <w:tc>
          <w:tcPr>
            <w:tcW w:w="1229" w:type="pct"/>
            <w:shd w:val="clear" w:color="auto" w:fill="auto"/>
            <w:vAlign w:val="bottom"/>
          </w:tcPr>
          <w:p w:rsidR="00E421FD" w:rsidRPr="00960E47" w:rsidRDefault="00E421FD" w:rsidP="00541C32">
            <w:pPr>
              <w:pStyle w:val="SingleTxtG"/>
              <w:spacing w:before="40" w:after="40" w:line="220" w:lineRule="exact"/>
              <w:ind w:left="0" w:right="0"/>
              <w:jc w:val="right"/>
              <w:rPr>
                <w:sz w:val="18"/>
                <w:lang w:val="es-ES"/>
              </w:rPr>
            </w:pPr>
            <w:r w:rsidRPr="00960E47">
              <w:rPr>
                <w:sz w:val="18"/>
                <w:lang w:val="es-ES"/>
              </w:rPr>
              <w:t>735</w:t>
            </w:r>
            <w:r w:rsidR="009C195E" w:rsidRPr="00960E47">
              <w:rPr>
                <w:sz w:val="18"/>
                <w:lang w:val="es-ES"/>
              </w:rPr>
              <w:t xml:space="preserve"> </w:t>
            </w:r>
            <w:r w:rsidRPr="00960E47">
              <w:rPr>
                <w:sz w:val="18"/>
                <w:lang w:val="es-ES"/>
              </w:rPr>
              <w:t>000</w:t>
            </w:r>
            <w:r w:rsidR="009C195E" w:rsidRPr="00960E47">
              <w:rPr>
                <w:sz w:val="18"/>
                <w:lang w:val="es-ES"/>
              </w:rPr>
              <w:t xml:space="preserve"> </w:t>
            </w:r>
            <w:r w:rsidRPr="00960E47">
              <w:rPr>
                <w:sz w:val="18"/>
                <w:lang w:val="es-ES"/>
              </w:rPr>
              <w:t>000</w:t>
            </w:r>
          </w:p>
        </w:tc>
        <w:tc>
          <w:tcPr>
            <w:tcW w:w="791" w:type="pct"/>
            <w:shd w:val="clear" w:color="auto" w:fill="auto"/>
            <w:vAlign w:val="bottom"/>
          </w:tcPr>
          <w:p w:rsidR="00E421FD" w:rsidRPr="00960E47" w:rsidRDefault="00E421FD" w:rsidP="00541C32">
            <w:pPr>
              <w:pStyle w:val="SingleTxtG"/>
              <w:spacing w:before="40" w:after="40" w:line="220" w:lineRule="exact"/>
              <w:ind w:left="0" w:right="0"/>
              <w:jc w:val="right"/>
              <w:rPr>
                <w:sz w:val="18"/>
                <w:lang w:val="es-ES"/>
              </w:rPr>
            </w:pPr>
            <w:r w:rsidRPr="00960E47">
              <w:rPr>
                <w:sz w:val="18"/>
                <w:lang w:val="es-ES"/>
              </w:rPr>
              <w:t>156</w:t>
            </w:r>
          </w:p>
        </w:tc>
        <w:tc>
          <w:tcPr>
            <w:tcW w:w="791" w:type="pct"/>
            <w:shd w:val="clear" w:color="auto" w:fill="auto"/>
            <w:vAlign w:val="bottom"/>
          </w:tcPr>
          <w:p w:rsidR="00E421FD" w:rsidRPr="00960E47" w:rsidRDefault="009C195E" w:rsidP="00541C32">
            <w:pPr>
              <w:pStyle w:val="SingleTxtG"/>
              <w:spacing w:before="40" w:after="40" w:line="220" w:lineRule="exact"/>
              <w:ind w:left="0" w:right="0"/>
              <w:jc w:val="right"/>
              <w:rPr>
                <w:sz w:val="18"/>
                <w:lang w:val="es-ES"/>
              </w:rPr>
            </w:pPr>
            <w:r w:rsidRPr="00960E47">
              <w:rPr>
                <w:sz w:val="18"/>
                <w:lang w:val="es-ES"/>
              </w:rPr>
              <w:t>0,00</w:t>
            </w:r>
          </w:p>
        </w:tc>
        <w:tc>
          <w:tcPr>
            <w:tcW w:w="1725" w:type="pct"/>
            <w:shd w:val="clear" w:color="auto" w:fill="auto"/>
            <w:vAlign w:val="bottom"/>
          </w:tcPr>
          <w:p w:rsidR="00E421FD" w:rsidRPr="00960E47" w:rsidRDefault="00E421FD" w:rsidP="00541C32">
            <w:pPr>
              <w:pStyle w:val="SingleTxtG"/>
              <w:spacing w:before="40" w:after="40" w:line="220" w:lineRule="exact"/>
              <w:ind w:left="0" w:right="0"/>
              <w:jc w:val="right"/>
              <w:rPr>
                <w:sz w:val="18"/>
                <w:lang w:val="es-ES"/>
              </w:rPr>
            </w:pPr>
            <w:r w:rsidRPr="00960E47">
              <w:rPr>
                <w:sz w:val="18"/>
                <w:lang w:val="es-ES"/>
              </w:rPr>
              <w:t>2002</w:t>
            </w:r>
          </w:p>
        </w:tc>
      </w:tr>
      <w:tr w:rsidR="00E421FD" w:rsidRPr="00960E47" w:rsidTr="00541C32">
        <w:tc>
          <w:tcPr>
            <w:tcW w:w="464" w:type="pct"/>
            <w:shd w:val="clear" w:color="auto" w:fill="auto"/>
            <w:vAlign w:val="bottom"/>
          </w:tcPr>
          <w:p w:rsidR="00E421FD" w:rsidRPr="00960E47" w:rsidRDefault="00E421FD" w:rsidP="00541C32">
            <w:pPr>
              <w:pStyle w:val="SingleTxtG"/>
              <w:spacing w:before="40" w:after="40" w:line="220" w:lineRule="exact"/>
              <w:ind w:left="0" w:right="0"/>
              <w:jc w:val="left"/>
              <w:rPr>
                <w:sz w:val="18"/>
                <w:lang w:val="es-ES"/>
              </w:rPr>
            </w:pPr>
            <w:r w:rsidRPr="00960E47">
              <w:rPr>
                <w:sz w:val="18"/>
                <w:lang w:val="es-ES"/>
              </w:rPr>
              <w:t>2008</w:t>
            </w:r>
          </w:p>
        </w:tc>
        <w:tc>
          <w:tcPr>
            <w:tcW w:w="1229" w:type="pct"/>
            <w:shd w:val="clear" w:color="auto" w:fill="auto"/>
            <w:vAlign w:val="bottom"/>
          </w:tcPr>
          <w:p w:rsidR="00E421FD" w:rsidRPr="00960E47" w:rsidRDefault="00E421FD" w:rsidP="00541C32">
            <w:pPr>
              <w:pStyle w:val="SingleTxtG"/>
              <w:spacing w:before="40" w:after="40" w:line="220" w:lineRule="exact"/>
              <w:ind w:left="0" w:right="0"/>
              <w:jc w:val="right"/>
              <w:rPr>
                <w:sz w:val="18"/>
                <w:lang w:val="es-ES"/>
              </w:rPr>
            </w:pPr>
            <w:r w:rsidRPr="00960E47">
              <w:rPr>
                <w:sz w:val="18"/>
                <w:lang w:val="es-ES"/>
              </w:rPr>
              <w:t>689</w:t>
            </w:r>
            <w:r w:rsidR="009C195E" w:rsidRPr="00960E47">
              <w:rPr>
                <w:sz w:val="18"/>
                <w:lang w:val="es-ES"/>
              </w:rPr>
              <w:t xml:space="preserve"> </w:t>
            </w:r>
            <w:r w:rsidRPr="00960E47">
              <w:rPr>
                <w:sz w:val="18"/>
                <w:lang w:val="es-ES"/>
              </w:rPr>
              <w:t>000</w:t>
            </w:r>
            <w:r w:rsidR="009C195E" w:rsidRPr="00960E47">
              <w:rPr>
                <w:sz w:val="18"/>
                <w:lang w:val="es-ES"/>
              </w:rPr>
              <w:t xml:space="preserve"> </w:t>
            </w:r>
            <w:r w:rsidRPr="00960E47">
              <w:rPr>
                <w:sz w:val="18"/>
                <w:lang w:val="es-ES"/>
              </w:rPr>
              <w:t xml:space="preserve">000 </w:t>
            </w:r>
          </w:p>
        </w:tc>
        <w:tc>
          <w:tcPr>
            <w:tcW w:w="791" w:type="pct"/>
            <w:shd w:val="clear" w:color="auto" w:fill="auto"/>
            <w:vAlign w:val="bottom"/>
          </w:tcPr>
          <w:p w:rsidR="00E421FD" w:rsidRPr="00960E47" w:rsidRDefault="00E421FD" w:rsidP="00541C32">
            <w:pPr>
              <w:pStyle w:val="SingleTxtG"/>
              <w:spacing w:before="40" w:after="40" w:line="220" w:lineRule="exact"/>
              <w:ind w:left="0" w:right="0"/>
              <w:jc w:val="right"/>
              <w:rPr>
                <w:sz w:val="18"/>
                <w:lang w:val="es-ES"/>
              </w:rPr>
            </w:pPr>
            <w:r w:rsidRPr="00960E47">
              <w:rPr>
                <w:sz w:val="18"/>
                <w:lang w:val="es-ES"/>
              </w:rPr>
              <w:t>156</w:t>
            </w:r>
          </w:p>
        </w:tc>
        <w:tc>
          <w:tcPr>
            <w:tcW w:w="791" w:type="pct"/>
            <w:shd w:val="clear" w:color="auto" w:fill="auto"/>
            <w:vAlign w:val="bottom"/>
          </w:tcPr>
          <w:p w:rsidR="00E421FD" w:rsidRPr="00960E47" w:rsidRDefault="009C195E" w:rsidP="00541C32">
            <w:pPr>
              <w:pStyle w:val="SingleTxtG"/>
              <w:spacing w:before="40" w:after="40" w:line="220" w:lineRule="exact"/>
              <w:ind w:left="0" w:right="0"/>
              <w:jc w:val="right"/>
              <w:rPr>
                <w:sz w:val="18"/>
                <w:lang w:val="es-ES"/>
              </w:rPr>
            </w:pPr>
            <w:r w:rsidRPr="00960E47">
              <w:rPr>
                <w:sz w:val="18"/>
                <w:lang w:val="es-ES"/>
              </w:rPr>
              <w:t>-6,26</w:t>
            </w:r>
          </w:p>
        </w:tc>
        <w:tc>
          <w:tcPr>
            <w:tcW w:w="1725" w:type="pct"/>
            <w:shd w:val="clear" w:color="auto" w:fill="auto"/>
            <w:vAlign w:val="bottom"/>
          </w:tcPr>
          <w:p w:rsidR="00E421FD" w:rsidRPr="00960E47" w:rsidRDefault="00E421FD" w:rsidP="00541C32">
            <w:pPr>
              <w:pStyle w:val="SingleTxtG"/>
              <w:spacing w:before="40" w:after="40" w:line="220" w:lineRule="exact"/>
              <w:ind w:left="0" w:right="0"/>
              <w:jc w:val="right"/>
              <w:rPr>
                <w:sz w:val="18"/>
                <w:lang w:val="es-ES"/>
              </w:rPr>
            </w:pPr>
            <w:r w:rsidRPr="00960E47">
              <w:rPr>
                <w:sz w:val="18"/>
                <w:lang w:val="es-ES"/>
              </w:rPr>
              <w:t>31 de diciembre de 2007, estimación</w:t>
            </w:r>
          </w:p>
        </w:tc>
      </w:tr>
      <w:tr w:rsidR="00E421FD" w:rsidRPr="00960E47" w:rsidTr="00541C32">
        <w:tc>
          <w:tcPr>
            <w:tcW w:w="464" w:type="pct"/>
            <w:shd w:val="clear" w:color="auto" w:fill="auto"/>
            <w:vAlign w:val="bottom"/>
          </w:tcPr>
          <w:p w:rsidR="00E421FD" w:rsidRPr="00960E47" w:rsidRDefault="00E421FD" w:rsidP="00541C32">
            <w:pPr>
              <w:pStyle w:val="SingleTxtG"/>
              <w:spacing w:before="40" w:after="40" w:line="220" w:lineRule="exact"/>
              <w:ind w:left="0" w:right="0"/>
              <w:jc w:val="left"/>
              <w:rPr>
                <w:sz w:val="18"/>
                <w:lang w:val="es-ES"/>
              </w:rPr>
            </w:pPr>
            <w:r w:rsidRPr="00960E47">
              <w:rPr>
                <w:sz w:val="18"/>
                <w:lang w:val="es-ES"/>
              </w:rPr>
              <w:t>2009</w:t>
            </w:r>
          </w:p>
        </w:tc>
        <w:tc>
          <w:tcPr>
            <w:tcW w:w="1229" w:type="pct"/>
            <w:shd w:val="clear" w:color="auto" w:fill="auto"/>
            <w:vAlign w:val="bottom"/>
          </w:tcPr>
          <w:p w:rsidR="00E421FD" w:rsidRPr="00960E47" w:rsidRDefault="00E421FD" w:rsidP="00541C32">
            <w:pPr>
              <w:pStyle w:val="SingleTxtG"/>
              <w:spacing w:before="40" w:after="40" w:line="220" w:lineRule="exact"/>
              <w:ind w:left="0" w:right="0"/>
              <w:jc w:val="right"/>
              <w:rPr>
                <w:sz w:val="18"/>
                <w:lang w:val="es-ES"/>
              </w:rPr>
            </w:pPr>
            <w:r w:rsidRPr="00960E47">
              <w:rPr>
                <w:sz w:val="18"/>
                <w:lang w:val="es-ES"/>
              </w:rPr>
              <w:t>619</w:t>
            </w:r>
            <w:r w:rsidR="009C195E" w:rsidRPr="00960E47">
              <w:rPr>
                <w:sz w:val="18"/>
                <w:lang w:val="es-ES"/>
              </w:rPr>
              <w:t xml:space="preserve"> </w:t>
            </w:r>
            <w:r w:rsidRPr="00960E47">
              <w:rPr>
                <w:sz w:val="18"/>
                <w:lang w:val="es-ES"/>
              </w:rPr>
              <w:t>000</w:t>
            </w:r>
            <w:r w:rsidR="009C195E" w:rsidRPr="00960E47">
              <w:rPr>
                <w:sz w:val="18"/>
                <w:lang w:val="es-ES"/>
              </w:rPr>
              <w:t xml:space="preserve"> </w:t>
            </w:r>
            <w:r w:rsidRPr="00960E47">
              <w:rPr>
                <w:sz w:val="18"/>
                <w:lang w:val="es-ES"/>
              </w:rPr>
              <w:t>000</w:t>
            </w:r>
          </w:p>
        </w:tc>
        <w:tc>
          <w:tcPr>
            <w:tcW w:w="791" w:type="pct"/>
            <w:shd w:val="clear" w:color="auto" w:fill="auto"/>
            <w:vAlign w:val="bottom"/>
          </w:tcPr>
          <w:p w:rsidR="00E421FD" w:rsidRPr="00960E47" w:rsidRDefault="00E421FD" w:rsidP="00541C32">
            <w:pPr>
              <w:pStyle w:val="SingleTxtG"/>
              <w:spacing w:before="40" w:after="40" w:line="220" w:lineRule="exact"/>
              <w:ind w:left="0" w:right="0"/>
              <w:jc w:val="right"/>
              <w:rPr>
                <w:sz w:val="18"/>
                <w:lang w:val="es-ES"/>
              </w:rPr>
            </w:pPr>
            <w:r w:rsidRPr="00960E47">
              <w:rPr>
                <w:sz w:val="18"/>
                <w:lang w:val="es-ES"/>
              </w:rPr>
              <w:t>162</w:t>
            </w:r>
          </w:p>
        </w:tc>
        <w:tc>
          <w:tcPr>
            <w:tcW w:w="791" w:type="pct"/>
            <w:shd w:val="clear" w:color="auto" w:fill="auto"/>
            <w:vAlign w:val="bottom"/>
          </w:tcPr>
          <w:p w:rsidR="00E421FD" w:rsidRPr="00960E47" w:rsidRDefault="009C195E" w:rsidP="00541C32">
            <w:pPr>
              <w:pStyle w:val="SingleTxtG"/>
              <w:spacing w:before="40" w:after="40" w:line="220" w:lineRule="exact"/>
              <w:ind w:left="0" w:right="0"/>
              <w:jc w:val="right"/>
              <w:rPr>
                <w:sz w:val="18"/>
                <w:lang w:val="es-ES"/>
              </w:rPr>
            </w:pPr>
            <w:r w:rsidRPr="00960E47">
              <w:rPr>
                <w:sz w:val="18"/>
                <w:lang w:val="es-ES"/>
              </w:rPr>
              <w:t>-10,16</w:t>
            </w:r>
          </w:p>
        </w:tc>
        <w:tc>
          <w:tcPr>
            <w:tcW w:w="1725" w:type="pct"/>
            <w:shd w:val="clear" w:color="auto" w:fill="auto"/>
            <w:vAlign w:val="bottom"/>
          </w:tcPr>
          <w:p w:rsidR="00E421FD" w:rsidRPr="00960E47" w:rsidRDefault="00E421FD" w:rsidP="00541C32">
            <w:pPr>
              <w:pStyle w:val="SingleTxtG"/>
              <w:spacing w:before="40" w:after="40" w:line="220" w:lineRule="exact"/>
              <w:ind w:left="0" w:right="0"/>
              <w:jc w:val="right"/>
              <w:rPr>
                <w:sz w:val="18"/>
                <w:lang w:val="es-ES"/>
              </w:rPr>
            </w:pPr>
            <w:r w:rsidRPr="00960E47">
              <w:rPr>
                <w:sz w:val="18"/>
                <w:lang w:val="es-ES"/>
              </w:rPr>
              <w:t>31 de diciembre de 2008, estimación</w:t>
            </w:r>
          </w:p>
        </w:tc>
      </w:tr>
      <w:tr w:rsidR="00E421FD" w:rsidRPr="00960E47" w:rsidTr="00541C32">
        <w:tc>
          <w:tcPr>
            <w:tcW w:w="464" w:type="pct"/>
            <w:shd w:val="clear" w:color="auto" w:fill="auto"/>
            <w:vAlign w:val="bottom"/>
          </w:tcPr>
          <w:p w:rsidR="00E421FD" w:rsidRPr="00960E47" w:rsidRDefault="00E421FD" w:rsidP="00541C32">
            <w:pPr>
              <w:pStyle w:val="SingleTxtG"/>
              <w:spacing w:before="40" w:after="40" w:line="220" w:lineRule="exact"/>
              <w:ind w:left="0" w:right="0"/>
              <w:jc w:val="left"/>
              <w:rPr>
                <w:sz w:val="18"/>
                <w:lang w:val="es-ES"/>
              </w:rPr>
            </w:pPr>
            <w:r w:rsidRPr="00960E47">
              <w:rPr>
                <w:sz w:val="18"/>
                <w:lang w:val="es-ES"/>
              </w:rPr>
              <w:t>2010</w:t>
            </w:r>
          </w:p>
        </w:tc>
        <w:tc>
          <w:tcPr>
            <w:tcW w:w="1229" w:type="pct"/>
            <w:shd w:val="clear" w:color="auto" w:fill="auto"/>
            <w:vAlign w:val="bottom"/>
          </w:tcPr>
          <w:p w:rsidR="00E421FD" w:rsidRPr="00960E47" w:rsidRDefault="00E421FD" w:rsidP="00541C32">
            <w:pPr>
              <w:pStyle w:val="SingleTxtG"/>
              <w:spacing w:before="40" w:after="40" w:line="220" w:lineRule="exact"/>
              <w:ind w:left="0" w:right="0"/>
              <w:jc w:val="right"/>
              <w:rPr>
                <w:sz w:val="18"/>
                <w:lang w:val="es-ES"/>
              </w:rPr>
            </w:pPr>
            <w:r w:rsidRPr="00960E47">
              <w:rPr>
                <w:sz w:val="18"/>
                <w:lang w:val="es-ES"/>
              </w:rPr>
              <w:t>581</w:t>
            </w:r>
            <w:r w:rsidR="009C195E" w:rsidRPr="00960E47">
              <w:rPr>
                <w:sz w:val="18"/>
                <w:lang w:val="es-ES"/>
              </w:rPr>
              <w:t xml:space="preserve"> </w:t>
            </w:r>
            <w:r w:rsidRPr="00960E47">
              <w:rPr>
                <w:sz w:val="18"/>
                <w:lang w:val="es-ES"/>
              </w:rPr>
              <w:t>000</w:t>
            </w:r>
            <w:r w:rsidR="009C195E" w:rsidRPr="00960E47">
              <w:rPr>
                <w:sz w:val="18"/>
                <w:lang w:val="es-ES"/>
              </w:rPr>
              <w:t xml:space="preserve"> </w:t>
            </w:r>
            <w:r w:rsidRPr="00960E47">
              <w:rPr>
                <w:sz w:val="18"/>
                <w:lang w:val="es-ES"/>
              </w:rPr>
              <w:t>000</w:t>
            </w:r>
          </w:p>
        </w:tc>
        <w:tc>
          <w:tcPr>
            <w:tcW w:w="791" w:type="pct"/>
            <w:shd w:val="clear" w:color="auto" w:fill="auto"/>
            <w:vAlign w:val="bottom"/>
          </w:tcPr>
          <w:p w:rsidR="00E421FD" w:rsidRPr="00960E47" w:rsidRDefault="00E421FD" w:rsidP="00541C32">
            <w:pPr>
              <w:pStyle w:val="SingleTxtG"/>
              <w:spacing w:before="40" w:after="40" w:line="220" w:lineRule="exact"/>
              <w:ind w:left="0" w:right="0"/>
              <w:jc w:val="right"/>
              <w:rPr>
                <w:sz w:val="18"/>
                <w:lang w:val="es-ES"/>
              </w:rPr>
            </w:pPr>
            <w:r w:rsidRPr="00960E47">
              <w:rPr>
                <w:sz w:val="18"/>
                <w:lang w:val="es-ES"/>
              </w:rPr>
              <w:t>156</w:t>
            </w:r>
          </w:p>
        </w:tc>
        <w:tc>
          <w:tcPr>
            <w:tcW w:w="791" w:type="pct"/>
            <w:shd w:val="clear" w:color="auto" w:fill="auto"/>
            <w:vAlign w:val="bottom"/>
          </w:tcPr>
          <w:p w:rsidR="00E421FD" w:rsidRPr="00960E47" w:rsidRDefault="009C195E" w:rsidP="00541C32">
            <w:pPr>
              <w:pStyle w:val="SingleTxtG"/>
              <w:spacing w:before="40" w:after="40" w:line="220" w:lineRule="exact"/>
              <w:ind w:left="0" w:right="0"/>
              <w:jc w:val="right"/>
              <w:rPr>
                <w:sz w:val="18"/>
                <w:lang w:val="es-ES"/>
              </w:rPr>
            </w:pPr>
            <w:r w:rsidRPr="00960E47">
              <w:rPr>
                <w:sz w:val="18"/>
                <w:lang w:val="es-ES"/>
              </w:rPr>
              <w:t>-6,14</w:t>
            </w:r>
          </w:p>
        </w:tc>
        <w:tc>
          <w:tcPr>
            <w:tcW w:w="1725" w:type="pct"/>
            <w:shd w:val="clear" w:color="auto" w:fill="auto"/>
            <w:vAlign w:val="bottom"/>
          </w:tcPr>
          <w:p w:rsidR="00E421FD" w:rsidRPr="00960E47" w:rsidRDefault="00E421FD" w:rsidP="00541C32">
            <w:pPr>
              <w:pStyle w:val="SingleTxtG"/>
              <w:spacing w:before="40" w:after="40" w:line="220" w:lineRule="exact"/>
              <w:ind w:left="0" w:right="0"/>
              <w:jc w:val="right"/>
              <w:rPr>
                <w:sz w:val="18"/>
                <w:lang w:val="es-ES"/>
              </w:rPr>
            </w:pPr>
            <w:r w:rsidRPr="00960E47">
              <w:rPr>
                <w:sz w:val="18"/>
                <w:lang w:val="es-ES"/>
              </w:rPr>
              <w:t>31 de diciembre de 2009, estimación</w:t>
            </w:r>
          </w:p>
        </w:tc>
      </w:tr>
    </w:tbl>
    <w:p w:rsidR="00E421FD" w:rsidRPr="00960E47" w:rsidRDefault="009C195E" w:rsidP="00BD2CEB">
      <w:pPr>
        <w:spacing w:before="120"/>
        <w:ind w:left="1134" w:right="1134" w:firstLine="170"/>
        <w:rPr>
          <w:sz w:val="18"/>
          <w:lang w:val="es-ES"/>
        </w:rPr>
      </w:pPr>
      <w:r w:rsidRPr="00960E47">
        <w:rPr>
          <w:i/>
          <w:sz w:val="18"/>
          <w:lang w:val="es-ES"/>
        </w:rPr>
        <w:t>Fuente:</w:t>
      </w:r>
      <w:r w:rsidRPr="00960E47">
        <w:rPr>
          <w:sz w:val="18"/>
          <w:lang w:val="es-ES"/>
        </w:rPr>
        <w:t xml:space="preserve"> </w:t>
      </w:r>
      <w:r w:rsidR="00E421FD" w:rsidRPr="00960E47">
        <w:rPr>
          <w:sz w:val="18"/>
          <w:lang w:val="es-ES"/>
        </w:rPr>
        <w:t>CIA World Fact Book – Información válida al 19 de febrero de 2010.</w:t>
      </w:r>
    </w:p>
    <w:p w:rsidR="00E421FD" w:rsidRPr="00960E47" w:rsidRDefault="00E421FD" w:rsidP="00BD2CEB">
      <w:pPr>
        <w:spacing w:after="240"/>
        <w:ind w:left="1134" w:right="1134" w:firstLine="170"/>
        <w:rPr>
          <w:sz w:val="18"/>
          <w:lang w:val="es-ES"/>
        </w:rPr>
      </w:pPr>
      <w:r w:rsidRPr="00960E47">
        <w:rPr>
          <w:i/>
          <w:sz w:val="18"/>
          <w:lang w:val="es-ES"/>
        </w:rPr>
        <w:t>Definición:</w:t>
      </w:r>
      <w:r w:rsidRPr="00960E47">
        <w:rPr>
          <w:sz w:val="18"/>
          <w:lang w:val="es-ES"/>
        </w:rPr>
        <w:t xml:space="preserve"> En este cuadro se presenta el total de la deuda pública y privada contraído con no residentes pagadera en divisas, bienes y servicios de otros países. Estas cifras se calculan en función del tipo de cambio, que no es lo mismo que la paridad del poder adquisitivo.</w:t>
      </w:r>
    </w:p>
    <w:p w:rsidR="00E421FD" w:rsidRPr="00960E47" w:rsidRDefault="009C195E" w:rsidP="00BD2CEB">
      <w:pPr>
        <w:pStyle w:val="HChG"/>
        <w:rPr>
          <w:lang w:val="es-ES"/>
        </w:rPr>
      </w:pPr>
      <w:r w:rsidRPr="00960E47">
        <w:rPr>
          <w:lang w:val="es-ES"/>
        </w:rPr>
        <w:tab/>
        <w:t>II.</w:t>
      </w:r>
      <w:r w:rsidRPr="00960E47">
        <w:rPr>
          <w:lang w:val="es-ES"/>
        </w:rPr>
        <w:tab/>
      </w:r>
      <w:r w:rsidR="00E421FD" w:rsidRPr="00960E47">
        <w:rPr>
          <w:lang w:val="es-ES"/>
        </w:rPr>
        <w:t>Estructuras constitucionales y políticas generales gubernamentales vigentes</w:t>
      </w:r>
    </w:p>
    <w:p w:rsidR="00E421FD" w:rsidRPr="00960E47" w:rsidRDefault="009C195E" w:rsidP="00BD2CEB">
      <w:pPr>
        <w:pStyle w:val="H1G"/>
        <w:rPr>
          <w:lang w:val="es-ES"/>
        </w:rPr>
      </w:pPr>
      <w:r w:rsidRPr="00960E47">
        <w:rPr>
          <w:lang w:val="es-ES"/>
        </w:rPr>
        <w:tab/>
        <w:t>A.</w:t>
      </w:r>
      <w:r w:rsidRPr="00960E47">
        <w:rPr>
          <w:lang w:val="es-ES"/>
        </w:rPr>
        <w:tab/>
        <w:t>Antecedentes</w:t>
      </w:r>
    </w:p>
    <w:p w:rsidR="00E421FD" w:rsidRPr="00960E47" w:rsidRDefault="009C195E" w:rsidP="00BD2CEB">
      <w:pPr>
        <w:pStyle w:val="SingleTxtG"/>
        <w:rPr>
          <w:lang w:val="es-ES"/>
        </w:rPr>
      </w:pPr>
      <w:r w:rsidRPr="00960E47">
        <w:rPr>
          <w:lang w:val="es-ES"/>
        </w:rPr>
        <w:t>77.</w:t>
      </w:r>
      <w:r w:rsidRPr="00960E47">
        <w:rPr>
          <w:lang w:val="es-ES"/>
        </w:rPr>
        <w:tab/>
      </w:r>
      <w:r w:rsidR="00E421FD" w:rsidRPr="00960E47">
        <w:rPr>
          <w:lang w:val="es-ES"/>
        </w:rPr>
        <w:t>El documento HRI/CORE/1/Add.98, de 5 de octubre de 1998, contiene una amplia descripción de los órganos y estructuras gubernamentales del Reino de Lesotho previstos en la Constitución, a saber, los poderes legislativo, ejecutivo y judicial. Dicho documento básico se presentó al Comité de Derechos Humanos junto con el informe inicial de Lesotho sobre el Pacto Internacional de Derechos Civiles y Políticos. En el presente documento se incluyen informaciones y datos actualizados que han cambiado desde la presentación del primer documento básico, por lo que no se repiten la composición ni las facultades de las estructuras de gobierno ya descritas en aquel. El documento actual describe únicamente las novedades registradas en el funcionamiento efectivo de los órganos de la legislatura, el ejecutivo y la judicatura desde el informe del 5 de octubre de 1998 a los órganos de las Naciones Unidas creados en virtud de tratad</w:t>
      </w:r>
      <w:r w:rsidRPr="00960E47">
        <w:rPr>
          <w:lang w:val="es-ES"/>
        </w:rPr>
        <w:t>os. El análisis es el siguiente.</w:t>
      </w:r>
    </w:p>
    <w:p w:rsidR="00E421FD" w:rsidRPr="00960E47" w:rsidRDefault="009C195E" w:rsidP="00BD2CEB">
      <w:pPr>
        <w:pStyle w:val="H1G"/>
        <w:rPr>
          <w:lang w:val="es-ES"/>
        </w:rPr>
      </w:pPr>
      <w:r w:rsidRPr="00960E47">
        <w:rPr>
          <w:lang w:val="es-ES"/>
        </w:rPr>
        <w:tab/>
        <w:t>B.</w:t>
      </w:r>
      <w:r w:rsidRPr="00960E47">
        <w:rPr>
          <w:lang w:val="es-ES"/>
        </w:rPr>
        <w:tab/>
      </w:r>
      <w:r w:rsidR="00E421FD" w:rsidRPr="00960E47">
        <w:rPr>
          <w:lang w:val="es-ES"/>
        </w:rPr>
        <w:t>El poder legislativo</w:t>
      </w:r>
    </w:p>
    <w:p w:rsidR="00E421FD" w:rsidRPr="00960E47" w:rsidRDefault="009C195E" w:rsidP="00BD2CEB">
      <w:pPr>
        <w:pStyle w:val="H23G"/>
        <w:rPr>
          <w:lang w:val="es-ES"/>
        </w:rPr>
      </w:pPr>
      <w:r w:rsidRPr="00960E47">
        <w:rPr>
          <w:lang w:val="es-ES"/>
        </w:rPr>
        <w:tab/>
      </w:r>
      <w:r w:rsidRPr="00960E47">
        <w:rPr>
          <w:lang w:val="es-ES"/>
        </w:rPr>
        <w:tab/>
      </w:r>
      <w:r w:rsidR="00E421FD" w:rsidRPr="00960E47">
        <w:rPr>
          <w:lang w:val="es-ES"/>
        </w:rPr>
        <w:t>Asamblea Nacional</w:t>
      </w:r>
    </w:p>
    <w:p w:rsidR="00E421FD" w:rsidRPr="00960E47" w:rsidRDefault="009C195E" w:rsidP="00BD2CEB">
      <w:pPr>
        <w:pStyle w:val="SingleTxtG"/>
        <w:rPr>
          <w:lang w:val="es-ES"/>
        </w:rPr>
      </w:pPr>
      <w:r w:rsidRPr="00960E47">
        <w:rPr>
          <w:lang w:val="es-ES"/>
        </w:rPr>
        <w:t>78.</w:t>
      </w:r>
      <w:r w:rsidRPr="00960E47">
        <w:rPr>
          <w:lang w:val="es-ES"/>
        </w:rPr>
        <w:tab/>
      </w:r>
      <w:r w:rsidR="00E421FD" w:rsidRPr="00960E47">
        <w:rPr>
          <w:lang w:val="es-ES"/>
        </w:rPr>
        <w:t xml:space="preserve">El artículo 54 de la Constitución establece el Parlamento, que se compone del Rey, el Senado y la Asamblea Nacional. El Senado está integrado por 22 jefes principales y otros 11 senadores nombrados por el Rey, que actúan teniendo en cuenta el asesoramiento del Consejo de Estado (art. 55 de la Constitución). La Asamblea Nacional está integrada por 80 miembros elegidos de conformidad con la Constitución (art. 56). </w:t>
      </w:r>
    </w:p>
    <w:p w:rsidR="00E421FD" w:rsidRPr="00960E47" w:rsidRDefault="009C195E" w:rsidP="00BD2CEB">
      <w:pPr>
        <w:pStyle w:val="SingleTxtG"/>
        <w:rPr>
          <w:lang w:val="es-ES"/>
        </w:rPr>
      </w:pPr>
      <w:r w:rsidRPr="00960E47">
        <w:rPr>
          <w:lang w:val="es-ES"/>
        </w:rPr>
        <w:t>79.</w:t>
      </w:r>
      <w:r w:rsidRPr="00960E47">
        <w:rPr>
          <w:lang w:val="es-ES"/>
        </w:rPr>
        <w:tab/>
      </w:r>
      <w:r w:rsidR="00E421FD" w:rsidRPr="00960E47">
        <w:rPr>
          <w:lang w:val="es-ES"/>
        </w:rPr>
        <w:t xml:space="preserve">La Constitución de Lesotho, en su artículo 1, establece que Lesotho es un reino democrático soberano. En cumplimiento de su mandato constitucional y como demostración de su compromiso con el orden constitucional y democrático, Lesotho ha organizado cuatro elecciones desde el establecimiento de la gobernanza democrática en 1993. Se han celebrado tres elecciones generales nacionales bajo los auspicios de la Comisión Electoral Independiente, establecida en virtud de la Ley núm. 7 sobre la Segunda Enmienda de la Constitución, 1997. La Constitución dispone que los partidos políticos deben preparar y presentar listas de nombres de posibles miembros de la Comisión, para que el Consejo de Estado pueda elegir de esa lista los nombres adecuados de conformidad con el artículo 66 4) de la Ley Electoral. El objetivo es establecer un proceso inclusivo que sea aceptado por todas las partes interesadas y legitimar el nombramiento de los comisionados electorales independientes. La Ley núm. 10 de Elección de la Asamblea Nacional, de 1992, establece un código de conducta obligatorio para todos los partidos y candidatos políticos. El código es aplicado por un tribunal independiente. La </w:t>
      </w:r>
      <w:r w:rsidR="00CF1E48" w:rsidRPr="00960E47">
        <w:rPr>
          <w:lang w:val="es-ES"/>
        </w:rPr>
        <w:t>Ley Electoral</w:t>
      </w:r>
      <w:r w:rsidR="00E421FD" w:rsidRPr="00960E47">
        <w:rPr>
          <w:lang w:val="es-ES"/>
        </w:rPr>
        <w:t xml:space="preserve"> permite a los medios de comunicación públicos libre acceso a todos los partidos durante el período electoral y prohíbe la propaganda comercial de las campañas en esos medios. Está previsto un sistema de solución oportuna de los conflictos electorales, y la Constitución obliga al Tribunal Supremo, que es un Tribunal Constitucional, a ocuparse de las reclamaciones electorales.</w:t>
      </w:r>
    </w:p>
    <w:p w:rsidR="00E421FD" w:rsidRPr="00960E47" w:rsidRDefault="009C195E" w:rsidP="00BD2CEB">
      <w:pPr>
        <w:pStyle w:val="SingleTxtG"/>
        <w:rPr>
          <w:lang w:val="es-ES"/>
        </w:rPr>
      </w:pPr>
      <w:r w:rsidRPr="00960E47">
        <w:rPr>
          <w:lang w:val="es-ES"/>
        </w:rPr>
        <w:t>80.</w:t>
      </w:r>
      <w:r w:rsidRPr="00960E47">
        <w:rPr>
          <w:lang w:val="es-ES"/>
        </w:rPr>
        <w:tab/>
      </w:r>
      <w:r w:rsidR="00E421FD" w:rsidRPr="00960E47">
        <w:rPr>
          <w:lang w:val="es-ES"/>
        </w:rPr>
        <w:t xml:space="preserve">El Parlamento de Lesotho, integrado por el Rey, el Senado y una Asamblea Nacional, es un elemento fundamental para el fortalecimiento y la institucionalización de la democracia. La Ley núm. 4 de la Cuarta Enmienda de la Constitución, de 2001, se aprobó con el fin de garantizar un Parlamento verdaderamente multipartidista, inclusivo y representativo de todas las opiniones de la nación. Ahora hay aproximadamente 11 partidos políticos representados en la Asamblea Nacional. La citada </w:t>
      </w:r>
      <w:r w:rsidR="000F1111" w:rsidRPr="00960E47">
        <w:rPr>
          <w:lang w:val="es-ES"/>
        </w:rPr>
        <w:t xml:space="preserve">ley </w:t>
      </w:r>
      <w:r w:rsidR="00E421FD" w:rsidRPr="00960E47">
        <w:rPr>
          <w:lang w:val="es-ES"/>
        </w:rPr>
        <w:t xml:space="preserve">se aprobó con el fin de enmendar la Constitución y establecer un sistema electoral proporcional mixto para la elección de los miembros de la Asamblea Nacional. La </w:t>
      </w:r>
      <w:r w:rsidR="00CF1E48" w:rsidRPr="00960E47">
        <w:rPr>
          <w:lang w:val="es-ES"/>
        </w:rPr>
        <w:t>ley</w:t>
      </w:r>
      <w:r w:rsidR="00E421FD" w:rsidRPr="00960E47">
        <w:rPr>
          <w:lang w:val="es-ES"/>
        </w:rPr>
        <w:t xml:space="preserve"> preveía además una mayor independencia de la Comisión Electoral Independiente, y contenía disposiciones especiales sobre la celebración de las elecciones generales. La Ley de Elección de la Asamblea Nacional (núm. 1) (Enmienda), de 2001, se promulgó para aplicar las decisiones de la Autoridad Política Provisional, aumentando el número de miembros de la Asamblea Nacional de 80 a 120, y dispuso que 80 de los miembros se eligieran de conformidad con un sistema de representación proporcional.</w:t>
      </w:r>
    </w:p>
    <w:p w:rsidR="00E421FD" w:rsidRPr="00960E47" w:rsidRDefault="009C195E" w:rsidP="00BD2CEB">
      <w:pPr>
        <w:pStyle w:val="SingleTxtG"/>
        <w:rPr>
          <w:lang w:val="es-ES"/>
        </w:rPr>
      </w:pPr>
      <w:r w:rsidRPr="00960E47">
        <w:rPr>
          <w:lang w:val="es-ES"/>
        </w:rPr>
        <w:t>81.</w:t>
      </w:r>
      <w:r w:rsidRPr="00960E47">
        <w:rPr>
          <w:lang w:val="es-ES"/>
        </w:rPr>
        <w:tab/>
      </w:r>
      <w:r w:rsidR="00E421FD" w:rsidRPr="00960E47">
        <w:rPr>
          <w:lang w:val="es-ES"/>
        </w:rPr>
        <w:t xml:space="preserve">En 2004, el Parlamento emprendió un programa radical y amplio de reformas parlamentarias. En él se incluían la revisión de las órdenes permanentes del Parlamento, la creación de comités temáticos y la adopción de medios para hacer posible la participación pública en los procesos parlamentarios. Las nuevas órdenes permanentes revisadas han establecido comités de supervisión de conformidad con el mandato de los diferentes ministerios gubernamentales. Se ha aprobado una disposición sobre la celebración de audiencias públicas acerca de los proyectos de ley presentados al Parlamento. </w:t>
      </w:r>
    </w:p>
    <w:p w:rsidR="00E421FD" w:rsidRPr="00960E47" w:rsidRDefault="009C195E" w:rsidP="00BD2CEB">
      <w:pPr>
        <w:pStyle w:val="SingleTxtG"/>
        <w:rPr>
          <w:lang w:val="es-ES"/>
        </w:rPr>
      </w:pPr>
      <w:r w:rsidRPr="00960E47">
        <w:rPr>
          <w:lang w:val="es-ES"/>
        </w:rPr>
        <w:t>82.</w:t>
      </w:r>
      <w:r w:rsidRPr="00960E47">
        <w:rPr>
          <w:lang w:val="es-ES"/>
        </w:rPr>
        <w:tab/>
      </w:r>
      <w:r w:rsidR="00E421FD" w:rsidRPr="00960E47">
        <w:rPr>
          <w:lang w:val="es-ES"/>
        </w:rPr>
        <w:t xml:space="preserve">La aplicación del nuevo sistema electoral basado en el modelo de representación proporcional mixta promovió la aceptación general de los resultados electorales por primera vez desde la independencia. Posteriormente, Lesotho conoció un período postelectoral pacífico, tras las elecciones de 2002 hasta las de 2007. El modelo político mixto contribuyó eficazmente a reducir las tensiones entre los partidos políticos y sus seguidores. </w:t>
      </w:r>
      <w:r w:rsidR="0045213B" w:rsidRPr="00960E47">
        <w:rPr>
          <w:lang w:val="es-ES"/>
        </w:rPr>
        <w:t>"</w:t>
      </w:r>
      <w:r w:rsidR="00E421FD" w:rsidRPr="00960E47">
        <w:rPr>
          <w:lang w:val="es-ES"/>
        </w:rPr>
        <w:t>Mejoró la inclusión política, la representación de los pequeños partidos en el Parlamento y la legitimidad del partido gobernante</w:t>
      </w:r>
      <w:r w:rsidR="001B642B" w:rsidRPr="00960E47">
        <w:rPr>
          <w:lang w:val="es-ES"/>
        </w:rPr>
        <w:t>.</w:t>
      </w:r>
      <w:r w:rsidR="0045213B" w:rsidRPr="00960E47">
        <w:rPr>
          <w:lang w:val="es-ES"/>
        </w:rPr>
        <w:t>"</w:t>
      </w:r>
      <w:r w:rsidR="00E421FD" w:rsidRPr="00960E47">
        <w:rPr>
          <w:lang w:val="es-ES"/>
        </w:rPr>
        <w:t xml:space="preserve"> En preparación para las elecciones de 2007, los partidos políticos forjaron alianzas entre ellos. El partido Congreso para la Democracia en Lesotho, que es el partido gobernante, formó una alianza con el Partido Independiente Nacional, mientras que el partido Congreso de Basotholandia se alió con el Partido de los Trabajadores de Lesotho. El partido Congreso para la Democracia en Lesotho ganó las elecciones de 2007. Después de las elecciones, algunos de los partidos políticos menores impugnaron el resultado argumentando que el modelo electoral mixto había sido utilizado indebidamente por los grandes partidos políticos.</w:t>
      </w:r>
    </w:p>
    <w:p w:rsidR="00E421FD" w:rsidRPr="00960E47" w:rsidRDefault="009C195E" w:rsidP="00BD2CEB">
      <w:pPr>
        <w:pStyle w:val="SingleTxtG"/>
        <w:rPr>
          <w:lang w:val="es-ES"/>
        </w:rPr>
      </w:pPr>
      <w:r w:rsidRPr="00960E47">
        <w:rPr>
          <w:lang w:val="es-ES"/>
        </w:rPr>
        <w:t>83.</w:t>
      </w:r>
      <w:r w:rsidRPr="00960E47">
        <w:rPr>
          <w:lang w:val="es-ES"/>
        </w:rPr>
        <w:tab/>
      </w:r>
      <w:r w:rsidR="00E421FD" w:rsidRPr="00960E47">
        <w:rPr>
          <w:lang w:val="es-ES"/>
        </w:rPr>
        <w:t xml:space="preserve">En consecuencia, el Partido de la Libertad Marematlou, uno de los partidos políticos perjudicados, formuló una reclamación electoral ante el Tribunal Superior. Al decidir la cuestión en la causa </w:t>
      </w:r>
      <w:r w:rsidR="00E421FD" w:rsidRPr="00960E47">
        <w:rPr>
          <w:i/>
          <w:lang w:val="es-ES"/>
        </w:rPr>
        <w:t>Marematlou Freedom Party (MFP) v. Independent Electoral Commission</w:t>
      </w:r>
      <w:r w:rsidR="00E421FD" w:rsidRPr="00960E47">
        <w:rPr>
          <w:lang w:val="es-ES"/>
        </w:rPr>
        <w:t xml:space="preserve"> CIV/APN/117/07, el Tribunal Superior dictaminó que el Partido de la Libertad Maramatlou no tenía ningún </w:t>
      </w:r>
      <w:r w:rsidR="00E421FD" w:rsidRPr="00960E47">
        <w:rPr>
          <w:i/>
          <w:lang w:val="es-ES"/>
        </w:rPr>
        <w:t>loci standi in judicio</w:t>
      </w:r>
      <w:r w:rsidR="00E421FD" w:rsidRPr="00960E47">
        <w:rPr>
          <w:lang w:val="es-ES"/>
        </w:rPr>
        <w:t xml:space="preserve"> (capacidad jurídica) para presentar dicha reclamación, ya que la Constitución solo permite formularla a un votante o candidato que haya sido perjudicado. La controversia dio lugar a muchos otros actos de protesta por los miembros de los partidos de la oposición. El estancamiento se resolvió finalmente gracias a la mediación del ex Presidente de Botswana, Sir Ketumile Masire. También intervino en la mediación de la controversia el Consejo Cristiano de Lesotho durante la Cumbre de Jefes de Estado y de Gobierno de la SADC en Windhoek (Namibia) ese mismo año. </w:t>
      </w:r>
    </w:p>
    <w:p w:rsidR="00E421FD" w:rsidRPr="00960E47" w:rsidRDefault="009C195E" w:rsidP="00BD2CEB">
      <w:pPr>
        <w:pStyle w:val="SingleTxtG"/>
        <w:rPr>
          <w:lang w:val="es-ES"/>
        </w:rPr>
      </w:pPr>
      <w:r w:rsidRPr="00960E47">
        <w:rPr>
          <w:lang w:val="es-ES"/>
        </w:rPr>
        <w:t>84.</w:t>
      </w:r>
      <w:r w:rsidRPr="00960E47">
        <w:rPr>
          <w:lang w:val="es-ES"/>
        </w:rPr>
        <w:tab/>
      </w:r>
      <w:r w:rsidR="00E421FD" w:rsidRPr="00960E47">
        <w:rPr>
          <w:lang w:val="es-ES"/>
        </w:rPr>
        <w:t xml:space="preserve">En la Cumbre se decidió que, a fin de eliminar incertidumbres en las próximas elecciones generales de 2012, deberían introducirse las enmiendas necesarias en el modelo electoral, la Constitución y la legislación electoral. En la actualidad, los partidos políticos y la Comisión Electoral Independiente mantienen consultas acerca de esos procesos de enmienda. </w:t>
      </w:r>
      <w:r w:rsidR="0045213B" w:rsidRPr="00960E47">
        <w:rPr>
          <w:lang w:val="es-ES"/>
        </w:rPr>
        <w:t>"</w:t>
      </w:r>
      <w:r w:rsidR="00E421FD" w:rsidRPr="00960E47">
        <w:rPr>
          <w:lang w:val="es-ES"/>
        </w:rPr>
        <w:t>Teniendo todavía en cuenta los grandes disturbios que siguieron a las elecciones de 1998, todos los partidos han realizado esfuerzos por evitar una escalada de la controversia. A finales de marzo, los partidos habían acordado que era preciso modificar las leyes electorales y los reglamentos correspondientes de la Constitución a fin de evitar la repetición de esos actos en el futuro, y se están llevando a cabo conversaciones sobre otras cuestiones</w:t>
      </w:r>
      <w:r w:rsidR="001B642B" w:rsidRPr="00960E47">
        <w:rPr>
          <w:lang w:val="es-ES"/>
        </w:rPr>
        <w:t>.</w:t>
      </w:r>
      <w:r w:rsidR="0045213B" w:rsidRPr="00960E47">
        <w:rPr>
          <w:lang w:val="es-ES"/>
        </w:rPr>
        <w:t>"</w:t>
      </w:r>
      <w:r w:rsidR="00E421FD" w:rsidRPr="00960E47">
        <w:rPr>
          <w:rStyle w:val="FootnoteReference"/>
          <w:lang w:val="es-ES"/>
        </w:rPr>
        <w:footnoteReference w:id="17"/>
      </w:r>
    </w:p>
    <w:p w:rsidR="00E421FD" w:rsidRPr="00960E47" w:rsidRDefault="009C195E" w:rsidP="00BD2CEB">
      <w:pPr>
        <w:pStyle w:val="H23G"/>
        <w:rPr>
          <w:lang w:val="es-ES"/>
        </w:rPr>
      </w:pPr>
      <w:r w:rsidRPr="00960E47">
        <w:rPr>
          <w:lang w:val="es-ES"/>
        </w:rPr>
        <w:tab/>
      </w:r>
      <w:r w:rsidRPr="00960E47">
        <w:rPr>
          <w:lang w:val="es-ES"/>
        </w:rPr>
        <w:tab/>
      </w:r>
      <w:r w:rsidR="00AB332B" w:rsidRPr="00960E47">
        <w:rPr>
          <w:lang w:val="es-ES"/>
        </w:rPr>
        <w:t>El Defensor del Pueblo</w:t>
      </w:r>
    </w:p>
    <w:p w:rsidR="00E421FD" w:rsidRPr="00960E47" w:rsidRDefault="009C195E" w:rsidP="00BD2CEB">
      <w:pPr>
        <w:pStyle w:val="SingleTxtG"/>
        <w:rPr>
          <w:lang w:val="es-ES"/>
        </w:rPr>
      </w:pPr>
      <w:r w:rsidRPr="00960E47">
        <w:rPr>
          <w:lang w:val="es-ES"/>
        </w:rPr>
        <w:t>85.</w:t>
      </w:r>
      <w:r w:rsidRPr="00960E47">
        <w:rPr>
          <w:lang w:val="es-ES"/>
        </w:rPr>
        <w:tab/>
      </w:r>
      <w:r w:rsidR="00E421FD" w:rsidRPr="00960E47">
        <w:rPr>
          <w:lang w:val="es-ES"/>
        </w:rPr>
        <w:t>La Oficina del Defensor del Pueblo se creó en virtud del artículo 134 de la Constitución. Entre sus funciones se incluyen la investigación de los actos y casos de administración indebida en los que las personas hayan sufrido injusticias como consecuencia de dicha acción, o de corrupción y violación de los derechos humanos. La Ley del Defensor del Pueblo otorga a este el mandato de investigar violaciones y abusos de los derechos humanos e inspeccionar la situación existente en los lugares de reclusión, detención y rehabilitación. La Oficina funciona desde que comenzó el proceso de democratización y sus intervenciones están consiguiendo cada vez mayor aceptación entre el público. En los cinco últimos años, aproximadamente, la Oficina del Defensor del Pueblo se ha ocupado de una gran variedad de cuestiones, como el enriquecimiento indebido, las injusticias, la mala administración, la corrupción y la violación de los derechos humanos y libertades fundamentales. Una de las intervenciones más recientes y significativas fue la relacionada con una denuncia sobre los derechos de indemnización relacionados con el Proyecto de Aprovechamiento de los Recursos Hídricos de las Tierras Altas de Lesotho presentada por las personas afectadas.</w:t>
      </w:r>
    </w:p>
    <w:p w:rsidR="00E421FD" w:rsidRPr="00960E47" w:rsidRDefault="009C195E" w:rsidP="00BD2CEB">
      <w:pPr>
        <w:pStyle w:val="SingleTxtG"/>
        <w:rPr>
          <w:lang w:val="es-ES"/>
        </w:rPr>
      </w:pPr>
      <w:r w:rsidRPr="00960E47">
        <w:rPr>
          <w:lang w:val="es-ES"/>
        </w:rPr>
        <w:t>86.</w:t>
      </w:r>
      <w:r w:rsidRPr="00960E47">
        <w:rPr>
          <w:lang w:val="es-ES"/>
        </w:rPr>
        <w:tab/>
      </w:r>
      <w:r w:rsidR="00E421FD" w:rsidRPr="00960E47">
        <w:rPr>
          <w:lang w:val="es-ES"/>
        </w:rPr>
        <w:t xml:space="preserve">Al presentar las conclusiones importantes, la Oficina del Defensor del Pueblo normalmente invita a la prensa, a fin de que la información reciba la mayor publicidad posible. La Oficina se ha ocupado también de los casos de acoso sexual en el lugar de trabajo, utilizando para ello el enfoque de denuncia y descrédito a través de los medios de comunicación. No obstante, este es un tema que debe ser sometido a examen para debatir si estas cuestiones no se resolverían mejor a puerta cerrada. El hito más reciente conseguido por esta Oficina ha sido el registro, documentación y publicación de la labor de la Oficina del Defensor del Pueblo a través del libro </w:t>
      </w:r>
      <w:r w:rsidR="00E421FD" w:rsidRPr="00960E47">
        <w:rPr>
          <w:i/>
          <w:lang w:val="es-ES"/>
        </w:rPr>
        <w:t>Promoting Administrative Justice in Lesotho – The Role of the Ombudsman</w:t>
      </w:r>
      <w:r w:rsidR="00DA3204" w:rsidRPr="00960E47">
        <w:rPr>
          <w:i/>
          <w:lang w:val="es-ES"/>
        </w:rPr>
        <w:t xml:space="preserve"> –</w:t>
      </w:r>
      <w:r w:rsidR="00E421FD" w:rsidRPr="00960E47">
        <w:rPr>
          <w:i/>
          <w:lang w:val="es-ES"/>
        </w:rPr>
        <w:t xml:space="preserve"> Quest for Good Governance</w:t>
      </w:r>
      <w:r w:rsidR="00E421FD" w:rsidRPr="00960E47">
        <w:rPr>
          <w:lang w:val="es-ES"/>
        </w:rPr>
        <w:t xml:space="preserve">, redactado por Sekara Sam Mafisa. Esta publicación ha contribuido al desarrollo de la jurisprudencia en este ámbito. Entre 1999 y 2010, el defensor del pueblo ha conseguido los siguientes resultados: </w:t>
      </w:r>
    </w:p>
    <w:p w:rsidR="00E421FD" w:rsidRPr="00960E47" w:rsidRDefault="009C195E" w:rsidP="00BD2CEB">
      <w:pPr>
        <w:pStyle w:val="H23G"/>
        <w:rPr>
          <w:lang w:val="es-ES"/>
        </w:rPr>
      </w:pPr>
      <w:r w:rsidRPr="00960E47">
        <w:rPr>
          <w:lang w:val="es-ES"/>
        </w:rPr>
        <w:tab/>
      </w:r>
      <w:r w:rsidRPr="00960E47">
        <w:rPr>
          <w:lang w:val="es-ES"/>
        </w:rPr>
        <w:tab/>
      </w:r>
      <w:r w:rsidR="005079D2" w:rsidRPr="00960E47">
        <w:rPr>
          <w:lang w:val="es-ES"/>
        </w:rPr>
        <w:t>Auditor General</w:t>
      </w:r>
    </w:p>
    <w:p w:rsidR="00E421FD" w:rsidRPr="00960E47" w:rsidRDefault="009C195E" w:rsidP="00BD2CEB">
      <w:pPr>
        <w:pStyle w:val="SingleTxtG"/>
        <w:rPr>
          <w:lang w:val="es-ES"/>
        </w:rPr>
      </w:pPr>
      <w:r w:rsidRPr="00960E47">
        <w:rPr>
          <w:lang w:val="es-ES"/>
        </w:rPr>
        <w:t>87.</w:t>
      </w:r>
      <w:r w:rsidRPr="00960E47">
        <w:rPr>
          <w:lang w:val="es-ES"/>
        </w:rPr>
        <w:tab/>
      </w:r>
      <w:r w:rsidR="00E421FD" w:rsidRPr="00960E47">
        <w:rPr>
          <w:lang w:val="es-ES"/>
        </w:rPr>
        <w:t>La Oficina del Auditor General, establecida en virtud del artículo 117 de la Constitución, continúa siendo una importante institución de supervisión del desempeño financiero de los tres órganos del Gobierno. Los informes anuales del Auditor General</w:t>
      </w:r>
      <w:r w:rsidRPr="00960E47">
        <w:rPr>
          <w:lang w:val="es-ES"/>
        </w:rPr>
        <w:t xml:space="preserve"> </w:t>
      </w:r>
      <w:r w:rsidR="00E421FD" w:rsidRPr="00960E47">
        <w:rPr>
          <w:lang w:val="es-ES"/>
        </w:rPr>
        <w:t>se someten a la consideración del Parlamento y del Comité de Cuentas Públicas de la Asamblea Nacional. Todos los ministerios y departamentos gubernamentales pueden formular observaciones sobre el informe del Auditor General.</w:t>
      </w:r>
    </w:p>
    <w:p w:rsidR="00E421FD" w:rsidRPr="00960E47" w:rsidRDefault="009C195E" w:rsidP="00BD2CEB">
      <w:pPr>
        <w:pStyle w:val="SingleTxtG"/>
        <w:rPr>
          <w:lang w:val="es-ES"/>
        </w:rPr>
      </w:pPr>
      <w:r w:rsidRPr="00960E47">
        <w:rPr>
          <w:lang w:val="es-ES"/>
        </w:rPr>
        <w:t>88.</w:t>
      </w:r>
      <w:r w:rsidRPr="00960E47">
        <w:rPr>
          <w:lang w:val="es-ES"/>
        </w:rPr>
        <w:tab/>
      </w:r>
      <w:r w:rsidR="00E421FD" w:rsidRPr="00960E47">
        <w:rPr>
          <w:lang w:val="es-ES"/>
        </w:rPr>
        <w:t>Ello tiene lugar en presencia de un representante de la Oficina del Auditor General y la Oficina del Contador General. El Parlamento, que asigna a los distintos ministerios los correspondientes presupuestos de gastos e ingresos a través de la Ley de Consignaciones, recibe un informe completo de todos los ministerios especializados sobre la forma en que han gastado dichos presupuestos que se incluye en el informe del Auditor General.</w:t>
      </w:r>
    </w:p>
    <w:p w:rsidR="00E421FD" w:rsidRPr="00960E47" w:rsidRDefault="009C195E" w:rsidP="00BD2CEB">
      <w:pPr>
        <w:pStyle w:val="SingleTxtG"/>
        <w:rPr>
          <w:lang w:val="es-ES"/>
        </w:rPr>
      </w:pPr>
      <w:r w:rsidRPr="00960E47">
        <w:rPr>
          <w:lang w:val="es-ES"/>
        </w:rPr>
        <w:t>89.</w:t>
      </w:r>
      <w:r w:rsidRPr="00960E47">
        <w:rPr>
          <w:lang w:val="es-ES"/>
        </w:rPr>
        <w:tab/>
      </w:r>
      <w:r w:rsidR="00E421FD" w:rsidRPr="00960E47">
        <w:rPr>
          <w:lang w:val="es-ES"/>
        </w:rPr>
        <w:t>Las posibles irregularidades financieras relacionadas con el procedimiento de gasto y sobre apropiación y asignación indebida de fondos son objeto de debate entre los ministerios y el Comité Parlamentario de Cuentas Públicas. La atención se suele centrar en esferas que requieren claridad, explicaciones, rendición de cuentas y transparencia. Las recomendaciones del Comité a los diferentes ministerios competentes gubernamentales se fusionan y se presentan al Parlamento en un único informe. Posteriormente, los ministerios competentes deben mejorar el sistema de gestión financiera teniendo en cuenta las recomendaciones del informe. A raíz de los informes del Auditor General, el Parlamento ha tenido que recomendar que el Director de Contabilidad modifique la Orden de 1988 y otras medidas legislativas conexas. Se han recomendado también medidas disciplinarias y procesamientos penales cuando ha habido casos claros de prácticas irregulares.</w:t>
      </w:r>
    </w:p>
    <w:p w:rsidR="00E421FD" w:rsidRPr="00960E47" w:rsidRDefault="009C195E" w:rsidP="00BD2CEB">
      <w:pPr>
        <w:pStyle w:val="H23G"/>
        <w:rPr>
          <w:lang w:val="es-ES"/>
        </w:rPr>
      </w:pPr>
      <w:r w:rsidRPr="00960E47">
        <w:rPr>
          <w:lang w:val="es-ES"/>
        </w:rPr>
        <w:tab/>
      </w:r>
      <w:r w:rsidRPr="00960E47">
        <w:rPr>
          <w:lang w:val="es-ES"/>
        </w:rPr>
        <w:tab/>
      </w:r>
      <w:r w:rsidR="00E421FD" w:rsidRPr="00960E47">
        <w:rPr>
          <w:lang w:val="es-ES"/>
        </w:rPr>
        <w:t>Función de auditoría interna</w:t>
      </w:r>
    </w:p>
    <w:p w:rsidR="00E421FD" w:rsidRPr="00960E47" w:rsidRDefault="009C195E" w:rsidP="00BD2CEB">
      <w:pPr>
        <w:pStyle w:val="SingleTxtG"/>
        <w:rPr>
          <w:lang w:val="es-ES"/>
        </w:rPr>
      </w:pPr>
      <w:r w:rsidRPr="00960E47">
        <w:rPr>
          <w:lang w:val="es-ES"/>
        </w:rPr>
        <w:t>90.</w:t>
      </w:r>
      <w:r w:rsidRPr="00960E47">
        <w:rPr>
          <w:lang w:val="es-ES"/>
        </w:rPr>
        <w:tab/>
      </w:r>
      <w:r w:rsidR="00E421FD" w:rsidRPr="00960E47">
        <w:rPr>
          <w:lang w:val="es-ES"/>
        </w:rPr>
        <w:t>El sistema de auditoría interna se ha reformado con el fin de hacerlo más eficiente e informativo para el ciclo de auditoría. En la actualidad, hay 22 auditores internos distribuidos entre los diferentes ministerios gubernamentales, cuyo objetivo es contribuir a la solidez de la gestión financiera y el funcionamiento de los sistemas.</w:t>
      </w:r>
    </w:p>
    <w:p w:rsidR="00E421FD" w:rsidRPr="00960E47" w:rsidRDefault="009C195E" w:rsidP="00BD2CEB">
      <w:pPr>
        <w:pStyle w:val="SingleTxtG"/>
        <w:rPr>
          <w:lang w:val="es-ES"/>
        </w:rPr>
      </w:pPr>
      <w:r w:rsidRPr="00960E47">
        <w:rPr>
          <w:lang w:val="es-ES"/>
        </w:rPr>
        <w:t>91.</w:t>
      </w:r>
      <w:r w:rsidRPr="00960E47">
        <w:rPr>
          <w:lang w:val="es-ES"/>
        </w:rPr>
        <w:tab/>
      </w:r>
      <w:r w:rsidR="00E421FD" w:rsidRPr="00960E47">
        <w:rPr>
          <w:lang w:val="es-ES"/>
        </w:rPr>
        <w:t>La función de auditoría interna promueve la rendición de cuentas y la transparencia financiera garantizando la fidelidad a los procedimientos financieros y de adquisición. En caso necesario, se recomiendan medidas correctivas para mejorar el sistema. Se ha introducido el Sistema Integrado de Información sobre Gestión Financiera, incluido el sistema descentralizado de adquisición, con el fin de mejorar el sistema financiero.</w:t>
      </w:r>
    </w:p>
    <w:p w:rsidR="00E421FD" w:rsidRPr="00960E47" w:rsidRDefault="009C195E" w:rsidP="00BD2CEB">
      <w:pPr>
        <w:pStyle w:val="H23G"/>
        <w:rPr>
          <w:lang w:val="es-ES"/>
        </w:rPr>
      </w:pPr>
      <w:r w:rsidRPr="00960E47">
        <w:rPr>
          <w:lang w:val="es-ES"/>
        </w:rPr>
        <w:tab/>
      </w:r>
      <w:r w:rsidRPr="00960E47">
        <w:rPr>
          <w:lang w:val="es-ES"/>
        </w:rPr>
        <w:tab/>
      </w:r>
      <w:r w:rsidR="00E421FD" w:rsidRPr="00960E47">
        <w:rPr>
          <w:lang w:val="es-ES"/>
        </w:rPr>
        <w:t>Comisión de la Función Pública</w:t>
      </w:r>
    </w:p>
    <w:p w:rsidR="00E421FD" w:rsidRPr="00960E47" w:rsidRDefault="009C195E" w:rsidP="00BD2CEB">
      <w:pPr>
        <w:pStyle w:val="SingleTxtG"/>
        <w:rPr>
          <w:lang w:val="es-ES"/>
        </w:rPr>
      </w:pPr>
      <w:r w:rsidRPr="00960E47">
        <w:rPr>
          <w:lang w:val="es-ES"/>
        </w:rPr>
        <w:t>92.</w:t>
      </w:r>
      <w:r w:rsidRPr="00960E47">
        <w:rPr>
          <w:lang w:val="es-ES"/>
        </w:rPr>
        <w:tab/>
      </w:r>
      <w:r w:rsidR="00E421FD" w:rsidRPr="00960E47">
        <w:rPr>
          <w:lang w:val="es-ES"/>
        </w:rPr>
        <w:t>En virtud de su mandato constitucional, la Comisión de la Función Pública se encarga del nombramiento, promoción y rescisión de los cargos de la función pública. El mandato de la Comisión de disciplinar a los funcionarios públicos se delegó a los directores de contabilidad en virtud de la Ley núm. 1 de la Función Pública, de 2005, en la que se recogen los códigos de buenas prácticas y los procedimientos aplicables. De conformidad con el artículo 136 de la Constitución, los miembros de la Comisión de la Función Pública son nombrados por el Rey a propuesta de la Comisión del Servicio Judicial, presidida por el Presidente del Tribunal Supremo. Los nombramientos para la función pública están basados en el mérito, la competencia y los títulos académicos. La independencia de la Comisión tiene como objetivo garantizar el profesionalismo de la función pública.</w:t>
      </w:r>
    </w:p>
    <w:p w:rsidR="00E421FD" w:rsidRPr="00960E47" w:rsidRDefault="009C195E" w:rsidP="00BD2CEB">
      <w:pPr>
        <w:pStyle w:val="H23G"/>
        <w:rPr>
          <w:lang w:val="es-ES"/>
        </w:rPr>
      </w:pPr>
      <w:r w:rsidRPr="00960E47">
        <w:rPr>
          <w:lang w:val="es-ES"/>
        </w:rPr>
        <w:tab/>
      </w:r>
      <w:r w:rsidRPr="00960E47">
        <w:rPr>
          <w:lang w:val="es-ES"/>
        </w:rPr>
        <w:tab/>
      </w:r>
      <w:r w:rsidR="00E421FD" w:rsidRPr="00960E47">
        <w:rPr>
          <w:lang w:val="es-ES"/>
        </w:rPr>
        <w:t>Institucionalización del control civil</w:t>
      </w:r>
      <w:r w:rsidRPr="00960E47">
        <w:rPr>
          <w:lang w:val="es-ES"/>
        </w:rPr>
        <w:t xml:space="preserve"> sobre las fuerzas de seguridad</w:t>
      </w:r>
    </w:p>
    <w:p w:rsidR="00E421FD" w:rsidRPr="00960E47" w:rsidRDefault="009C195E" w:rsidP="00BD2CEB">
      <w:pPr>
        <w:pStyle w:val="SingleTxtG"/>
        <w:rPr>
          <w:lang w:val="es-ES"/>
        </w:rPr>
      </w:pPr>
      <w:r w:rsidRPr="00960E47">
        <w:rPr>
          <w:lang w:val="es-ES"/>
        </w:rPr>
        <w:t>93.</w:t>
      </w:r>
      <w:r w:rsidRPr="00960E47">
        <w:rPr>
          <w:lang w:val="es-ES"/>
        </w:rPr>
        <w:tab/>
      </w:r>
      <w:r w:rsidR="00E421FD" w:rsidRPr="00960E47">
        <w:rPr>
          <w:lang w:val="es-ES"/>
        </w:rPr>
        <w:t>La Ley núm. 1 sobre la Primera Enmienda de la Constitución, de 1996, abolió la Comisión de Defensa, integrada por oficiales del ejército y la policía. El Comandante del Ejército y el Comisionado de Policía son nombrados por el Rey a propuesta del primer ministro. Las autoridades civiles determinan el funcionamiento del ejército y de la policía, que deben rendir informes al Parlamento a través de comités temáticos encargados de la defensa y la seguridad pública, respectivamente, lo que contribuye a la transparencia y rendición de cuentas de los dos organismos.</w:t>
      </w:r>
    </w:p>
    <w:p w:rsidR="00E421FD" w:rsidRPr="00960E47" w:rsidRDefault="009C195E" w:rsidP="00BD2CEB">
      <w:pPr>
        <w:pStyle w:val="H1G"/>
        <w:rPr>
          <w:lang w:val="es-ES"/>
        </w:rPr>
      </w:pPr>
      <w:r w:rsidRPr="00960E47">
        <w:rPr>
          <w:lang w:val="es-ES"/>
        </w:rPr>
        <w:tab/>
        <w:t>C.</w:t>
      </w:r>
      <w:r w:rsidRPr="00960E47">
        <w:rPr>
          <w:lang w:val="es-ES"/>
        </w:rPr>
        <w:tab/>
      </w:r>
      <w:r w:rsidR="00E421FD" w:rsidRPr="00960E47">
        <w:rPr>
          <w:lang w:val="es-ES"/>
        </w:rPr>
        <w:t>Poder ejecutivo: principales iniciativas y programas de gobernanza</w:t>
      </w:r>
    </w:p>
    <w:p w:rsidR="00E421FD" w:rsidRPr="00960E47" w:rsidRDefault="009C195E" w:rsidP="00BD2CEB">
      <w:pPr>
        <w:pStyle w:val="SingleTxtG"/>
        <w:rPr>
          <w:lang w:val="es-ES"/>
        </w:rPr>
      </w:pPr>
      <w:r w:rsidRPr="00960E47">
        <w:rPr>
          <w:lang w:val="es-ES"/>
        </w:rPr>
        <w:t>94.</w:t>
      </w:r>
      <w:r w:rsidRPr="00960E47">
        <w:rPr>
          <w:lang w:val="es-ES"/>
        </w:rPr>
        <w:tab/>
      </w:r>
      <w:r w:rsidR="00E421FD" w:rsidRPr="00960E47">
        <w:rPr>
          <w:lang w:val="es-ES"/>
        </w:rPr>
        <w:t xml:space="preserve">La autoridad ejecutiva en Lesotho recae sobre el Rey y está sujeta a las disposiciones de la Constitución; el Rey la ejerce por conducto del Primer Ministro, funcionarios o autoridades del Gobierno de Lesotho (art. 86), teniendo en cuenta las disposiciones de la Constitución. Este órgano de gobierno está integrado por ministros, designados de conformidad con el artículo 88 de la Constitución, el Secretario de Estado (art. 97), los secretarios principales (96) y la administración pública. Desde el establecimiento de esos cargos en virtud de la Constitución, en 1993, se han conseguido importantes logros en el ámbito de la gobernanza. Se adoptó Visión 2020, que resume el ideal de desarrollo del país y en la que se afirma que </w:t>
      </w:r>
      <w:r w:rsidR="0045213B" w:rsidRPr="00960E47">
        <w:rPr>
          <w:lang w:val="es-ES"/>
        </w:rPr>
        <w:t>"</w:t>
      </w:r>
      <w:r w:rsidR="00E421FD" w:rsidRPr="00960E47">
        <w:rPr>
          <w:lang w:val="es-ES"/>
        </w:rPr>
        <w:t>para 2020, Lesotho deberá ser una democracia estable, una nación unida y prospera, en paz consigo misma y sus vecinos. Tendrá una base de recursos humanos sólida y desarrollada. Su economía será fuerte; su medio ambiente estará bien gestionado y su tecnología estará consolidada</w:t>
      </w:r>
      <w:r w:rsidR="0045213B" w:rsidRPr="00960E47">
        <w:rPr>
          <w:lang w:val="es-ES"/>
        </w:rPr>
        <w:t>"</w:t>
      </w:r>
      <w:r w:rsidR="00E421FD" w:rsidRPr="00960E47">
        <w:rPr>
          <w:lang w:val="es-ES"/>
        </w:rPr>
        <w:t>.</w:t>
      </w:r>
    </w:p>
    <w:p w:rsidR="00E421FD" w:rsidRPr="00960E47" w:rsidRDefault="009410CD" w:rsidP="00BD2CEB">
      <w:pPr>
        <w:pStyle w:val="SingleTxtG"/>
        <w:rPr>
          <w:lang w:val="es-ES"/>
        </w:rPr>
      </w:pPr>
      <w:r w:rsidRPr="00960E47">
        <w:rPr>
          <w:lang w:val="es-ES"/>
        </w:rPr>
        <w:t>95.</w:t>
      </w:r>
      <w:r w:rsidRPr="00960E47">
        <w:rPr>
          <w:lang w:val="es-ES"/>
        </w:rPr>
        <w:tab/>
      </w:r>
      <w:r w:rsidR="00E421FD" w:rsidRPr="00960E47">
        <w:rPr>
          <w:lang w:val="es-ES"/>
        </w:rPr>
        <w:t>En el marco de esa visión, el órgano ejecutivo del Gobierno ha conseguido varios logros en materias relacionadas con la buena gobernanza. A través de Visión 2020 y la Estrategia Nacional contra la Pobreza, se impulsó la descentralización de los servicios nacionales de desarrollo por conducto de las estructuras de gobierno locales mediante la promulgación de la Ley de Administraciones Locales de 1997, que estableció estructuras de descentralización. Su objetivo era promover una democracia basada en la participación y la implicación de las comunidades rurales en sus asuntos. Así se dispone en el artículo 106 de la Constitución. En 2015 se celebraron por primera vez elecciones democráticas para los gobiernos locales. El Gobierno promulgó la Ley Electoral (Enmienda) de 2005, en la que se establece una cuota del 30% para las mujeres candidatas en las elecciones locales. En cualquier caso, las mujeres consiguieron el 58% de los escaños en las elecciones.</w:t>
      </w:r>
    </w:p>
    <w:p w:rsidR="00E421FD" w:rsidRPr="00960E47" w:rsidRDefault="009410CD" w:rsidP="00BD2CEB">
      <w:pPr>
        <w:pStyle w:val="SingleTxtG"/>
        <w:rPr>
          <w:lang w:val="es-ES"/>
        </w:rPr>
      </w:pPr>
      <w:r w:rsidRPr="00960E47">
        <w:rPr>
          <w:lang w:val="es-ES"/>
        </w:rPr>
        <w:t>96.</w:t>
      </w:r>
      <w:r w:rsidRPr="00960E47">
        <w:rPr>
          <w:lang w:val="es-ES"/>
        </w:rPr>
        <w:tab/>
      </w:r>
      <w:r w:rsidR="00E421FD" w:rsidRPr="00960E47">
        <w:rPr>
          <w:lang w:val="es-ES"/>
        </w:rPr>
        <w:t xml:space="preserve">El problema de esas elecciones fue que la participación electoral no resultó tan elevada como en las elecciones nacionales. La estrategia para delegar más facultades a las autoridades locales continúa desde las elecciones. Se han descentralizado las funciones, al mismo tiempo que algunas se han delegado a las estructuras de gobierno local en virtud de los anexos 1 y 2 de la </w:t>
      </w:r>
      <w:r w:rsidRPr="00960E47">
        <w:rPr>
          <w:lang w:val="es-ES"/>
        </w:rPr>
        <w:t>ley</w:t>
      </w:r>
      <w:r w:rsidR="00E421FD" w:rsidRPr="00960E47">
        <w:rPr>
          <w:lang w:val="es-ES"/>
        </w:rPr>
        <w:t>. Al mismo tiempo, se han transferido funcionarios del gobierno central al gobierno local.</w:t>
      </w:r>
    </w:p>
    <w:p w:rsidR="00E421FD" w:rsidRPr="00960E47" w:rsidRDefault="009410CD" w:rsidP="00BD2CEB">
      <w:pPr>
        <w:pStyle w:val="SingleTxtG"/>
        <w:rPr>
          <w:lang w:val="es-ES"/>
        </w:rPr>
      </w:pPr>
      <w:r w:rsidRPr="00960E47">
        <w:rPr>
          <w:lang w:val="es-ES"/>
        </w:rPr>
        <w:t>97.</w:t>
      </w:r>
      <w:r w:rsidRPr="00960E47">
        <w:rPr>
          <w:lang w:val="es-ES"/>
        </w:rPr>
        <w:tab/>
      </w:r>
      <w:r w:rsidR="00E421FD" w:rsidRPr="00960E47">
        <w:rPr>
          <w:lang w:val="es-ES"/>
        </w:rPr>
        <w:t>La descentralización fiscal continúa siendo un problema, en particular la capacitación y formación de las autoridades locales para que puedan comportarse con profesionalidad. Se han creado 128 consejos locales para llevar a cabo proyectos de desarrollo comunitario. Con el fin de reforzar la democracia y la gobernanza política, las autoridades locales han recibido capacitación sobre justicia restaurativa. La ampliación de los proyectos de construcción de caminos rurales ha sido también una función importante de las estructuras de gobierno local. Se está estableciendo un sistema de red vial, que contribuirá en gran manera al desarrollo del sector turístico de Lesotho.</w:t>
      </w:r>
    </w:p>
    <w:p w:rsidR="00E421FD" w:rsidRPr="00960E47" w:rsidRDefault="009410CD" w:rsidP="00BD2CEB">
      <w:pPr>
        <w:pStyle w:val="SingleTxtG"/>
        <w:rPr>
          <w:lang w:val="es-ES"/>
        </w:rPr>
      </w:pPr>
      <w:r w:rsidRPr="00960E47">
        <w:rPr>
          <w:lang w:val="es-ES"/>
        </w:rPr>
        <w:t>98.</w:t>
      </w:r>
      <w:r w:rsidRPr="00960E47">
        <w:rPr>
          <w:lang w:val="es-ES"/>
        </w:rPr>
        <w:tab/>
      </w:r>
      <w:r w:rsidR="00E421FD" w:rsidRPr="00960E47">
        <w:rPr>
          <w:lang w:val="es-ES"/>
        </w:rPr>
        <w:t xml:space="preserve">La Dirección de Lucha contra la Corrupción y los Delitos Económicos se estableció como organismo de supervisión con el fin de inculcar la rendición de cuentas y la transparencia en la gestión y enajenación de bienes públicos. El Gobierno promulgó, a través del Parlamento, la Ley núm. 5 de Prevención de la Corrupción y los Delitos Económicos, de 1999, que estableció la Dirección de Lucha contra la Corrupción y los Delitos Económicos, a la que otorgó facultades para investigar los casos en que pueda haber sospecha de corrupción. Desde su entrada en vigor, la </w:t>
      </w:r>
      <w:r w:rsidR="000B0343" w:rsidRPr="00960E47">
        <w:rPr>
          <w:lang w:val="es-ES"/>
        </w:rPr>
        <w:t xml:space="preserve">ley </w:t>
      </w:r>
      <w:r w:rsidR="00E421FD" w:rsidRPr="00960E47">
        <w:rPr>
          <w:lang w:val="es-ES"/>
        </w:rPr>
        <w:t>ha conseguido reforzar los procedimientos y controles internos para disuadir la corrupción y facilitar la detección y procesamiento de las prácticas corruptas. La Dirección ha especificado las funciones básicas de las diferentes oficinas de los ministerios, con especial atención a las expuestas al peligro de corrupción, y ha recomendado los medios más indicados para acabar con las posibles prácticas corruptas. La Ley núm. 8 de Prevención de la Corrupción y los Delitos Económicos (Enmienda), de 2006, introdujo la declaración de bienes e ingresos por todos los integrantes de la administración pública, y otorgó mayor auto</w:t>
      </w:r>
      <w:r w:rsidRPr="00960E47">
        <w:rPr>
          <w:lang w:val="es-ES"/>
        </w:rPr>
        <w:t>nomía operativa a la Dirección.</w:t>
      </w:r>
    </w:p>
    <w:p w:rsidR="00E421FD" w:rsidRPr="00960E47" w:rsidRDefault="009410CD" w:rsidP="00BD2CEB">
      <w:pPr>
        <w:pStyle w:val="H1G"/>
        <w:rPr>
          <w:lang w:val="es-ES"/>
        </w:rPr>
      </w:pPr>
      <w:r w:rsidRPr="00960E47">
        <w:rPr>
          <w:lang w:val="es-ES"/>
        </w:rPr>
        <w:tab/>
      </w:r>
      <w:r w:rsidR="00E421FD" w:rsidRPr="00960E47">
        <w:rPr>
          <w:lang w:val="es-ES"/>
        </w:rPr>
        <w:t>D.</w:t>
      </w:r>
      <w:r w:rsidR="00E421FD" w:rsidRPr="00960E47">
        <w:rPr>
          <w:lang w:val="es-ES"/>
        </w:rPr>
        <w:tab/>
        <w:t>Aplicación de las disposiciones del Pacto por los tribunales y otros organismos judiciale</w:t>
      </w:r>
      <w:r w:rsidR="00D70D3F" w:rsidRPr="00960E47">
        <w:rPr>
          <w:lang w:val="es-ES"/>
        </w:rPr>
        <w:t>s o autoridades administrativas</w:t>
      </w:r>
    </w:p>
    <w:p w:rsidR="00E421FD" w:rsidRPr="00960E47" w:rsidRDefault="00E421FD" w:rsidP="00BD2CEB">
      <w:pPr>
        <w:pStyle w:val="SingleTxtG"/>
        <w:rPr>
          <w:lang w:val="es-ES"/>
        </w:rPr>
      </w:pPr>
      <w:r w:rsidRPr="00960E47">
        <w:rPr>
          <w:lang w:val="es-ES"/>
        </w:rPr>
        <w:t>99.</w:t>
      </w:r>
      <w:r w:rsidRPr="00960E47">
        <w:rPr>
          <w:lang w:val="es-ES"/>
        </w:rPr>
        <w:tab/>
        <w:t>A este respecto, Lesotho sigue el sistema del derecho anglosajón que se observa en la mayoría de los Estados del Commonwealth británico, en cuyo marco las convenciones y pactos internacionales no se invocan directamente ante los tribunales internos, es decir no son aplicables por sí mismos en el derecho interno.</w:t>
      </w:r>
      <w:r w:rsidR="009C195E" w:rsidRPr="00960E47">
        <w:rPr>
          <w:lang w:val="es-ES"/>
        </w:rPr>
        <w:t xml:space="preserve"> </w:t>
      </w:r>
      <w:r w:rsidRPr="00960E47">
        <w:rPr>
          <w:lang w:val="es-ES"/>
        </w:rPr>
        <w:t>Para poder aplicarlos tienen ser traspuestos en leyes internas por el Parlamento o en disposiciones administrativas por los órganos administrativos.</w:t>
      </w:r>
      <w:r w:rsidR="009C195E" w:rsidRPr="00960E47">
        <w:rPr>
          <w:lang w:val="es-ES"/>
        </w:rPr>
        <w:t xml:space="preserve"> </w:t>
      </w:r>
      <w:r w:rsidRPr="00960E47">
        <w:rPr>
          <w:lang w:val="es-ES"/>
        </w:rPr>
        <w:t xml:space="preserve">A menos que se aplique en virtud de procedimientos normativos nacionales, una norma internacional no forma automáticamente parte de nuestra legislación interna. Conforme a los Principios de Bangalore, por el propio carácter del proceso judicial corresponde a los tribunales nacionales tener en cuenta las normas internacionales de derechos humanos, estén o no incorporadas en el derecho interno, a los efectos de resolver una ambigüedad o incertidumbre en las constituciones y la legislación nacionales. Hasta el presente no se ha presentado ante los tribunales ningún caso en relación con este tema. El Código del Trabajo núm. 9 de 1992, en su artículo 4 c), dispone que </w:t>
      </w:r>
      <w:r w:rsidR="0045213B" w:rsidRPr="00960E47">
        <w:rPr>
          <w:lang w:val="es-ES"/>
        </w:rPr>
        <w:t>"</w:t>
      </w:r>
      <w:r w:rsidRPr="00960E47">
        <w:rPr>
          <w:lang w:val="es-ES"/>
        </w:rPr>
        <w:t>en caso de ambigüedad, las disposiciones del Código y cualquier otra norma o reglamento se interpretarán de la forma que resulte más compatible con las disposiciones de los convenios y las recomendaciones adoptados por la Conferencia de la Organización Internacional del Trabajo</w:t>
      </w:r>
      <w:r w:rsidR="001B642B" w:rsidRPr="00960E47">
        <w:rPr>
          <w:lang w:val="es-ES"/>
        </w:rPr>
        <w:t>"</w:t>
      </w:r>
      <w:r w:rsidRPr="00960E47">
        <w:rPr>
          <w:rStyle w:val="FootnoteReference"/>
          <w:lang w:val="es-ES"/>
        </w:rPr>
        <w:footnoteReference w:id="18"/>
      </w:r>
      <w:r w:rsidRPr="00960E47">
        <w:rPr>
          <w:lang w:val="es-ES"/>
        </w:rPr>
        <w:t xml:space="preserve">. El recurso a los convenios internacionales sobre el trabajo, cuando la legislación nacional no protege los derechos de los trabajadores, se ha realizado en la forma indicada. Ese artículo especifica en concreto que, cuando las leyes nacionales sobre las normas laborales no se pronuncien claramente, se aplicarán las normas internacionales de trabajo. En el caso de los convenios de la OIT que no han sido ratificados por Lesotho, se puede recurrir a ellos cuando pueden resolver la ambigüedad de la legislación nacional. </w:t>
      </w:r>
    </w:p>
    <w:p w:rsidR="00E421FD" w:rsidRPr="00960E47" w:rsidRDefault="004A35D6" w:rsidP="00BD2CEB">
      <w:pPr>
        <w:pStyle w:val="H1G"/>
        <w:rPr>
          <w:lang w:val="es-ES"/>
        </w:rPr>
      </w:pPr>
      <w:r w:rsidRPr="00960E47">
        <w:rPr>
          <w:lang w:val="es-ES"/>
        </w:rPr>
        <w:tab/>
      </w:r>
      <w:r w:rsidR="00E421FD" w:rsidRPr="00960E47">
        <w:rPr>
          <w:lang w:val="es-ES"/>
        </w:rPr>
        <w:t>E.</w:t>
      </w:r>
      <w:r w:rsidR="00E421FD" w:rsidRPr="00960E47">
        <w:rPr>
          <w:lang w:val="es-ES"/>
        </w:rPr>
        <w:tab/>
        <w:t xml:space="preserve">Autoridades judiciales, administrativas o de otra índole competentes </w:t>
      </w:r>
      <w:r w:rsidRPr="00960E47">
        <w:rPr>
          <w:lang w:val="es-ES"/>
        </w:rPr>
        <w:br/>
      </w:r>
      <w:r w:rsidR="00E421FD" w:rsidRPr="00960E47">
        <w:rPr>
          <w:lang w:val="es-ES"/>
        </w:rPr>
        <w:t>en materias relativas a los derechos humanos</w:t>
      </w:r>
    </w:p>
    <w:p w:rsidR="00E421FD" w:rsidRPr="00960E47" w:rsidRDefault="00E421FD" w:rsidP="00BD2CEB">
      <w:pPr>
        <w:pStyle w:val="SingleTxtG"/>
        <w:rPr>
          <w:lang w:val="es-ES"/>
        </w:rPr>
      </w:pPr>
      <w:r w:rsidRPr="00960E47">
        <w:rPr>
          <w:lang w:val="es-ES"/>
        </w:rPr>
        <w:t>100.</w:t>
      </w:r>
      <w:r w:rsidRPr="00960E47">
        <w:rPr>
          <w:lang w:val="es-ES"/>
        </w:rPr>
        <w:tab/>
        <w:t>En el capítulo XI de la Constitución de 1993 se define la judicatura.</w:t>
      </w:r>
      <w:r w:rsidR="009C195E" w:rsidRPr="00960E47">
        <w:rPr>
          <w:lang w:val="es-ES"/>
        </w:rPr>
        <w:t xml:space="preserve"> </w:t>
      </w:r>
      <w:r w:rsidR="004A35D6" w:rsidRPr="00960E47">
        <w:rPr>
          <w:lang w:val="es-ES"/>
        </w:rPr>
        <w:t>El artículo 118 </w:t>
      </w:r>
      <w:r w:rsidRPr="00960E47">
        <w:rPr>
          <w:lang w:val="es-ES"/>
        </w:rPr>
        <w:t>1) confiere el poder judicial a los tribunales.</w:t>
      </w:r>
      <w:r w:rsidR="009C195E" w:rsidRPr="00960E47">
        <w:rPr>
          <w:lang w:val="es-ES"/>
        </w:rPr>
        <w:t xml:space="preserve"> </w:t>
      </w:r>
      <w:r w:rsidRPr="00960E47">
        <w:rPr>
          <w:lang w:val="es-ES"/>
        </w:rPr>
        <w:t>Dispone que el poder judicial corresponderá a los tribunales de Lesotho, que estarán constituidos por:</w:t>
      </w:r>
    </w:p>
    <w:p w:rsidR="00E421FD" w:rsidRPr="00960E47" w:rsidRDefault="00E421FD" w:rsidP="00BD2CEB">
      <w:pPr>
        <w:pStyle w:val="SingleTxtG"/>
        <w:rPr>
          <w:lang w:val="es-ES"/>
        </w:rPr>
      </w:pPr>
      <w:r w:rsidRPr="00960E47">
        <w:rPr>
          <w:lang w:val="es-ES"/>
        </w:rPr>
        <w:tab/>
        <w:t>a)</w:t>
      </w:r>
      <w:r w:rsidRPr="00960E47">
        <w:rPr>
          <w:lang w:val="es-ES"/>
        </w:rPr>
        <w:tab/>
        <w:t>Un tribunal de apelación;</w:t>
      </w:r>
    </w:p>
    <w:p w:rsidR="00E421FD" w:rsidRPr="00960E47" w:rsidRDefault="00E421FD" w:rsidP="00BD2CEB">
      <w:pPr>
        <w:pStyle w:val="SingleTxtG"/>
        <w:rPr>
          <w:lang w:val="es-ES"/>
        </w:rPr>
      </w:pPr>
      <w:r w:rsidRPr="00960E47">
        <w:rPr>
          <w:lang w:val="es-ES"/>
        </w:rPr>
        <w:tab/>
        <w:t>b)</w:t>
      </w:r>
      <w:r w:rsidRPr="00960E47">
        <w:rPr>
          <w:lang w:val="es-ES"/>
        </w:rPr>
        <w:tab/>
        <w:t>Un tribunal superior;</w:t>
      </w:r>
    </w:p>
    <w:p w:rsidR="00E421FD" w:rsidRPr="00960E47" w:rsidRDefault="00E421FD" w:rsidP="00BD2CEB">
      <w:pPr>
        <w:pStyle w:val="SingleTxtG"/>
        <w:rPr>
          <w:lang w:val="es-ES"/>
        </w:rPr>
      </w:pPr>
      <w:r w:rsidRPr="00960E47">
        <w:rPr>
          <w:lang w:val="es-ES"/>
        </w:rPr>
        <w:tab/>
        <w:t>c)</w:t>
      </w:r>
      <w:r w:rsidRPr="00960E47">
        <w:rPr>
          <w:lang w:val="es-ES"/>
        </w:rPr>
        <w:tab/>
        <w:t>Tribunales subordinados y tribunales militares;</w:t>
      </w:r>
    </w:p>
    <w:p w:rsidR="00E421FD" w:rsidRPr="00960E47" w:rsidRDefault="00E421FD" w:rsidP="00BD2CEB">
      <w:pPr>
        <w:pStyle w:val="SingleTxtG"/>
        <w:rPr>
          <w:lang w:val="es-ES"/>
        </w:rPr>
      </w:pPr>
      <w:r w:rsidRPr="00960E47">
        <w:rPr>
          <w:lang w:val="es-ES"/>
        </w:rPr>
        <w:tab/>
        <w:t>d)</w:t>
      </w:r>
      <w:r w:rsidRPr="00960E47">
        <w:rPr>
          <w:lang w:val="es-ES"/>
        </w:rPr>
        <w:tab/>
        <w:t>Los organismos deliberativos con funciones judiciales que establezca el Parlamento.</w:t>
      </w:r>
    </w:p>
    <w:p w:rsidR="00E421FD" w:rsidRPr="00960E47" w:rsidRDefault="004A35D6" w:rsidP="00BD2CEB">
      <w:pPr>
        <w:pStyle w:val="SingleTxtG"/>
        <w:rPr>
          <w:lang w:val="es-ES"/>
        </w:rPr>
      </w:pPr>
      <w:r w:rsidRPr="00960E47">
        <w:rPr>
          <w:lang w:val="es-ES"/>
        </w:rPr>
        <w:t>101.</w:t>
      </w:r>
      <w:r w:rsidRPr="00960E47">
        <w:rPr>
          <w:lang w:val="es-ES"/>
        </w:rPr>
        <w:tab/>
      </w:r>
      <w:r w:rsidR="00E421FD" w:rsidRPr="00960E47">
        <w:rPr>
          <w:lang w:val="es-ES"/>
        </w:rPr>
        <w:t>En el párrafo 2 del mencionado artículo, la Constitución garantiza la independencia del poder judicial, al disponer que los tribunales, en el ejercicio de sus funciones previstas en la Constitución o en cualquier otra ley, serán independientes y estarán libres de injerencia y solo se someterán a la Constitución y las leyes.</w:t>
      </w:r>
      <w:r w:rsidR="009C195E" w:rsidRPr="00960E47">
        <w:rPr>
          <w:lang w:val="es-ES"/>
        </w:rPr>
        <w:t xml:space="preserve"> </w:t>
      </w:r>
      <w:r w:rsidR="00E421FD" w:rsidRPr="00960E47">
        <w:rPr>
          <w:lang w:val="es-ES"/>
        </w:rPr>
        <w:t xml:space="preserve">El párrafo 3 dispone que el Gobierno prestará a los tribunales la asistencia que necesiten para proteger su independencia, su dignidad y su eficacia, con sujeción a la Constitución y las leyes. </w:t>
      </w:r>
    </w:p>
    <w:p w:rsidR="00E421FD" w:rsidRPr="00960E47" w:rsidRDefault="004A35D6" w:rsidP="00BD2CEB">
      <w:pPr>
        <w:pStyle w:val="H23G"/>
        <w:rPr>
          <w:lang w:val="es-ES"/>
        </w:rPr>
      </w:pPr>
      <w:r w:rsidRPr="00960E47">
        <w:rPr>
          <w:lang w:val="es-ES"/>
        </w:rPr>
        <w:tab/>
      </w:r>
      <w:r w:rsidRPr="00960E47">
        <w:rPr>
          <w:lang w:val="es-ES"/>
        </w:rPr>
        <w:tab/>
      </w:r>
      <w:r w:rsidR="00E421FD" w:rsidRPr="00960E47">
        <w:rPr>
          <w:lang w:val="es-ES"/>
        </w:rPr>
        <w:t>El Tribunal de Apelación</w:t>
      </w:r>
    </w:p>
    <w:p w:rsidR="00E421FD" w:rsidRPr="00960E47" w:rsidRDefault="00E421FD" w:rsidP="00BD2CEB">
      <w:pPr>
        <w:pStyle w:val="SingleTxtG"/>
        <w:rPr>
          <w:lang w:val="es-ES"/>
        </w:rPr>
      </w:pPr>
      <w:r w:rsidRPr="00960E47">
        <w:rPr>
          <w:lang w:val="es-ES"/>
        </w:rPr>
        <w:t>102.</w:t>
      </w:r>
      <w:r w:rsidRPr="00960E47">
        <w:rPr>
          <w:lang w:val="es-ES"/>
        </w:rPr>
        <w:tab/>
        <w:t>El Tribunal de Apelación se creó en virtud del artículo 123 1) de la Constitución, que establece que habrá para Lesotho un Tribunal de Apelación que tendrá la competencia y las facultades que le confiera la Constitución o cualquier otra ley.</w:t>
      </w:r>
      <w:r w:rsidR="009C195E" w:rsidRPr="00960E47">
        <w:rPr>
          <w:lang w:val="es-ES"/>
        </w:rPr>
        <w:t xml:space="preserve"> </w:t>
      </w:r>
      <w:r w:rsidRPr="00960E47">
        <w:rPr>
          <w:lang w:val="es-ES"/>
        </w:rPr>
        <w:t>Los jueces de ese tribunal serán el Presidente y cuantos jueces determine el Parlamento.</w:t>
      </w:r>
      <w:r w:rsidR="009C195E" w:rsidRPr="00960E47">
        <w:rPr>
          <w:lang w:val="es-ES"/>
        </w:rPr>
        <w:t xml:space="preserve"> </w:t>
      </w:r>
      <w:r w:rsidRPr="00960E47">
        <w:rPr>
          <w:lang w:val="es-ES"/>
        </w:rPr>
        <w:t>El Presidente y los demás magistrados del Tribunal Superior son jueces de oficio (art. 123 2 a) y b); véase la Ley del Tribunal de Apelación núm. 10, 1978).</w:t>
      </w:r>
      <w:r w:rsidR="009C195E" w:rsidRPr="00960E47">
        <w:rPr>
          <w:lang w:val="es-ES"/>
        </w:rPr>
        <w:t xml:space="preserve"> </w:t>
      </w:r>
      <w:r w:rsidRPr="00960E47">
        <w:rPr>
          <w:lang w:val="es-ES"/>
        </w:rPr>
        <w:t>El Presidente del Tribunal es nombrado por el Rey con el asesoramiento del Primer Ministro.</w:t>
      </w:r>
      <w:r w:rsidR="009C195E" w:rsidRPr="00960E47">
        <w:rPr>
          <w:lang w:val="es-ES"/>
        </w:rPr>
        <w:t xml:space="preserve"> </w:t>
      </w:r>
      <w:r w:rsidRPr="00960E47">
        <w:rPr>
          <w:lang w:val="es-ES"/>
        </w:rPr>
        <w:t>El artículo 123 5) dispone que el Tribunal de Apelación tendrá asiento fuera de Lesotho.</w:t>
      </w:r>
      <w:r w:rsidR="009C195E" w:rsidRPr="00960E47">
        <w:rPr>
          <w:lang w:val="es-ES"/>
        </w:rPr>
        <w:t xml:space="preserve"> </w:t>
      </w:r>
      <w:r w:rsidRPr="00960E47">
        <w:rPr>
          <w:lang w:val="es-ES"/>
        </w:rPr>
        <w:t>Esto se debe, entre otras cosas, a que no hay jueces nacionales del Tribunal de Apelación; la mayoría de ellos procede de Sudáfrica.</w:t>
      </w:r>
      <w:r w:rsidR="009C195E" w:rsidRPr="00960E47">
        <w:rPr>
          <w:lang w:val="es-ES"/>
        </w:rPr>
        <w:t xml:space="preserve"> </w:t>
      </w:r>
      <w:r w:rsidRPr="00960E47">
        <w:rPr>
          <w:lang w:val="es-ES"/>
        </w:rPr>
        <w:t>Los jueces del Tribunal de Apelación son nombrados por el Rey con el asesoramiento de la Comisión del Servicio Judicial, previa consulta con el Preside</w:t>
      </w:r>
      <w:r w:rsidR="004A35D6" w:rsidRPr="00960E47">
        <w:rPr>
          <w:lang w:val="es-ES"/>
        </w:rPr>
        <w:t>nte del Tribunal (art. 124 1) y </w:t>
      </w:r>
      <w:r w:rsidRPr="00960E47">
        <w:rPr>
          <w:lang w:val="es-ES"/>
        </w:rPr>
        <w:t>2)).</w:t>
      </w:r>
    </w:p>
    <w:p w:rsidR="00E421FD" w:rsidRPr="00960E47" w:rsidRDefault="00E421FD" w:rsidP="00BD2CEB">
      <w:pPr>
        <w:pStyle w:val="SingleTxtG"/>
        <w:rPr>
          <w:lang w:val="es-ES"/>
        </w:rPr>
      </w:pPr>
      <w:r w:rsidRPr="00960E47">
        <w:rPr>
          <w:lang w:val="es-ES"/>
        </w:rPr>
        <w:t>103.</w:t>
      </w:r>
      <w:r w:rsidRPr="00960E47">
        <w:rPr>
          <w:lang w:val="es-ES"/>
        </w:rPr>
        <w:tab/>
        <w:t>Para ser juez del Tribunal de Apelación se requiere haber desempeñado el cargo de juez de un tribunal con competencia ilimitada en los asuntos civiles y penales, en el Commonwealth o un país no perteneciente al Commonwealth que prescriba el Parlamento, o de un tribunal con competencia para juzgar los recursos de apelación de las decisiones de esos tribunales.</w:t>
      </w:r>
      <w:r w:rsidR="009C195E" w:rsidRPr="00960E47">
        <w:rPr>
          <w:lang w:val="es-ES"/>
        </w:rPr>
        <w:t xml:space="preserve"> </w:t>
      </w:r>
      <w:r w:rsidRPr="00960E47">
        <w:rPr>
          <w:lang w:val="es-ES"/>
        </w:rPr>
        <w:t>Se debe haber ocupado ese cargo durante un período no inferior a siete años (art. 124 3) a) i) y ii)).</w:t>
      </w:r>
    </w:p>
    <w:p w:rsidR="00E421FD" w:rsidRPr="00960E47" w:rsidRDefault="004A35D6" w:rsidP="00BD2CEB">
      <w:pPr>
        <w:pStyle w:val="H23G"/>
        <w:rPr>
          <w:lang w:val="es-ES"/>
        </w:rPr>
      </w:pPr>
      <w:r w:rsidRPr="00960E47">
        <w:rPr>
          <w:lang w:val="es-ES"/>
        </w:rPr>
        <w:tab/>
      </w:r>
      <w:r w:rsidRPr="00960E47">
        <w:rPr>
          <w:lang w:val="es-ES"/>
        </w:rPr>
        <w:tab/>
        <w:t>El Tribunal Superior</w:t>
      </w:r>
    </w:p>
    <w:p w:rsidR="00E421FD" w:rsidRPr="00960E47" w:rsidRDefault="00E421FD" w:rsidP="00BD2CEB">
      <w:pPr>
        <w:pStyle w:val="SingleTxtG"/>
        <w:rPr>
          <w:lang w:val="es-ES"/>
        </w:rPr>
      </w:pPr>
      <w:r w:rsidRPr="00960E47">
        <w:rPr>
          <w:lang w:val="es-ES"/>
        </w:rPr>
        <w:t>104.</w:t>
      </w:r>
      <w:r w:rsidRPr="00960E47">
        <w:rPr>
          <w:lang w:val="es-ES"/>
        </w:rPr>
        <w:tab/>
        <w:t xml:space="preserve">El Tribunal Superior se estableció en virtud del artículo 119 1) de la Constitución, que establece lo siguiente: </w:t>
      </w:r>
      <w:r w:rsidR="0045213B" w:rsidRPr="00960E47">
        <w:rPr>
          <w:lang w:val="es-ES"/>
        </w:rPr>
        <w:t>"</w:t>
      </w:r>
      <w:r w:rsidRPr="00960E47">
        <w:rPr>
          <w:lang w:val="es-ES"/>
        </w:rPr>
        <w:t>Habrá un Tribunal Superior con competencia originaria ilimitada para entender y resolver cualquier procedimiento civil o penal y competencia para examinar las decisiones o procedimientos de cualquier tribunal subordinado o inferior, consejo de guerra, organismo deliberativo, junta o funcionario que ejerza funciones judiciales, cuasi judiciales o administrativas públicas en virtud de una ley, y con la competencia y atribuciones que le confiera la presente Constitución o cualquier otra ley</w:t>
      </w:r>
      <w:r w:rsidR="0045213B" w:rsidRPr="00960E47">
        <w:rPr>
          <w:lang w:val="es-ES"/>
        </w:rPr>
        <w:t>"</w:t>
      </w:r>
      <w:r w:rsidRPr="00960E47">
        <w:rPr>
          <w:lang w:val="es-ES"/>
        </w:rPr>
        <w:t xml:space="preserve"> (véase la Ley núm. 5 del Tribunal Superior de 1978).</w:t>
      </w:r>
    </w:p>
    <w:p w:rsidR="00E421FD" w:rsidRPr="00960E47" w:rsidRDefault="00F40DCC" w:rsidP="00BD2CEB">
      <w:pPr>
        <w:pStyle w:val="SingleTxtG"/>
        <w:rPr>
          <w:lang w:val="es-ES"/>
        </w:rPr>
      </w:pPr>
      <w:r w:rsidRPr="00960E47">
        <w:rPr>
          <w:lang w:val="es-ES"/>
        </w:rPr>
        <w:t>105.</w:t>
      </w:r>
      <w:r w:rsidRPr="00960E47">
        <w:rPr>
          <w:lang w:val="es-ES"/>
        </w:rPr>
        <w:tab/>
      </w:r>
      <w:r w:rsidR="00E421FD" w:rsidRPr="00960E47">
        <w:rPr>
          <w:lang w:val="es-ES"/>
        </w:rPr>
        <w:t>Los jueces del Tribunal Superior son su Presidente, que es nombrado por el Rey de conformidad con el asesoramiento del Primer Ministro (art. 120 1)) y los demás jueces del Tribunal, que son nombrados por el Rey de conformidad con el asesoramiento de la Comisión del Servicio Judicial.</w:t>
      </w:r>
    </w:p>
    <w:p w:rsidR="00E421FD" w:rsidRPr="00960E47" w:rsidRDefault="00E421FD" w:rsidP="00BD2CEB">
      <w:pPr>
        <w:pStyle w:val="SingleTxtG"/>
        <w:rPr>
          <w:lang w:val="es-ES"/>
        </w:rPr>
      </w:pPr>
      <w:r w:rsidRPr="00960E47">
        <w:rPr>
          <w:lang w:val="es-ES"/>
        </w:rPr>
        <w:t>106.</w:t>
      </w:r>
      <w:r w:rsidRPr="00960E47">
        <w:rPr>
          <w:lang w:val="es-ES"/>
        </w:rPr>
        <w:tab/>
        <w:t>Para poder ser nombrado juez del Tribunal Superior un magistrado debe haber desempeñado el cargo de juez de un tribunal con competencia ilimitada en los asuntos penales y civiles en un país del Commonwealth o un país qu</w:t>
      </w:r>
      <w:r w:rsidR="000B0343" w:rsidRPr="00960E47">
        <w:rPr>
          <w:lang w:val="es-ES"/>
        </w:rPr>
        <w:t>e prescriba el Parlamento (art. </w:t>
      </w:r>
      <w:r w:rsidRPr="00960E47">
        <w:rPr>
          <w:lang w:val="es-ES"/>
        </w:rPr>
        <w:t>120 3) 1)) o haber ejercido como abogado de conform</w:t>
      </w:r>
      <w:r w:rsidR="000B0343" w:rsidRPr="00960E47">
        <w:rPr>
          <w:lang w:val="es-ES"/>
        </w:rPr>
        <w:t>idad con la Ley de Abogacía, de </w:t>
      </w:r>
      <w:r w:rsidRPr="00960E47">
        <w:rPr>
          <w:lang w:val="es-ES"/>
        </w:rPr>
        <w:t>1983, durante un período no inferior a cinco años (art. 120 ii) y b)).</w:t>
      </w:r>
    </w:p>
    <w:p w:rsidR="00E421FD" w:rsidRPr="00960E47" w:rsidRDefault="00E421FD" w:rsidP="00BD2CEB">
      <w:pPr>
        <w:pStyle w:val="SingleTxtG"/>
        <w:rPr>
          <w:lang w:val="es-ES"/>
        </w:rPr>
      </w:pPr>
      <w:r w:rsidRPr="00960E47">
        <w:rPr>
          <w:lang w:val="es-ES"/>
        </w:rPr>
        <w:t>107.</w:t>
      </w:r>
      <w:r w:rsidRPr="00960E47">
        <w:rPr>
          <w:lang w:val="es-ES"/>
        </w:rPr>
        <w:tab/>
        <w:t>También están en curso proyectos para establecer un trib</w:t>
      </w:r>
      <w:r w:rsidR="00652333">
        <w:rPr>
          <w:lang w:val="es-ES"/>
        </w:rPr>
        <w:t>unal militar de apelación</w:t>
      </w:r>
      <w:r w:rsidRPr="00960E47">
        <w:rPr>
          <w:lang w:val="es-ES"/>
        </w:rPr>
        <w:t>.</w:t>
      </w:r>
      <w:r w:rsidR="009C195E" w:rsidRPr="00960E47">
        <w:rPr>
          <w:lang w:val="es-ES"/>
        </w:rPr>
        <w:t xml:space="preserve"> </w:t>
      </w:r>
      <w:r w:rsidRPr="00960E47">
        <w:rPr>
          <w:lang w:val="es-ES"/>
        </w:rPr>
        <w:t>Véase a este respecto el artículo 3 de la Ley núm. 1 de la Primera Enmienda a la Constitución, de 1996.</w:t>
      </w:r>
    </w:p>
    <w:p w:rsidR="00E421FD" w:rsidRPr="00960E47" w:rsidRDefault="004A35D6" w:rsidP="00BD2CEB">
      <w:pPr>
        <w:pStyle w:val="H23G"/>
        <w:rPr>
          <w:lang w:val="es-ES"/>
        </w:rPr>
      </w:pPr>
      <w:r w:rsidRPr="00960E47">
        <w:rPr>
          <w:lang w:val="es-ES"/>
        </w:rPr>
        <w:tab/>
      </w:r>
      <w:r w:rsidRPr="00960E47">
        <w:rPr>
          <w:lang w:val="es-ES"/>
        </w:rPr>
        <w:tab/>
      </w:r>
      <w:r w:rsidR="00E421FD" w:rsidRPr="00960E47">
        <w:rPr>
          <w:lang w:val="es-ES"/>
        </w:rPr>
        <w:t>Tribunales subordinados, tribunales militares y cortes de justicia</w:t>
      </w:r>
    </w:p>
    <w:p w:rsidR="00E421FD" w:rsidRPr="00960E47" w:rsidRDefault="00E421FD" w:rsidP="00BD2CEB">
      <w:pPr>
        <w:pStyle w:val="SingleTxtG"/>
        <w:rPr>
          <w:lang w:val="es-ES"/>
        </w:rPr>
      </w:pPr>
      <w:r w:rsidRPr="00960E47">
        <w:rPr>
          <w:lang w:val="es-ES"/>
        </w:rPr>
        <w:t>108.</w:t>
      </w:r>
      <w:r w:rsidRPr="00960E47">
        <w:rPr>
          <w:lang w:val="es-ES"/>
        </w:rPr>
        <w:tab/>
        <w:t>Estos tribunales se crearon en virtud del artículo 127 de la Constitución de 1993, que dispone que el Parlamento podrá establecer tribunales subordinados al Tribunal Superior, tribunales militares y cortes de justicia y que cualquiera de esos tribunales, con sujeción a las disposiciones de la Constitución, tendrá la competencia y las facultades que le confiera la ley (véanse asimismo la Orden núm. 9 de los Tribunales Subordinados, de 1988,</w:t>
      </w:r>
      <w:r w:rsidR="009C195E" w:rsidRPr="00960E47">
        <w:rPr>
          <w:lang w:val="es-ES"/>
        </w:rPr>
        <w:t xml:space="preserve"> </w:t>
      </w:r>
      <w:r w:rsidRPr="00960E47">
        <w:rPr>
          <w:lang w:val="es-ES"/>
        </w:rPr>
        <w:t>y la</w:t>
      </w:r>
      <w:r w:rsidR="009C195E" w:rsidRPr="00960E47">
        <w:rPr>
          <w:lang w:val="es-ES"/>
        </w:rPr>
        <w:t xml:space="preserve"> </w:t>
      </w:r>
      <w:r w:rsidRPr="00960E47">
        <w:rPr>
          <w:lang w:val="es-ES"/>
        </w:rPr>
        <w:t>Proclamación núm. 62 sobre Tribunales Centrales y Locales, 1938).</w:t>
      </w:r>
    </w:p>
    <w:p w:rsidR="00E421FD" w:rsidRPr="00960E47" w:rsidRDefault="00E421FD" w:rsidP="00BD2CEB">
      <w:pPr>
        <w:pStyle w:val="SingleTxtG"/>
        <w:rPr>
          <w:lang w:val="es-ES"/>
        </w:rPr>
      </w:pPr>
      <w:r w:rsidRPr="00960E47">
        <w:rPr>
          <w:lang w:val="es-ES"/>
        </w:rPr>
        <w:t>109.</w:t>
      </w:r>
      <w:r w:rsidRPr="00960E47">
        <w:rPr>
          <w:lang w:val="es-ES"/>
        </w:rPr>
        <w:tab/>
        <w:t>Los tribunales subordinados no pueden interpretar las disposiciones de la Constitución.</w:t>
      </w:r>
      <w:r w:rsidR="009C195E" w:rsidRPr="00960E47">
        <w:rPr>
          <w:lang w:val="es-ES"/>
        </w:rPr>
        <w:t xml:space="preserve"> </w:t>
      </w:r>
      <w:r w:rsidRPr="00960E47">
        <w:rPr>
          <w:lang w:val="es-ES"/>
        </w:rPr>
        <w:t>En caso de que un tribunal subordinado deba conocer de esta materia y cuando en algún procedimiento surja una cuestión sobre la interpretación de la Constitución, si el tribunal subordinado considera que se trata de una cuestión fundamental de derecho y si una parte en el procedimiento lo solicita, remitirá la cuestión al Tribunal Superior (art. 128 de la Constitución).</w:t>
      </w:r>
    </w:p>
    <w:p w:rsidR="00E421FD" w:rsidRPr="00960E47" w:rsidRDefault="004A35D6" w:rsidP="00BD2CEB">
      <w:pPr>
        <w:pStyle w:val="H23G"/>
        <w:rPr>
          <w:lang w:val="es-ES"/>
        </w:rPr>
      </w:pPr>
      <w:r w:rsidRPr="00960E47">
        <w:rPr>
          <w:lang w:val="es-ES"/>
        </w:rPr>
        <w:tab/>
      </w:r>
      <w:r w:rsidRPr="00960E47">
        <w:rPr>
          <w:lang w:val="es-ES"/>
        </w:rPr>
        <w:tab/>
      </w:r>
      <w:r w:rsidR="00E421FD" w:rsidRPr="00960E47">
        <w:rPr>
          <w:lang w:val="es-ES"/>
        </w:rPr>
        <w:t>Novedades recientes en el sector judicial</w:t>
      </w:r>
    </w:p>
    <w:p w:rsidR="00E421FD" w:rsidRPr="00960E47" w:rsidRDefault="004A35D6" w:rsidP="00BD2CEB">
      <w:pPr>
        <w:pStyle w:val="SingleTxtG"/>
        <w:rPr>
          <w:lang w:val="es-ES"/>
        </w:rPr>
      </w:pPr>
      <w:r w:rsidRPr="00960E47">
        <w:rPr>
          <w:lang w:val="es-ES"/>
        </w:rPr>
        <w:t>110.</w:t>
      </w:r>
      <w:r w:rsidRPr="00960E47">
        <w:rPr>
          <w:lang w:val="es-ES"/>
        </w:rPr>
        <w:tab/>
      </w:r>
      <w:r w:rsidR="00E421FD" w:rsidRPr="00960E47">
        <w:rPr>
          <w:lang w:val="es-ES"/>
        </w:rPr>
        <w:t>El componente del Proyecto de Reforma del Derecho Civil, en el marco de la Cuenta del Reto del Milenio-Lesotho, y Millennium Challenge Corporation-US han elaborado un programa cuyo objetivo es mejorar el sector privado. El Proyecto presta especial atención a la mejora del funcionamiento del tribunal mercantil, la introducción del mecanismo alternativo de solución de controversias, el tribunal de demandas de menor cuantía y un sistema mejorado de gestión de los casos civiles, penales y mercantiles. Se ha contratado a una empresa de consultores de Uganda para que ayude al sector judicial a aplicar este programa.</w:t>
      </w:r>
    </w:p>
    <w:p w:rsidR="00E421FD" w:rsidRPr="00960E47" w:rsidRDefault="004A35D6" w:rsidP="00BD2CEB">
      <w:pPr>
        <w:pStyle w:val="H23G"/>
        <w:rPr>
          <w:lang w:val="es-ES"/>
        </w:rPr>
      </w:pPr>
      <w:r w:rsidRPr="00960E47">
        <w:rPr>
          <w:lang w:val="es-ES"/>
        </w:rPr>
        <w:tab/>
      </w:r>
      <w:r w:rsidRPr="00960E47">
        <w:rPr>
          <w:lang w:val="es-ES"/>
        </w:rPr>
        <w:tab/>
      </w:r>
      <w:r w:rsidR="00E421FD" w:rsidRPr="00960E47">
        <w:rPr>
          <w:lang w:val="es-ES"/>
        </w:rPr>
        <w:t>El Tribunal del Trabajo</w:t>
      </w:r>
    </w:p>
    <w:p w:rsidR="00E421FD" w:rsidRPr="00960E47" w:rsidRDefault="00E421FD" w:rsidP="00BD2CEB">
      <w:pPr>
        <w:pStyle w:val="SingleTxtG"/>
        <w:rPr>
          <w:lang w:val="es-ES"/>
        </w:rPr>
      </w:pPr>
      <w:r w:rsidRPr="00960E47">
        <w:rPr>
          <w:lang w:val="es-ES"/>
        </w:rPr>
        <w:t>111.</w:t>
      </w:r>
      <w:r w:rsidRPr="00960E47">
        <w:rPr>
          <w:lang w:val="es-ES"/>
        </w:rPr>
        <w:tab/>
        <w:t>El Tribunal del Trabajo se estableció en virtud de la Orden sobre el Código del Trabajo, núm. 24 de 1992, conforme al artículo 22 1).</w:t>
      </w:r>
      <w:r w:rsidR="009C195E" w:rsidRPr="00960E47">
        <w:rPr>
          <w:lang w:val="es-ES"/>
        </w:rPr>
        <w:t xml:space="preserve"> </w:t>
      </w:r>
      <w:r w:rsidRPr="00960E47">
        <w:rPr>
          <w:lang w:val="es-ES"/>
        </w:rPr>
        <w:t>Cuenta con un Presidente nombrado con arreglo al artículo 23 1) a).</w:t>
      </w:r>
      <w:r w:rsidR="009C195E" w:rsidRPr="00960E47">
        <w:rPr>
          <w:lang w:val="es-ES"/>
        </w:rPr>
        <w:t xml:space="preserve"> </w:t>
      </w:r>
      <w:r w:rsidRPr="00960E47">
        <w:rPr>
          <w:lang w:val="es-ES"/>
        </w:rPr>
        <w:t xml:space="preserve">También se prevé el nombramiento de vicepresidentes según lo considere necesario el Ministro, así como de dos </w:t>
      </w:r>
      <w:r w:rsidR="004A35D6" w:rsidRPr="00960E47">
        <w:rPr>
          <w:lang w:val="es-ES"/>
        </w:rPr>
        <w:t>miembros o</w:t>
      </w:r>
      <w:r w:rsidR="000B0343" w:rsidRPr="00960E47">
        <w:rPr>
          <w:lang w:val="es-ES"/>
        </w:rPr>
        <w:t>rdinarios (véase </w:t>
      </w:r>
      <w:r w:rsidR="004A35D6" w:rsidRPr="00960E47">
        <w:rPr>
          <w:lang w:val="es-ES"/>
        </w:rPr>
        <w:t>art. </w:t>
      </w:r>
      <w:r w:rsidRPr="00960E47">
        <w:rPr>
          <w:lang w:val="es-ES"/>
        </w:rPr>
        <w:t xml:space="preserve">23 1) b) y c)). </w:t>
      </w:r>
    </w:p>
    <w:p w:rsidR="00E421FD" w:rsidRPr="00960E47" w:rsidRDefault="00E421FD" w:rsidP="00BD2CEB">
      <w:pPr>
        <w:pStyle w:val="SingleTxtG"/>
        <w:rPr>
          <w:lang w:val="es-ES"/>
        </w:rPr>
      </w:pPr>
      <w:r w:rsidRPr="00960E47">
        <w:rPr>
          <w:lang w:val="es-ES"/>
        </w:rPr>
        <w:t>112.</w:t>
      </w:r>
      <w:r w:rsidRPr="00960E47">
        <w:rPr>
          <w:lang w:val="es-ES"/>
        </w:rPr>
        <w:tab/>
        <w:t>El Tribunal del Trabajo previsto en el artículo 24 tiene atribuciones, autoridad y competencia civil para, entre otras cosas, investigar y decidir los derechos y deberes relativos de los empleadores, empleados y sus organizaciones respectivas en relación con cualquier asunto que se le someta con arreglo a las disposiciones del Código y a adjudicar la debida indemnización en los casos de infracción.</w:t>
      </w:r>
      <w:r w:rsidR="009C195E" w:rsidRPr="00960E47">
        <w:rPr>
          <w:lang w:val="es-ES"/>
        </w:rPr>
        <w:t xml:space="preserve"> </w:t>
      </w:r>
      <w:r w:rsidRPr="00960E47">
        <w:rPr>
          <w:lang w:val="es-ES"/>
        </w:rPr>
        <w:t>El Tribunal del Trabajo no es un tribunal subordinado, sino un tribunal de equidad que debe mantener la balanza de la justicia en equilibrio entre las demandas opuestas del empleador y el empleado, como consideró el Tribunal de Apelación en la causa (CIV) núm.</w:t>
      </w:r>
      <w:r w:rsidR="009C195E" w:rsidRPr="00960E47">
        <w:rPr>
          <w:lang w:val="es-ES"/>
        </w:rPr>
        <w:t xml:space="preserve"> </w:t>
      </w:r>
      <w:r w:rsidRPr="00960E47">
        <w:rPr>
          <w:lang w:val="es-ES"/>
        </w:rPr>
        <w:t>29 de 1995 entre el Fiscal General y el Sindicato de Docentes de Lesotho y otros.</w:t>
      </w:r>
    </w:p>
    <w:p w:rsidR="00E421FD" w:rsidRPr="00960E47" w:rsidRDefault="004A35D6" w:rsidP="00BD2CEB">
      <w:pPr>
        <w:pStyle w:val="SingleTxtG"/>
        <w:rPr>
          <w:lang w:val="es-ES"/>
        </w:rPr>
      </w:pPr>
      <w:r w:rsidRPr="00960E47">
        <w:rPr>
          <w:lang w:val="es-ES"/>
        </w:rPr>
        <w:t>113.</w:t>
      </w:r>
      <w:r w:rsidRPr="00960E47">
        <w:rPr>
          <w:lang w:val="es-ES"/>
        </w:rPr>
        <w:tab/>
      </w:r>
      <w:r w:rsidR="00E421FD" w:rsidRPr="00960E47">
        <w:rPr>
          <w:lang w:val="es-ES"/>
        </w:rPr>
        <w:t>En el período de noviembre de 1993 a marzo de 1994, la Oficina del Defensor del Pueblo recibió 44 quejas.</w:t>
      </w:r>
      <w:r w:rsidR="009C195E" w:rsidRPr="00960E47">
        <w:rPr>
          <w:lang w:val="es-ES"/>
        </w:rPr>
        <w:t xml:space="preserve"> </w:t>
      </w:r>
      <w:r w:rsidR="00E421FD" w:rsidRPr="00960E47">
        <w:rPr>
          <w:lang w:val="es-ES"/>
        </w:rPr>
        <w:t>De estas, cinco eran casos pendientes ante los tribunales, seis eran casos de la competencia de organismos de derecho público y tres se consideraron demasiado triviales para merecer una investigación.</w:t>
      </w:r>
    </w:p>
    <w:p w:rsidR="00E421FD" w:rsidRPr="00960E47" w:rsidRDefault="004A35D6" w:rsidP="00BD2CEB">
      <w:pPr>
        <w:pStyle w:val="H23G"/>
        <w:rPr>
          <w:lang w:val="es-ES"/>
        </w:rPr>
      </w:pPr>
      <w:r w:rsidRPr="00960E47">
        <w:rPr>
          <w:lang w:val="es-ES"/>
        </w:rPr>
        <w:tab/>
      </w:r>
      <w:r w:rsidRPr="00960E47">
        <w:rPr>
          <w:lang w:val="es-ES"/>
        </w:rPr>
        <w:tab/>
      </w:r>
      <w:r w:rsidR="00E421FD" w:rsidRPr="00960E47">
        <w:rPr>
          <w:lang w:val="es-ES"/>
        </w:rPr>
        <w:t>La Comisión de la Función Pública</w:t>
      </w:r>
    </w:p>
    <w:p w:rsidR="00E421FD" w:rsidRPr="00960E47" w:rsidRDefault="00E421FD" w:rsidP="00BD2CEB">
      <w:pPr>
        <w:pStyle w:val="SingleTxtG"/>
        <w:rPr>
          <w:lang w:val="es-ES"/>
        </w:rPr>
      </w:pPr>
      <w:r w:rsidRPr="00960E47">
        <w:rPr>
          <w:lang w:val="es-ES"/>
        </w:rPr>
        <w:t>114.</w:t>
      </w:r>
      <w:r w:rsidRPr="00960E47">
        <w:rPr>
          <w:lang w:val="es-ES"/>
        </w:rPr>
        <w:tab/>
        <w:t>La Comisión es una de las autoridades competentes en materias relativas a los derechos humanos.</w:t>
      </w:r>
      <w:r w:rsidR="009C195E" w:rsidRPr="00960E47">
        <w:rPr>
          <w:lang w:val="es-ES"/>
        </w:rPr>
        <w:t xml:space="preserve"> </w:t>
      </w:r>
      <w:r w:rsidRPr="00960E47">
        <w:rPr>
          <w:lang w:val="es-ES"/>
        </w:rPr>
        <w:t>Se estableció en virtud del artículo 136 1) del capítulo XIII de la Constitución de 1993, que dispone que habrá una Comisión de la Función Pública, integrada por un Presidente y entre dos y cuatro miembros, que serán nombrados por el Rey de conformidad con el asesoramiento de la Comisión del Servicio Judicial.</w:t>
      </w:r>
    </w:p>
    <w:p w:rsidR="00E421FD" w:rsidRPr="00960E47" w:rsidRDefault="00E421FD" w:rsidP="00BD2CEB">
      <w:pPr>
        <w:pStyle w:val="SingleTxtG"/>
        <w:rPr>
          <w:lang w:val="es-ES"/>
        </w:rPr>
      </w:pPr>
      <w:r w:rsidRPr="00960E47">
        <w:rPr>
          <w:lang w:val="es-ES"/>
        </w:rPr>
        <w:t>115.</w:t>
      </w:r>
      <w:r w:rsidRPr="00960E47">
        <w:rPr>
          <w:lang w:val="es-ES"/>
        </w:rPr>
        <w:tab/>
        <w:t>La Comisión de la Función Pública se encarga de nombrar a los funcionarios públicos.</w:t>
      </w:r>
      <w:r w:rsidR="009C195E" w:rsidRPr="00960E47">
        <w:rPr>
          <w:lang w:val="es-ES"/>
        </w:rPr>
        <w:t xml:space="preserve"> </w:t>
      </w:r>
      <w:r w:rsidRPr="00960E47">
        <w:rPr>
          <w:lang w:val="es-ES"/>
        </w:rPr>
        <w:t>El artículo 137 1) establece que, con sujeción a las disposiciones de la Constitución, la Comisión de la Función Pública tendrá facultades para nombrar a las personas que ocuparán o desempeñarán cargos en la función pública (incluida la confirmación de los nombramientos), ejercer el control disciplinario sobre esas personas y destituirlas.</w:t>
      </w:r>
    </w:p>
    <w:p w:rsidR="00E421FD" w:rsidRPr="00960E47" w:rsidRDefault="004A35D6" w:rsidP="00BD2CEB">
      <w:pPr>
        <w:pStyle w:val="H23G"/>
        <w:rPr>
          <w:lang w:val="es-ES"/>
        </w:rPr>
      </w:pPr>
      <w:r w:rsidRPr="00960E47">
        <w:rPr>
          <w:lang w:val="es-ES"/>
        </w:rPr>
        <w:tab/>
      </w:r>
      <w:r w:rsidRPr="00960E47">
        <w:rPr>
          <w:lang w:val="es-ES"/>
        </w:rPr>
        <w:tab/>
      </w:r>
      <w:r w:rsidR="00E421FD" w:rsidRPr="00960E47">
        <w:rPr>
          <w:lang w:val="es-ES"/>
        </w:rPr>
        <w:t>La Comisión del Servicio Judicial</w:t>
      </w:r>
    </w:p>
    <w:p w:rsidR="00E421FD" w:rsidRPr="00960E47" w:rsidRDefault="00E421FD" w:rsidP="00BD2CEB">
      <w:pPr>
        <w:pStyle w:val="SingleTxtG"/>
        <w:rPr>
          <w:lang w:val="es-ES"/>
        </w:rPr>
      </w:pPr>
      <w:r w:rsidRPr="00960E47">
        <w:rPr>
          <w:lang w:val="es-ES"/>
        </w:rPr>
        <w:t>116.</w:t>
      </w:r>
      <w:r w:rsidRPr="00960E47">
        <w:rPr>
          <w:lang w:val="es-ES"/>
        </w:rPr>
        <w:tab/>
        <w:t>La Comisión del Servicio Judicial se estableció en virtud del artículo 132 1) de la Constitución, que dispone que habrá una Comisión del Servicio Judicial, integrada por:</w:t>
      </w:r>
    </w:p>
    <w:p w:rsidR="00E421FD" w:rsidRPr="00960E47" w:rsidRDefault="004A35D6" w:rsidP="00BD2CEB">
      <w:pPr>
        <w:pStyle w:val="SingleTxtG"/>
        <w:rPr>
          <w:lang w:val="es-ES"/>
        </w:rPr>
      </w:pPr>
      <w:r w:rsidRPr="00960E47">
        <w:rPr>
          <w:lang w:val="es-ES"/>
        </w:rPr>
        <w:tab/>
      </w:r>
      <w:r w:rsidR="00E421FD" w:rsidRPr="00960E47">
        <w:rPr>
          <w:lang w:val="es-ES"/>
        </w:rPr>
        <w:t>a)</w:t>
      </w:r>
      <w:r w:rsidR="00E421FD" w:rsidRPr="00960E47">
        <w:rPr>
          <w:lang w:val="es-ES"/>
        </w:rPr>
        <w:tab/>
        <w:t>El Presidente del Tribunal Superior, como Presidente;</w:t>
      </w:r>
    </w:p>
    <w:p w:rsidR="00E421FD" w:rsidRPr="00960E47" w:rsidRDefault="004A35D6" w:rsidP="00BD2CEB">
      <w:pPr>
        <w:pStyle w:val="SingleTxtG"/>
        <w:rPr>
          <w:lang w:val="es-ES"/>
        </w:rPr>
      </w:pPr>
      <w:r w:rsidRPr="00960E47">
        <w:rPr>
          <w:lang w:val="es-ES"/>
        </w:rPr>
        <w:tab/>
      </w:r>
      <w:r w:rsidR="00E421FD" w:rsidRPr="00960E47">
        <w:rPr>
          <w:lang w:val="es-ES"/>
        </w:rPr>
        <w:t>b)</w:t>
      </w:r>
      <w:r w:rsidR="00E421FD" w:rsidRPr="00960E47">
        <w:rPr>
          <w:lang w:val="es-ES"/>
        </w:rPr>
        <w:tab/>
        <w:t>El Fiscal General del Estado;</w:t>
      </w:r>
    </w:p>
    <w:p w:rsidR="00E421FD" w:rsidRPr="00960E47" w:rsidRDefault="004A35D6" w:rsidP="00BD2CEB">
      <w:pPr>
        <w:pStyle w:val="SingleTxtG"/>
        <w:rPr>
          <w:lang w:val="es-ES"/>
        </w:rPr>
      </w:pPr>
      <w:r w:rsidRPr="00960E47">
        <w:rPr>
          <w:lang w:val="es-ES"/>
        </w:rPr>
        <w:tab/>
      </w:r>
      <w:r w:rsidR="00E421FD" w:rsidRPr="00960E47">
        <w:rPr>
          <w:lang w:val="es-ES"/>
        </w:rPr>
        <w:t>c)</w:t>
      </w:r>
      <w:r w:rsidR="00E421FD" w:rsidRPr="00960E47">
        <w:rPr>
          <w:lang w:val="es-ES"/>
        </w:rPr>
        <w:tab/>
        <w:t>El Presidente de la Comisión de la Función Pública u otro miembro de esa Comisión designado por su Presidente; y</w:t>
      </w:r>
    </w:p>
    <w:p w:rsidR="00E421FD" w:rsidRPr="00960E47" w:rsidRDefault="004A35D6" w:rsidP="00BD2CEB">
      <w:pPr>
        <w:pStyle w:val="SingleTxtG"/>
        <w:rPr>
          <w:lang w:val="es-ES"/>
        </w:rPr>
      </w:pPr>
      <w:r w:rsidRPr="00960E47">
        <w:rPr>
          <w:lang w:val="es-ES"/>
        </w:rPr>
        <w:tab/>
      </w:r>
      <w:r w:rsidR="00E421FD" w:rsidRPr="00960E47">
        <w:rPr>
          <w:lang w:val="es-ES"/>
        </w:rPr>
        <w:t>d)</w:t>
      </w:r>
      <w:r w:rsidR="00E421FD" w:rsidRPr="00960E47">
        <w:rPr>
          <w:lang w:val="es-ES"/>
        </w:rPr>
        <w:tab/>
        <w:t>Un miembro designado de entre las personas que ejercen o han ejercido altos cargos judiciales, que será nombrado por el Rey de conformidad con el asesoramiento del Presidente del Tribunal</w:t>
      </w:r>
      <w:r w:rsidR="009C195E" w:rsidRPr="00960E47">
        <w:rPr>
          <w:lang w:val="es-ES"/>
        </w:rPr>
        <w:t xml:space="preserve"> </w:t>
      </w:r>
      <w:r w:rsidR="00E421FD" w:rsidRPr="00960E47">
        <w:rPr>
          <w:lang w:val="es-ES"/>
        </w:rPr>
        <w:t xml:space="preserve">Superior y que en lo sucesivo recibirá el nombre de </w:t>
      </w:r>
      <w:r w:rsidR="0045213B" w:rsidRPr="00960E47">
        <w:rPr>
          <w:lang w:val="es-ES"/>
        </w:rPr>
        <w:t>"</w:t>
      </w:r>
      <w:r w:rsidR="00E421FD" w:rsidRPr="00960E47">
        <w:rPr>
          <w:lang w:val="es-ES"/>
        </w:rPr>
        <w:t>miembro nombrado</w:t>
      </w:r>
      <w:r w:rsidR="0045213B" w:rsidRPr="00960E47">
        <w:rPr>
          <w:lang w:val="es-ES"/>
        </w:rPr>
        <w:t>"</w:t>
      </w:r>
      <w:r w:rsidR="00E421FD" w:rsidRPr="00960E47">
        <w:rPr>
          <w:lang w:val="es-ES"/>
        </w:rPr>
        <w:t>.</w:t>
      </w:r>
    </w:p>
    <w:p w:rsidR="00E421FD" w:rsidRPr="00960E47" w:rsidRDefault="00E421FD" w:rsidP="00BD2CEB">
      <w:pPr>
        <w:pStyle w:val="SingleTxtG"/>
        <w:rPr>
          <w:lang w:val="es-ES"/>
        </w:rPr>
      </w:pPr>
      <w:r w:rsidRPr="00960E47">
        <w:rPr>
          <w:lang w:val="es-ES"/>
        </w:rPr>
        <w:t>117.</w:t>
      </w:r>
      <w:r w:rsidRPr="00960E47">
        <w:rPr>
          <w:lang w:val="es-ES"/>
        </w:rPr>
        <w:tab/>
        <w:t>Un individuo que afirme que se han violado sus derechos dispone de los siguientes recursos:</w:t>
      </w:r>
      <w:r w:rsidR="009C195E" w:rsidRPr="00960E47">
        <w:rPr>
          <w:lang w:val="es-ES"/>
        </w:rPr>
        <w:t xml:space="preserve"> </w:t>
      </w:r>
      <w:r w:rsidRPr="00960E47">
        <w:rPr>
          <w:i/>
          <w:lang w:val="es-ES"/>
        </w:rPr>
        <w:t>habeas corpus</w:t>
      </w:r>
      <w:r w:rsidRPr="00960E47">
        <w:rPr>
          <w:lang w:val="es-ES"/>
        </w:rPr>
        <w:t>, libertad bajo fianza, orden de declaración, interdicto e indemnización por daños y perjuicios.</w:t>
      </w:r>
      <w:r w:rsidR="009C195E" w:rsidRPr="00960E47">
        <w:rPr>
          <w:lang w:val="es-ES"/>
        </w:rPr>
        <w:t xml:space="preserve"> </w:t>
      </w:r>
      <w:r w:rsidRPr="00960E47">
        <w:rPr>
          <w:lang w:val="es-ES"/>
        </w:rPr>
        <w:t xml:space="preserve">Con excepción de la libertad bajo fianza, que se regula en los artículos 99 a 117 de la Ley núm. 7 de Procedimientos y Pruebas en Materia Penal, de 1981, los recursos restantes constituyen lo que denominamos recursos del </w:t>
      </w:r>
      <w:r w:rsidRPr="00960E47">
        <w:rPr>
          <w:i/>
          <w:lang w:val="es-ES"/>
        </w:rPr>
        <w:t>common law</w:t>
      </w:r>
      <w:r w:rsidRPr="00960E47">
        <w:rPr>
          <w:lang w:val="es-ES"/>
        </w:rPr>
        <w:t>.</w:t>
      </w:r>
      <w:r w:rsidR="009C195E" w:rsidRPr="00960E47">
        <w:rPr>
          <w:lang w:val="es-ES"/>
        </w:rPr>
        <w:t xml:space="preserve"> </w:t>
      </w:r>
      <w:r w:rsidRPr="00960E47">
        <w:rPr>
          <w:lang w:val="es-ES"/>
        </w:rPr>
        <w:t xml:space="preserve">El </w:t>
      </w:r>
      <w:r w:rsidRPr="00960E47">
        <w:rPr>
          <w:i/>
          <w:lang w:val="es-ES"/>
        </w:rPr>
        <w:t>common law</w:t>
      </w:r>
      <w:r w:rsidRPr="00960E47">
        <w:rPr>
          <w:lang w:val="es-ES"/>
        </w:rPr>
        <w:t xml:space="preserve"> no debe confundirse con el </w:t>
      </w:r>
      <w:r w:rsidRPr="00960E47">
        <w:rPr>
          <w:i/>
          <w:lang w:val="es-ES"/>
        </w:rPr>
        <w:t>common law</w:t>
      </w:r>
      <w:r w:rsidRPr="00960E47">
        <w:rPr>
          <w:lang w:val="es-ES"/>
        </w:rPr>
        <w:t xml:space="preserve"> anglosajón y se refiere a la jurisprudencia desarrollada y explicada por los juristas neerlandeses de derecho romano.</w:t>
      </w:r>
    </w:p>
    <w:p w:rsidR="00E421FD" w:rsidRPr="00960E47" w:rsidRDefault="00E421FD" w:rsidP="00BD2CEB">
      <w:pPr>
        <w:pStyle w:val="SingleTxtG"/>
        <w:rPr>
          <w:lang w:val="es-ES"/>
        </w:rPr>
      </w:pPr>
      <w:r w:rsidRPr="00960E47">
        <w:rPr>
          <w:lang w:val="es-ES"/>
        </w:rPr>
        <w:t>118.</w:t>
      </w:r>
      <w:r w:rsidRPr="00960E47">
        <w:rPr>
          <w:lang w:val="es-ES"/>
        </w:rPr>
        <w:tab/>
        <w:t>El artículo 99 1) de la Ley de Procedimientos y Pruebas en Materia Penal establece que toda persona que deba ser procesada o sentenciada por algún delito, excepto el de sedición, homicidio o traición podrá beneficiarse de la libertad bajo fianza a discreción del magistrado.</w:t>
      </w:r>
      <w:r w:rsidR="009C195E" w:rsidRPr="00960E47">
        <w:rPr>
          <w:lang w:val="es-ES"/>
        </w:rPr>
        <w:t xml:space="preserve"> </w:t>
      </w:r>
      <w:r w:rsidRPr="00960E47">
        <w:rPr>
          <w:lang w:val="es-ES"/>
        </w:rPr>
        <w:t>Con arreglo a la Ley núm. 33 de Enmienda de la Ley de Procedimientos y Pruebas en Materia Penal, de 1984, se añadieron los delitos de tentativa de homicidio y robo a mano armada.</w:t>
      </w:r>
      <w:r w:rsidR="009C195E" w:rsidRPr="00960E47">
        <w:rPr>
          <w:lang w:val="es-ES"/>
        </w:rPr>
        <w:t xml:space="preserve"> </w:t>
      </w:r>
      <w:r w:rsidRPr="00960E47">
        <w:rPr>
          <w:lang w:val="es-ES"/>
        </w:rPr>
        <w:t>El párrafo 2 del artículo establece que la denegación de la libertad bajo fianza por el magistrado que haya ordenado el procesamiento de la persona no menoscabará los derechos de esta enunciados en el artículo.</w:t>
      </w:r>
    </w:p>
    <w:p w:rsidR="00E421FD" w:rsidRPr="00960E47" w:rsidRDefault="00E421FD" w:rsidP="00BD2CEB">
      <w:pPr>
        <w:pStyle w:val="SingleTxtG"/>
        <w:rPr>
          <w:lang w:val="es-ES"/>
        </w:rPr>
      </w:pPr>
      <w:r w:rsidRPr="00960E47">
        <w:rPr>
          <w:lang w:val="es-ES"/>
        </w:rPr>
        <w:t>119.</w:t>
      </w:r>
      <w:r w:rsidRPr="00960E47">
        <w:rPr>
          <w:lang w:val="es-ES"/>
        </w:rPr>
        <w:tab/>
        <w:t>En cuanto a la fianza, no debe ser excesiva, de lo contrario el acusado tiene derecho a apelar en virtud del artículo 108.</w:t>
      </w:r>
      <w:r w:rsidR="009C195E" w:rsidRPr="00960E47">
        <w:rPr>
          <w:lang w:val="es-ES"/>
        </w:rPr>
        <w:t xml:space="preserve"> </w:t>
      </w:r>
      <w:r w:rsidRPr="00960E47">
        <w:rPr>
          <w:lang w:val="es-ES"/>
        </w:rPr>
        <w:t>El artículo establece que cuando una persona acusada se considera agraviada</w:t>
      </w:r>
      <w:r w:rsidR="009C195E" w:rsidRPr="00960E47">
        <w:rPr>
          <w:lang w:val="es-ES"/>
        </w:rPr>
        <w:t xml:space="preserve">: </w:t>
      </w:r>
      <w:r w:rsidRPr="00960E47">
        <w:rPr>
          <w:lang w:val="es-ES"/>
        </w:rPr>
        <w:t>a) por la negativa de un</w:t>
      </w:r>
      <w:r w:rsidR="009C195E" w:rsidRPr="00960E47">
        <w:rPr>
          <w:lang w:val="es-ES"/>
        </w:rPr>
        <w:t xml:space="preserve"> </w:t>
      </w:r>
      <w:r w:rsidRPr="00960E47">
        <w:rPr>
          <w:lang w:val="es-ES"/>
        </w:rPr>
        <w:t>magistrado a otorgarle la libertad bajo fianza</w:t>
      </w:r>
      <w:r w:rsidR="009C195E" w:rsidRPr="00960E47">
        <w:rPr>
          <w:lang w:val="es-ES"/>
        </w:rPr>
        <w:t>;</w:t>
      </w:r>
      <w:r w:rsidRPr="00960E47">
        <w:rPr>
          <w:lang w:val="es-ES"/>
        </w:rPr>
        <w:t xml:space="preserve"> o b) por el magistrado que haya exigido una fianza excesiva o haya impuesto condiciones no razonables, podrá recurrir contra la decisión del magistrado ante el Tribunal Superior, el cual dictará las providencias que considere justas de acuerdo con las circunstancias.</w:t>
      </w:r>
    </w:p>
    <w:p w:rsidR="00E421FD" w:rsidRPr="00960E47" w:rsidRDefault="00E421FD" w:rsidP="00BD2CEB">
      <w:pPr>
        <w:pStyle w:val="SingleTxtG"/>
        <w:rPr>
          <w:lang w:val="es-ES"/>
        </w:rPr>
      </w:pPr>
      <w:r w:rsidRPr="00960E47">
        <w:rPr>
          <w:lang w:val="es-ES"/>
        </w:rPr>
        <w:t>120.</w:t>
      </w:r>
      <w:r w:rsidRPr="00960E47">
        <w:rPr>
          <w:lang w:val="es-ES"/>
        </w:rPr>
        <w:tab/>
        <w:t xml:space="preserve">El Tribunal podrá imponer condiciones muy estrictas para la libertad bajo fianza si, en su opinión, la vida de la presunta víctima sigue en peligro o si la presunta víctima sigue encontrándose en un estado grave durante mucho tiempo o si está en coma desde hace muchos meses (véase </w:t>
      </w:r>
      <w:r w:rsidRPr="00960E47">
        <w:rPr>
          <w:i/>
          <w:lang w:val="es-ES"/>
        </w:rPr>
        <w:t>Matsela Mongali and 14 Others v. The Director of Public Prosecutions</w:t>
      </w:r>
      <w:r w:rsidRPr="00960E47">
        <w:rPr>
          <w:lang w:val="es-ES"/>
        </w:rPr>
        <w:t xml:space="preserve">, </w:t>
      </w:r>
      <w:r w:rsidRPr="00960E47">
        <w:rPr>
          <w:i/>
          <w:lang w:val="es-ES"/>
        </w:rPr>
        <w:t>Lesotho Law Reports and Legal Bulletin</w:t>
      </w:r>
      <w:r w:rsidRPr="00960E47">
        <w:rPr>
          <w:lang w:val="es-ES"/>
        </w:rPr>
        <w:t xml:space="preserve"> 1991-1992, pág. 106).</w:t>
      </w:r>
    </w:p>
    <w:p w:rsidR="00E421FD" w:rsidRPr="00960E47" w:rsidRDefault="00E421FD" w:rsidP="00BD2CEB">
      <w:pPr>
        <w:pStyle w:val="SingleTxtG"/>
        <w:rPr>
          <w:lang w:val="es-ES"/>
        </w:rPr>
      </w:pPr>
      <w:r w:rsidRPr="00960E47">
        <w:rPr>
          <w:lang w:val="es-ES"/>
        </w:rPr>
        <w:t>121.</w:t>
      </w:r>
      <w:r w:rsidRPr="00960E47">
        <w:rPr>
          <w:lang w:val="es-ES"/>
        </w:rPr>
        <w:tab/>
        <w:t>En la práctica, el Tribunal Superior atiende las solicitudes de libertad bajo fianza los lunes.</w:t>
      </w:r>
      <w:r w:rsidR="009C195E" w:rsidRPr="00960E47">
        <w:rPr>
          <w:lang w:val="es-ES"/>
        </w:rPr>
        <w:t xml:space="preserve"> </w:t>
      </w:r>
      <w:r w:rsidRPr="00960E47">
        <w:rPr>
          <w:lang w:val="es-ES"/>
        </w:rPr>
        <w:t>Se trata de una disposición meramente a efectos administrativos, pero no de un requisito legal.</w:t>
      </w:r>
    </w:p>
    <w:p w:rsidR="00E421FD" w:rsidRPr="00960E47" w:rsidRDefault="004A35D6" w:rsidP="00BD2CEB">
      <w:pPr>
        <w:pStyle w:val="H23G"/>
        <w:rPr>
          <w:lang w:val="es-ES"/>
        </w:rPr>
      </w:pPr>
      <w:r w:rsidRPr="00960E47">
        <w:rPr>
          <w:lang w:val="es-ES"/>
        </w:rPr>
        <w:tab/>
      </w:r>
      <w:r w:rsidRPr="00960E47">
        <w:rPr>
          <w:lang w:val="es-ES"/>
        </w:rPr>
        <w:tab/>
      </w:r>
      <w:r w:rsidR="00E421FD" w:rsidRPr="00960E47">
        <w:rPr>
          <w:lang w:val="es-ES"/>
        </w:rPr>
        <w:t xml:space="preserve">Mecanismo institucional encargado de vigilar la aplicación de los derechos </w:t>
      </w:r>
      <w:r w:rsidRPr="00960E47">
        <w:rPr>
          <w:lang w:val="es-ES"/>
        </w:rPr>
        <w:br/>
      </w:r>
      <w:r w:rsidR="00E421FD" w:rsidRPr="00960E47">
        <w:rPr>
          <w:lang w:val="es-ES"/>
        </w:rPr>
        <w:t>humanos</w:t>
      </w:r>
    </w:p>
    <w:p w:rsidR="00E421FD" w:rsidRPr="00960E47" w:rsidRDefault="00E421FD" w:rsidP="00BD2CEB">
      <w:pPr>
        <w:pStyle w:val="SingleTxtG"/>
        <w:rPr>
          <w:lang w:val="es-ES"/>
        </w:rPr>
      </w:pPr>
      <w:r w:rsidRPr="00960E47">
        <w:rPr>
          <w:lang w:val="es-ES"/>
        </w:rPr>
        <w:t>122.</w:t>
      </w:r>
      <w:r w:rsidRPr="00960E47">
        <w:rPr>
          <w:lang w:val="es-ES"/>
        </w:rPr>
        <w:tab/>
        <w:t>La Dependencia de Derechos Humanos del Ministerio de Justicia tiene el siguiente mandato:</w:t>
      </w:r>
    </w:p>
    <w:p w:rsidR="00E421FD" w:rsidRPr="00960E47" w:rsidRDefault="004A35D6" w:rsidP="00BD2CEB">
      <w:pPr>
        <w:pStyle w:val="SingleTxtG"/>
        <w:rPr>
          <w:lang w:val="es-ES"/>
        </w:rPr>
      </w:pPr>
      <w:r w:rsidRPr="00960E47">
        <w:rPr>
          <w:lang w:val="es-ES"/>
        </w:rPr>
        <w:tab/>
      </w:r>
      <w:r w:rsidR="00E421FD" w:rsidRPr="00960E47">
        <w:rPr>
          <w:lang w:val="es-ES"/>
        </w:rPr>
        <w:t>a)</w:t>
      </w:r>
      <w:r w:rsidR="00E421FD" w:rsidRPr="00960E47">
        <w:rPr>
          <w:lang w:val="es-ES"/>
        </w:rPr>
        <w:tab/>
        <w:t xml:space="preserve">Transmitir información sobre los derechos humanos a los organismos encargados de la aplicación de la ley, las organizaciones no gubernamentales </w:t>
      </w:r>
      <w:r w:rsidR="009E572D" w:rsidRPr="00960E47">
        <w:rPr>
          <w:lang w:val="es-ES"/>
        </w:rPr>
        <w:t xml:space="preserve">(ONG) </w:t>
      </w:r>
      <w:r w:rsidR="00E421FD" w:rsidRPr="00960E47">
        <w:rPr>
          <w:lang w:val="es-ES"/>
        </w:rPr>
        <w:t>y otros grupos interesados, y al público en general, mediante documentos, folletos, prospectos, etc.;</w:t>
      </w:r>
    </w:p>
    <w:p w:rsidR="00E421FD" w:rsidRPr="00960E47" w:rsidRDefault="004A35D6" w:rsidP="00BD2CEB">
      <w:pPr>
        <w:pStyle w:val="SingleTxtG"/>
        <w:rPr>
          <w:lang w:val="es-ES"/>
        </w:rPr>
      </w:pPr>
      <w:r w:rsidRPr="00960E47">
        <w:rPr>
          <w:lang w:val="es-ES"/>
        </w:rPr>
        <w:tab/>
      </w:r>
      <w:r w:rsidR="00E421FD" w:rsidRPr="00960E47">
        <w:rPr>
          <w:lang w:val="es-ES"/>
        </w:rPr>
        <w:t>b)</w:t>
      </w:r>
      <w:r w:rsidR="00E421FD" w:rsidRPr="00960E47">
        <w:rPr>
          <w:lang w:val="es-ES"/>
        </w:rPr>
        <w:tab/>
        <w:t xml:space="preserve">Organizar programas de formación en derechos humanos para los organismos encargados de hacer cumplir la ley, las </w:t>
      </w:r>
      <w:r w:rsidR="009E572D" w:rsidRPr="00960E47">
        <w:rPr>
          <w:lang w:val="es-ES"/>
        </w:rPr>
        <w:t xml:space="preserve">ONG </w:t>
      </w:r>
      <w:r w:rsidR="00E421FD" w:rsidRPr="00960E47">
        <w:rPr>
          <w:lang w:val="es-ES"/>
        </w:rPr>
        <w:t>y otros grupos interesados;</w:t>
      </w:r>
    </w:p>
    <w:p w:rsidR="00E421FD" w:rsidRPr="00960E47" w:rsidRDefault="004A35D6" w:rsidP="00BD2CEB">
      <w:pPr>
        <w:pStyle w:val="SingleTxtG"/>
        <w:rPr>
          <w:lang w:val="es-ES"/>
        </w:rPr>
      </w:pPr>
      <w:r w:rsidRPr="00960E47">
        <w:rPr>
          <w:lang w:val="es-ES"/>
        </w:rPr>
        <w:tab/>
      </w:r>
      <w:r w:rsidR="00E421FD" w:rsidRPr="00960E47">
        <w:rPr>
          <w:lang w:val="es-ES"/>
        </w:rPr>
        <w:t>c)</w:t>
      </w:r>
      <w:r w:rsidR="00E421FD" w:rsidRPr="00960E47">
        <w:rPr>
          <w:lang w:val="es-ES"/>
        </w:rPr>
        <w:tab/>
        <w:t>Vigilar la legislación nacional y velar por su compatibilidad con los instrumentos internacionales de derechos humanos, en la medida de lo posible dentro del contexto cultural e histórico;</w:t>
      </w:r>
    </w:p>
    <w:p w:rsidR="00E421FD" w:rsidRPr="00960E47" w:rsidRDefault="004A35D6" w:rsidP="00BD2CEB">
      <w:pPr>
        <w:pStyle w:val="SingleTxtG"/>
        <w:rPr>
          <w:lang w:val="es-ES"/>
        </w:rPr>
      </w:pPr>
      <w:r w:rsidRPr="00960E47">
        <w:rPr>
          <w:lang w:val="es-ES"/>
        </w:rPr>
        <w:tab/>
      </w:r>
      <w:r w:rsidR="00E421FD" w:rsidRPr="00960E47">
        <w:rPr>
          <w:lang w:val="es-ES"/>
        </w:rPr>
        <w:t>d)</w:t>
      </w:r>
      <w:r w:rsidR="00E421FD" w:rsidRPr="00960E47">
        <w:rPr>
          <w:lang w:val="es-ES"/>
        </w:rPr>
        <w:tab/>
        <w:t>Cumplir las obligaciones en materia de presentación de informes al Parlamento y a los comités de las Naciones Unidas sobre los instrumentos internacionales de derechos ratificados por Lesotho, a saber el Pacto Internacional de Derechos Civiles y Políticos, el Pacto Internacional de Derechos Económicos, Sociales y Culturales y la Convención sobre los Derechos del Niño.</w:t>
      </w:r>
    </w:p>
    <w:p w:rsidR="00E421FD" w:rsidRPr="00960E47" w:rsidRDefault="004A35D6" w:rsidP="00BD2CEB">
      <w:pPr>
        <w:pStyle w:val="H23G"/>
        <w:rPr>
          <w:lang w:val="es-ES"/>
        </w:rPr>
      </w:pPr>
      <w:r w:rsidRPr="00960E47">
        <w:rPr>
          <w:lang w:val="es-ES"/>
        </w:rPr>
        <w:tab/>
      </w:r>
      <w:r w:rsidRPr="00960E47">
        <w:rPr>
          <w:lang w:val="es-ES"/>
        </w:rPr>
        <w:tab/>
      </w:r>
      <w:r w:rsidR="00E421FD" w:rsidRPr="00960E47">
        <w:rPr>
          <w:lang w:val="es-ES"/>
        </w:rPr>
        <w:t>Organismo</w:t>
      </w:r>
      <w:r w:rsidRPr="00960E47">
        <w:rPr>
          <w:lang w:val="es-ES"/>
        </w:rPr>
        <w:t xml:space="preserve"> de Denuncias contra la Policía</w:t>
      </w:r>
    </w:p>
    <w:p w:rsidR="00E421FD" w:rsidRPr="00960E47" w:rsidRDefault="004A35D6" w:rsidP="00BD2CEB">
      <w:pPr>
        <w:pStyle w:val="SingleTxtG"/>
        <w:rPr>
          <w:lang w:val="es-ES"/>
        </w:rPr>
      </w:pPr>
      <w:r w:rsidRPr="00960E47">
        <w:rPr>
          <w:lang w:val="es-ES"/>
        </w:rPr>
        <w:t>123.</w:t>
      </w:r>
      <w:r w:rsidRPr="00960E47">
        <w:rPr>
          <w:lang w:val="es-ES"/>
        </w:rPr>
        <w:tab/>
      </w:r>
      <w:r w:rsidR="00E421FD" w:rsidRPr="00960E47">
        <w:rPr>
          <w:lang w:val="es-ES"/>
        </w:rPr>
        <w:t>El Organismo de Denuncias contra la Policía es un órgano de supervisión que tramita las denuncias públicas contra la policía. Sus facultades</w:t>
      </w:r>
      <w:r w:rsidRPr="00960E47">
        <w:rPr>
          <w:lang w:val="es-ES"/>
        </w:rPr>
        <w:t xml:space="preserve"> están recogidas en el artículo </w:t>
      </w:r>
      <w:r w:rsidR="00E421FD" w:rsidRPr="00960E47">
        <w:rPr>
          <w:lang w:val="es-ES"/>
        </w:rPr>
        <w:t xml:space="preserve">22 de la Ley de la Policía de 1998. Las denuncias pueden estar relacionadas con casos de violación de los derechos humanos durante el arresto o cualquier otra forma de abuso de poder de la policía contra la ciudadanía. El filtro de los casos de denuncias contra la policía por conducta indebida, violación de los derechos humanos y malos tratos puede resultar difícil, ya que los casos deben ser remitidos por el Ministro a dicho Organismo. La primera instancia de jurisdicción original debe ser la Oficina del Ministro. Cuando se hayan producido violaciones de los derechos humanos, el Organismo no puede ocuparse de la cuestión mientras el Ministro no se lo haya encargado. </w:t>
      </w:r>
    </w:p>
    <w:p w:rsidR="00E421FD" w:rsidRPr="00960E47" w:rsidRDefault="001B642B" w:rsidP="00BD2CEB">
      <w:pPr>
        <w:pStyle w:val="HChG"/>
        <w:rPr>
          <w:lang w:val="es-ES"/>
        </w:rPr>
      </w:pPr>
      <w:r w:rsidRPr="00960E47">
        <w:rPr>
          <w:lang w:val="es-ES"/>
        </w:rPr>
        <w:tab/>
      </w:r>
      <w:r w:rsidR="00E421FD" w:rsidRPr="00960E47">
        <w:rPr>
          <w:lang w:val="es-ES"/>
        </w:rPr>
        <w:t>III.</w:t>
      </w:r>
      <w:r w:rsidR="00E421FD" w:rsidRPr="00960E47">
        <w:rPr>
          <w:lang w:val="es-ES"/>
        </w:rPr>
        <w:tab/>
        <w:t>Marco jurídico general de pro</w:t>
      </w:r>
      <w:r w:rsidR="005079D2" w:rsidRPr="00960E47">
        <w:rPr>
          <w:lang w:val="es-ES"/>
        </w:rPr>
        <w:t>tección de los derechos humanos</w:t>
      </w:r>
    </w:p>
    <w:p w:rsidR="00E421FD" w:rsidRPr="00960E47" w:rsidRDefault="001B642B" w:rsidP="00BD2CEB">
      <w:pPr>
        <w:pStyle w:val="H1G"/>
        <w:rPr>
          <w:lang w:val="es-ES"/>
        </w:rPr>
      </w:pPr>
      <w:r w:rsidRPr="00960E47">
        <w:rPr>
          <w:lang w:val="es-ES"/>
        </w:rPr>
        <w:tab/>
        <w:t>A.</w:t>
      </w:r>
      <w:r w:rsidR="00E421FD" w:rsidRPr="00960E47">
        <w:rPr>
          <w:lang w:val="es-ES"/>
        </w:rPr>
        <w:tab/>
        <w:t>Marco jurídico</w:t>
      </w:r>
    </w:p>
    <w:p w:rsidR="00E421FD" w:rsidRPr="00960E47" w:rsidRDefault="00E421FD" w:rsidP="00BD2CEB">
      <w:pPr>
        <w:pStyle w:val="SingleTxtG"/>
        <w:rPr>
          <w:lang w:val="es-ES"/>
        </w:rPr>
      </w:pPr>
      <w:r w:rsidRPr="00960E47">
        <w:rPr>
          <w:lang w:val="es-ES"/>
        </w:rPr>
        <w:t>124.</w:t>
      </w:r>
      <w:r w:rsidRPr="00960E47">
        <w:rPr>
          <w:lang w:val="es-ES"/>
        </w:rPr>
        <w:tab/>
        <w:t>El Gobierno democrático de Lesotho otorga alto valor al respeto, la promoción y la protección de los derechos humanos. Los derechos humanos y libertades fundamentales están protegidos en el capítulo II de la Constitución de Lesotho de 1993, que es la ley suprema del país.</w:t>
      </w:r>
      <w:r w:rsidR="009C195E" w:rsidRPr="00960E47">
        <w:rPr>
          <w:lang w:val="es-ES"/>
        </w:rPr>
        <w:t xml:space="preserve"> </w:t>
      </w:r>
      <w:r w:rsidRPr="00960E47">
        <w:rPr>
          <w:lang w:val="es-ES"/>
        </w:rPr>
        <w:t>Incluyen el derecho a la vida, el derecho a la libertad personal, la libertad de circulación y residencia, la prohibición de los tratos inhumanos, la prohibición de la esclavitud y los trabajos forzados, la prohibición de registros o injerencias arbitrarias, el derecho al respeto de la vida privada y familiar, el derecho a un juicio con las debidas garantías, la libertad de conciencia, la libertad de expresión, la libertad de reunión pacífica, la libertad de asociación, el derecho a no sufrir confiscación arbitraria de bienes, la prohibición de la discriminación, el derecho a la igualdad ante la ley y a una protección igual de la ley y el derecho a participar en el Gobierno.</w:t>
      </w:r>
    </w:p>
    <w:p w:rsidR="00E421FD" w:rsidRPr="00960E47" w:rsidRDefault="00E421FD" w:rsidP="00BD2CEB">
      <w:pPr>
        <w:pStyle w:val="SingleTxtG"/>
        <w:rPr>
          <w:lang w:val="es-ES"/>
        </w:rPr>
      </w:pPr>
      <w:r w:rsidRPr="00960E47">
        <w:rPr>
          <w:lang w:val="es-ES"/>
        </w:rPr>
        <w:t>125.</w:t>
      </w:r>
      <w:r w:rsidRPr="00960E47">
        <w:rPr>
          <w:lang w:val="es-ES"/>
        </w:rPr>
        <w:tab/>
        <w:t>Además de la Constitución, existen leyes que afectan al disfrute de los mencionados derechos.</w:t>
      </w:r>
      <w:r w:rsidR="009C195E" w:rsidRPr="00960E47">
        <w:rPr>
          <w:lang w:val="es-ES"/>
        </w:rPr>
        <w:t xml:space="preserve"> </w:t>
      </w:r>
      <w:r w:rsidRPr="00960E47">
        <w:rPr>
          <w:lang w:val="es-ES"/>
        </w:rPr>
        <w:t>Dichas leyes serán examinadas por la Comisión de Reforma Legislativa que se estableció en virtud de la Ley núm. 5 de la Comisión de Reforma Legislativa, de 1993, y cuyo mandato consiste en revisar las leyes que no sean compatibles con la Constitución de 1993, formular propuestas para la abrogación de las leyes arcaicas e inconstitucionales y hacer una refundición de las leyes.</w:t>
      </w:r>
      <w:r w:rsidR="009C195E" w:rsidRPr="00960E47">
        <w:rPr>
          <w:lang w:val="es-ES"/>
        </w:rPr>
        <w:t xml:space="preserve"> </w:t>
      </w:r>
      <w:r w:rsidRPr="00960E47">
        <w:rPr>
          <w:lang w:val="es-ES"/>
        </w:rPr>
        <w:t>Entre las disposiciones legislativas que han de examinarse figuran:</w:t>
      </w:r>
      <w:r w:rsidR="009C195E" w:rsidRPr="00960E47">
        <w:rPr>
          <w:lang w:val="es-ES"/>
        </w:rPr>
        <w:t xml:space="preserve"> </w:t>
      </w:r>
      <w:r w:rsidRPr="00960E47">
        <w:rPr>
          <w:lang w:val="es-ES"/>
        </w:rPr>
        <w:t xml:space="preserve">la parte III de la Ley núm. 24 de Seguridad Interna, de 1984, que trata de la detención para investigación de actividades subversivas; el artículo 42 de la Ley de Procedimientos y Pruebas en Materia Penal, de 1981, por la que se autoriza a dar muerte a los sospechosos que se fugan; el artículo 229 2) de dicha </w:t>
      </w:r>
      <w:r w:rsidR="00DB3263" w:rsidRPr="00960E47">
        <w:rPr>
          <w:lang w:val="es-ES"/>
        </w:rPr>
        <w:t>ley</w:t>
      </w:r>
      <w:r w:rsidRPr="00960E47">
        <w:rPr>
          <w:lang w:val="es-ES"/>
        </w:rPr>
        <w:t>, relativo a la admisibilidad de señalar pruebas, que de otra forma sería inadmisible; el artículo 34 de la Orden de la Policía, de 1971, que trata de la prescripción de determinadas acciones; el artículo 178 6) de la Orden núm. 17 de la Fuerza de Defensa, de 1993; las leyes que se aplican a los servicios de la policía, las fuerzas armadas y de seguridad, que establecerán una reglamentación más estricta para el uso de las armas de fuego (estas leyes en realidad deberían prohibir que los miembros de esos servicios conserven las armas de fuego cuando no estén ejerciendo sus funciones); un reglamento para los mencionados tres servicios que establece un código de conducta para las personas encargadas de la detención, el encarcelamiento y el interrogatorio de los sospechosos (el código debería prohibir expresamente la imposición de torturas o tratos inhumanos o degradantes); la Proclamación núm. 37 sobre la Información Judicial, de 1954, que faculta al Director de la Acusación Pública para iniciar las investigaciones; el artículo 30 de la Orden núm. 6 sobre Finanzas, de 1988, relativa a los recargos que deben aplicarse estrictamente cuando el Estado haya tenido que indemnizar a víctimas del uso de la fuerza por la policía y las fuerzas de seguridad.</w:t>
      </w:r>
    </w:p>
    <w:p w:rsidR="00E421FD" w:rsidRPr="00960E47" w:rsidRDefault="00E421FD" w:rsidP="00BD2CEB">
      <w:pPr>
        <w:pStyle w:val="SingleTxtG"/>
        <w:rPr>
          <w:lang w:val="es-ES"/>
        </w:rPr>
      </w:pPr>
      <w:r w:rsidRPr="00960E47">
        <w:rPr>
          <w:lang w:val="es-ES"/>
        </w:rPr>
        <w:t>126.</w:t>
      </w:r>
      <w:r w:rsidRPr="00960E47">
        <w:rPr>
          <w:lang w:val="es-ES"/>
        </w:rPr>
        <w:tab/>
        <w:t>Los principios de la política del Estado se enuncian en el capítulo 3 de la Constitución de 1993.</w:t>
      </w:r>
      <w:r w:rsidR="009C195E" w:rsidRPr="00960E47">
        <w:rPr>
          <w:lang w:val="es-ES"/>
        </w:rPr>
        <w:t xml:space="preserve"> </w:t>
      </w:r>
      <w:r w:rsidRPr="00960E47">
        <w:rPr>
          <w:lang w:val="es-ES"/>
        </w:rPr>
        <w:t>Sin embargo, ningún tribunal puede imponer su aplicación.</w:t>
      </w:r>
      <w:r w:rsidR="009C195E" w:rsidRPr="00960E47">
        <w:rPr>
          <w:lang w:val="es-ES"/>
        </w:rPr>
        <w:t xml:space="preserve"> </w:t>
      </w:r>
      <w:r w:rsidRPr="00960E47">
        <w:rPr>
          <w:lang w:val="es-ES"/>
        </w:rPr>
        <w:t>Están sujetos a la capacidad económica y el desarrollo de Lesotho.</w:t>
      </w:r>
      <w:r w:rsidR="009C195E" w:rsidRPr="00960E47">
        <w:rPr>
          <w:lang w:val="es-ES"/>
        </w:rPr>
        <w:t xml:space="preserve"> </w:t>
      </w:r>
      <w:r w:rsidRPr="00960E47">
        <w:rPr>
          <w:lang w:val="es-ES"/>
        </w:rPr>
        <w:t xml:space="preserve">Estos principios de la política del Estado entrañan derechos de carácter socioeconómico y comprenden la igualdad y la justicia, la protección de la salud, la educación, la oportunidad de trabajar, condiciones de trabajo justas y favorables, la protección de los derechos e intereses de los trabajadores, la protección de los niños y los jóvenes, la rehabilitación, la formación profesional y rehabilitación social de las personas discapacitadas, oportunidades económicas, la participación en actividades culturales y la protección del medio ambiente. </w:t>
      </w:r>
    </w:p>
    <w:p w:rsidR="00E421FD" w:rsidRPr="00960E47" w:rsidRDefault="001B642B" w:rsidP="00BD2CEB">
      <w:pPr>
        <w:pStyle w:val="SingleTxtG"/>
        <w:ind w:left="1701"/>
        <w:rPr>
          <w:lang w:val="es-ES"/>
        </w:rPr>
      </w:pPr>
      <w:r w:rsidRPr="00960E47">
        <w:rPr>
          <w:lang w:val="es-ES"/>
        </w:rPr>
        <w:t>2)</w:t>
      </w:r>
      <w:r w:rsidRPr="00960E47">
        <w:rPr>
          <w:lang w:val="es-ES"/>
        </w:rPr>
        <w:tab/>
      </w:r>
      <w:r w:rsidR="00E421FD" w:rsidRPr="00960E47">
        <w:rPr>
          <w:lang w:val="es-ES"/>
        </w:rPr>
        <w:t>Cuando se detenga a una persona en virtud de alguna ley a que se hace referencia en el apartado I, se aplicarán las siguientes disposiciones:</w:t>
      </w:r>
    </w:p>
    <w:p w:rsidR="00E421FD" w:rsidRPr="00960E47" w:rsidRDefault="001B642B" w:rsidP="00BD2CEB">
      <w:pPr>
        <w:pStyle w:val="SingleTxtG"/>
        <w:ind w:left="1701"/>
        <w:rPr>
          <w:lang w:val="es-ES"/>
        </w:rPr>
      </w:pPr>
      <w:r w:rsidRPr="00960E47">
        <w:rPr>
          <w:lang w:val="es-ES"/>
        </w:rPr>
        <w:tab/>
      </w:r>
      <w:r w:rsidR="00E421FD" w:rsidRPr="00960E47">
        <w:rPr>
          <w:lang w:val="es-ES"/>
        </w:rPr>
        <w:t>a)</w:t>
      </w:r>
      <w:r w:rsidR="00E421FD" w:rsidRPr="00960E47">
        <w:rPr>
          <w:lang w:val="es-ES"/>
        </w:rPr>
        <w:tab/>
        <w:t>Tan pronto como sea razonablemente posible después de la detención, se le notificarán por escrito los motivos de la detención, en un idioma que comprenda y de manera detallada;</w:t>
      </w:r>
    </w:p>
    <w:p w:rsidR="00E421FD" w:rsidRPr="00960E47" w:rsidRDefault="001B642B" w:rsidP="00BD2CEB">
      <w:pPr>
        <w:pStyle w:val="SingleTxtG"/>
        <w:ind w:left="1701"/>
        <w:rPr>
          <w:lang w:val="es-ES"/>
        </w:rPr>
      </w:pPr>
      <w:r w:rsidRPr="00960E47">
        <w:rPr>
          <w:lang w:val="es-ES"/>
        </w:rPr>
        <w:tab/>
      </w:r>
      <w:r w:rsidR="00E421FD" w:rsidRPr="00960E47">
        <w:rPr>
          <w:lang w:val="es-ES"/>
        </w:rPr>
        <w:t>b)</w:t>
      </w:r>
      <w:r w:rsidR="00E421FD" w:rsidRPr="00960E47">
        <w:rPr>
          <w:lang w:val="es-ES"/>
        </w:rPr>
        <w:tab/>
        <w:t xml:space="preserve">A más tardar 14 días después del comienzo de la privación de libertad, se publicará en el </w:t>
      </w:r>
      <w:r w:rsidR="00E421FD" w:rsidRPr="00960E47">
        <w:rPr>
          <w:i/>
          <w:lang w:val="es-ES"/>
        </w:rPr>
        <w:t>Boletín Oficial</w:t>
      </w:r>
      <w:r w:rsidR="00E421FD" w:rsidRPr="00960E47">
        <w:rPr>
          <w:lang w:val="es-ES"/>
        </w:rPr>
        <w:t xml:space="preserve"> el respectivo anuncio, con información de la detención de la persona y de las disposiciones de la ley en virtud de la cual se autoriza la privación de libertad;</w:t>
      </w:r>
    </w:p>
    <w:p w:rsidR="00E421FD" w:rsidRPr="00960E47" w:rsidRDefault="001B642B" w:rsidP="00BD2CEB">
      <w:pPr>
        <w:pStyle w:val="SingleTxtG"/>
        <w:ind w:left="1701"/>
        <w:rPr>
          <w:lang w:val="es-ES"/>
        </w:rPr>
      </w:pPr>
      <w:r w:rsidRPr="00960E47">
        <w:rPr>
          <w:lang w:val="es-ES"/>
        </w:rPr>
        <w:tab/>
      </w:r>
      <w:r w:rsidR="00E421FD" w:rsidRPr="00960E47">
        <w:rPr>
          <w:lang w:val="es-ES"/>
        </w:rPr>
        <w:t>c)</w:t>
      </w:r>
      <w:r w:rsidR="00E421FD" w:rsidRPr="00960E47">
        <w:rPr>
          <w:lang w:val="es-ES"/>
        </w:rPr>
        <w:tab/>
        <w:t>A más tardar un mes después de la detención y posteriormente a intervalos de no más de seis meses, el caso será investigado por un tribunal independiente e imparcial establecido por la ley y presidido por una persona nombrada por el Presidente del Tribunal Superior;</w:t>
      </w:r>
    </w:p>
    <w:p w:rsidR="00E421FD" w:rsidRPr="00960E47" w:rsidRDefault="001B642B" w:rsidP="00BD2CEB">
      <w:pPr>
        <w:pStyle w:val="SingleTxtG"/>
        <w:ind w:left="1701"/>
        <w:rPr>
          <w:lang w:val="es-ES"/>
        </w:rPr>
      </w:pPr>
      <w:r w:rsidRPr="00960E47">
        <w:rPr>
          <w:lang w:val="es-ES"/>
        </w:rPr>
        <w:tab/>
      </w:r>
      <w:r w:rsidR="00E421FD" w:rsidRPr="00960E47">
        <w:rPr>
          <w:lang w:val="es-ES"/>
        </w:rPr>
        <w:t>d)</w:t>
      </w:r>
      <w:r w:rsidR="00E421FD" w:rsidRPr="00960E47">
        <w:rPr>
          <w:lang w:val="es-ES"/>
        </w:rPr>
        <w:tab/>
        <w:t>Se le proporcionarán medios suficientes para consultar a un representante letrado de su elección, que podrá hacer declaraciones ante el tribunal designado para la investigación de la causa; y</w:t>
      </w:r>
    </w:p>
    <w:p w:rsidR="00E421FD" w:rsidRPr="00960E47" w:rsidRDefault="001B642B" w:rsidP="00BD2CEB">
      <w:pPr>
        <w:pStyle w:val="SingleTxtG"/>
        <w:ind w:left="1701"/>
        <w:rPr>
          <w:lang w:val="es-ES"/>
        </w:rPr>
      </w:pPr>
      <w:r w:rsidRPr="00960E47">
        <w:rPr>
          <w:lang w:val="es-ES"/>
        </w:rPr>
        <w:tab/>
      </w:r>
      <w:r w:rsidR="00E421FD" w:rsidRPr="00960E47">
        <w:rPr>
          <w:lang w:val="es-ES"/>
        </w:rPr>
        <w:t>e)</w:t>
      </w:r>
      <w:r w:rsidR="00E421FD" w:rsidRPr="00960E47">
        <w:rPr>
          <w:lang w:val="es-ES"/>
        </w:rPr>
        <w:tab/>
        <w:t>En la audiencia de la causa por el tribunal designado para la investigación se le permitirá comparecer en persona o por conducto de un representante letrado de su elección.</w:t>
      </w:r>
    </w:p>
    <w:p w:rsidR="00E421FD" w:rsidRPr="00960E47" w:rsidRDefault="00E421FD" w:rsidP="00BD2CEB">
      <w:pPr>
        <w:pStyle w:val="SingleTxtG"/>
        <w:ind w:left="1701"/>
        <w:rPr>
          <w:lang w:val="es-ES"/>
        </w:rPr>
      </w:pPr>
      <w:r w:rsidRPr="00960E47">
        <w:rPr>
          <w:lang w:val="es-ES"/>
        </w:rPr>
        <w:t>3)</w:t>
      </w:r>
      <w:r w:rsidRPr="00960E47">
        <w:rPr>
          <w:lang w:val="es-ES"/>
        </w:rPr>
        <w:tab/>
        <w:t>Con respecto a cualquier investigación de la causa de una persona detenida realizada por un tribunal en virtud del presente artículo, el tribunal formulará recomendaciones sobre la conveniencia de mantener la privación de libertad a la autoridad que la haya decretado, pero, a menos que la ley disponga otra cosa, esa autoridad no estará obligada a seguir esa recomendación.</w:t>
      </w:r>
    </w:p>
    <w:p w:rsidR="00E421FD" w:rsidRPr="00960E47" w:rsidRDefault="008D4C8B" w:rsidP="00BD2CEB">
      <w:pPr>
        <w:pStyle w:val="H1G"/>
        <w:rPr>
          <w:lang w:val="es-ES"/>
        </w:rPr>
      </w:pPr>
      <w:r w:rsidRPr="00960E47">
        <w:rPr>
          <w:lang w:val="es-ES"/>
        </w:rPr>
        <w:tab/>
        <w:t>B.</w:t>
      </w:r>
      <w:r w:rsidRPr="00960E47">
        <w:rPr>
          <w:lang w:val="es-ES"/>
        </w:rPr>
        <w:tab/>
      </w:r>
      <w:r w:rsidR="00E421FD" w:rsidRPr="00960E47">
        <w:rPr>
          <w:lang w:val="es-ES"/>
        </w:rPr>
        <w:t>No discriminación e igualdad ante la ley</w:t>
      </w:r>
    </w:p>
    <w:p w:rsidR="00E421FD" w:rsidRPr="00960E47" w:rsidRDefault="008D4C8B" w:rsidP="00BD2CEB">
      <w:pPr>
        <w:pStyle w:val="SingleTxtG"/>
        <w:rPr>
          <w:lang w:val="es-ES"/>
        </w:rPr>
      </w:pPr>
      <w:r w:rsidRPr="00960E47">
        <w:rPr>
          <w:lang w:val="es-ES"/>
        </w:rPr>
        <w:t>127.</w:t>
      </w:r>
      <w:r w:rsidRPr="00960E47">
        <w:rPr>
          <w:lang w:val="es-ES"/>
        </w:rPr>
        <w:tab/>
      </w:r>
      <w:r w:rsidR="00E421FD" w:rsidRPr="00960E47">
        <w:rPr>
          <w:lang w:val="es-ES"/>
        </w:rPr>
        <w:t>El artículo 18 especifica que ninguna ley puede contener disposiciones discriminatorias, salvo cuando se trate de la aplicación del derecho consuetudinario sobre adopción, matrimonio, divorcio, inhumación y transmisión de bienes, con arreglo al artículo</w:t>
      </w:r>
      <w:r w:rsidRPr="00960E47">
        <w:rPr>
          <w:lang w:val="es-ES"/>
        </w:rPr>
        <w:t> </w:t>
      </w:r>
      <w:r w:rsidR="00E421FD" w:rsidRPr="00960E47">
        <w:rPr>
          <w:lang w:val="es-ES"/>
        </w:rPr>
        <w:t xml:space="preserve">4. Si ha habido trato diferenciado con respecto </w:t>
      </w:r>
      <w:r w:rsidRPr="00960E47">
        <w:rPr>
          <w:lang w:val="es-ES"/>
        </w:rPr>
        <w:t>a las normas de calificación no </w:t>
      </w:r>
      <w:r w:rsidR="00E421FD" w:rsidRPr="00960E47">
        <w:rPr>
          <w:lang w:val="es-ES"/>
        </w:rPr>
        <w:t>basado en la raza, el sexo, el idioma, la religión u otra co</w:t>
      </w:r>
      <w:r w:rsidRPr="00960E47">
        <w:rPr>
          <w:lang w:val="es-ES"/>
        </w:rPr>
        <w:t>ndición, en virtud del artículo </w:t>
      </w:r>
      <w:r w:rsidR="00E421FD" w:rsidRPr="00960E47">
        <w:rPr>
          <w:lang w:val="es-ES"/>
        </w:rPr>
        <w:t>18 5) se considerará que no ha habido discriminación. En el artículo 18 7) se dispone lo siguiente:</w:t>
      </w:r>
    </w:p>
    <w:p w:rsidR="00E421FD" w:rsidRPr="00960E47" w:rsidRDefault="00E421FD" w:rsidP="00BD2CEB">
      <w:pPr>
        <w:pStyle w:val="SingleTxtG"/>
        <w:ind w:left="1701"/>
        <w:rPr>
          <w:lang w:val="es-ES"/>
        </w:rPr>
      </w:pPr>
      <w:r w:rsidRPr="00960E47">
        <w:rPr>
          <w:lang w:val="es-ES"/>
        </w:rPr>
        <w:t>Ninguna persona puede ser tratada de forma discriminatoria en lo que respecta al acceso a tiendas, hoteles, casas de huéspedes, restaurantes públicos, casas de comidas, cervecerías o lugares públicos de diversión ni al ingreso en lugares de acceso público mantenidos total o parcialmente con fondos públicos o dedicados al uso del público en general.</w:t>
      </w:r>
    </w:p>
    <w:p w:rsidR="00E421FD" w:rsidRPr="00960E47" w:rsidRDefault="008D4C8B" w:rsidP="00BD2CEB">
      <w:pPr>
        <w:pStyle w:val="SingleTxtG"/>
        <w:rPr>
          <w:lang w:val="es-ES"/>
        </w:rPr>
      </w:pPr>
      <w:r w:rsidRPr="00960E47">
        <w:rPr>
          <w:lang w:val="es-ES"/>
        </w:rPr>
        <w:t>128.</w:t>
      </w:r>
      <w:r w:rsidRPr="00960E47">
        <w:rPr>
          <w:lang w:val="es-ES"/>
        </w:rPr>
        <w:tab/>
      </w:r>
      <w:r w:rsidR="00E421FD" w:rsidRPr="00960E47">
        <w:rPr>
          <w:lang w:val="es-ES"/>
        </w:rPr>
        <w:t xml:space="preserve">El artículo 18 4) a) b) y c) de la Constitución permite la aplicación de medidas legislativas, incluido el derecho consuetudinario, que son de carácter discriminatorio. En el artículo 18 4) 1) se específica que no habrá </w:t>
      </w:r>
      <w:r w:rsidR="0045213B" w:rsidRPr="00960E47">
        <w:rPr>
          <w:lang w:val="es-ES"/>
        </w:rPr>
        <w:t>"</w:t>
      </w:r>
      <w:r w:rsidR="00E421FD" w:rsidRPr="00960E47">
        <w:rPr>
          <w:lang w:val="es-ES"/>
        </w:rPr>
        <w:t>discriminación</w:t>
      </w:r>
      <w:r w:rsidR="0045213B" w:rsidRPr="00960E47">
        <w:rPr>
          <w:lang w:val="es-ES"/>
        </w:rPr>
        <w:t>"</w:t>
      </w:r>
      <w:r w:rsidR="00E421FD" w:rsidRPr="00960E47">
        <w:rPr>
          <w:lang w:val="es-ES"/>
        </w:rPr>
        <w:t xml:space="preserve"> en ninguna ley en la medida en que contenga disposiciones con respecto a: </w:t>
      </w:r>
    </w:p>
    <w:p w:rsidR="00E421FD" w:rsidRPr="00960E47" w:rsidRDefault="008D4C8B" w:rsidP="00BD2CEB">
      <w:pPr>
        <w:pStyle w:val="SingleTxtG"/>
        <w:rPr>
          <w:lang w:val="es-ES"/>
        </w:rPr>
      </w:pPr>
      <w:r w:rsidRPr="00960E47">
        <w:rPr>
          <w:lang w:val="es-ES"/>
        </w:rPr>
        <w:tab/>
        <w:t>a)</w:t>
      </w:r>
      <w:r w:rsidRPr="00960E47">
        <w:rPr>
          <w:lang w:val="es-ES"/>
        </w:rPr>
        <w:tab/>
      </w:r>
      <w:r w:rsidR="00E421FD" w:rsidRPr="00960E47">
        <w:rPr>
          <w:lang w:val="es-ES"/>
        </w:rPr>
        <w:t>Personas que no son ciudadanos de Lesotho; o</w:t>
      </w:r>
    </w:p>
    <w:p w:rsidR="00E421FD" w:rsidRPr="00960E47" w:rsidRDefault="008D4C8B" w:rsidP="00BD2CEB">
      <w:pPr>
        <w:pStyle w:val="SingleTxtG"/>
        <w:rPr>
          <w:lang w:val="es-ES"/>
        </w:rPr>
      </w:pPr>
      <w:r w:rsidRPr="00960E47">
        <w:rPr>
          <w:lang w:val="es-ES"/>
        </w:rPr>
        <w:tab/>
        <w:t>b)</w:t>
      </w:r>
      <w:r w:rsidRPr="00960E47">
        <w:rPr>
          <w:lang w:val="es-ES"/>
        </w:rPr>
        <w:tab/>
      </w:r>
      <w:r w:rsidR="00E421FD" w:rsidRPr="00960E47">
        <w:rPr>
          <w:lang w:val="es-ES"/>
        </w:rPr>
        <w:t>La aplicación, en el caso de personas de cualquiera de las categorías mencionadas en el párrafo 3) o de personas relacionadas con ellas, de la ley con respecto a la adopción, el divorcio, el matrimonio, la inhumación, la transmisión de bienes por razón de muerte u otras cuestiones semejantes relacionadas con el derecho de las personas de esas categorías; o</w:t>
      </w:r>
    </w:p>
    <w:p w:rsidR="00E421FD" w:rsidRPr="00960E47" w:rsidRDefault="008D4C8B" w:rsidP="00BD2CEB">
      <w:pPr>
        <w:pStyle w:val="SingleTxtG"/>
        <w:rPr>
          <w:lang w:val="es-ES"/>
        </w:rPr>
      </w:pPr>
      <w:r w:rsidRPr="00960E47">
        <w:rPr>
          <w:lang w:val="es-ES"/>
        </w:rPr>
        <w:tab/>
        <w:t>c)</w:t>
      </w:r>
      <w:r w:rsidRPr="00960E47">
        <w:rPr>
          <w:lang w:val="es-ES"/>
        </w:rPr>
        <w:tab/>
      </w:r>
      <w:r w:rsidR="00E421FD" w:rsidRPr="00960E47">
        <w:rPr>
          <w:lang w:val="es-ES"/>
        </w:rPr>
        <w:t xml:space="preserve">La aplicación del derecho consuetudinario de Lesotho con respecto a cualquier cuestión en el caso de personas que, en virtud de esa </w:t>
      </w:r>
      <w:r w:rsidR="00CF1E48" w:rsidRPr="00960E47">
        <w:rPr>
          <w:lang w:val="es-ES"/>
        </w:rPr>
        <w:t>ley</w:t>
      </w:r>
      <w:r w:rsidR="00E421FD" w:rsidRPr="00960E47">
        <w:rPr>
          <w:lang w:val="es-ES"/>
        </w:rPr>
        <w:t>, estén sujetas a ella.</w:t>
      </w:r>
      <w:r w:rsidR="009C195E" w:rsidRPr="00960E47">
        <w:rPr>
          <w:lang w:val="es-ES"/>
        </w:rPr>
        <w:t xml:space="preserve"> </w:t>
      </w:r>
    </w:p>
    <w:p w:rsidR="00E421FD" w:rsidRPr="00960E47" w:rsidRDefault="008D4C8B" w:rsidP="00BD2CEB">
      <w:pPr>
        <w:pStyle w:val="SingleTxtG"/>
        <w:rPr>
          <w:lang w:val="es-ES"/>
        </w:rPr>
      </w:pPr>
      <w:r w:rsidRPr="00960E47">
        <w:rPr>
          <w:lang w:val="es-ES"/>
        </w:rPr>
        <w:t>129.</w:t>
      </w:r>
      <w:r w:rsidRPr="00960E47">
        <w:rPr>
          <w:lang w:val="es-ES"/>
        </w:rPr>
        <w:tab/>
      </w:r>
      <w:r w:rsidR="00E421FD" w:rsidRPr="00960E47">
        <w:rPr>
          <w:lang w:val="es-ES"/>
        </w:rPr>
        <w:t>Con respecto al artículo 18 4) a), la distinción prevista en la Constitución no se considerará como discriminación, ya que las cuestiones relacionadas con el control de extranjeros y la permanencia en un país están sujetas al cumplimiento de procedimientos fijados en los procedimientos internos del país. La Ley núm. 16 de Control de Extranjeros, de 1966, establece en su artículo 5 un procedimiento que debe ser seguido por todos los que desean entrar o permanecer de manera temporal o prolongada en Lesotho.</w:t>
      </w:r>
    </w:p>
    <w:p w:rsidR="00E421FD" w:rsidRPr="00960E47" w:rsidRDefault="008D4C8B" w:rsidP="00BD2CEB">
      <w:pPr>
        <w:pStyle w:val="SingleTxtG"/>
        <w:rPr>
          <w:lang w:val="es-ES"/>
        </w:rPr>
      </w:pPr>
      <w:r w:rsidRPr="00960E47">
        <w:rPr>
          <w:lang w:val="es-ES"/>
        </w:rPr>
        <w:t>130.</w:t>
      </w:r>
      <w:r w:rsidRPr="00960E47">
        <w:rPr>
          <w:lang w:val="es-ES"/>
        </w:rPr>
        <w:tab/>
      </w:r>
      <w:r w:rsidR="00E421FD" w:rsidRPr="00960E47">
        <w:rPr>
          <w:lang w:val="es-ES"/>
        </w:rPr>
        <w:t>Los artículo</w:t>
      </w:r>
      <w:r w:rsidRPr="00960E47">
        <w:rPr>
          <w:lang w:val="es-ES"/>
        </w:rPr>
        <w:t>s</w:t>
      </w:r>
      <w:r w:rsidR="00E421FD" w:rsidRPr="00960E47">
        <w:rPr>
          <w:lang w:val="es-ES"/>
        </w:rPr>
        <w:t xml:space="preserve"> 3 y 38 de dicha </w:t>
      </w:r>
      <w:r w:rsidRPr="00960E47">
        <w:rPr>
          <w:lang w:val="es-ES"/>
        </w:rPr>
        <w:t xml:space="preserve">ley </w:t>
      </w:r>
      <w:r w:rsidR="00E421FD" w:rsidRPr="00960E47">
        <w:rPr>
          <w:lang w:val="es-ES"/>
        </w:rPr>
        <w:t xml:space="preserve">disponen que ningún extranjero puede entrar ni permanecer en Lesotho durante un período de tiempo indefinido, a no ser que posea un permiso correspondiente, expedido de acuerdo con lo especificado en el artículo 6 de la </w:t>
      </w:r>
      <w:r w:rsidR="004A35D6" w:rsidRPr="00960E47">
        <w:rPr>
          <w:lang w:val="es-ES"/>
        </w:rPr>
        <w:t>ley</w:t>
      </w:r>
      <w:r w:rsidR="00E421FD" w:rsidRPr="00960E47">
        <w:rPr>
          <w:lang w:val="es-ES"/>
        </w:rPr>
        <w:t>, en el que se dispone lo siguiente:</w:t>
      </w:r>
    </w:p>
    <w:p w:rsidR="00E421FD" w:rsidRPr="00960E47" w:rsidRDefault="00E421FD" w:rsidP="00BD2CEB">
      <w:pPr>
        <w:pStyle w:val="SingleTxtG"/>
        <w:ind w:left="1701"/>
        <w:rPr>
          <w:lang w:val="es-ES"/>
        </w:rPr>
      </w:pPr>
      <w:r w:rsidRPr="00960E47">
        <w:rPr>
          <w:lang w:val="es-ES"/>
        </w:rPr>
        <w:t>La solicitud por un extranjero de un permiso para entrar en Lesotho y permanecer durante un período indefinido deberá presentarse antes de su entrada en Lesotho, en el formulario y en la forma prescritos por el reglamento, contener la información señalada en dicho formulario y presentarse al Ministro en la forma y por los medios prescritos en la normativa.</w:t>
      </w:r>
    </w:p>
    <w:p w:rsidR="00E421FD" w:rsidRPr="00960E47" w:rsidRDefault="008D4C8B" w:rsidP="00BD2CEB">
      <w:pPr>
        <w:pStyle w:val="SingleTxtG"/>
        <w:rPr>
          <w:lang w:val="es-ES"/>
        </w:rPr>
      </w:pPr>
      <w:r w:rsidRPr="00960E47">
        <w:rPr>
          <w:lang w:val="es-ES"/>
        </w:rPr>
        <w:t>131.</w:t>
      </w:r>
      <w:r w:rsidRPr="00960E47">
        <w:rPr>
          <w:lang w:val="es-ES"/>
        </w:rPr>
        <w:tab/>
      </w:r>
      <w:r w:rsidR="00E421FD" w:rsidRPr="00960E47">
        <w:rPr>
          <w:lang w:val="es-ES"/>
        </w:rPr>
        <w:t xml:space="preserve">En cuanto a la permanencia temporal, a menos que el solicitante disponga de un permiso temporal expedido con arreglo al artículo 7 1) o que haya recibido autorización para entrar con arreglo al artículo 9 de la </w:t>
      </w:r>
      <w:r w:rsidR="00CF1E48" w:rsidRPr="00960E47">
        <w:rPr>
          <w:lang w:val="es-ES"/>
        </w:rPr>
        <w:t>ley</w:t>
      </w:r>
      <w:r w:rsidR="00E421FD" w:rsidRPr="00960E47">
        <w:rPr>
          <w:lang w:val="es-ES"/>
        </w:rPr>
        <w:t xml:space="preserve">, en el que se dispone lo siguiente: </w:t>
      </w:r>
    </w:p>
    <w:p w:rsidR="00E421FD" w:rsidRPr="00960E47" w:rsidRDefault="00E421FD" w:rsidP="00BD2CEB">
      <w:pPr>
        <w:pStyle w:val="SingleTxtG"/>
        <w:ind w:left="1701"/>
        <w:rPr>
          <w:lang w:val="es-ES"/>
        </w:rPr>
      </w:pPr>
      <w:r w:rsidRPr="00960E47">
        <w:rPr>
          <w:lang w:val="es-ES"/>
        </w:rPr>
        <w:t>El presente artículo se aplicará a visitantes distinguidos, en viaje de negocios o en visita oficial, funcionarios de cualquier Gobierno o empresa pública y directores, funcionarios o empleados de una empresa establecida en Lesotho en virtud de un contrato con el Gobierno de Lesotho.</w:t>
      </w:r>
    </w:p>
    <w:p w:rsidR="00E421FD" w:rsidRPr="00960E47" w:rsidRDefault="008D4C8B" w:rsidP="00BD2CEB">
      <w:pPr>
        <w:pStyle w:val="SingleTxtG"/>
        <w:rPr>
          <w:lang w:val="es-ES"/>
        </w:rPr>
      </w:pPr>
      <w:r w:rsidRPr="00960E47">
        <w:rPr>
          <w:lang w:val="es-ES"/>
        </w:rPr>
        <w:t>132.</w:t>
      </w:r>
      <w:r w:rsidRPr="00960E47">
        <w:rPr>
          <w:lang w:val="es-ES"/>
        </w:rPr>
        <w:tab/>
      </w:r>
      <w:r w:rsidR="00E421FD" w:rsidRPr="00960E47">
        <w:rPr>
          <w:lang w:val="es-ES"/>
        </w:rPr>
        <w:t>Y para realizar un viaje por el país o una visita fines comerciales u oficiales a no ser que esté en posesión de un pasaporte válido. Todo extranjero que contravenga esas disposiciones, si se encuentra en Lesotho y en posesión de documentos oficiales válidos, puede ser acusado con arreglo a dichos artículos y, si es declarado culpable, puede ser expulsado de Lesotho. En cuanto a la disponibilidad de recursos en los tribunales de Lesotho, tanto los ciudadanos como los extranjeros que se encuentren en el país gozan de los mismos derechos. El derecho a tener acceso a los tribunales locales es idéntico. No se ha enmendado el artículo 18 4) a) b) y c) de la Constitución, pero después del año 2000 se han promulgado leyes que mejoran la condición jurídica de la mujer. Entre ellas se incluyen la Ley de Juicios Rápidos, de 2000, la Ley núm. 3 de Delitos Sexuales, de 2003, la Ley núm. 9 sobre la Capacidad Jurídica de las Personas Casadas, de 2006, la Ley de la Tierra, de 2010, y la Ley de Educación, de 2010.</w:t>
      </w:r>
    </w:p>
    <w:p w:rsidR="00E421FD" w:rsidRPr="00960E47" w:rsidRDefault="008D4C8B" w:rsidP="00BD2CEB">
      <w:pPr>
        <w:pStyle w:val="SingleTxtG"/>
        <w:rPr>
          <w:lang w:val="es-ES"/>
        </w:rPr>
      </w:pPr>
      <w:r w:rsidRPr="00960E47">
        <w:rPr>
          <w:lang w:val="es-ES"/>
        </w:rPr>
        <w:t>133.</w:t>
      </w:r>
      <w:r w:rsidRPr="00960E47">
        <w:rPr>
          <w:lang w:val="es-ES"/>
        </w:rPr>
        <w:tab/>
      </w:r>
      <w:r w:rsidR="00E421FD" w:rsidRPr="00960E47">
        <w:rPr>
          <w:lang w:val="es-ES"/>
        </w:rPr>
        <w:t>El preámbulo de la Ley núm. 9 sobre la Capacidad Jurídica de las Personas Casadas, de 2006, tiene como objetivo contribuir a la eliminación de la condición minoritaria de la mujer y a aclarar las cuestiones conexas.</w:t>
      </w:r>
    </w:p>
    <w:p w:rsidR="00E421FD" w:rsidRPr="00960E47" w:rsidRDefault="008D4C8B" w:rsidP="00BD2CEB">
      <w:pPr>
        <w:pStyle w:val="SingleTxtG"/>
        <w:rPr>
          <w:lang w:val="es-ES"/>
        </w:rPr>
      </w:pPr>
      <w:r w:rsidRPr="00960E47">
        <w:rPr>
          <w:lang w:val="es-ES"/>
        </w:rPr>
        <w:t>134.</w:t>
      </w:r>
      <w:r w:rsidRPr="00960E47">
        <w:rPr>
          <w:lang w:val="es-ES"/>
        </w:rPr>
        <w:tab/>
      </w:r>
      <w:r w:rsidR="00E421FD" w:rsidRPr="00960E47">
        <w:rPr>
          <w:lang w:val="es-ES"/>
        </w:rPr>
        <w:t xml:space="preserve">Dicha </w:t>
      </w:r>
      <w:r w:rsidRPr="00960E47">
        <w:rPr>
          <w:lang w:val="es-ES"/>
        </w:rPr>
        <w:t xml:space="preserve">ley </w:t>
      </w:r>
      <w:r w:rsidR="00E421FD" w:rsidRPr="00960E47">
        <w:rPr>
          <w:lang w:val="es-ES"/>
        </w:rPr>
        <w:t>establece la eliminación de la condición de minoría de la mujer y del poder conyugal del esposo sobre la persona y los bienes de la esposa en lo que respecta a la administración del patrimonio común, el derecho común, el derecho consuetudinario y las normas matrimoniales.</w:t>
      </w:r>
    </w:p>
    <w:p w:rsidR="00E421FD" w:rsidRPr="00960E47" w:rsidRDefault="008D4C8B" w:rsidP="00BD2CEB">
      <w:pPr>
        <w:pStyle w:val="SingleTxtG"/>
        <w:rPr>
          <w:lang w:val="es-ES"/>
        </w:rPr>
      </w:pPr>
      <w:r w:rsidRPr="00960E47">
        <w:rPr>
          <w:lang w:val="es-ES"/>
        </w:rPr>
        <w:t>135.</w:t>
      </w:r>
      <w:r w:rsidRPr="00960E47">
        <w:rPr>
          <w:lang w:val="es-ES"/>
        </w:rPr>
        <w:tab/>
      </w:r>
      <w:r w:rsidR="00E421FD" w:rsidRPr="00960E47">
        <w:rPr>
          <w:lang w:val="es-ES"/>
        </w:rPr>
        <w:t>Su artículo 3 abole la potestad marital sobre la persona y bienes de la esposa, en los siguientes términos:</w:t>
      </w:r>
    </w:p>
    <w:p w:rsidR="00E421FD" w:rsidRPr="00960E47" w:rsidRDefault="008D4C8B" w:rsidP="00BD2CEB">
      <w:pPr>
        <w:pStyle w:val="SingleTxtG"/>
        <w:ind w:left="1701"/>
        <w:rPr>
          <w:lang w:val="es-ES"/>
        </w:rPr>
      </w:pPr>
      <w:r w:rsidRPr="00960E47">
        <w:rPr>
          <w:lang w:val="es-ES"/>
        </w:rPr>
        <w:t>3.</w:t>
      </w:r>
      <w:r w:rsidR="004A35D6" w:rsidRPr="00960E47">
        <w:rPr>
          <w:lang w:val="es-ES"/>
        </w:rPr>
        <w:t xml:space="preserve"> </w:t>
      </w:r>
      <w:r w:rsidRPr="00960E47">
        <w:rPr>
          <w:lang w:val="es-ES"/>
        </w:rPr>
        <w:t>1)</w:t>
      </w:r>
      <w:r w:rsidRPr="00960E47">
        <w:rPr>
          <w:lang w:val="es-ES"/>
        </w:rPr>
        <w:tab/>
      </w:r>
      <w:r w:rsidR="00E421FD" w:rsidRPr="00960E47">
        <w:rPr>
          <w:lang w:val="es-ES"/>
        </w:rPr>
        <w:t xml:space="preserve">A reserva de lo dispuesto en la presente </w:t>
      </w:r>
      <w:r w:rsidRPr="00960E47">
        <w:rPr>
          <w:lang w:val="es-ES"/>
        </w:rPr>
        <w:t xml:space="preserve">ley </w:t>
      </w:r>
      <w:r w:rsidR="00E421FD" w:rsidRPr="00960E47">
        <w:rPr>
          <w:lang w:val="es-ES"/>
        </w:rPr>
        <w:t>en lo que respecta a la administración del patrimonio común, quedan derogadas las disposiciones del derecho común, derecho consuetudinario y otr</w:t>
      </w:r>
      <w:r w:rsidRPr="00960E47">
        <w:rPr>
          <w:lang w:val="es-ES"/>
        </w:rPr>
        <w:t>a</w:t>
      </w:r>
      <w:r w:rsidR="00E421FD" w:rsidRPr="00960E47">
        <w:rPr>
          <w:lang w:val="es-ES"/>
        </w:rPr>
        <w:t>s normas matrimoniales en virtud de las cuales el esposo dispone de potestad marital sobre la persona y los bienes de su esposa.</w:t>
      </w:r>
    </w:p>
    <w:p w:rsidR="00E421FD" w:rsidRPr="00960E47" w:rsidRDefault="008D4C8B" w:rsidP="00BD2CEB">
      <w:pPr>
        <w:pStyle w:val="SingleTxtG"/>
        <w:ind w:left="1701"/>
        <w:rPr>
          <w:lang w:val="es-ES"/>
        </w:rPr>
      </w:pPr>
      <w:r w:rsidRPr="00960E47">
        <w:rPr>
          <w:lang w:val="es-ES"/>
        </w:rPr>
        <w:t>2)</w:t>
      </w:r>
      <w:r w:rsidRPr="00960E47">
        <w:rPr>
          <w:lang w:val="es-ES"/>
        </w:rPr>
        <w:tab/>
      </w:r>
      <w:r w:rsidR="00E421FD" w:rsidRPr="00960E47">
        <w:rPr>
          <w:lang w:val="es-ES"/>
        </w:rPr>
        <w:t xml:space="preserve">Queda derogada la potestad marital del esposo con respecto a la persona y bienes de su esposa reconocido antes de la promulgación de la presente </w:t>
      </w:r>
      <w:r w:rsidRPr="00960E47">
        <w:rPr>
          <w:lang w:val="es-ES"/>
        </w:rPr>
        <w:t>ley</w:t>
      </w:r>
      <w:r w:rsidR="00E421FD" w:rsidRPr="00960E47">
        <w:rPr>
          <w:lang w:val="es-ES"/>
        </w:rPr>
        <w:t xml:space="preserve">. </w:t>
      </w:r>
    </w:p>
    <w:p w:rsidR="00E421FD" w:rsidRPr="00960E47" w:rsidRDefault="008D4C8B" w:rsidP="00BD2CEB">
      <w:pPr>
        <w:pStyle w:val="SingleTxtG"/>
        <w:rPr>
          <w:lang w:val="es-ES"/>
        </w:rPr>
      </w:pPr>
      <w:r w:rsidRPr="00960E47">
        <w:rPr>
          <w:lang w:val="es-ES"/>
        </w:rPr>
        <w:t>136.</w:t>
      </w:r>
      <w:r w:rsidRPr="00960E47">
        <w:rPr>
          <w:lang w:val="es-ES"/>
        </w:rPr>
        <w:tab/>
      </w:r>
      <w:r w:rsidR="00E421FD" w:rsidRPr="00960E47">
        <w:rPr>
          <w:lang w:val="es-ES"/>
        </w:rPr>
        <w:t xml:space="preserve">Esta </w:t>
      </w:r>
      <w:r w:rsidRPr="00960E47">
        <w:rPr>
          <w:lang w:val="es-ES"/>
        </w:rPr>
        <w:t xml:space="preserve">ley </w:t>
      </w:r>
      <w:r w:rsidR="00E421FD" w:rsidRPr="00960E47">
        <w:rPr>
          <w:lang w:val="es-ES"/>
        </w:rPr>
        <w:t xml:space="preserve">representó un hito legislativo, que emancipó a las mujeres basotho y al mismo situó hombres y mujeres en pie de igualdad en lo que respecta al disfrute de los derechos de propiedad, y en particular a la adquisición de bienes mediante el registro de bienes inmuebles y la enajenación mediante consulta adecuada con el esposo, la libertad de contratar, el derecho a incoar demandas y a poder ser demandado a título personal y en el propio nombre, en calidad de director de una empresa o fideicomisario de una herencia, obligándose como garantía y realizando cualquier otro acto prohibido por la legislación, debido a la potestad marital, antes de la entrada en vigor de la </w:t>
      </w:r>
      <w:r w:rsidRPr="00960E47">
        <w:rPr>
          <w:lang w:val="es-ES"/>
        </w:rPr>
        <w:t>ley</w:t>
      </w:r>
      <w:r w:rsidR="00E421FD" w:rsidRPr="00960E47">
        <w:rPr>
          <w:lang w:val="es-ES"/>
        </w:rPr>
        <w:t>. La Orden núm. 24 del Código del Trabajo, de 1992, en su artículo 5, prohíbe también cualquier forma de discriminación en el lugar de trabajo. El artículo 5 3) prohíbe expresamente la discriminación en materia de remuneración entre hombres y mujeres por trabajo de igual valor.</w:t>
      </w:r>
    </w:p>
    <w:p w:rsidR="00E421FD" w:rsidRPr="00960E47" w:rsidRDefault="008D4C8B" w:rsidP="00BD2CEB">
      <w:pPr>
        <w:pStyle w:val="SingleTxtG"/>
        <w:rPr>
          <w:lang w:val="es-ES"/>
        </w:rPr>
      </w:pPr>
      <w:r w:rsidRPr="00960E47">
        <w:rPr>
          <w:lang w:val="es-ES"/>
        </w:rPr>
        <w:t>137.</w:t>
      </w:r>
      <w:r w:rsidRPr="00960E47">
        <w:rPr>
          <w:lang w:val="es-ES"/>
        </w:rPr>
        <w:tab/>
      </w:r>
      <w:r w:rsidR="00E421FD" w:rsidRPr="00960E47">
        <w:rPr>
          <w:lang w:val="es-ES"/>
        </w:rPr>
        <w:t xml:space="preserve">La Ley núm. 3 de Delitos Sexuales, de 2003, establece la igualdad en el disfrute de derechos entre hombres y mujeres y niñas, imponiendo penas severas a quienes obligan a otra persona a realizar un acto sexual o la inducen con engaño a mantener relaciones sexuales. Esta </w:t>
      </w:r>
      <w:r w:rsidR="004A35D6" w:rsidRPr="00960E47">
        <w:rPr>
          <w:lang w:val="es-ES"/>
        </w:rPr>
        <w:t xml:space="preserve">ley </w:t>
      </w:r>
      <w:r w:rsidR="00E421FD" w:rsidRPr="00960E47">
        <w:rPr>
          <w:lang w:val="es-ES"/>
        </w:rPr>
        <w:t xml:space="preserve">tipifica también como delito las situaciones en que los niños son inducidos a mantener relaciones sexuales mediante favores o recompensas. Por ello, ha establecido también la igualdad ante la ley reconociendo a todas las personas sus derechos, incluida la protección legal. </w:t>
      </w:r>
    </w:p>
    <w:p w:rsidR="00E421FD" w:rsidRPr="00960E47" w:rsidRDefault="008D4C8B" w:rsidP="00BD2CEB">
      <w:pPr>
        <w:pStyle w:val="SingleTxtG"/>
        <w:rPr>
          <w:lang w:val="es-ES"/>
        </w:rPr>
      </w:pPr>
      <w:r w:rsidRPr="00960E47">
        <w:rPr>
          <w:lang w:val="es-ES"/>
        </w:rPr>
        <w:t>138.</w:t>
      </w:r>
      <w:r w:rsidRPr="00960E47">
        <w:rPr>
          <w:lang w:val="es-ES"/>
        </w:rPr>
        <w:tab/>
      </w:r>
      <w:r w:rsidR="00E421FD" w:rsidRPr="00960E47">
        <w:rPr>
          <w:lang w:val="es-ES"/>
        </w:rPr>
        <w:t>La Ley de Juicios Rápidos, de 2000, es también importante a ese respecto.</w:t>
      </w:r>
    </w:p>
    <w:p w:rsidR="00E421FD" w:rsidRPr="00960E47" w:rsidRDefault="008D4C8B" w:rsidP="00BD2CEB">
      <w:pPr>
        <w:pStyle w:val="SingleTxtG"/>
        <w:rPr>
          <w:lang w:val="es-ES"/>
        </w:rPr>
      </w:pPr>
      <w:r w:rsidRPr="00960E47">
        <w:rPr>
          <w:lang w:val="es-ES"/>
        </w:rPr>
        <w:t>139.</w:t>
      </w:r>
      <w:r w:rsidRPr="00960E47">
        <w:rPr>
          <w:lang w:val="es-ES"/>
        </w:rPr>
        <w:tab/>
      </w:r>
      <w:r w:rsidR="00E421FD" w:rsidRPr="00960E47">
        <w:rPr>
          <w:lang w:val="es-ES"/>
        </w:rPr>
        <w:t xml:space="preserve">La Ley núm. 8 de la Tierra, de 2010, reconoce en su artículo 6 1) b) i) el derecho a la tierra a las personas casadas. En ese artículo no se especifican condiciones relacionadas con el estado civil de las mujeres, por lo que se promueve la igualdad entre hombres y mujeres. La Ley de Educación y Capacitación, de 2010, establece el acceso libre y obligatorio a la educación de todos los niños en edad escolar. Dispone también la obligatoriedad de la asistencia escolar para todos los niños en edad escolar, incluidos los que se dedican al pastoreo, e impone sanciones en caso de absentismo escolar. </w:t>
      </w:r>
    </w:p>
    <w:p w:rsidR="00E421FD" w:rsidRPr="00960E47" w:rsidRDefault="008D4C8B" w:rsidP="00BD2CEB">
      <w:pPr>
        <w:pStyle w:val="H23G"/>
        <w:rPr>
          <w:lang w:val="es-ES"/>
        </w:rPr>
      </w:pPr>
      <w:r w:rsidRPr="00960E47">
        <w:rPr>
          <w:lang w:val="es-ES"/>
        </w:rPr>
        <w:tab/>
      </w:r>
      <w:r w:rsidRPr="00960E47">
        <w:rPr>
          <w:lang w:val="es-ES"/>
        </w:rPr>
        <w:tab/>
      </w:r>
      <w:r w:rsidR="00E421FD" w:rsidRPr="00960E47">
        <w:rPr>
          <w:lang w:val="es-ES"/>
        </w:rPr>
        <w:t>Ley de Protección y Bienestar del Niño, de 2011</w:t>
      </w:r>
    </w:p>
    <w:p w:rsidR="00E421FD" w:rsidRPr="00960E47" w:rsidRDefault="008D4C8B" w:rsidP="00BD2CEB">
      <w:pPr>
        <w:pStyle w:val="SingleTxtG"/>
        <w:rPr>
          <w:lang w:val="es-ES"/>
        </w:rPr>
      </w:pPr>
      <w:r w:rsidRPr="00960E47">
        <w:rPr>
          <w:lang w:val="es-ES"/>
        </w:rPr>
        <w:t>140.</w:t>
      </w:r>
      <w:r w:rsidRPr="00960E47">
        <w:rPr>
          <w:lang w:val="es-ES"/>
        </w:rPr>
        <w:tab/>
      </w:r>
      <w:r w:rsidR="00E421FD" w:rsidRPr="00960E47">
        <w:rPr>
          <w:lang w:val="es-ES"/>
        </w:rPr>
        <w:t>La Ley de Protección y Bienestar del Niño protege los derechos del niño en Lesotho. Entre sus principios básicos se encuentra la obligación de adoptar medidas de protección de los niños y sus derechos, sin discriminación. El principio de no discriminación es básico en la interpretación de la Convención sobre los Derechos del Niño.</w:t>
      </w:r>
    </w:p>
    <w:p w:rsidR="00E421FD" w:rsidRPr="00960E47" w:rsidRDefault="008D4C8B" w:rsidP="00BD2CEB">
      <w:pPr>
        <w:pStyle w:val="H23G"/>
        <w:rPr>
          <w:lang w:val="es-ES"/>
        </w:rPr>
      </w:pPr>
      <w:r w:rsidRPr="00960E47">
        <w:rPr>
          <w:lang w:val="es-ES"/>
        </w:rPr>
        <w:tab/>
      </w:r>
      <w:r w:rsidRPr="00960E47">
        <w:rPr>
          <w:lang w:val="es-ES"/>
        </w:rPr>
        <w:tab/>
      </w:r>
      <w:r w:rsidR="00E421FD" w:rsidRPr="00960E47">
        <w:rPr>
          <w:lang w:val="es-ES"/>
        </w:rPr>
        <w:t xml:space="preserve">Aplicación de la no discriminación en los derechos económicos, sociales y </w:t>
      </w:r>
      <w:r w:rsidRPr="00960E47">
        <w:rPr>
          <w:lang w:val="es-ES"/>
        </w:rPr>
        <w:br/>
      </w:r>
      <w:r w:rsidR="00E421FD" w:rsidRPr="00960E47">
        <w:rPr>
          <w:lang w:val="es-ES"/>
        </w:rPr>
        <w:t>culturales</w:t>
      </w:r>
    </w:p>
    <w:p w:rsidR="00E421FD" w:rsidRPr="00960E47" w:rsidRDefault="008D4C8B" w:rsidP="00BD2CEB">
      <w:pPr>
        <w:pStyle w:val="SingleTxtG"/>
        <w:rPr>
          <w:lang w:val="es-ES"/>
        </w:rPr>
      </w:pPr>
      <w:r w:rsidRPr="00960E47">
        <w:rPr>
          <w:lang w:val="es-ES"/>
        </w:rPr>
        <w:t>141.</w:t>
      </w:r>
      <w:r w:rsidRPr="00960E47">
        <w:rPr>
          <w:lang w:val="es-ES"/>
        </w:rPr>
        <w:tab/>
      </w:r>
      <w:r w:rsidR="00E421FD" w:rsidRPr="00960E47">
        <w:rPr>
          <w:lang w:val="es-ES"/>
        </w:rPr>
        <w:t>Los derechos económicos, sociales y culturales de las personas están consagrados en la Constitución, en particular en su Capítulo III, Principios de la Política Estatal. Se trata solo de principios, que dependen de la capacidad económica y desarrollo de Lesotho. No son normas jurídicas cuyo cumplimiento pueda exigirse ante los tribunales. Por su misma naturaleza, no son justiciables, lo que significa que no pueden</w:t>
      </w:r>
      <w:r w:rsidR="009C195E" w:rsidRPr="00960E47">
        <w:rPr>
          <w:lang w:val="es-ES"/>
        </w:rPr>
        <w:t xml:space="preserve"> </w:t>
      </w:r>
      <w:r w:rsidR="00E421FD" w:rsidRPr="00960E47">
        <w:rPr>
          <w:lang w:val="es-ES"/>
        </w:rPr>
        <w:t>recurrirse.</w:t>
      </w:r>
    </w:p>
    <w:p w:rsidR="00E421FD" w:rsidRPr="00960E47" w:rsidRDefault="008D4C8B" w:rsidP="00BD2CEB">
      <w:pPr>
        <w:pStyle w:val="SingleTxtG"/>
        <w:rPr>
          <w:lang w:val="es-ES"/>
        </w:rPr>
      </w:pPr>
      <w:r w:rsidRPr="00960E47">
        <w:rPr>
          <w:lang w:val="es-ES"/>
        </w:rPr>
        <w:t>142.</w:t>
      </w:r>
      <w:r w:rsidRPr="00960E47">
        <w:rPr>
          <w:lang w:val="es-ES"/>
        </w:rPr>
        <w:tab/>
      </w:r>
      <w:r w:rsidR="00E421FD" w:rsidRPr="00960E47">
        <w:rPr>
          <w:lang w:val="es-ES"/>
        </w:rPr>
        <w:t>El artículo 26 de la Constitución prevé también el fortalecimiento de dichos principios sin ninguna discriminación. Por ello:</w:t>
      </w:r>
    </w:p>
    <w:p w:rsidR="00E421FD" w:rsidRPr="00960E47" w:rsidRDefault="008D4C8B" w:rsidP="00BD2CEB">
      <w:pPr>
        <w:pStyle w:val="SingleTxtG"/>
        <w:ind w:left="1701"/>
        <w:rPr>
          <w:lang w:val="es-ES"/>
        </w:rPr>
      </w:pPr>
      <w:r w:rsidRPr="00960E47">
        <w:rPr>
          <w:lang w:val="es-ES"/>
        </w:rPr>
        <w:t>1)</w:t>
      </w:r>
      <w:r w:rsidRPr="00960E47">
        <w:rPr>
          <w:lang w:val="es-ES"/>
        </w:rPr>
        <w:tab/>
      </w:r>
      <w:r w:rsidR="00E421FD" w:rsidRPr="00960E47">
        <w:rPr>
          <w:lang w:val="es-ES"/>
        </w:rPr>
        <w:t>Lesotho debe adoptar políticas orientadas a promover una sociedad basada en la igualdad y en la justicia para todos sus ciudadanos, cualquiera que sea su raza, color, sexo, idioma, religión, opinión política o de otra índole, origen nacional o social, posición económica, nacimiento o cualquier otra condición social.</w:t>
      </w:r>
    </w:p>
    <w:p w:rsidR="00E421FD" w:rsidRPr="00960E47" w:rsidRDefault="008D4C8B" w:rsidP="00BD2CEB">
      <w:pPr>
        <w:pStyle w:val="SingleTxtG"/>
        <w:ind w:left="1701"/>
        <w:rPr>
          <w:lang w:val="es-ES"/>
        </w:rPr>
      </w:pPr>
      <w:r w:rsidRPr="00960E47">
        <w:rPr>
          <w:lang w:val="es-ES"/>
        </w:rPr>
        <w:t>2)</w:t>
      </w:r>
      <w:r w:rsidRPr="00960E47">
        <w:rPr>
          <w:lang w:val="es-ES"/>
        </w:rPr>
        <w:tab/>
      </w:r>
      <w:r w:rsidR="00E421FD" w:rsidRPr="00960E47">
        <w:rPr>
          <w:lang w:val="es-ES"/>
        </w:rPr>
        <w:t>En particular, el Estado adoptará las medidas adecuadas a fin de promover la igualdad de oportunidades para los grupos desfavorecidos de la sociedad y permitirles participar plenamente en las esferas de la vida pública.</w:t>
      </w:r>
    </w:p>
    <w:p w:rsidR="00E421FD" w:rsidRPr="00960E47" w:rsidRDefault="008D4C8B" w:rsidP="00BD2CEB">
      <w:pPr>
        <w:pStyle w:val="SingleTxtG"/>
        <w:rPr>
          <w:lang w:val="es-ES"/>
        </w:rPr>
      </w:pPr>
      <w:r w:rsidRPr="00960E47">
        <w:rPr>
          <w:lang w:val="es-ES"/>
        </w:rPr>
        <w:t>143.</w:t>
      </w:r>
      <w:r w:rsidRPr="00960E47">
        <w:rPr>
          <w:lang w:val="es-ES"/>
        </w:rPr>
        <w:tab/>
      </w:r>
      <w:r w:rsidR="00E421FD" w:rsidRPr="00960E47">
        <w:rPr>
          <w:lang w:val="es-ES"/>
        </w:rPr>
        <w:t xml:space="preserve">El concepto de no discriminación está recogido en el capítulo II de la Constitución, en particular en sus artículos 18 (no discriminación) y 19 (derecho a la igualdad ante la ley e igualdad de protección de la ley). </w:t>
      </w:r>
    </w:p>
    <w:p w:rsidR="00E421FD" w:rsidRPr="00960E47" w:rsidRDefault="008D4C8B" w:rsidP="00BD2CEB">
      <w:pPr>
        <w:pStyle w:val="H23G"/>
        <w:rPr>
          <w:lang w:val="es-ES"/>
        </w:rPr>
      </w:pPr>
      <w:r w:rsidRPr="00960E47">
        <w:rPr>
          <w:lang w:val="es-ES"/>
        </w:rPr>
        <w:tab/>
      </w:r>
      <w:r w:rsidRPr="00960E47">
        <w:rPr>
          <w:lang w:val="es-ES"/>
        </w:rPr>
        <w:tab/>
      </w:r>
      <w:r w:rsidR="00E421FD" w:rsidRPr="00960E47">
        <w:rPr>
          <w:lang w:val="es-ES"/>
        </w:rPr>
        <w:t>Cláusulas de derogación, limitación, restricción y revocación</w:t>
      </w:r>
    </w:p>
    <w:p w:rsidR="00E421FD" w:rsidRPr="00960E47" w:rsidRDefault="00E421FD" w:rsidP="00BD2CEB">
      <w:pPr>
        <w:pStyle w:val="SingleTxtG"/>
        <w:rPr>
          <w:lang w:val="es-ES"/>
        </w:rPr>
      </w:pPr>
      <w:r w:rsidRPr="00960E47">
        <w:rPr>
          <w:lang w:val="es-ES"/>
        </w:rPr>
        <w:t>144.</w:t>
      </w:r>
      <w:r w:rsidRPr="00960E47">
        <w:rPr>
          <w:lang w:val="es-ES"/>
        </w:rPr>
        <w:tab/>
        <w:t>Con respecto a la derogación de derechos, la Constituc</w:t>
      </w:r>
      <w:r w:rsidR="008D4C8B" w:rsidRPr="00960E47">
        <w:rPr>
          <w:lang w:val="es-ES"/>
        </w:rPr>
        <w:t>ión establece en su artículo 21 </w:t>
      </w:r>
      <w:r w:rsidRPr="00960E47">
        <w:rPr>
          <w:lang w:val="es-ES"/>
        </w:rPr>
        <w:t xml:space="preserve">1) lo siguiente: </w:t>
      </w:r>
    </w:p>
    <w:p w:rsidR="00E421FD" w:rsidRPr="00960E47" w:rsidRDefault="008D4C8B" w:rsidP="00BD2CEB">
      <w:pPr>
        <w:pStyle w:val="SingleTxtG"/>
        <w:ind w:left="1701"/>
        <w:rPr>
          <w:lang w:val="es-ES"/>
        </w:rPr>
      </w:pPr>
      <w:r w:rsidRPr="00960E47">
        <w:rPr>
          <w:lang w:val="es-ES"/>
        </w:rPr>
        <w:t>1)</w:t>
      </w:r>
      <w:r w:rsidRPr="00960E47">
        <w:rPr>
          <w:lang w:val="es-ES"/>
        </w:rPr>
        <w:tab/>
      </w:r>
      <w:r w:rsidR="00E421FD" w:rsidRPr="00960E47">
        <w:rPr>
          <w:lang w:val="es-ES"/>
        </w:rPr>
        <w:t>Nada de lo dispuesto o realizado en virtud de una Ley del Parlamento se considerará incompatible con los artículos 6 (derecho a</w:t>
      </w:r>
      <w:r w:rsidR="00DB3263" w:rsidRPr="00960E47">
        <w:rPr>
          <w:lang w:val="es-ES"/>
        </w:rPr>
        <w:t xml:space="preserve"> la libertad de la persona), 18 </w:t>
      </w:r>
      <w:r w:rsidR="00E421FD" w:rsidRPr="00960E47">
        <w:rPr>
          <w:lang w:val="es-ES"/>
        </w:rPr>
        <w:t>(prohibición de la discriminación) o 19 (derecho a la igualdad ante la ley y a igual protección de la ley) de la presente Constitución ni atentatorio contra dichos artículos en la medida en que la ley autorice, durante un período en que Lesotho esté en guerra o se haya proclamado el estado de emergencia conforme al artículo 23 de la presente Constitución, la adopción de las medidas que sean necesarias en sentido práctico en una sociedad democrática para hacer frente a la situación que exista en Lesotho durante dicho período.</w:t>
      </w:r>
    </w:p>
    <w:p w:rsidR="00E421FD" w:rsidRPr="00960E47" w:rsidRDefault="008D4C8B" w:rsidP="00BD2CEB">
      <w:pPr>
        <w:pStyle w:val="H1G"/>
        <w:rPr>
          <w:lang w:val="es-ES"/>
        </w:rPr>
      </w:pPr>
      <w:r w:rsidRPr="00960E47">
        <w:rPr>
          <w:lang w:val="es-ES"/>
        </w:rPr>
        <w:tab/>
        <w:t>C.</w:t>
      </w:r>
      <w:r w:rsidRPr="00960E47">
        <w:rPr>
          <w:lang w:val="es-ES"/>
        </w:rPr>
        <w:tab/>
      </w:r>
      <w:r w:rsidR="00E421FD" w:rsidRPr="00960E47">
        <w:rPr>
          <w:lang w:val="es-ES"/>
        </w:rPr>
        <w:t>Marco de ratificación e incorporación en el derecho interno de los</w:t>
      </w:r>
      <w:r w:rsidRPr="00960E47">
        <w:rPr>
          <w:lang w:val="es-ES"/>
        </w:rPr>
        <w:t> </w:t>
      </w:r>
      <w:r w:rsidR="00E421FD" w:rsidRPr="00960E47">
        <w:rPr>
          <w:lang w:val="es-ES"/>
        </w:rPr>
        <w:t>instrumentos internacionales de derechos humanos</w:t>
      </w:r>
    </w:p>
    <w:p w:rsidR="00E421FD" w:rsidRPr="00960E47" w:rsidRDefault="008D4C8B" w:rsidP="00BD2CEB">
      <w:pPr>
        <w:pStyle w:val="H23G"/>
        <w:rPr>
          <w:lang w:val="es-ES"/>
        </w:rPr>
      </w:pPr>
      <w:r w:rsidRPr="00960E47">
        <w:rPr>
          <w:lang w:val="es-ES"/>
        </w:rPr>
        <w:tab/>
      </w:r>
      <w:r w:rsidRPr="00960E47">
        <w:rPr>
          <w:lang w:val="es-ES"/>
        </w:rPr>
        <w:tab/>
      </w:r>
      <w:r w:rsidR="00E421FD" w:rsidRPr="00960E47">
        <w:rPr>
          <w:lang w:val="es-ES"/>
        </w:rPr>
        <w:t>Situación de la ratificación y la incorporación en el derecho interno</w:t>
      </w:r>
    </w:p>
    <w:p w:rsidR="00E421FD" w:rsidRPr="00960E47" w:rsidRDefault="008D4C8B" w:rsidP="00BD2CEB">
      <w:pPr>
        <w:pStyle w:val="SingleTxtG"/>
        <w:rPr>
          <w:lang w:val="es-ES"/>
        </w:rPr>
      </w:pPr>
      <w:r w:rsidRPr="00960E47">
        <w:rPr>
          <w:lang w:val="es-ES"/>
        </w:rPr>
        <w:t>145.</w:t>
      </w:r>
      <w:r w:rsidRPr="00960E47">
        <w:rPr>
          <w:lang w:val="es-ES"/>
        </w:rPr>
        <w:tab/>
      </w:r>
      <w:r w:rsidR="00E421FD" w:rsidRPr="00960E47">
        <w:rPr>
          <w:lang w:val="es-ES"/>
        </w:rPr>
        <w:t>En Lesotho, los instrumentos y normas internacionales de derechos humanos no son de ejecución automática ni son directamente aplicables en la</w:t>
      </w:r>
      <w:r w:rsidRPr="00960E47">
        <w:rPr>
          <w:lang w:val="es-ES"/>
        </w:rPr>
        <w:t xml:space="preserve"> jurisdicción del país. Lesotho </w:t>
      </w:r>
      <w:r w:rsidR="00E421FD" w:rsidRPr="00960E47">
        <w:rPr>
          <w:lang w:val="es-ES"/>
        </w:rPr>
        <w:t xml:space="preserve">se rige por el </w:t>
      </w:r>
      <w:r w:rsidR="00E421FD" w:rsidRPr="00960E47">
        <w:rPr>
          <w:i/>
          <w:lang w:val="es-ES"/>
        </w:rPr>
        <w:t>common law</w:t>
      </w:r>
      <w:r w:rsidR="00E421FD" w:rsidRPr="00960E47">
        <w:rPr>
          <w:lang w:val="es-ES"/>
        </w:rPr>
        <w:t xml:space="preserve"> inglés, en virtud del cual las convenciones internacionales de derechos humanos no pueden ser invocadas directamente por los tribunales para la protección de los derechos humanos, ya que no forman parte del derecho interno. Para que sean ejecutables, esos instrumentos internacionales de derechos humanos deben ser incorporados a la legislación nacional por el Parlamento. No obstante, los Principios de Bangalore de 1989 y la Declaración de Harare de 1990 prevén la incorporación y la interpretación de las normas de derechos humanos. Cuando el derecho interno no se pronuncia sobre una cuestión jurídica o es incompatible con los derechos humanos de la persona o no los protege, los Principios de Bangalore y la Declaración de Harare prevén que se pueda recurrir a las normas internacionales de derechos humanos con fines de interpretación y protección.</w:t>
      </w:r>
    </w:p>
    <w:p w:rsidR="00E421FD" w:rsidRPr="00960E47" w:rsidRDefault="008D4C8B" w:rsidP="00BD2CEB">
      <w:pPr>
        <w:pStyle w:val="SingleTxtG"/>
        <w:rPr>
          <w:lang w:val="es-ES"/>
        </w:rPr>
      </w:pPr>
      <w:r w:rsidRPr="00960E47">
        <w:rPr>
          <w:lang w:val="es-ES"/>
        </w:rPr>
        <w:t>146.</w:t>
      </w:r>
      <w:r w:rsidRPr="00960E47">
        <w:rPr>
          <w:lang w:val="es-ES"/>
        </w:rPr>
        <w:tab/>
      </w:r>
      <w:r w:rsidR="00E421FD" w:rsidRPr="00960E47">
        <w:rPr>
          <w:lang w:val="es-ES"/>
        </w:rPr>
        <w:t>Lesotho, en cuanto Estado soberano, ha firmado y ratificado muchos instrumentos internacionales de derechos humanos, y se ha adherido a ellos, con el fin de fomentar su desarrollo civil, político, económico, social, cultural, ambiental y ecológico. Los instrumentos internacionales más pertinentes y básicos de derechos humanos fueron ratificados por Lesotho en 1992, antes de marzo de 1993, período que coincidió con los preparativos de las primeras elecciones democráticas en Lesotho y siguió a 26 años de gobernanza no democrática. Lesotho se preparó para el proceso de democratización mediante la promoción de una democracia multipartidista, el estado de derecho y la buena gobernanza. En su proceso de preparación para las elecciones democráticas, Lesotho estableció condiciones de igualdad adhiriéndose como parte a muchos instrumentos internacionales y regionales de derechos humanos pertinentes y relevantes. En diciembre de 1992, ratificó el Pacto Internacional de Derechos Civiles y Políticos y el Pacto Internacional de Derechos Económicos, Sociales y Culturales, ambos de 1966. En el plano nacional, en 2000 se promulgaron leyes que mejoran la condición de la mujer eliminando la discriminación y estableciendo la igualdad, en particular la Ley de Juicios Rápidos, de 2000, la Ley núm. 3 de Delitos Sexuales, de 2003, y la Ley núm. 9 sobre la Capacidad Jurídica de las Personas Casadas, de 2006. Esta última, en su preámbulo, prevé la eliminación de la condición minoritaria de la mujer y se ocupa de otras materias conexas.</w:t>
      </w:r>
    </w:p>
    <w:p w:rsidR="00E421FD" w:rsidRPr="00960E47" w:rsidRDefault="008D4C8B" w:rsidP="00BD2CEB">
      <w:pPr>
        <w:pStyle w:val="SingleTxtG"/>
        <w:rPr>
          <w:lang w:val="es-ES"/>
        </w:rPr>
      </w:pPr>
      <w:r w:rsidRPr="00960E47">
        <w:rPr>
          <w:lang w:val="es-ES"/>
        </w:rPr>
        <w:t>147.</w:t>
      </w:r>
      <w:r w:rsidRPr="00960E47">
        <w:rPr>
          <w:lang w:val="es-ES"/>
        </w:rPr>
        <w:tab/>
      </w:r>
      <w:r w:rsidR="00E421FD" w:rsidRPr="00960E47">
        <w:rPr>
          <w:lang w:val="es-ES"/>
        </w:rPr>
        <w:t>Lesotho ratificó en abril de 1992 la Convención</w:t>
      </w:r>
      <w:r w:rsidR="00DB3263" w:rsidRPr="00960E47">
        <w:rPr>
          <w:lang w:val="es-ES"/>
        </w:rPr>
        <w:t xml:space="preserve"> sobre los Derechos del Niño de </w:t>
      </w:r>
      <w:r w:rsidR="00E421FD" w:rsidRPr="00960E47">
        <w:rPr>
          <w:lang w:val="es-ES"/>
        </w:rPr>
        <w:t>1989. Presentó su informe inicial al Comité de los Derechos del Niño en 2001. Este, entre muchas otras conclusiones finales y observaciones, recomendó la promulgación de una ley revisada de protección del niño que incorporara todos los principios básicos de la Convención sobre los Derechos del Niño. Entre ellos se incluyen el derecho del niño a la identidad, la no discriminación, el interés superior del niño y la protección especial frente al maltrato y el abandono. El proyecto de ley de protección y bienestar del niño engloba los principales aspectos de la Convención sobre los Derechos del Niño, como la identidad, la no discriminación por ningún concepto, la protección especial de los derechos de los niños huérfanos, maltratados y abandonados y los niños necesitados de protección que están en conflicto con la ley. El proyecto de ley, cuya tramitación se ha prolongado mucho debido a la necesidad de organizar reuniones de consulta con las partes interesadas, ha sido examinado por el Comité de Derecho, Justicia y Asuntos Parlamentarios. El proyecto de ley de 2010 está ahora listo para ser enviado a la Asamblea Nacional, debatido en el Parlamento y promulgado.</w:t>
      </w:r>
    </w:p>
    <w:p w:rsidR="00E421FD" w:rsidRPr="00960E47" w:rsidRDefault="00E421FD" w:rsidP="00BD2CEB">
      <w:pPr>
        <w:pStyle w:val="SingleTxtG"/>
        <w:rPr>
          <w:lang w:val="es-ES"/>
        </w:rPr>
      </w:pPr>
      <w:r w:rsidRPr="00960E47">
        <w:rPr>
          <w:lang w:val="es-ES"/>
        </w:rPr>
        <w:t>1</w:t>
      </w:r>
      <w:r w:rsidR="008D4C8B" w:rsidRPr="00960E47">
        <w:rPr>
          <w:lang w:val="es-ES"/>
        </w:rPr>
        <w:t>48.</w:t>
      </w:r>
      <w:r w:rsidR="008D4C8B" w:rsidRPr="00960E47">
        <w:rPr>
          <w:lang w:val="es-ES"/>
        </w:rPr>
        <w:tab/>
      </w:r>
      <w:r w:rsidRPr="00960E47">
        <w:rPr>
          <w:lang w:val="es-ES"/>
        </w:rPr>
        <w:t xml:space="preserve">Lesotho ratificó también la Convención sobre la Eliminación de Todas las Formas de Discriminación contra la Mujer de 1979 el 22 de agosto de 1995, inmediatamente antes de la Cuarta Conferencia Mundial sobre la Mujer celebrada en Beijing (China). La ratificación de la Convención fue acompañada de una reserva al artículo 2 2). En ella se mantenía que la sucesión a las jefaturas tribales estaba reservada a los varones, y que el derecho consuetudinario continuaría aplicándose en la forma prevista en el artículo 18 4) a) b), c) y d). A ese respecto, la Constitución dispone que </w:t>
      </w:r>
      <w:r w:rsidR="0045213B" w:rsidRPr="00960E47">
        <w:rPr>
          <w:lang w:val="es-ES"/>
        </w:rPr>
        <w:t>"</w:t>
      </w:r>
      <w:r w:rsidRPr="00960E47">
        <w:rPr>
          <w:lang w:val="es-ES"/>
        </w:rPr>
        <w:t>las leyes que se apliquen a personas que no sean ciudadanos de Lesotho no serán consideradas como discriminación</w:t>
      </w:r>
      <w:r w:rsidR="0045213B" w:rsidRPr="00960E47">
        <w:rPr>
          <w:lang w:val="es-ES"/>
        </w:rPr>
        <w:t>"</w:t>
      </w:r>
      <w:r w:rsidRPr="00960E47">
        <w:rPr>
          <w:lang w:val="es-ES"/>
        </w:rPr>
        <w:t>. Según lo dispuesto en el artículo 18 b) de la Constitución, las cuestiones de derecho consuetudinario relacionadas con la adopción, el matrimonio, el divorcio, la inhumación, la transmisión de bienes y otras cuestiones semejantes del derecho personal no serán consideradas como discriminación.</w:t>
      </w:r>
    </w:p>
    <w:p w:rsidR="00E421FD" w:rsidRPr="00960E47" w:rsidRDefault="008D4C8B" w:rsidP="00BD2CEB">
      <w:pPr>
        <w:pStyle w:val="SingleTxtG"/>
        <w:rPr>
          <w:lang w:val="es-ES"/>
        </w:rPr>
      </w:pPr>
      <w:r w:rsidRPr="00960E47">
        <w:rPr>
          <w:lang w:val="es-ES"/>
        </w:rPr>
        <w:t>149.</w:t>
      </w:r>
      <w:r w:rsidRPr="00960E47">
        <w:rPr>
          <w:lang w:val="es-ES"/>
        </w:rPr>
        <w:tab/>
      </w:r>
      <w:r w:rsidR="00E421FD" w:rsidRPr="00960E47">
        <w:rPr>
          <w:lang w:val="es-ES"/>
        </w:rPr>
        <w:t>De conformidad con la Convención de Viena sobre el Derecho de los Tratados, los Estados partes deben someter a constante examen las reservas que formulan, con el fin de retirarlas a fin de atentar contra el objetivo y el espíritu del tratado en cuestión. El derecho internacional de los tratados tiene como objetivo la ratificación de buena fe por los Estados partes de las convenciones internacionales de derechos humanos. En otras palabras, la ratificación de sus obligaciones no debe poner en peligro los objetivos fundamentales de las convenciones y los tratados.</w:t>
      </w:r>
    </w:p>
    <w:p w:rsidR="00E421FD" w:rsidRPr="00960E47" w:rsidRDefault="008D4C8B" w:rsidP="00BD2CEB">
      <w:pPr>
        <w:pStyle w:val="SingleTxtG"/>
        <w:rPr>
          <w:lang w:val="es-ES"/>
        </w:rPr>
      </w:pPr>
      <w:r w:rsidRPr="00960E47">
        <w:rPr>
          <w:lang w:val="es-ES"/>
        </w:rPr>
        <w:t>150.</w:t>
      </w:r>
      <w:r w:rsidRPr="00960E47">
        <w:rPr>
          <w:lang w:val="es-ES"/>
        </w:rPr>
        <w:tab/>
      </w:r>
      <w:r w:rsidR="00E421FD" w:rsidRPr="00960E47">
        <w:rPr>
          <w:lang w:val="es-ES"/>
        </w:rPr>
        <w:t xml:space="preserve">La ratificación por Lesotho de la Convención sobre la Eliminación de Todas las Formas de Discriminación contra la Mujer fue acompañada de una reserva que afectaba a la raíz misma de la intención de la Convención, es decir, la igualdad sin reservas entre hombres y mujeres en todos los aspectos y esferas de la vida social, política, económica y cultural. No obstante, en 2001 Lesotho introdujo una revisión sustancial de la reserva y la retiró parcialmente suspendiendo la observancia de las cuestiones relativas a la aplicación del derecho consuetudinario en las cuestiones personales de la adopción, el matrimonio, la inhumación y la sucesión. La reserva parcial que sigue vigente hasta la fecha es la relacionada con la sucesión a la jefatura tribal. La sucesión al trono y a la monarquía en Lesotho, incluida la sucesión a la jefatura tribal se ha puesto en manos del Colegio Electoral de Jefes, que, en virtud de la Ley de la Jefatura Tribal de 1968, goza de facultades para decidir sobre la línea sucesoria en esas cuestiones. La Ley núm. 9 sobre la Capacidad Jurídica de las Personas Casadas, de 2006, ha eliminado la condición minoritaria de las mujeres casadas, así como la potestad marital del esposo sobre la persona y bienes de la esposa. En su artículo 5, la </w:t>
      </w:r>
      <w:r w:rsidR="00CF1E48" w:rsidRPr="00960E47">
        <w:rPr>
          <w:lang w:val="es-ES"/>
        </w:rPr>
        <w:t>ley</w:t>
      </w:r>
      <w:r w:rsidR="00E421FD" w:rsidRPr="00960E47">
        <w:rPr>
          <w:lang w:val="es-ES"/>
        </w:rPr>
        <w:t xml:space="preserve"> establece la igualdad de poderes entre los cónyuges casados en régimen de comunidad de bienes y, en consulta mutua, el poder para enajenar bienes del patrimonio común, contraer deudas avaladas por el patrimonio común y administrar este.</w:t>
      </w:r>
    </w:p>
    <w:p w:rsidR="00E421FD" w:rsidRPr="00960E47" w:rsidRDefault="008D4C8B" w:rsidP="00BD2CEB">
      <w:pPr>
        <w:pStyle w:val="SingleTxtG"/>
        <w:rPr>
          <w:lang w:val="es-ES"/>
        </w:rPr>
      </w:pPr>
      <w:r w:rsidRPr="00960E47">
        <w:rPr>
          <w:lang w:val="es-ES"/>
        </w:rPr>
        <w:t>151.</w:t>
      </w:r>
      <w:r w:rsidRPr="00960E47">
        <w:rPr>
          <w:lang w:val="es-ES"/>
        </w:rPr>
        <w:tab/>
      </w:r>
      <w:r w:rsidR="00E421FD" w:rsidRPr="00960E47">
        <w:rPr>
          <w:lang w:val="es-ES"/>
        </w:rPr>
        <w:t xml:space="preserve">La </w:t>
      </w:r>
      <w:r w:rsidRPr="00960E47">
        <w:rPr>
          <w:lang w:val="es-ES"/>
        </w:rPr>
        <w:t xml:space="preserve">ley </w:t>
      </w:r>
      <w:r w:rsidR="00E421FD" w:rsidRPr="00960E47">
        <w:rPr>
          <w:lang w:val="es-ES"/>
        </w:rPr>
        <w:t>dispone en concreto, en su artículo 5, lo siguiente:</w:t>
      </w:r>
    </w:p>
    <w:p w:rsidR="00E421FD" w:rsidRPr="00960E47" w:rsidRDefault="00E421FD" w:rsidP="00BD2CEB">
      <w:pPr>
        <w:pStyle w:val="SingleTxtG"/>
        <w:ind w:left="1701"/>
        <w:rPr>
          <w:lang w:val="es-ES"/>
        </w:rPr>
      </w:pPr>
      <w:r w:rsidRPr="00960E47">
        <w:rPr>
          <w:lang w:val="es-ES"/>
        </w:rPr>
        <w:t>Los esposos casados en régimen de comunidad de bienes gozan de la misma capacidad para realizar, en consulta mutua, las siguientes actividades:</w:t>
      </w:r>
    </w:p>
    <w:p w:rsidR="00E421FD" w:rsidRPr="00960E47" w:rsidRDefault="008D4C8B" w:rsidP="00BD2CEB">
      <w:pPr>
        <w:pStyle w:val="SingleTxtG"/>
        <w:ind w:left="1701"/>
        <w:rPr>
          <w:lang w:val="es-ES"/>
        </w:rPr>
      </w:pPr>
      <w:r w:rsidRPr="00960E47">
        <w:rPr>
          <w:lang w:val="es-ES"/>
        </w:rPr>
        <w:tab/>
        <w:t>a)</w:t>
      </w:r>
      <w:r w:rsidRPr="00960E47">
        <w:rPr>
          <w:lang w:val="es-ES"/>
        </w:rPr>
        <w:tab/>
      </w:r>
      <w:r w:rsidR="00E421FD" w:rsidRPr="00960E47">
        <w:rPr>
          <w:lang w:val="es-ES"/>
        </w:rPr>
        <w:t>Enajenar los bienes del patrimonio común;</w:t>
      </w:r>
    </w:p>
    <w:p w:rsidR="00E421FD" w:rsidRPr="00960E47" w:rsidRDefault="008D4C8B" w:rsidP="00BD2CEB">
      <w:pPr>
        <w:pStyle w:val="SingleTxtG"/>
        <w:ind w:left="1701"/>
        <w:rPr>
          <w:lang w:val="es-ES"/>
        </w:rPr>
      </w:pPr>
      <w:r w:rsidRPr="00960E47">
        <w:rPr>
          <w:lang w:val="es-ES"/>
        </w:rPr>
        <w:tab/>
        <w:t>b)</w:t>
      </w:r>
      <w:r w:rsidRPr="00960E47">
        <w:rPr>
          <w:lang w:val="es-ES"/>
        </w:rPr>
        <w:tab/>
      </w:r>
      <w:r w:rsidR="00E421FD" w:rsidRPr="00960E47">
        <w:rPr>
          <w:lang w:val="es-ES"/>
        </w:rPr>
        <w:t>Contraer deudas avaladas por el patrimonio común; y</w:t>
      </w:r>
    </w:p>
    <w:p w:rsidR="00E421FD" w:rsidRPr="00960E47" w:rsidRDefault="008D4C8B" w:rsidP="00BD2CEB">
      <w:pPr>
        <w:pStyle w:val="SingleTxtG"/>
        <w:ind w:left="1701"/>
        <w:rPr>
          <w:lang w:val="es-ES"/>
        </w:rPr>
      </w:pPr>
      <w:r w:rsidRPr="00960E47">
        <w:rPr>
          <w:lang w:val="es-ES"/>
        </w:rPr>
        <w:tab/>
        <w:t>c)</w:t>
      </w:r>
      <w:r w:rsidRPr="00960E47">
        <w:rPr>
          <w:lang w:val="es-ES"/>
        </w:rPr>
        <w:tab/>
      </w:r>
      <w:r w:rsidR="00E421FD" w:rsidRPr="00960E47">
        <w:rPr>
          <w:lang w:val="es-ES"/>
        </w:rPr>
        <w:t>Administrar el patrimonio común.</w:t>
      </w:r>
    </w:p>
    <w:p w:rsidR="00E421FD" w:rsidRPr="00960E47" w:rsidRDefault="008D4C8B" w:rsidP="00BD2CEB">
      <w:pPr>
        <w:pStyle w:val="SingleTxtG"/>
        <w:rPr>
          <w:lang w:val="es-ES"/>
        </w:rPr>
      </w:pPr>
      <w:r w:rsidRPr="00960E47">
        <w:rPr>
          <w:lang w:val="es-ES"/>
        </w:rPr>
        <w:t>152.</w:t>
      </w:r>
      <w:r w:rsidRPr="00960E47">
        <w:rPr>
          <w:lang w:val="es-ES"/>
        </w:rPr>
        <w:tab/>
      </w:r>
      <w:r w:rsidR="00E421FD" w:rsidRPr="00960E47">
        <w:rPr>
          <w:lang w:val="es-ES"/>
        </w:rPr>
        <w:t>La Ley sobre la Capacidad Jurídica de las Personas Casadas, en su artículo 4 y</w:t>
      </w:r>
      <w:r w:rsidR="009C195E" w:rsidRPr="00960E47">
        <w:rPr>
          <w:lang w:val="es-ES"/>
        </w:rPr>
        <w:t xml:space="preserve"> </w:t>
      </w:r>
      <w:r w:rsidR="00E421FD" w:rsidRPr="00960E47">
        <w:rPr>
          <w:lang w:val="es-ES"/>
        </w:rPr>
        <w:t xml:space="preserve">en lo que respecta a las mujeres casadas en régimen de comunidad de bienes, dispone que debe aplicarse obligatoriamente a todo matrimonio en dicho régimen, con independencia de la fecha en que se haya contraído el matrimonio. A ese respecto, la </w:t>
      </w:r>
      <w:r w:rsidR="00F40DCC" w:rsidRPr="00960E47">
        <w:rPr>
          <w:lang w:val="es-ES"/>
        </w:rPr>
        <w:t xml:space="preserve">ley </w:t>
      </w:r>
      <w:r w:rsidR="00E421FD" w:rsidRPr="00960E47">
        <w:rPr>
          <w:lang w:val="es-ES"/>
        </w:rPr>
        <w:t xml:space="preserve">puede interpretarse en forma retroactiva, lo que permite acogerse a sus disposiciones incluso a quienes contrajeron matrimonio antes de su promulgación. La </w:t>
      </w:r>
      <w:r w:rsidR="00F40DCC" w:rsidRPr="00960E47">
        <w:rPr>
          <w:lang w:val="es-ES"/>
        </w:rPr>
        <w:t xml:space="preserve">ley </w:t>
      </w:r>
      <w:r w:rsidR="00E421FD" w:rsidRPr="00960E47">
        <w:rPr>
          <w:lang w:val="es-ES"/>
        </w:rPr>
        <w:t xml:space="preserve">ha eliminado todas las limitaciones jurídicas impuestas anteriormente a las mujeres casadas en régimen de comunidad de bienes, y ha revocado la potestad marital de los esposos sobre ellas. Entre las limitaciones se incluía la incapacidad de suscribir un contrato, incoar una demanda o ser demandada en nombre propio, registrar bienes inmuebles en nombre propio, ejercer las funciones de dirección en una empresa y ser titular de un fondo fiduciario. </w:t>
      </w:r>
    </w:p>
    <w:p w:rsidR="00E421FD" w:rsidRPr="00960E47" w:rsidRDefault="00F40DCC" w:rsidP="00BD2CEB">
      <w:pPr>
        <w:pStyle w:val="SingleTxtG"/>
        <w:rPr>
          <w:lang w:val="es-ES"/>
        </w:rPr>
      </w:pPr>
      <w:r w:rsidRPr="00960E47">
        <w:rPr>
          <w:lang w:val="es-ES"/>
        </w:rPr>
        <w:t>153.</w:t>
      </w:r>
      <w:r w:rsidRPr="00960E47">
        <w:rPr>
          <w:lang w:val="es-ES"/>
        </w:rPr>
        <w:tab/>
      </w:r>
      <w:r w:rsidR="00E421FD" w:rsidRPr="00960E47">
        <w:rPr>
          <w:lang w:val="es-ES"/>
        </w:rPr>
        <w:t>La Convención contra la Tortura y Otros Tratos o Penas Crueles, Inhumanos o Degradantes de 1981 fue ratificada el 12 de diciembre de 2001. El informe inicial sobre la aplicación de esta Convención se está preparando actualmente. Se prevé que estará ultimado para noviembre de 2010. La Convención Internacional sobre la Eliminación de todas las Formas de Discriminación Racial de 1971 fue ratificada por Lesotho ese mismo año. En 2002, Lesotho presentó su informe periódico ante el Comité para la Eliminación de la Discriminación Racial. En sus observaciones y comentarios finales, el Comité manifestó su preocupación acerca de la ausencia de un marco legislativo amplio que prohíba los actos de discriminación racial y xenofobia, incluida la ausencia de recursos eficaces. La Ley de Relaciones Raciales</w:t>
      </w:r>
      <w:r w:rsidR="009C195E" w:rsidRPr="00960E47">
        <w:rPr>
          <w:lang w:val="es-ES"/>
        </w:rPr>
        <w:t xml:space="preserve"> </w:t>
      </w:r>
      <w:r w:rsidR="00E421FD" w:rsidRPr="00960E47">
        <w:rPr>
          <w:lang w:val="es-ES"/>
        </w:rPr>
        <w:t xml:space="preserve">(Enmienda) contiene disposiciones sobre la enseñanza de la tolerancia y la coexistencia pacífica de personas de diversos orígenes. Además, la </w:t>
      </w:r>
      <w:r w:rsidR="00CF1E48" w:rsidRPr="00960E47">
        <w:rPr>
          <w:lang w:val="es-ES"/>
        </w:rPr>
        <w:t>ley</w:t>
      </w:r>
      <w:r w:rsidR="00E421FD" w:rsidRPr="00960E47">
        <w:rPr>
          <w:lang w:val="es-ES"/>
        </w:rPr>
        <w:t xml:space="preserve"> impone una sanción a quienes cometen delitos de discriminación racial.</w:t>
      </w:r>
    </w:p>
    <w:p w:rsidR="00E421FD" w:rsidRPr="00960E47" w:rsidRDefault="00F40DCC" w:rsidP="00BD2CEB">
      <w:pPr>
        <w:pStyle w:val="SingleTxtG"/>
        <w:rPr>
          <w:lang w:val="es-ES"/>
        </w:rPr>
      </w:pPr>
      <w:r w:rsidRPr="00960E47">
        <w:rPr>
          <w:lang w:val="es-ES"/>
        </w:rPr>
        <w:t>154.</w:t>
      </w:r>
      <w:r w:rsidRPr="00960E47">
        <w:rPr>
          <w:lang w:val="es-ES"/>
        </w:rPr>
        <w:tab/>
      </w:r>
      <w:r w:rsidR="00E421FD" w:rsidRPr="00960E47">
        <w:rPr>
          <w:lang w:val="es-ES"/>
        </w:rPr>
        <w:t>En el plano regional, la Carta Africana de Derec</w:t>
      </w:r>
      <w:r w:rsidR="00405763" w:rsidRPr="00960E47">
        <w:rPr>
          <w:lang w:val="es-ES"/>
        </w:rPr>
        <w:t>hos Humanos y de los Pueblos de </w:t>
      </w:r>
      <w:r w:rsidR="00E421FD" w:rsidRPr="00960E47">
        <w:rPr>
          <w:lang w:val="es-ES"/>
        </w:rPr>
        <w:t>1981 fue ratificada por Lesotho el 28 de mayo de 1992. Su informe inicial fue examinado por la Comisión Africana de Derechos Humanos en mayo de 2002. La Carta Africana sobre los Derechos y el Bienestar del Niño fue ratificada en noviembre de 1999. El informe inicial de Lesotho no se ha preparado todavía. Ello se debe a los problemas de falta de capacidad del Ministerio de Justicia, encargado de coordinar la preparación de los informes del Estado parte. En el futuro, parece que el Ministerio quizá tenga que recurrir a una estrategia de subcontratación del trabajo, a fin de respetar los plazos. Lesotho se ha comprometido, en el marco del primer informe anual sobre el Mecanismo Africano de Evaluación entre Pares (MAEP), de junio de 2010, a establecer un banco depositario electrónico con información actualizada sobre todos los instrumentos internacionales que Lesotho ha firmado y ratificado o a los que se ha adherido, incluida la elaboración de informes de situación sobre la aplicación de dichos instrumentos. En ese compromiso se incluyen los instrumentos de derechos humanos ratificados hasta ahora. Lesotho ha actualizado y publicado la lista de tratados en que se recogen sus obligaciones internacionales desde 1997 hasta 2009. La Carta Africana de la Democracia, las Elecciones y la Gobernanza en África, incluida la Carta Africana de los Jóvenes, ha sido ratificada recientemente por Lesotho en la Unión Africana.</w:t>
      </w:r>
    </w:p>
    <w:p w:rsidR="00E421FD" w:rsidRPr="00960E47" w:rsidRDefault="00F40DCC" w:rsidP="00BD2CEB">
      <w:pPr>
        <w:pStyle w:val="H23G"/>
        <w:rPr>
          <w:lang w:val="es-ES"/>
        </w:rPr>
      </w:pPr>
      <w:r w:rsidRPr="00960E47">
        <w:rPr>
          <w:lang w:val="es-ES"/>
        </w:rPr>
        <w:tab/>
      </w:r>
      <w:r w:rsidRPr="00960E47">
        <w:rPr>
          <w:lang w:val="es-ES"/>
        </w:rPr>
        <w:tab/>
      </w:r>
      <w:r w:rsidR="00E421FD" w:rsidRPr="00960E47">
        <w:rPr>
          <w:lang w:val="es-ES"/>
        </w:rPr>
        <w:t>Derecho internacional humanitario</w:t>
      </w:r>
    </w:p>
    <w:p w:rsidR="00E421FD" w:rsidRPr="00960E47" w:rsidRDefault="00F40DCC" w:rsidP="00BD2CEB">
      <w:pPr>
        <w:pStyle w:val="SingleTxtG"/>
        <w:rPr>
          <w:lang w:val="es-ES"/>
        </w:rPr>
      </w:pPr>
      <w:r w:rsidRPr="00960E47">
        <w:rPr>
          <w:lang w:val="es-ES"/>
        </w:rPr>
        <w:t>155.</w:t>
      </w:r>
      <w:r w:rsidRPr="00960E47">
        <w:rPr>
          <w:lang w:val="es-ES"/>
        </w:rPr>
        <w:tab/>
      </w:r>
      <w:r w:rsidR="00E421FD" w:rsidRPr="00960E47">
        <w:rPr>
          <w:lang w:val="es-ES"/>
        </w:rPr>
        <w:t>En su declaración de sucesión de 20 de mayo de 1958, el Reino Unido firmó y ratificó los cuatro Convenios de Ginebra sobre derecho internacional humanitario en el marco de las normas humanitarias internacionales que son vinculantes para Lesotho. Esos cuatro Convenios son los siguientes: Convenio Relativo al Trato Debido a los Prisioneros de Guerra de 12 de agosto de 1949, Convenio de Ginebra para Aliviar la Suerte que Corren los Heridos, los Enfermos y los Náufragos de las Fuerzas Armadas en el Mar, Convenio para Aliviar la Suerte que corren los Heridos y los Enfermos de las Fuerzas Armadas en Campaña y Convenio Relativo a la Protección Debida a la</w:t>
      </w:r>
      <w:r w:rsidR="00DB3263" w:rsidRPr="00960E47">
        <w:rPr>
          <w:lang w:val="es-ES"/>
        </w:rPr>
        <w:t>s Personas Civiles en Tiempo de </w:t>
      </w:r>
      <w:r w:rsidR="00E421FD" w:rsidRPr="00960E47">
        <w:rPr>
          <w:lang w:val="es-ES"/>
        </w:rPr>
        <w:t>Guerra</w:t>
      </w:r>
      <w:r w:rsidR="00DB3263" w:rsidRPr="00960E47">
        <w:rPr>
          <w:lang w:val="es-ES"/>
        </w:rPr>
        <w:t>.</w:t>
      </w:r>
    </w:p>
    <w:p w:rsidR="00E421FD" w:rsidRPr="00960E47" w:rsidRDefault="00F40DCC" w:rsidP="00BD2CEB">
      <w:pPr>
        <w:pStyle w:val="SingleTxtG"/>
        <w:rPr>
          <w:lang w:val="es-ES"/>
        </w:rPr>
      </w:pPr>
      <w:r w:rsidRPr="00960E47">
        <w:rPr>
          <w:lang w:val="es-ES"/>
        </w:rPr>
        <w:t>156.</w:t>
      </w:r>
      <w:r w:rsidRPr="00960E47">
        <w:rPr>
          <w:lang w:val="es-ES"/>
        </w:rPr>
        <w:tab/>
      </w:r>
      <w:r w:rsidR="00E421FD" w:rsidRPr="00960E47">
        <w:rPr>
          <w:lang w:val="es-ES"/>
        </w:rPr>
        <w:t>Lesotho quedó obligado por esos convenios en forma retroactiva a partir del 4 de octubre de 1966, fecha en la que adquirió la independencia. Lesotho se adhirió a los Protocolos Adicionales a los cuatro Convenios de Ginebra en 1977. En ellos se hace referencia a la protección de los monumentos históricos, culturales y artísticos, incluidos los símbolos nacionales, durante situaciones de conflicto armado tanto interno como externo.</w:t>
      </w:r>
      <w:r w:rsidR="009C195E" w:rsidRPr="00960E47">
        <w:rPr>
          <w:lang w:val="es-ES"/>
        </w:rPr>
        <w:t xml:space="preserve"> </w:t>
      </w:r>
      <w:r w:rsidR="00E421FD" w:rsidRPr="00960E47">
        <w:rPr>
          <w:lang w:val="es-ES"/>
        </w:rPr>
        <w:t>Son los siguientes: Primer Convenio de Ginebra para Aliviar la Suerte que corren los Heridos y los Enfermos de las Fuerzas Armadas en Campaña (1949),</w:t>
      </w:r>
      <w:r w:rsidR="009C195E" w:rsidRPr="00960E47">
        <w:rPr>
          <w:lang w:val="es-ES"/>
        </w:rPr>
        <w:t xml:space="preserve"> </w:t>
      </w:r>
      <w:r w:rsidR="00E421FD" w:rsidRPr="00960E47">
        <w:rPr>
          <w:lang w:val="es-ES"/>
        </w:rPr>
        <w:t>Segundo Convenio de Ginebra para Aliviar la Suerte que Corren los Heridos, los Enfermos y los Náufragos de las Fuerzas Armadas en el Mar (1949), Tercer Convenio de Ginebra Relativo al Trato Debido a los Prisioneros de Guerra (1949), Cuarto Convenio de Ginebra Relativo a la Protección Debida a las Personas Civiles en Tiempo de Guerra (1949), Protocolo Adicional a los Convenios de Ginebra del 12 de Agosto de 1949 Relativo a la Protección de las Víctimas de los Conflictos Armados Internacionales (Protocolo I, 1977), Protocolo adicional a los Convenios de Ginebra del 12 de agosto de 1949 relativo a la protección de las víctimas de los conflictos armados sin carácter internacional (Protocolo II, 1977),</w:t>
      </w:r>
      <w:r w:rsidRPr="00960E47">
        <w:rPr>
          <w:lang w:val="es-ES"/>
        </w:rPr>
        <w:t xml:space="preserve"> </w:t>
      </w:r>
      <w:r w:rsidR="00E421FD" w:rsidRPr="00960E47">
        <w:rPr>
          <w:lang w:val="es-ES"/>
        </w:rPr>
        <w:t xml:space="preserve">Convención de Ottawa sobre la Prohibición del Empleo, Almacenamiento, Producción y Transferencia de Minas Antipersonal y sobre su Destrucción (1987). Todos los convenios de Ginebra se han incorporado en el mandato de la Ley de </w:t>
      </w:r>
      <w:r w:rsidR="00405763" w:rsidRPr="00960E47">
        <w:rPr>
          <w:lang w:val="es-ES"/>
        </w:rPr>
        <w:t>la Sociedad de la Cruz Roja, de </w:t>
      </w:r>
      <w:r w:rsidR="00E421FD" w:rsidRPr="00960E47">
        <w:rPr>
          <w:lang w:val="es-ES"/>
        </w:rPr>
        <w:t xml:space="preserve">1967. </w:t>
      </w:r>
    </w:p>
    <w:p w:rsidR="00E421FD" w:rsidRPr="00960E47" w:rsidRDefault="00F40DCC" w:rsidP="00BD2CEB">
      <w:pPr>
        <w:pStyle w:val="SingleTxtG"/>
        <w:rPr>
          <w:lang w:val="es-ES"/>
        </w:rPr>
      </w:pPr>
      <w:r w:rsidRPr="00960E47">
        <w:rPr>
          <w:lang w:val="es-ES"/>
        </w:rPr>
        <w:t>157.</w:t>
      </w:r>
      <w:r w:rsidRPr="00960E47">
        <w:rPr>
          <w:lang w:val="es-ES"/>
        </w:rPr>
        <w:tab/>
      </w:r>
      <w:r w:rsidR="00E421FD" w:rsidRPr="00960E47">
        <w:rPr>
          <w:lang w:val="es-ES"/>
        </w:rPr>
        <w:t>En el plano nacional, en marzo de 2001 se estableció un Comité Nacional Especial encargado de las cuestiones relacionadas con el derecho humanitario. Está formado por representantes de diferentes ministerios, entre ellos los de Asuntos Exteriores, Defensa, Derecho y Asuntos Constitucionales, Asuntos Internos, Salud, Educación y Servicio de Policía y Justicia, incluida la Sociedad de la Cruz Roja de Lesotho. Este Comité ha desempeñado un papel fundamental de asesoramiento al Gobierno sobre las cuestiones relacionadas con la ratificación o la adhesión a los convenios humanitarios, el establecimiento de programas de educación y formación, la preparación de estudios sobre el derecho internacional humanitario, y la identificación y preparación de medidas para la aplicación del derecho internacional humanitario, incluido el seguimiento de la aplicación del derecho internacional humanitario.</w:t>
      </w:r>
    </w:p>
    <w:p w:rsidR="00E421FD" w:rsidRPr="00960E47" w:rsidRDefault="00F40DCC" w:rsidP="00BD2CEB">
      <w:pPr>
        <w:pStyle w:val="H23G"/>
        <w:rPr>
          <w:lang w:val="es-ES"/>
        </w:rPr>
      </w:pPr>
      <w:r w:rsidRPr="00960E47">
        <w:rPr>
          <w:lang w:val="es-ES"/>
        </w:rPr>
        <w:tab/>
      </w:r>
      <w:r w:rsidRPr="00960E47">
        <w:rPr>
          <w:lang w:val="es-ES"/>
        </w:rPr>
        <w:tab/>
      </w:r>
      <w:r w:rsidR="00E421FD" w:rsidRPr="00960E47">
        <w:rPr>
          <w:lang w:val="es-ES"/>
        </w:rPr>
        <w:t>Convenios de la Organiz</w:t>
      </w:r>
      <w:r w:rsidRPr="00960E47">
        <w:rPr>
          <w:lang w:val="es-ES"/>
        </w:rPr>
        <w:t>ación Internacional del Trabajo</w:t>
      </w:r>
    </w:p>
    <w:p w:rsidR="00E421FD" w:rsidRPr="00960E47" w:rsidRDefault="00F40DCC" w:rsidP="00BD2CEB">
      <w:pPr>
        <w:pStyle w:val="SingleTxtG"/>
        <w:rPr>
          <w:lang w:val="es-ES"/>
        </w:rPr>
      </w:pPr>
      <w:r w:rsidRPr="00960E47">
        <w:rPr>
          <w:lang w:val="es-ES"/>
        </w:rPr>
        <w:t>158.</w:t>
      </w:r>
      <w:r w:rsidRPr="00960E47">
        <w:rPr>
          <w:lang w:val="es-ES"/>
        </w:rPr>
        <w:tab/>
      </w:r>
      <w:r w:rsidR="00E421FD" w:rsidRPr="00960E47">
        <w:rPr>
          <w:lang w:val="es-ES"/>
        </w:rPr>
        <w:t>Lesotho es miembro de la Organización Internacional del Trabajo</w:t>
      </w:r>
      <w:r w:rsidR="009C195E" w:rsidRPr="00960E47">
        <w:rPr>
          <w:lang w:val="es-ES"/>
        </w:rPr>
        <w:t xml:space="preserve"> </w:t>
      </w:r>
      <w:r w:rsidR="00E421FD" w:rsidRPr="00960E47">
        <w:rPr>
          <w:lang w:val="es-ES"/>
        </w:rPr>
        <w:t>(OIT) y parte en la mayoría de los instrumentos internacionales sobre normas mínimas en las relaciones laborales y la protección de los derechos de los trabajadores. Lesotho ha ratificado casi todos los instrumentos de la OIT más pertinentes, en particular los siguientes: Convenio sobre la Edad Mínima (Industria), 1919; Convenio sobre el Derecho de Asociación (Agricultura),</w:t>
      </w:r>
      <w:r w:rsidRPr="00960E47">
        <w:rPr>
          <w:lang w:val="es-ES"/>
        </w:rPr>
        <w:t xml:space="preserve"> </w:t>
      </w:r>
      <w:r w:rsidR="00E421FD" w:rsidRPr="00960E47">
        <w:rPr>
          <w:lang w:val="es-ES"/>
        </w:rPr>
        <w:t>1921; Convenio sobre el Descanso Semanal (Industria), 1921; Convenio sobre la Igualdad de Trato (Accidentes del Trabajo), 1925; Convenio sobre los Métodos para la Fijación de Salarios Mínimos, 1928; Convenio sobre el Trabajo Forzoso, 1930; Convenio sobre el Trabajo Subterráneo (Mujeres), 1935, Convenio sobre los Contratos de Trabajo (Trabajadores Indígenas), 1939; Convenio sobre las Sanciones Penales (Trabajadores Indígenas), 1939; Convenio sobre la Inspecc</w:t>
      </w:r>
      <w:r w:rsidR="00DB3263" w:rsidRPr="00960E47">
        <w:rPr>
          <w:lang w:val="es-ES"/>
        </w:rPr>
        <w:t>ión del Trabajo, 1947; Convenio </w:t>
      </w:r>
      <w:r w:rsidR="00E421FD" w:rsidRPr="00960E47">
        <w:rPr>
          <w:lang w:val="es-ES"/>
        </w:rPr>
        <w:t>sobre la Libertad Sindical y la Protección del Derecho de Sindicación, 1948; Convenio sobre el Derecho de Sindicación y de Negociación Colectiva, 1949, Convenio sobre Igualdad de Remuneración, 1957; Convenio sobre la Discriminación (Empleo y Ocupación), 1958; Convenio sobre los Representantes de l</w:t>
      </w:r>
      <w:r w:rsidR="00DB3263" w:rsidRPr="00960E47">
        <w:rPr>
          <w:lang w:val="es-ES"/>
        </w:rPr>
        <w:t>os Trabajadores, 1971; Convenio </w:t>
      </w:r>
      <w:r w:rsidR="00E421FD" w:rsidRPr="00960E47">
        <w:rPr>
          <w:lang w:val="es-ES"/>
        </w:rPr>
        <w:t>sobre la Edad Mínima, 1973; Convenio sobre</w:t>
      </w:r>
      <w:r w:rsidR="00DB3263" w:rsidRPr="00960E47">
        <w:rPr>
          <w:lang w:val="es-ES"/>
        </w:rPr>
        <w:t xml:space="preserve"> la Consulta Tripartita (Normas </w:t>
      </w:r>
      <w:r w:rsidR="00E421FD" w:rsidRPr="00960E47">
        <w:rPr>
          <w:lang w:val="es-ES"/>
        </w:rPr>
        <w:t>Internacionales del Trabajo), 1976; Convenio sobre la Administración del Trabajo, 1978; Convenio sobre Seguridad y Salud de los Trabajadores, 1981; Convenio sobre la Terminación de la Relación de Trabajo, 1988; Convenio sobre las Peores Formas de Trabajo Infantil, 1999</w:t>
      </w:r>
      <w:r w:rsidR="00E421FD" w:rsidRPr="00960E47">
        <w:rPr>
          <w:rStyle w:val="FootnoteReference"/>
          <w:lang w:val="es-ES"/>
        </w:rPr>
        <w:footnoteReference w:id="19"/>
      </w:r>
      <w:r w:rsidR="00E421FD" w:rsidRPr="00960E47">
        <w:rPr>
          <w:lang w:val="es-ES"/>
        </w:rPr>
        <w:t>.</w:t>
      </w:r>
    </w:p>
    <w:p w:rsidR="00E421FD" w:rsidRPr="00960E47" w:rsidRDefault="00F40DCC" w:rsidP="00BD2CEB">
      <w:pPr>
        <w:pStyle w:val="SingleTxtG"/>
        <w:rPr>
          <w:lang w:val="es-ES"/>
        </w:rPr>
      </w:pPr>
      <w:r w:rsidRPr="00960E47">
        <w:rPr>
          <w:lang w:val="es-ES"/>
        </w:rPr>
        <w:t>159.</w:t>
      </w:r>
      <w:r w:rsidRPr="00960E47">
        <w:rPr>
          <w:lang w:val="es-ES"/>
        </w:rPr>
        <w:tab/>
      </w:r>
      <w:r w:rsidR="00E421FD" w:rsidRPr="00960E47">
        <w:rPr>
          <w:lang w:val="es-ES"/>
        </w:rPr>
        <w:t>Lesotho es también parte en varias normas internacionales relacionadas con la seguridad y salud en el trabajo, en particular el Convenio sobre Seguridad y Salud de los Trabajadores, 1981 (Núm. 155) y el Convenio sobre Seguridad y Salud en la Construcción, 1988 (núm. 167).</w:t>
      </w:r>
    </w:p>
    <w:p w:rsidR="00E421FD" w:rsidRPr="00960E47" w:rsidRDefault="00F40DCC" w:rsidP="00BD2CEB">
      <w:pPr>
        <w:pStyle w:val="SingleTxtG"/>
        <w:rPr>
          <w:lang w:val="es-ES"/>
        </w:rPr>
      </w:pPr>
      <w:r w:rsidRPr="00960E47">
        <w:rPr>
          <w:lang w:val="es-ES"/>
        </w:rPr>
        <w:t>160.</w:t>
      </w:r>
      <w:r w:rsidRPr="00960E47">
        <w:rPr>
          <w:lang w:val="es-ES"/>
        </w:rPr>
        <w:tab/>
      </w:r>
      <w:r w:rsidR="00E421FD" w:rsidRPr="00960E47">
        <w:rPr>
          <w:lang w:val="es-ES"/>
        </w:rPr>
        <w:t xml:space="preserve">Lesotho ha realizado ímprobos esfuerzos para promover y aplicar las diversas normas laborales internacionales en las que es parte. El país tiene un marco legislativo laboral muy sólido en el plano interno. La Orden sobre el Código del Trabajo núm. 24 de 1992 es la legislación nacional básica que regula las cuestiones relacionadas con el empleo en Lesotho. La Ley núm. 3 del Código del Trabajo (Enmienda), de 2000, ha establecido el Tribunal de Apelación Laboral y definido sus competencias, incluido su mandato legal. Además, la </w:t>
      </w:r>
      <w:r w:rsidR="00CF1E48" w:rsidRPr="00960E47">
        <w:rPr>
          <w:lang w:val="es-ES"/>
        </w:rPr>
        <w:t>ley</w:t>
      </w:r>
      <w:r w:rsidR="00E421FD" w:rsidRPr="00960E47">
        <w:rPr>
          <w:lang w:val="es-ES"/>
        </w:rPr>
        <w:t xml:space="preserve"> modifica la Orden para establecer el Consejo de Relaciones Laborales y la Dirección de Prevención y Solución De Diferencias, encargada de las actividades de conciliación y arbitraje en situaciones de conflicto. La Notificación núm. 194 sobre el Código del Trabajo (Dirección de Prevención y Solución de Diferencias), de 2001, establece el procedimiento que debe adoptarse en la remisión y presentación de casos ante la Dirección. Otra medida legislativa sobre cuestiones laborales es la Notificación sobre el Código del Trabajo (Códigos de Buenas Prácticas), de 2003. </w:t>
      </w:r>
    </w:p>
    <w:p w:rsidR="00E421FD" w:rsidRPr="00960E47" w:rsidRDefault="00F40DCC" w:rsidP="00BD2CEB">
      <w:pPr>
        <w:pStyle w:val="SingleTxtG"/>
        <w:rPr>
          <w:lang w:val="es-ES"/>
        </w:rPr>
      </w:pPr>
      <w:r w:rsidRPr="00960E47">
        <w:rPr>
          <w:lang w:val="es-ES"/>
        </w:rPr>
        <w:t>161.</w:t>
      </w:r>
      <w:r w:rsidRPr="00960E47">
        <w:rPr>
          <w:lang w:val="es-ES"/>
        </w:rPr>
        <w:tab/>
      </w:r>
      <w:r w:rsidR="00E421FD" w:rsidRPr="00960E47">
        <w:rPr>
          <w:lang w:val="es-ES"/>
        </w:rPr>
        <w:t>Se ha promulgado también la Notificación núm. 1 sobre el Código del Trabajo (Directrices sobre Conciliación y Arbitraje), de 2004. La Orden sobre el Código del Trabajo de 1992 reconoció el derecho a la sindicación. El Código garantiza a todos los trabajadores y empleadores el derecho de asociación en todos los sectores de la economía, incluida la agricultura. Los funcionarios públicos están gobernados por la Ley de la Función Pública, de 2005. En ella se establece la libertad de asociación de los funcionarios públicos mediante la formación de asociaciones, pero no sindicatos. Actualment</w:t>
      </w:r>
      <w:r w:rsidR="00DB3263" w:rsidRPr="00960E47">
        <w:rPr>
          <w:lang w:val="es-ES"/>
        </w:rPr>
        <w:t>e hay 3 centros sindicales y 43 </w:t>
      </w:r>
      <w:r w:rsidR="00E421FD" w:rsidRPr="00960E47">
        <w:rPr>
          <w:lang w:val="es-ES"/>
        </w:rPr>
        <w:t>sindicatos. En lo que respecta a la seguridad y salud en el trabajo, Lesotho ha elaborado leyes relacionadas con la seguridad en los ámbitos de la soldadura y corte, pintura con aerosol, ruido, construcción y utilización de productos químicos.</w:t>
      </w:r>
    </w:p>
    <w:p w:rsidR="00E421FD" w:rsidRPr="00960E47" w:rsidRDefault="00F40DCC" w:rsidP="00BD2CEB">
      <w:pPr>
        <w:pStyle w:val="SingleTxtG"/>
        <w:rPr>
          <w:lang w:val="es-ES"/>
        </w:rPr>
      </w:pPr>
      <w:r w:rsidRPr="00960E47">
        <w:rPr>
          <w:lang w:val="es-ES"/>
        </w:rPr>
        <w:t>162.</w:t>
      </w:r>
      <w:r w:rsidRPr="00960E47">
        <w:rPr>
          <w:lang w:val="es-ES"/>
        </w:rPr>
        <w:tab/>
      </w:r>
      <w:r w:rsidR="00E421FD" w:rsidRPr="00960E47">
        <w:rPr>
          <w:lang w:val="es-ES"/>
        </w:rPr>
        <w:t>Si bien el Gobierno ha realizado esfuerzos para crear un entorno legislativo favorable a las relaciones entre empleadores y empleados en el lugar de trabajo, ambos deben hacer frente a algunos desafíos, sobre todo en el sector textil, acerca de las prestaciones de los trabajadores, como la licencia de enfermedad y la licencia para asistir a funerales, debido a la elevada tasa de prevalencia del VIH/SIDA, que ha afectado también el sector textil. Asimismo, se han promulgado medidas legislativas sobre la protección de las personas con el VIH/SIDA</w:t>
      </w:r>
      <w:r w:rsidR="009C195E" w:rsidRPr="00960E47">
        <w:rPr>
          <w:lang w:val="es-ES"/>
        </w:rPr>
        <w:t xml:space="preserve"> </w:t>
      </w:r>
      <w:r w:rsidR="00E421FD" w:rsidRPr="00960E47">
        <w:rPr>
          <w:lang w:val="es-ES"/>
        </w:rPr>
        <w:t>en el lugar de trabajo. En ellas se prohíbe la discriminación de los trabajadores afectados e infectados por la pandemia del VIH/SIDA.</w:t>
      </w:r>
    </w:p>
    <w:p w:rsidR="00E421FD" w:rsidRPr="00960E47" w:rsidRDefault="00F40DCC" w:rsidP="00BD2CEB">
      <w:pPr>
        <w:pStyle w:val="SingleTxtG"/>
        <w:rPr>
          <w:lang w:val="es-ES"/>
        </w:rPr>
      </w:pPr>
      <w:r w:rsidRPr="00960E47">
        <w:rPr>
          <w:lang w:val="es-ES"/>
        </w:rPr>
        <w:t>163.</w:t>
      </w:r>
      <w:r w:rsidRPr="00960E47">
        <w:rPr>
          <w:lang w:val="es-ES"/>
        </w:rPr>
        <w:tab/>
      </w:r>
      <w:r w:rsidR="00E421FD" w:rsidRPr="00960E47">
        <w:rPr>
          <w:lang w:val="es-ES"/>
        </w:rPr>
        <w:t>Si bien parece haber un historial satisfactorio de ratificación de instrumentos de la OIT, los trabajadores del sector textil deben hacer frente a problemas provocados por sus empleadores. Entre ellos se incluye la falta de privacidad y confidencialidad de los registros médicos como cuestión básica de derechos humanos cuando hay diagnósticos médicos sobre el VIH/SIDA. Las trabajadoras han planteado sus preocupaciones acerca de la insuficiencia de la licencia de maternidad, que en algunos casos es de solo una semana, a diferencia de los tres meses previstos en la legislación.</w:t>
      </w:r>
    </w:p>
    <w:p w:rsidR="00E421FD" w:rsidRPr="00960E47" w:rsidRDefault="00F40DCC" w:rsidP="00BD2CEB">
      <w:pPr>
        <w:pStyle w:val="H23G"/>
        <w:rPr>
          <w:lang w:val="es-ES"/>
        </w:rPr>
      </w:pPr>
      <w:r w:rsidRPr="00960E47">
        <w:rPr>
          <w:lang w:val="es-ES"/>
        </w:rPr>
        <w:tab/>
      </w:r>
      <w:r w:rsidRPr="00960E47">
        <w:rPr>
          <w:lang w:val="es-ES"/>
        </w:rPr>
        <w:tab/>
      </w:r>
      <w:r w:rsidR="00E421FD" w:rsidRPr="00960E47">
        <w:rPr>
          <w:lang w:val="es-ES"/>
        </w:rPr>
        <w:t>Objetivos de Desarrollo del Milenio</w:t>
      </w:r>
    </w:p>
    <w:p w:rsidR="00E421FD" w:rsidRPr="00960E47" w:rsidRDefault="00E421FD" w:rsidP="00BD2CEB">
      <w:pPr>
        <w:pStyle w:val="SingleTxtG"/>
        <w:rPr>
          <w:lang w:val="es-ES"/>
        </w:rPr>
      </w:pPr>
      <w:r w:rsidRPr="00960E47">
        <w:rPr>
          <w:lang w:val="es-ES"/>
        </w:rPr>
        <w:t>164</w:t>
      </w:r>
      <w:r w:rsidR="00F40DCC" w:rsidRPr="00960E47">
        <w:rPr>
          <w:lang w:val="es-ES"/>
        </w:rPr>
        <w:t>.</w:t>
      </w:r>
      <w:r w:rsidR="00F40DCC" w:rsidRPr="00960E47">
        <w:rPr>
          <w:lang w:val="es-ES"/>
        </w:rPr>
        <w:tab/>
      </w:r>
      <w:r w:rsidRPr="00960E47">
        <w:rPr>
          <w:lang w:val="es-ES"/>
        </w:rPr>
        <w:t>Los Objetivos de Desarrollo del Milenio (ODM) resultantes de la Cumbre del Milenio celebrada en diciembre de 2000 se han convertido en un instrumento estratégico clave para promover, entre otros objetivos, el desarrollo humano sostenible en el país. Los ODM representan un marco simplificado para supervisar los compromisos internacionales de los países y un punto de confluencia para todos los asociados y partes interesadas a fin de participar en una campaña de amplia base para conseguir resultados en términos de desarrollo. Lesotho figura entre los signatarios de la Declaración del Milenio adoptada por las Naciones Unidas en septiembre de 2000. Si bien debe hacer frente a los desafíos de la lucha contra el VIH/SIDA y la pobreza ex</w:t>
      </w:r>
      <w:r w:rsidR="00DB3263" w:rsidRPr="00960E47">
        <w:rPr>
          <w:lang w:val="es-ES"/>
        </w:rPr>
        <w:t>t</w:t>
      </w:r>
      <w:r w:rsidRPr="00960E47">
        <w:rPr>
          <w:lang w:val="es-ES"/>
        </w:rPr>
        <w:t>rema y el hambre, mantiene su compromiso con el logro de los ODM. Estos se han formulado de la siguiente manera: erradicación de la pobreza extrema y el hambre, el logro de la enseñanza primaria universal, la promoción de la igualdad de género y el empoderamiento de la mujer, la reducción de la mortalidad infantil, la mejora de la salud materna y la lucha contra el VIH/SIDA, el paludismo y otras enfermedades, la garantía de la sostenibilidad ambiental y el establecimiento de una alianza mundial para el desarrollo.</w:t>
      </w:r>
    </w:p>
    <w:p w:rsidR="00E421FD" w:rsidRPr="00960E47" w:rsidRDefault="00F40DCC" w:rsidP="00BD2CEB">
      <w:pPr>
        <w:pStyle w:val="SingleTxtG"/>
        <w:rPr>
          <w:lang w:val="es-ES"/>
        </w:rPr>
      </w:pPr>
      <w:r w:rsidRPr="00960E47">
        <w:rPr>
          <w:lang w:val="es-ES"/>
        </w:rPr>
        <w:t>165.</w:t>
      </w:r>
      <w:r w:rsidRPr="00960E47">
        <w:rPr>
          <w:lang w:val="es-ES"/>
        </w:rPr>
        <w:tab/>
      </w:r>
      <w:r w:rsidR="00E421FD" w:rsidRPr="00960E47">
        <w:rPr>
          <w:lang w:val="es-ES"/>
        </w:rPr>
        <w:t>Los logros y progresos conseguidos hasta la fecha por Lesotho en relación con los ODM se recogieron en el Informe de Lesotho sobre los Objetivos de Desarrollo del Milenio, de 2010, que fue presentado en el período de sesiones de 2010 de la Asamblea General en Nueva York por el Muy Honorable Primer Ministro de Lesotho. Según ese informe, los logros de Lesotho en los diferentes sectores sociales han sido los siguientes:</w:t>
      </w:r>
    </w:p>
    <w:p w:rsidR="00E421FD" w:rsidRPr="00960E47" w:rsidRDefault="00F40DCC" w:rsidP="00BD2CEB">
      <w:pPr>
        <w:pStyle w:val="HChG"/>
        <w:rPr>
          <w:lang w:val="es-ES"/>
        </w:rPr>
      </w:pPr>
      <w:r w:rsidRPr="00960E47">
        <w:rPr>
          <w:lang w:val="es-ES"/>
        </w:rPr>
        <w:tab/>
        <w:t>IV.</w:t>
      </w:r>
      <w:r w:rsidRPr="00960E47">
        <w:rPr>
          <w:lang w:val="es-ES"/>
        </w:rPr>
        <w:tab/>
      </w:r>
      <w:r w:rsidR="00E421FD" w:rsidRPr="00960E47">
        <w:rPr>
          <w:lang w:val="es-ES"/>
        </w:rPr>
        <w:t>Información y publicidad</w:t>
      </w:r>
    </w:p>
    <w:p w:rsidR="00E421FD" w:rsidRPr="00960E47" w:rsidRDefault="00F40DCC" w:rsidP="00BD2CEB">
      <w:pPr>
        <w:pStyle w:val="H1G"/>
        <w:rPr>
          <w:lang w:val="es-ES"/>
        </w:rPr>
      </w:pPr>
      <w:r w:rsidRPr="00960E47">
        <w:rPr>
          <w:lang w:val="es-ES"/>
        </w:rPr>
        <w:tab/>
        <w:t>A.</w:t>
      </w:r>
      <w:r w:rsidRPr="00960E47">
        <w:rPr>
          <w:lang w:val="es-ES"/>
        </w:rPr>
        <w:tab/>
      </w:r>
      <w:r w:rsidR="00E421FD" w:rsidRPr="00960E47">
        <w:rPr>
          <w:lang w:val="es-ES"/>
        </w:rPr>
        <w:t xml:space="preserve">Esfuerzos realizados por el Gobierno para la promoción y </w:t>
      </w:r>
      <w:r w:rsidRPr="00960E47">
        <w:rPr>
          <w:lang w:val="es-ES"/>
        </w:rPr>
        <w:br/>
      </w:r>
      <w:r w:rsidR="00E421FD" w:rsidRPr="00960E47">
        <w:rPr>
          <w:lang w:val="es-ES"/>
        </w:rPr>
        <w:t>divulgación de los derechos humanos</w:t>
      </w:r>
    </w:p>
    <w:p w:rsidR="00E421FD" w:rsidRPr="00960E47" w:rsidRDefault="00F40DCC" w:rsidP="00BD2CEB">
      <w:pPr>
        <w:pStyle w:val="SingleTxtG"/>
        <w:rPr>
          <w:lang w:val="es-ES"/>
        </w:rPr>
      </w:pPr>
      <w:r w:rsidRPr="00960E47">
        <w:rPr>
          <w:lang w:val="es-ES"/>
        </w:rPr>
        <w:t>166.</w:t>
      </w:r>
      <w:r w:rsidRPr="00960E47">
        <w:rPr>
          <w:lang w:val="es-ES"/>
        </w:rPr>
        <w:tab/>
      </w:r>
      <w:r w:rsidR="00E421FD" w:rsidRPr="00960E47">
        <w:rPr>
          <w:lang w:val="es-ES"/>
        </w:rPr>
        <w:t xml:space="preserve">La Dependencia de Derechos Humanos incluye en su triple función de promoción, protección e información sobre derechos humanos el mandato de promover los derechos humanos mediante la transmisión de información sobre los derechos humanos a los organismos encargados de la aplicación de la ley, las </w:t>
      </w:r>
      <w:r w:rsidR="00D15602" w:rsidRPr="00960E47">
        <w:rPr>
          <w:lang w:val="es-ES"/>
        </w:rPr>
        <w:t xml:space="preserve">ONG </w:t>
      </w:r>
      <w:r w:rsidR="00E421FD" w:rsidRPr="00960E47">
        <w:rPr>
          <w:lang w:val="es-ES"/>
        </w:rPr>
        <w:t>y otros grupos interesados y el público en general. Con ese fin, la Dependencia de Derechos Humanos ha realizado las siguientes actividades:</w:t>
      </w:r>
    </w:p>
    <w:p w:rsidR="00E421FD" w:rsidRPr="00960E47" w:rsidRDefault="00F40DCC" w:rsidP="00BD2CEB">
      <w:pPr>
        <w:pStyle w:val="SingleTxtG"/>
        <w:rPr>
          <w:lang w:val="es-ES"/>
        </w:rPr>
      </w:pPr>
      <w:r w:rsidRPr="00960E47">
        <w:rPr>
          <w:lang w:val="es-ES"/>
        </w:rPr>
        <w:tab/>
        <w:t>a)</w:t>
      </w:r>
      <w:r w:rsidRPr="00960E47">
        <w:rPr>
          <w:lang w:val="es-ES"/>
        </w:rPr>
        <w:tab/>
      </w:r>
      <w:r w:rsidR="00E421FD" w:rsidRPr="00960E47">
        <w:rPr>
          <w:lang w:val="es-ES"/>
        </w:rPr>
        <w:t>Programas de formación en materia de derechos humanos para los órganos encargados de la aplicación de la ley sobre cuestiones operacionales fundamentales, como el uso de la fuerza por esos organismos y su código de conducta y la aplicación y observancia del derecho internacional humanitario que Irish Aid y el Programa de las Naciones Unidas para el Desarrollo (PNUD) patrocinaron conjuntamente en 2009 en el marco del Programa de Gobernanza. Esos programas de capacitación se prolongaron hasta 2010, con actividades de formación para otros niveles de responsabilidad de los organismos encargados de hacer cumplir la ley, con inclusión de parlamentarios, financiados por el Programa de Gobernanza del PNUD.</w:t>
      </w:r>
    </w:p>
    <w:p w:rsidR="00E421FD" w:rsidRPr="00960E47" w:rsidRDefault="00F40DCC" w:rsidP="00BD2CEB">
      <w:pPr>
        <w:pStyle w:val="SingleTxtG"/>
        <w:rPr>
          <w:lang w:val="es-ES"/>
        </w:rPr>
      </w:pPr>
      <w:r w:rsidRPr="00960E47">
        <w:rPr>
          <w:lang w:val="es-ES"/>
        </w:rPr>
        <w:tab/>
        <w:t>b)</w:t>
      </w:r>
      <w:r w:rsidRPr="00960E47">
        <w:rPr>
          <w:lang w:val="es-ES"/>
        </w:rPr>
        <w:tab/>
      </w:r>
      <w:r w:rsidR="00E421FD" w:rsidRPr="00960E47">
        <w:rPr>
          <w:lang w:val="es-ES"/>
        </w:rPr>
        <w:t>El Comité Interministerial de Derechos Humanos organizó campañas de concienciación pública sobre los derechos humanos, y en particular sobre temas como el mantenimiento, la sucesión y la herencia, la tutela y la protección de los menores por el Presidente del Tribunal Superior, la fianza en espera de procesamiento penal y cuestiones relacionadas con la protección y el bienestar de los niños.</w:t>
      </w:r>
    </w:p>
    <w:p w:rsidR="00E421FD" w:rsidRPr="00960E47" w:rsidRDefault="00F40DCC" w:rsidP="00BD2CEB">
      <w:pPr>
        <w:pStyle w:val="SingleTxtG"/>
        <w:rPr>
          <w:lang w:val="es-ES"/>
        </w:rPr>
      </w:pPr>
      <w:r w:rsidRPr="00960E47">
        <w:rPr>
          <w:lang w:val="es-ES"/>
        </w:rPr>
        <w:tab/>
        <w:t>c)</w:t>
      </w:r>
      <w:r w:rsidRPr="00960E47">
        <w:rPr>
          <w:lang w:val="es-ES"/>
        </w:rPr>
        <w:tab/>
      </w:r>
      <w:r w:rsidR="00E421FD" w:rsidRPr="00960E47">
        <w:rPr>
          <w:lang w:val="es-ES"/>
        </w:rPr>
        <w:t>En 2009 se transmitieron programas de radio para concienciar a la nación acerca de las cuestiones de derechos humanos relacionadas con los temas tratados en la campaña de concienciación de 2009 en las emisoras de radio locales, en particular Mo</w:t>
      </w:r>
      <w:r w:rsidR="00DA3204" w:rsidRPr="00960E47">
        <w:rPr>
          <w:lang w:val="es-ES"/>
        </w:rPr>
        <w:noBreakHyphen/>
      </w:r>
      <w:r w:rsidR="00E421FD" w:rsidRPr="00960E47">
        <w:rPr>
          <w:lang w:val="es-ES"/>
        </w:rPr>
        <w:t>África, Radio Lesotho y Catholic Radio.</w:t>
      </w:r>
    </w:p>
    <w:p w:rsidR="00E421FD" w:rsidRPr="00960E47" w:rsidRDefault="00F40DCC" w:rsidP="00BD2CEB">
      <w:pPr>
        <w:pStyle w:val="SingleTxtG"/>
        <w:rPr>
          <w:lang w:val="es-ES"/>
        </w:rPr>
      </w:pPr>
      <w:r w:rsidRPr="00960E47">
        <w:rPr>
          <w:lang w:val="es-ES"/>
        </w:rPr>
        <w:tab/>
        <w:t>d)</w:t>
      </w:r>
      <w:r w:rsidRPr="00960E47">
        <w:rPr>
          <w:lang w:val="es-ES"/>
        </w:rPr>
        <w:tab/>
      </w:r>
      <w:r w:rsidR="00E421FD" w:rsidRPr="00960E47">
        <w:rPr>
          <w:lang w:val="es-ES"/>
        </w:rPr>
        <w:t xml:space="preserve">En colaboración con el PNUD y con Irish Aid, el Gobierno ha apoyado el establecimiento de la Comisión Nacional de Derechos Humanos. En 2007, dos consultores, uno externo y otro interno, realizaron dos misiones con el fin de ayudar al Gobierno a establecer la Comisión de Derechos Humanos. Se les confió una doble tarea, y el primer resultado fue un proyecto de legislación sobre el establecimiento de una comisión que funcionaría como órgano de supervisión sobre las cuestiones relacionadas con abusos y violaciones de los derechos humanos. El proyecto de ley sobre la Comisión de Derechos Humanos incluye en su mandato el establecimiento de dicha Comisión y define sus facultades y procedimientos. En cuanto a la composición, el proyecto de ley promueve el equilibrio de género en el nombramiento de sus miembros. Se ha ultimado también la modalidad operacional y el mecanismo administrativo para la puesta en marcha de la Comisión, en lo que respecta a la determinación de los costos presupuestarios y las necesidades de recursos humanos. Así pues, se establecerá en breve la Comisión Nacional de Derechos Humanos, que asumirá la responsabilidad de investigar los abusos de los derechos humanos e inspeccionar y vigilar los lugares en los que es probable que se produzcan violaciones de esos derechos, como los centros penitenciarios, las comisarías de policía y otros lugares de reclusión o detención. </w:t>
      </w:r>
    </w:p>
    <w:p w:rsidR="00E421FD" w:rsidRPr="00960E47" w:rsidRDefault="00F40DCC" w:rsidP="00BD2CEB">
      <w:pPr>
        <w:pStyle w:val="SingleTxtG"/>
        <w:rPr>
          <w:lang w:val="es-ES"/>
        </w:rPr>
      </w:pPr>
      <w:r w:rsidRPr="00960E47">
        <w:rPr>
          <w:lang w:val="es-ES"/>
        </w:rPr>
        <w:tab/>
        <w:t>e)</w:t>
      </w:r>
      <w:r w:rsidRPr="00960E47">
        <w:rPr>
          <w:lang w:val="es-ES"/>
        </w:rPr>
        <w:tab/>
      </w:r>
      <w:r w:rsidR="00E421FD" w:rsidRPr="00960E47">
        <w:rPr>
          <w:lang w:val="es-ES"/>
        </w:rPr>
        <w:t>En julio de 2004 Lesotho se adhirió al Mecanismo Africano de Evaluación entre Pares (MAEP) para demostrar su inquebrantable apoyo a la gobernanza democrática. El proceso de examen comenzó con un taller consultivo, después del cual se estableció un Subcomité de Ministros y un Centro de Coordinación del MAEP. Se creó un Consejo Nacional de Administración de amplia base e inclusivo encargado de gestionar el proceso del MAEP en el país. El proceso de autoevaluación fue realizado por un consorcio de institutos locales de investigación técnica, a saber, el Instituto de Estudios sobre el África Meridional de la Universidad Nacional de Lesotho y el Instituto de Administración y Gestión Públicas del Ministerio de la Función Pública. Lesotho presentó su informe de autoevaluación y su programa de acción en noviembre de 2008, allanando así el camino para el despliegue de la misión de examen del país. Esta tuvo lugar en 2009 y estuvo compuesta por 14 miembros de al menos 10 nacionalidades africanas distintas. La misión mantuvo contactos con los tres poderes del Estado: ejecutivo, judicial y legislativo. Se entrevistó asimismo con diversos actores no estatales y mantuvo conversaciones con instituciones ligadas a la gobernanza, como la Comisión Electoral Independiente, el Auditor General y el Banco Central de Lesotho. La misión concluyó sus sesiones con el gabinete (subcomité de ministros) y el Consejo Nacional de Gobernanza. Lesotho fue evaluado en la XI Cumbre del Foro del MAEP celebrada en Libia en junio de 2009. En junio de 2010, Lesotho presentó el primer informe anual en el marco del MAEP sobre los progresos realizados en la aplicación del Plan de Acción del MAEP de Lesotho.</w:t>
      </w:r>
    </w:p>
    <w:p w:rsidR="00E421FD" w:rsidRPr="00960E47" w:rsidRDefault="00F40DCC" w:rsidP="00BD2CEB">
      <w:pPr>
        <w:pStyle w:val="H1G"/>
        <w:rPr>
          <w:lang w:val="es-ES"/>
        </w:rPr>
      </w:pPr>
      <w:r w:rsidRPr="00960E47">
        <w:rPr>
          <w:lang w:val="es-ES"/>
        </w:rPr>
        <w:tab/>
        <w:t>B.</w:t>
      </w:r>
      <w:r w:rsidRPr="00960E47">
        <w:rPr>
          <w:lang w:val="es-ES"/>
        </w:rPr>
        <w:tab/>
      </w:r>
      <w:r w:rsidR="00E421FD" w:rsidRPr="00960E47">
        <w:rPr>
          <w:lang w:val="es-ES"/>
        </w:rPr>
        <w:t>Esfuerzos no gubernamentales para la divu</w:t>
      </w:r>
      <w:r w:rsidRPr="00960E47">
        <w:rPr>
          <w:lang w:val="es-ES"/>
        </w:rPr>
        <w:t>lgación de los derechos humanos</w:t>
      </w:r>
    </w:p>
    <w:p w:rsidR="00E421FD" w:rsidRPr="00960E47" w:rsidRDefault="00F40DCC" w:rsidP="00BD2CEB">
      <w:pPr>
        <w:pStyle w:val="SingleTxtG"/>
        <w:rPr>
          <w:lang w:val="es-ES"/>
        </w:rPr>
      </w:pPr>
      <w:r w:rsidRPr="00960E47">
        <w:rPr>
          <w:lang w:val="es-ES"/>
        </w:rPr>
        <w:t>167.</w:t>
      </w:r>
      <w:r w:rsidRPr="00960E47">
        <w:rPr>
          <w:lang w:val="es-ES"/>
        </w:rPr>
        <w:tab/>
      </w:r>
      <w:r w:rsidR="00E421FD" w:rsidRPr="00960E47">
        <w:rPr>
          <w:lang w:val="es-ES"/>
        </w:rPr>
        <w:t>En Lesotho hay muchas ONG que tratan de ayudar a la familia, en particular para el empoderamiento de la mujer. Entre ellas se incluyen Lesotho National Council of Women (LNCW), Federation of Women Lawyers (FIDA), Women and Law in Southern Africa (WILSA), y Community Legal Resource and Advice Centre (CLARC).</w:t>
      </w:r>
    </w:p>
    <w:p w:rsidR="00E421FD" w:rsidRPr="00960E47" w:rsidRDefault="00F40DCC" w:rsidP="00BD2CEB">
      <w:pPr>
        <w:pStyle w:val="SingleTxtG"/>
        <w:rPr>
          <w:lang w:val="es-ES"/>
        </w:rPr>
      </w:pPr>
      <w:r w:rsidRPr="00960E47">
        <w:rPr>
          <w:lang w:val="es-ES"/>
        </w:rPr>
        <w:t>168.</w:t>
      </w:r>
      <w:r w:rsidRPr="00960E47">
        <w:rPr>
          <w:lang w:val="es-ES"/>
        </w:rPr>
        <w:tab/>
      </w:r>
      <w:r w:rsidR="00E421FD" w:rsidRPr="00960E47">
        <w:rPr>
          <w:lang w:val="es-ES"/>
        </w:rPr>
        <w:t>World Vision Lesotho tiene una sección de actividades de promoción, centrada en la familia y el hogar. Esos proyectos contribuyen a formar a los padres acerca de los problemas que surgen cuando no envían a los niños a la escuela y sobre la repercusión que los malos tratos pueden tener en los niños, además de promover una política de protección de la infancia.</w:t>
      </w:r>
    </w:p>
    <w:p w:rsidR="00E421FD" w:rsidRPr="00960E47" w:rsidRDefault="00F40DCC" w:rsidP="00BD2CEB">
      <w:pPr>
        <w:pStyle w:val="H1G"/>
        <w:rPr>
          <w:lang w:val="es-ES"/>
        </w:rPr>
      </w:pPr>
      <w:r w:rsidRPr="00960E47">
        <w:rPr>
          <w:lang w:val="es-ES"/>
        </w:rPr>
        <w:tab/>
        <w:t>C.</w:t>
      </w:r>
      <w:r w:rsidRPr="00960E47">
        <w:rPr>
          <w:lang w:val="es-ES"/>
        </w:rPr>
        <w:tab/>
      </w:r>
      <w:r w:rsidR="00E421FD" w:rsidRPr="00960E47">
        <w:rPr>
          <w:lang w:val="es-ES"/>
        </w:rPr>
        <w:t>Mecanismos para la preparación de informes de los Estados partes (Dependencia de Derechos Humanos)</w:t>
      </w:r>
    </w:p>
    <w:p w:rsidR="00E421FD" w:rsidRPr="00960E47" w:rsidRDefault="00F40DCC" w:rsidP="00BD2CEB">
      <w:pPr>
        <w:pStyle w:val="SingleTxtG"/>
        <w:rPr>
          <w:lang w:val="es-ES"/>
        </w:rPr>
      </w:pPr>
      <w:r w:rsidRPr="00960E47">
        <w:rPr>
          <w:lang w:val="es-ES"/>
        </w:rPr>
        <w:t>169.</w:t>
      </w:r>
      <w:r w:rsidRPr="00960E47">
        <w:rPr>
          <w:lang w:val="es-ES"/>
        </w:rPr>
        <w:tab/>
      </w:r>
      <w:r w:rsidR="00E421FD" w:rsidRPr="00960E47">
        <w:rPr>
          <w:lang w:val="es-ES"/>
        </w:rPr>
        <w:t>La responsabilidad de coordinar el proceso de presentación de informes sobre los instrumentos internacionales y regionales de derechos humanos ratificados por Lesotho recae sobre la Dependencia de Derechos Humanos del Ministerio de Justicia y el Servicio Penitenciario y de Derechos Humanos. La Dependencia de Derechos Humanos ha recibido este mandato mediante una decisión del Consejo de Ministros de 11 de septiembre de 1995. Se le confió esa tarea incluso antes de recibir ninguna forma de preparación sobre las obligaciones de presentación de informes. En 1995, funcionarios de derechos humanos de dicha Dependencia participaron en un programa regional de capacitación organizado por la Secretaría del Commonwealth en Lusaka (Zambia). Después de esa capacitación, se establecieron comités interministeriales especiales encargados de preparar los informes iniciales sobre el Pacto Internacional de Derechos Civiles y Políticos y la Convención sobre los Derechos del Niño.</w:t>
      </w:r>
    </w:p>
    <w:p w:rsidR="00E421FD" w:rsidRPr="00960E47" w:rsidRDefault="00F40DCC" w:rsidP="00DB3263">
      <w:pPr>
        <w:pStyle w:val="SingleTxtG"/>
        <w:keepLines/>
        <w:rPr>
          <w:lang w:val="es-ES"/>
        </w:rPr>
      </w:pPr>
      <w:r w:rsidRPr="00960E47">
        <w:rPr>
          <w:lang w:val="es-ES"/>
        </w:rPr>
        <w:t>170.</w:t>
      </w:r>
      <w:r w:rsidRPr="00960E47">
        <w:rPr>
          <w:lang w:val="es-ES"/>
        </w:rPr>
        <w:tab/>
      </w:r>
      <w:r w:rsidR="00E421FD" w:rsidRPr="00960E47">
        <w:rPr>
          <w:lang w:val="es-ES"/>
        </w:rPr>
        <w:t>Se pidió a los principales ministerios competentes —educación, salud, trabajo, justicia, asuntos internos, etc.— que nombraran representantes que pudieran formar parte de los comités y ayudar en la reunión de datos, la redacción y la recopilación de los aspectos del informe relacionados con su mandato. El Comité encargado de la compilación del informe inicial sobre el Pacto Internacional de Derechos Civiles y Políticos estuvo plenamente coordinado en el marco del Ministerio de Justicia, mientras que el relativo a la Convención sobre los Derechos del Niño fue responsabilidad compartida del Fondo de las Naciones Unidas para la Infancia (UNICEF) y el Ministerio de Justicia.</w:t>
      </w:r>
    </w:p>
    <w:p w:rsidR="00E421FD" w:rsidRPr="00960E47" w:rsidRDefault="00F40DCC" w:rsidP="00BD2CEB">
      <w:pPr>
        <w:pStyle w:val="SingleTxtG"/>
        <w:rPr>
          <w:lang w:val="es-ES"/>
        </w:rPr>
      </w:pPr>
      <w:r w:rsidRPr="00960E47">
        <w:rPr>
          <w:lang w:val="es-ES"/>
        </w:rPr>
        <w:t>171.</w:t>
      </w:r>
      <w:r w:rsidRPr="00960E47">
        <w:rPr>
          <w:lang w:val="es-ES"/>
        </w:rPr>
        <w:tab/>
      </w:r>
      <w:r w:rsidR="00E421FD" w:rsidRPr="00960E47">
        <w:rPr>
          <w:lang w:val="es-ES"/>
        </w:rPr>
        <w:t>El UNICEF ofreció asistencia técnica durante la compilación del informe relativo a la Convención sobre los Derechos del Niño. En el caso del informe sobre la Convención Internacional sobre la Eliminación de todas las Formas de Discriminación Racial la compilación se llevó también a cabo utilizando la estrategia del sistema de comités especiales. Durante su preparación, el Ministerio de Justicia, en colaboración con el Ministerio de Género, subcontrató la labor mediante licitación pública. Se contrataron consultores externos para la compilación del informe. El Fondo de Población de las Naciones Unidas (UNFPA) aportó también un experto que se asoció con los consultores locales para preparar el informe. Actualmente, en lo que respecta a los informes periódicos segundo y tercero sobre la aplicación del Pacto Internacional de Derechos Civiles y Políticos y el informe inicial sobre el Pacto Internacional de Derechos Económicos, Sociales y Culturales, el Ministerio convocó una licitación pública para la contratación de consultores encargados de la preparación de los informes. El informe relativo a la Convención contra la Tortura se está preparando bajo los auspicios del Ministerio.</w:t>
      </w:r>
    </w:p>
    <w:p w:rsidR="00E421FD" w:rsidRPr="00960E47" w:rsidRDefault="00F40DCC" w:rsidP="00BD2CEB">
      <w:pPr>
        <w:pStyle w:val="SingleTxtG"/>
        <w:rPr>
          <w:lang w:val="es-ES"/>
        </w:rPr>
      </w:pPr>
      <w:r w:rsidRPr="00960E47">
        <w:rPr>
          <w:lang w:val="es-ES"/>
        </w:rPr>
        <w:t>172.</w:t>
      </w:r>
      <w:r w:rsidRPr="00960E47">
        <w:rPr>
          <w:lang w:val="es-ES"/>
        </w:rPr>
        <w:tab/>
      </w:r>
      <w:r w:rsidR="00E421FD" w:rsidRPr="00960E47">
        <w:rPr>
          <w:lang w:val="es-ES"/>
        </w:rPr>
        <w:t>El Ministerio de Justicia ha establecido también un Comité Interministerial encargado de la presentación de informes, integrado por todos los ministerios competentes, que comparten la responsabilidad de la generación de datos esenciales para los informes. Dicho Comité está coordinado por la Dependencia de Derechos Humanos del Ministerio de Justicia. Los miembros del comité han participado en numerosos programas de capacitación sobre presentación de informes, llevados a cabo bajo los auspicios de Southern Africa Human Rights Trust (SAHRIT) y sus órganos subsidiarios.</w:t>
      </w:r>
    </w:p>
    <w:p w:rsidR="00E421FD" w:rsidRPr="00960E47" w:rsidRDefault="00F40DCC" w:rsidP="00BD2CEB">
      <w:pPr>
        <w:pStyle w:val="SingleTxtG"/>
        <w:rPr>
          <w:lang w:val="es-ES"/>
        </w:rPr>
      </w:pPr>
      <w:r w:rsidRPr="00960E47">
        <w:rPr>
          <w:lang w:val="es-ES"/>
        </w:rPr>
        <w:t>173.</w:t>
      </w:r>
      <w:r w:rsidRPr="00960E47">
        <w:rPr>
          <w:lang w:val="es-ES"/>
        </w:rPr>
        <w:tab/>
      </w:r>
      <w:r w:rsidR="00E421FD" w:rsidRPr="00960E47">
        <w:rPr>
          <w:lang w:val="es-ES"/>
        </w:rPr>
        <w:t>El proceso de preparación de los distintos informes sobre derechos humanos implica una combinación de muchas estrategias diferentes. Ello se debe sobre todo a que Lesotho debe superar todavía algunos desafíos para la compilación de los informes que debe presentar en calidad de Estado parte.</w:t>
      </w:r>
    </w:p>
    <w:p w:rsidR="00E421FD" w:rsidRPr="00960E47" w:rsidRDefault="00F40DCC" w:rsidP="00BD2CEB">
      <w:pPr>
        <w:pStyle w:val="H23G"/>
        <w:rPr>
          <w:lang w:val="es-ES"/>
        </w:rPr>
      </w:pPr>
      <w:r w:rsidRPr="00960E47">
        <w:rPr>
          <w:lang w:val="es-ES"/>
        </w:rPr>
        <w:tab/>
      </w:r>
      <w:r w:rsidRPr="00960E47">
        <w:rPr>
          <w:lang w:val="es-ES"/>
        </w:rPr>
        <w:tab/>
      </w:r>
      <w:r w:rsidR="00E421FD" w:rsidRPr="00960E47">
        <w:rPr>
          <w:lang w:val="es-ES"/>
        </w:rPr>
        <w:t>Desafíos</w:t>
      </w:r>
    </w:p>
    <w:p w:rsidR="00E421FD" w:rsidRPr="00960E47" w:rsidRDefault="00F40DCC" w:rsidP="00BD2CEB">
      <w:pPr>
        <w:pStyle w:val="SingleTxtG"/>
        <w:rPr>
          <w:lang w:val="es-ES"/>
        </w:rPr>
      </w:pPr>
      <w:r w:rsidRPr="00960E47">
        <w:rPr>
          <w:lang w:val="es-ES"/>
        </w:rPr>
        <w:t>174.</w:t>
      </w:r>
      <w:r w:rsidRPr="00960E47">
        <w:rPr>
          <w:lang w:val="es-ES"/>
        </w:rPr>
        <w:tab/>
      </w:r>
      <w:r w:rsidR="00E421FD" w:rsidRPr="00960E47">
        <w:rPr>
          <w:lang w:val="es-ES"/>
        </w:rPr>
        <w:t>Desde 1995, la Dependencia de Derechos Humanos cuenta con un complemento de personal de tres oficiales de derechos humanos de plena dedicación. Dado que la Dependencia es responsable de las funciones de promoción, protección e información, un personal tan reducido es incapaz de desempeñar con eficacia ese mandato. Los encargados de la presentación de informes necesitan una capacitación a fondo, al menos en lo que respecta a los instrumentos de derechos humanos más importantes y pertinentes.</w:t>
      </w:r>
    </w:p>
    <w:p w:rsidR="00E421FD" w:rsidRPr="00960E47" w:rsidRDefault="00F40DCC" w:rsidP="00BD2CEB">
      <w:pPr>
        <w:pStyle w:val="SingleTxtG"/>
        <w:rPr>
          <w:lang w:val="es-ES"/>
        </w:rPr>
      </w:pPr>
      <w:r w:rsidRPr="00960E47">
        <w:rPr>
          <w:lang w:val="es-ES"/>
        </w:rPr>
        <w:t>175.</w:t>
      </w:r>
      <w:r w:rsidRPr="00960E47">
        <w:rPr>
          <w:lang w:val="es-ES"/>
        </w:rPr>
        <w:tab/>
      </w:r>
      <w:r w:rsidR="00E421FD" w:rsidRPr="00960E47">
        <w:rPr>
          <w:lang w:val="es-ES"/>
        </w:rPr>
        <w:t>A pesar de que el Ministerio ha tratado de familiarizarse mediante actividades de capacitación, es difícil que la Dependencia, que es una entidad genérica y no especializada, pueda cumplir cabalmente las obligaciones de presentación de informes. Se necesita una Dependencia especializada para que Lesotho evite un enorme retraso en el cumplimiento de sus obligaciones de presentación de informes ante los órganos de las Naciones Unidas creados en virtud de tratados y los órganos regionales. El establecimiento acelerado de la Comisión de Derechos Humanos será útil con ese fin, ya que en su mandato se incluirán funciones de promoción y protección. Otras tareas genéricas del Ministerio desempeñadas todavía por la Dependencia deberán transferirse a otros departamentos, para que aquella disponga de tiempo para preparar los informes.</w:t>
      </w:r>
    </w:p>
    <w:p w:rsidR="00E421FD" w:rsidRPr="00960E47" w:rsidRDefault="00F40DCC" w:rsidP="00BD2CEB">
      <w:pPr>
        <w:pStyle w:val="SingleTxtG"/>
        <w:rPr>
          <w:lang w:val="es-ES"/>
        </w:rPr>
      </w:pPr>
      <w:r w:rsidRPr="00960E47">
        <w:rPr>
          <w:lang w:val="es-ES"/>
        </w:rPr>
        <w:t>176.</w:t>
      </w:r>
      <w:r w:rsidRPr="00960E47">
        <w:rPr>
          <w:lang w:val="es-ES"/>
        </w:rPr>
        <w:tab/>
      </w:r>
      <w:r w:rsidR="00E421FD" w:rsidRPr="00960E47">
        <w:rPr>
          <w:lang w:val="es-ES"/>
        </w:rPr>
        <w:t>Los funcionarios de otros ministerios a quienes se confía la elaboración de los informes deben realizar también otras tareas. En consecuencia, la presentación de informes no representa para ellos la máxima prioridad.</w:t>
      </w:r>
    </w:p>
    <w:p w:rsidR="00E421FD" w:rsidRPr="00960E47" w:rsidRDefault="00F40DCC" w:rsidP="00BD2CEB">
      <w:pPr>
        <w:pStyle w:val="SingleTxtG"/>
        <w:rPr>
          <w:lang w:val="es-ES"/>
        </w:rPr>
      </w:pPr>
      <w:r w:rsidRPr="00960E47">
        <w:rPr>
          <w:lang w:val="es-ES"/>
        </w:rPr>
        <w:t>177.</w:t>
      </w:r>
      <w:r w:rsidRPr="00960E47">
        <w:rPr>
          <w:lang w:val="es-ES"/>
        </w:rPr>
        <w:tab/>
      </w:r>
      <w:r w:rsidR="00E421FD" w:rsidRPr="00960E47">
        <w:rPr>
          <w:lang w:val="es-ES"/>
        </w:rPr>
        <w:t>Es también necesario contar con una entidad de información centralizada, además de la Oficina de Estadística, en la que pueda encontrarse toda la información legislativa, judicial, administrativa, normativa y operacional necesaria durante la compilación de los informes de Lesotho.</w:t>
      </w:r>
    </w:p>
    <w:p w:rsidR="00E421FD" w:rsidRPr="00960E47" w:rsidRDefault="00F40DCC" w:rsidP="00BD2CEB">
      <w:pPr>
        <w:pStyle w:val="SingleTxtG"/>
        <w:rPr>
          <w:lang w:val="es-ES"/>
        </w:rPr>
      </w:pPr>
      <w:r w:rsidRPr="00960E47">
        <w:rPr>
          <w:lang w:val="es-ES"/>
        </w:rPr>
        <w:t>178.</w:t>
      </w:r>
      <w:r w:rsidRPr="00960E47">
        <w:rPr>
          <w:lang w:val="es-ES"/>
        </w:rPr>
        <w:tab/>
      </w:r>
      <w:r w:rsidR="00E421FD" w:rsidRPr="00960E47">
        <w:rPr>
          <w:lang w:val="es-ES"/>
        </w:rPr>
        <w:t>Es necesario un plan rotatorio de capacitación de todos los expertos de los diferentes ministerios gubernamentales y, en particular, los de justicia y asuntos exteriores, que son los principales ministerios competentes en ese ámbito.</w:t>
      </w:r>
    </w:p>
    <w:p w:rsidR="00E421FD" w:rsidRPr="00960E47" w:rsidRDefault="00F40DCC" w:rsidP="00BD2CEB">
      <w:pPr>
        <w:pStyle w:val="H1G"/>
        <w:rPr>
          <w:lang w:val="es-ES"/>
        </w:rPr>
      </w:pPr>
      <w:r w:rsidRPr="00960E47">
        <w:rPr>
          <w:lang w:val="es-ES"/>
        </w:rPr>
        <w:tab/>
        <w:t>D.</w:t>
      </w:r>
      <w:r w:rsidRPr="00960E47">
        <w:rPr>
          <w:lang w:val="es-ES"/>
        </w:rPr>
        <w:tab/>
      </w:r>
      <w:r w:rsidR="00E421FD" w:rsidRPr="00960E47">
        <w:rPr>
          <w:lang w:val="es-ES"/>
        </w:rPr>
        <w:t>Procedimiento para la incorporación en el derecho interno de las normas internacionales de derechos humanos</w:t>
      </w:r>
    </w:p>
    <w:p w:rsidR="00E421FD" w:rsidRPr="00960E47" w:rsidRDefault="00F40DCC" w:rsidP="00BD2CEB">
      <w:pPr>
        <w:pStyle w:val="SingleTxtG"/>
        <w:rPr>
          <w:lang w:val="es-ES"/>
        </w:rPr>
      </w:pPr>
      <w:r w:rsidRPr="00960E47">
        <w:rPr>
          <w:lang w:val="es-ES"/>
        </w:rPr>
        <w:t>179.</w:t>
      </w:r>
      <w:r w:rsidRPr="00960E47">
        <w:rPr>
          <w:lang w:val="es-ES"/>
        </w:rPr>
        <w:tab/>
      </w:r>
      <w:r w:rsidR="00E421FD" w:rsidRPr="00960E47">
        <w:rPr>
          <w:lang w:val="es-ES"/>
        </w:rPr>
        <w:t>Cuando el Jefe de Estado, el Jefe de Gobierno o Min</w:t>
      </w:r>
      <w:r w:rsidR="00405763" w:rsidRPr="00960E47">
        <w:rPr>
          <w:lang w:val="es-ES"/>
        </w:rPr>
        <w:t>istro de Asuntos Exteriores han </w:t>
      </w:r>
      <w:r w:rsidR="00E421FD" w:rsidRPr="00960E47">
        <w:rPr>
          <w:lang w:val="es-ES"/>
        </w:rPr>
        <w:t xml:space="preserve">realizado actos relacionados con la conclusión de tratados de conformidad con el artículo 7 2) de la Convención de Viena sobre el Derecho de los Tratados, el Estado parte contrae la obligación de incorporar en el derecho interno las disposiciones de los instrumentos internacionales de derechos humanos que el Estado haya ratificado o a los que se haya adherido. Lesotho, en virtud de su ordenamiento jurídico, aplica el </w:t>
      </w:r>
      <w:r w:rsidR="00E421FD" w:rsidRPr="00960E47">
        <w:rPr>
          <w:i/>
          <w:lang w:val="es-ES"/>
        </w:rPr>
        <w:t>common law</w:t>
      </w:r>
      <w:r w:rsidR="00E421FD" w:rsidRPr="00960E47">
        <w:rPr>
          <w:lang w:val="es-ES"/>
        </w:rPr>
        <w:t xml:space="preserve"> inglés. En consecuencia, las convenciones internacionales de derechos humanos no son de ejecución automática, lo que significa que no se aplican directamente en el derecho interno de Lesotho. No obstante, en lo que respecta a los convenios laborales internacionales, el Código del Trabajo de 1992, en su artículo 4, dispone que </w:t>
      </w:r>
      <w:r w:rsidR="0045213B" w:rsidRPr="00960E47">
        <w:rPr>
          <w:lang w:val="es-ES"/>
        </w:rPr>
        <w:t>"</w:t>
      </w:r>
      <w:r w:rsidR="00E421FD" w:rsidRPr="00960E47">
        <w:rPr>
          <w:lang w:val="es-ES"/>
        </w:rPr>
        <w:t>los convenios laborales internacionales adoptados por la Conferencia se aplicarán directamente en los casos en que las leyes nacionales sobre cuestiones laborales no se pronuncien, sean ambiguas o no protejan los derechos de las personas afectadas</w:t>
      </w:r>
      <w:r w:rsidR="0045213B" w:rsidRPr="00960E47">
        <w:rPr>
          <w:lang w:val="es-ES"/>
        </w:rPr>
        <w:t>"</w:t>
      </w:r>
      <w:r w:rsidR="00E421FD" w:rsidRPr="00960E47">
        <w:rPr>
          <w:lang w:val="es-ES"/>
        </w:rPr>
        <w:t>. En cuanto a las convenciones internacionales de derechos humanos, las leyes internas se redactan normalmente con arreglo a las disposiciones de la Convención que se aplica. El proyecto de ley de protección y bienestar del niño, de 2010, se ha promulgado con arreglo a la Convención sobre los Derechos del Niño. Cuando se ha ratificado una convención, puede presentarse también directamente a la Asamblea Nacional para que la examine y adopte las disposiciones cuya aplicación directa considere oportuna.</w:t>
      </w:r>
    </w:p>
    <w:p w:rsidR="00763481" w:rsidRPr="00960E47" w:rsidRDefault="00EB60BE" w:rsidP="00BD2CEB">
      <w:pPr>
        <w:spacing w:before="240"/>
        <w:jc w:val="center"/>
        <w:rPr>
          <w:u w:val="single"/>
          <w:lang w:val="es-ES"/>
        </w:rPr>
      </w:pPr>
      <w:r w:rsidRPr="00960E47">
        <w:rPr>
          <w:u w:val="single"/>
          <w:lang w:val="es-ES"/>
        </w:rPr>
        <w:tab/>
      </w:r>
      <w:r w:rsidRPr="00960E47">
        <w:rPr>
          <w:u w:val="single"/>
          <w:lang w:val="es-ES"/>
        </w:rPr>
        <w:tab/>
      </w:r>
      <w:r w:rsidRPr="00960E47">
        <w:rPr>
          <w:u w:val="single"/>
          <w:lang w:val="es-ES"/>
        </w:rPr>
        <w:tab/>
      </w:r>
    </w:p>
    <w:sectPr w:rsidR="00763481" w:rsidRPr="00960E47" w:rsidSect="00F3084A">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B73" w:rsidRDefault="00242B73"/>
  </w:endnote>
  <w:endnote w:type="continuationSeparator" w:id="0">
    <w:p w:rsidR="00242B73" w:rsidRDefault="00242B73"/>
  </w:endnote>
  <w:endnote w:type="continuationNotice" w:id="1">
    <w:p w:rsidR="00242B73" w:rsidRDefault="00242B7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PP">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chin LT Std">
    <w:altName w:val="Times New Roman"/>
    <w:panose1 w:val="00000000000000000000"/>
    <w:charset w:val="00"/>
    <w:family w:val="roman"/>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Wingdings 2">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Liberation Sans">
    <w:altName w:val="Arial"/>
    <w:charset w:val="01"/>
    <w:family w:val="swiss"/>
    <w:pitch w:val="variable"/>
    <w:sig w:usb0="00000000" w:usb1="00000000" w:usb2="00000000" w:usb3="00000000" w:csb0="0000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Lohit Hindi">
    <w:altName w:val="MS Gothic"/>
    <w:panose1 w:val="00000000000000000000"/>
    <w:charset w:val="80"/>
    <w:family w:val="auto"/>
    <w:notTrueType/>
    <w:pitch w:val="variable"/>
    <w:sig w:usb0="00000000"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FF" w:usb1="C0007841" w:usb2="00000009" w:usb3="00000000" w:csb0="000001FF" w:csb1="00000000"/>
  </w:font>
  <w:font w:name="C39T30Lfz">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A22" w:rsidRPr="00CB0065" w:rsidRDefault="00560A22" w:rsidP="00102743">
    <w:pPr>
      <w:pStyle w:val="Footer"/>
      <w:tabs>
        <w:tab w:val="right" w:pos="9638"/>
      </w:tabs>
      <w:rPr>
        <w:b/>
        <w:sz w:val="14"/>
      </w:rPr>
    </w:pPr>
    <w:r w:rsidRPr="00102743">
      <w:rPr>
        <w:b/>
        <w:sz w:val="18"/>
      </w:rPr>
      <w:fldChar w:fldCharType="begin"/>
    </w:r>
    <w:r w:rsidRPr="00102743">
      <w:rPr>
        <w:b/>
        <w:sz w:val="18"/>
      </w:rPr>
      <w:instrText xml:space="preserve"> </w:instrText>
    </w:r>
    <w:r>
      <w:rPr>
        <w:b/>
        <w:sz w:val="18"/>
      </w:rPr>
      <w:instrText>PAGE</w:instrText>
    </w:r>
    <w:r w:rsidRPr="00102743">
      <w:rPr>
        <w:b/>
        <w:sz w:val="18"/>
      </w:rPr>
      <w:instrText xml:space="preserve">  \* MERGEFORMAT </w:instrText>
    </w:r>
    <w:r w:rsidRPr="00102743">
      <w:rPr>
        <w:b/>
        <w:sz w:val="18"/>
      </w:rPr>
      <w:fldChar w:fldCharType="separate"/>
    </w:r>
    <w:r w:rsidR="000E2589">
      <w:rPr>
        <w:b/>
        <w:noProof/>
        <w:sz w:val="18"/>
      </w:rPr>
      <w:t>2</w:t>
    </w:r>
    <w:r w:rsidRPr="00102743">
      <w:rPr>
        <w:b/>
        <w:sz w:val="18"/>
      </w:rPr>
      <w:fldChar w:fldCharType="end"/>
    </w:r>
    <w:r>
      <w:rPr>
        <w:b/>
        <w:sz w:val="18"/>
      </w:rPr>
      <w:tab/>
    </w:r>
    <w:r w:rsidRPr="00CB0065">
      <w:t>GE.1</w:t>
    </w:r>
    <w:r>
      <w:t>6</w:t>
    </w:r>
    <w:r w:rsidRPr="00CB0065">
      <w:t>-0</w:t>
    </w:r>
    <w:r>
      <w:t>0361</w:t>
    </w:r>
    <w:r w:rsidRPr="00CB0065">
      <w:t xml:space="preserve">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A22" w:rsidRPr="00102743" w:rsidRDefault="00560A22" w:rsidP="00102743">
    <w:pPr>
      <w:pStyle w:val="Footer"/>
      <w:tabs>
        <w:tab w:val="right" w:pos="9638"/>
      </w:tabs>
      <w:rPr>
        <w:b/>
        <w:sz w:val="18"/>
      </w:rPr>
    </w:pPr>
    <w:r w:rsidRPr="00CB0065">
      <w:t>GE.1</w:t>
    </w:r>
    <w:r>
      <w:t>6</w:t>
    </w:r>
    <w:r w:rsidRPr="00CB0065">
      <w:t>-0</w:t>
    </w:r>
    <w:r>
      <w:t>0361</w:t>
    </w:r>
    <w:r w:rsidRPr="00CB0065">
      <w:t xml:space="preserve">  (EXT)</w:t>
    </w:r>
    <w:r>
      <w:rPr>
        <w:b/>
        <w:sz w:val="18"/>
      </w:rPr>
      <w:tab/>
    </w:r>
    <w:r w:rsidRPr="00102743">
      <w:rPr>
        <w:b/>
        <w:sz w:val="18"/>
      </w:rPr>
      <w:fldChar w:fldCharType="begin"/>
    </w:r>
    <w:r w:rsidRPr="00102743">
      <w:rPr>
        <w:b/>
        <w:sz w:val="18"/>
      </w:rPr>
      <w:instrText xml:space="preserve"> </w:instrText>
    </w:r>
    <w:r>
      <w:rPr>
        <w:b/>
        <w:sz w:val="18"/>
      </w:rPr>
      <w:instrText>PAGE</w:instrText>
    </w:r>
    <w:r w:rsidRPr="00102743">
      <w:rPr>
        <w:b/>
        <w:sz w:val="18"/>
      </w:rPr>
      <w:instrText xml:space="preserve">  \* MERGEFORMAT </w:instrText>
    </w:r>
    <w:r w:rsidRPr="00102743">
      <w:rPr>
        <w:b/>
        <w:sz w:val="18"/>
      </w:rPr>
      <w:fldChar w:fldCharType="separate"/>
    </w:r>
    <w:r w:rsidR="000E2589">
      <w:rPr>
        <w:b/>
        <w:noProof/>
        <w:sz w:val="18"/>
      </w:rPr>
      <w:t>47</w:t>
    </w:r>
    <w:r w:rsidRPr="00102743">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A22" w:rsidRDefault="00560A22" w:rsidP="000E2589">
    <w:pPr>
      <w:pStyle w:val="Footer"/>
      <w:spacing w:before="240"/>
      <w:rPr>
        <w:sz w:val="20"/>
      </w:rPr>
    </w:pPr>
    <w:r>
      <w:rPr>
        <w:noProof/>
        <w:sz w:val="20"/>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GE.16-00361  (EXT)</w:t>
    </w:r>
  </w:p>
  <w:p w:rsidR="000E2589" w:rsidRPr="000E2589" w:rsidRDefault="000E2589" w:rsidP="000E2589">
    <w:pPr>
      <w:rPr>
        <w:rFonts w:ascii="C39T30Lfz" w:hAnsi="C39T30Lfz"/>
        <w:sz w:val="56"/>
        <w:lang w:val="fr-CH"/>
      </w:rPr>
    </w:pPr>
    <w:r>
      <w:rPr>
        <w:rFonts w:ascii="C39T30Lfz" w:hAnsi="C39T30Lfz"/>
        <w:sz w:val="56"/>
        <w:lang w:val="fr-CH"/>
      </w:rPr>
      <w:t></w:t>
    </w:r>
    <w:r>
      <w:rPr>
        <w:rFonts w:ascii="C39T30Lfz" w:hAnsi="C39T30Lfz"/>
        <w:sz w:val="56"/>
        <w:lang w:val="fr-CH"/>
      </w:rPr>
      <w:t></w:t>
    </w:r>
    <w:r>
      <w:rPr>
        <w:rFonts w:ascii="C39T30Lfz" w:hAnsi="C39T30Lfz"/>
        <w:sz w:val="56"/>
        <w:lang w:val="fr-CH"/>
      </w:rPr>
      <w:t></w:t>
    </w:r>
    <w:r>
      <w:rPr>
        <w:rFonts w:ascii="C39T30Lfz" w:hAnsi="C39T30Lfz"/>
        <w:sz w:val="56"/>
        <w:lang w:val="fr-CH"/>
      </w:rPr>
      <w:t></w:t>
    </w:r>
    <w:r>
      <w:rPr>
        <w:rFonts w:ascii="C39T30Lfz" w:hAnsi="C39T30Lfz"/>
        <w:sz w:val="56"/>
        <w:lang w:val="fr-CH"/>
      </w:rPr>
      <w:t></w:t>
    </w:r>
    <w:r>
      <w:rPr>
        <w:rFonts w:ascii="C39T30Lfz" w:hAnsi="C39T30Lfz"/>
        <w:sz w:val="56"/>
        <w:lang w:val="fr-CH"/>
      </w:rPr>
      <w:t></w:t>
    </w:r>
    <w:r>
      <w:rPr>
        <w:rFonts w:ascii="C39T30Lfz" w:hAnsi="C39T30Lfz"/>
        <w:sz w:val="56"/>
        <w:lang w:val="fr-CH"/>
      </w:rPr>
      <w:t></w:t>
    </w:r>
    <w:r>
      <w:rPr>
        <w:rFonts w:ascii="C39T30Lfz" w:hAnsi="C39T30Lfz"/>
        <w:sz w:val="56"/>
        <w:lang w:val="fr-CH"/>
      </w:rPr>
      <w:t></w:t>
    </w:r>
    <w:r>
      <w:rPr>
        <w:rFonts w:ascii="C39T30Lfz" w:hAnsi="C39T30Lfz"/>
        <w:sz w:val="56"/>
        <w:lang w:val="fr-CH"/>
      </w:rPr>
      <w:t></w:t>
    </w:r>
    <w:r>
      <w:rPr>
        <w:rFonts w:ascii="C39T30Lfz" w:hAnsi="C39T30Lfz"/>
        <w:noProof/>
        <w:sz w:val="56"/>
        <w:lang w:val="en-US" w:eastAsia="zh-CN"/>
      </w:rPr>
      <w:pict>
        <v:shape id="_x0000_s2057" type="#_x0000_t75" style="position:absolute;margin-left:432.25pt;margin-top:632.1pt;width:50.25pt;height:50.25pt;z-index:2;mso-position-horizontal-relative:margin;mso-position-vertical-relative:margin">
          <v:imagedata r:id="rId2" o:title="2015&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B73" w:rsidRPr="000B175B" w:rsidRDefault="00242B73" w:rsidP="000B175B">
      <w:pPr>
        <w:tabs>
          <w:tab w:val="right" w:pos="2155"/>
        </w:tabs>
        <w:spacing w:after="80"/>
        <w:ind w:left="680"/>
        <w:rPr>
          <w:u w:val="single"/>
        </w:rPr>
      </w:pPr>
      <w:r>
        <w:rPr>
          <w:u w:val="single"/>
        </w:rPr>
        <w:tab/>
      </w:r>
    </w:p>
  </w:footnote>
  <w:footnote w:type="continuationSeparator" w:id="0">
    <w:p w:rsidR="00242B73" w:rsidRPr="00FC68B7" w:rsidRDefault="00242B73" w:rsidP="00FC68B7">
      <w:pPr>
        <w:tabs>
          <w:tab w:val="left" w:pos="2155"/>
        </w:tabs>
        <w:spacing w:after="80"/>
        <w:ind w:left="680"/>
        <w:rPr>
          <w:u w:val="single"/>
        </w:rPr>
      </w:pPr>
      <w:r>
        <w:rPr>
          <w:u w:val="single"/>
        </w:rPr>
        <w:tab/>
      </w:r>
    </w:p>
  </w:footnote>
  <w:footnote w:type="continuationNotice" w:id="1">
    <w:p w:rsidR="00242B73" w:rsidRDefault="00242B73"/>
  </w:footnote>
  <w:footnote w:id="2">
    <w:p w:rsidR="00560A22" w:rsidRPr="00EF623B" w:rsidRDefault="00560A22" w:rsidP="00EF623B">
      <w:pPr>
        <w:pStyle w:val="FootnoteText"/>
        <w:rPr>
          <w:lang w:val="es-ES"/>
        </w:rPr>
      </w:pPr>
      <w:r w:rsidRPr="00EF623B">
        <w:rPr>
          <w:lang w:val="es-ES"/>
        </w:rPr>
        <w:tab/>
      </w:r>
      <w:r w:rsidRPr="00EF623B">
        <w:rPr>
          <w:sz w:val="20"/>
          <w:lang w:val="es-ES"/>
        </w:rPr>
        <w:t>*</w:t>
      </w:r>
      <w:r w:rsidRPr="00EF623B">
        <w:rPr>
          <w:lang w:val="es-ES"/>
        </w:rPr>
        <w:tab/>
        <w:t>El presente documento se publica sin haber sido objeto de revisión editorial oficial.</w:t>
      </w:r>
    </w:p>
  </w:footnote>
  <w:footnote w:id="3">
    <w:p w:rsidR="00560A22" w:rsidRPr="00EF623B" w:rsidRDefault="00560A22" w:rsidP="00EF623B">
      <w:pPr>
        <w:pStyle w:val="FootnoteText"/>
        <w:rPr>
          <w:lang w:val="es-ES"/>
        </w:rPr>
      </w:pPr>
      <w:r w:rsidRPr="00EF623B">
        <w:rPr>
          <w:lang w:val="es-ES"/>
        </w:rPr>
        <w:tab/>
      </w:r>
      <w:r w:rsidRPr="00EF623B">
        <w:rPr>
          <w:rStyle w:val="FootnoteReference"/>
          <w:lang w:val="es-ES"/>
        </w:rPr>
        <w:footnoteRef/>
      </w:r>
      <w:r w:rsidRPr="00EF623B">
        <w:rPr>
          <w:lang w:val="es-ES"/>
        </w:rPr>
        <w:tab/>
      </w:r>
      <w:r w:rsidRPr="00EF623B">
        <w:rPr>
          <w:i/>
          <w:lang w:val="es-ES"/>
        </w:rPr>
        <w:t>Fuente:</w:t>
      </w:r>
      <w:r w:rsidRPr="00EF623B">
        <w:rPr>
          <w:lang w:val="es-ES"/>
        </w:rPr>
        <w:t xml:space="preserve"> Hay discrepancia en las cifras del informe inicial de Lesotho sobre el Pacto Internacional de Derechos Civiles y Políticos, el informe sobre los Objetivos de Desarrollo del Milenio del Reino de Lesotho de 2010 y el informe del</w:t>
      </w:r>
      <w:r>
        <w:rPr>
          <w:lang w:val="es-ES"/>
        </w:rPr>
        <w:t xml:space="preserve"> </w:t>
      </w:r>
      <w:r w:rsidRPr="00EF623B">
        <w:rPr>
          <w:lang w:val="es-ES"/>
        </w:rPr>
        <w:t>examen periódico universal sobre el Reino de Lesotho (octavo período de sesiones), de 2010,</w:t>
      </w:r>
      <w:r>
        <w:rPr>
          <w:lang w:val="es-ES"/>
        </w:rPr>
        <w:t xml:space="preserve"> </w:t>
      </w:r>
      <w:r w:rsidRPr="00EF623B">
        <w:rPr>
          <w:lang w:val="es-ES"/>
        </w:rPr>
        <w:t xml:space="preserve">Consejo de Derechos Humanos. </w:t>
      </w:r>
    </w:p>
  </w:footnote>
  <w:footnote w:id="4">
    <w:p w:rsidR="00560A22" w:rsidRPr="00EF623B" w:rsidRDefault="00560A22" w:rsidP="00EF623B">
      <w:pPr>
        <w:pStyle w:val="FootnoteText"/>
        <w:rPr>
          <w:lang w:val="es-ES"/>
        </w:rPr>
      </w:pPr>
      <w:r w:rsidRPr="00EF623B">
        <w:rPr>
          <w:lang w:val="es-ES"/>
        </w:rPr>
        <w:tab/>
      </w:r>
      <w:r w:rsidRPr="00EF623B">
        <w:rPr>
          <w:rStyle w:val="FootnoteReference"/>
          <w:lang w:val="es-ES"/>
        </w:rPr>
        <w:footnoteRef/>
      </w:r>
      <w:r w:rsidRPr="00EF623B">
        <w:rPr>
          <w:lang w:val="es-ES"/>
        </w:rPr>
        <w:tab/>
        <w:t>Informe inicial sobre el Pacto Internacional de Derechos Civiles y Políticos.</w:t>
      </w:r>
    </w:p>
  </w:footnote>
  <w:footnote w:id="5">
    <w:p w:rsidR="00560A22" w:rsidRPr="00EF623B" w:rsidRDefault="00560A22" w:rsidP="00EF623B">
      <w:pPr>
        <w:pStyle w:val="FootnoteText"/>
        <w:rPr>
          <w:lang w:val="es-ES"/>
        </w:rPr>
      </w:pPr>
      <w:r w:rsidRPr="00EF623B">
        <w:rPr>
          <w:lang w:val="es-ES"/>
        </w:rPr>
        <w:tab/>
      </w:r>
      <w:r w:rsidRPr="00EF623B">
        <w:rPr>
          <w:rStyle w:val="FootnoteReference"/>
          <w:lang w:val="es-ES"/>
        </w:rPr>
        <w:footnoteRef/>
      </w:r>
      <w:r w:rsidRPr="00EF623B">
        <w:rPr>
          <w:lang w:val="es-ES"/>
        </w:rPr>
        <w:tab/>
        <w:t>Informe del censo de población y la encuesta de hogares de 2006, e Informe sobre la situación de los Objetivos de Desarrollo del Milenio, 2008.</w:t>
      </w:r>
    </w:p>
  </w:footnote>
  <w:footnote w:id="6">
    <w:p w:rsidR="00560A22" w:rsidRPr="00EF623B" w:rsidRDefault="00560A22" w:rsidP="00EF623B">
      <w:pPr>
        <w:pStyle w:val="FootnoteText"/>
        <w:rPr>
          <w:lang w:val="es-ES"/>
        </w:rPr>
      </w:pPr>
      <w:r w:rsidRPr="00EF623B">
        <w:rPr>
          <w:lang w:val="es-ES"/>
        </w:rPr>
        <w:tab/>
      </w:r>
      <w:r w:rsidRPr="00EF623B">
        <w:rPr>
          <w:rStyle w:val="FootnoteReference"/>
          <w:lang w:val="es-ES"/>
        </w:rPr>
        <w:footnoteRef/>
      </w:r>
      <w:r w:rsidRPr="00EF623B">
        <w:rPr>
          <w:lang w:val="es-ES"/>
        </w:rPr>
        <w:tab/>
        <w:t>Informe sobre la situación de los Objetivos de Desarrollo del Milenio, 2008.</w:t>
      </w:r>
    </w:p>
  </w:footnote>
  <w:footnote w:id="7">
    <w:p w:rsidR="00560A22" w:rsidRPr="00EF623B" w:rsidRDefault="00560A22" w:rsidP="00EF623B">
      <w:pPr>
        <w:pStyle w:val="FootnoteText"/>
        <w:rPr>
          <w:lang w:val="es-ES"/>
        </w:rPr>
      </w:pPr>
      <w:r w:rsidRPr="00EF623B">
        <w:rPr>
          <w:lang w:val="es-ES"/>
        </w:rPr>
        <w:tab/>
      </w:r>
      <w:r w:rsidRPr="00EF623B">
        <w:rPr>
          <w:rStyle w:val="FootnoteReference"/>
          <w:lang w:val="es-ES"/>
        </w:rPr>
        <w:footnoteRef/>
      </w:r>
      <w:r w:rsidRPr="00EF623B">
        <w:rPr>
          <w:lang w:val="es-ES"/>
        </w:rPr>
        <w:tab/>
      </w:r>
      <w:r w:rsidRPr="00EF623B">
        <w:rPr>
          <w:i/>
          <w:lang w:val="es-ES"/>
        </w:rPr>
        <w:t>Fuente:</w:t>
      </w:r>
      <w:r w:rsidRPr="00EF623B">
        <w:rPr>
          <w:lang w:val="es-ES"/>
        </w:rPr>
        <w:t xml:space="preserve"> Commissioner of Mines.</w:t>
      </w:r>
    </w:p>
  </w:footnote>
  <w:footnote w:id="8">
    <w:p w:rsidR="00560A22" w:rsidRPr="00EF623B" w:rsidRDefault="00560A22" w:rsidP="00EF623B">
      <w:pPr>
        <w:pStyle w:val="FootnoteText"/>
        <w:rPr>
          <w:lang w:val="es-ES"/>
        </w:rPr>
      </w:pPr>
      <w:r w:rsidRPr="00EF623B">
        <w:rPr>
          <w:lang w:val="es-ES"/>
        </w:rPr>
        <w:tab/>
      </w:r>
      <w:r w:rsidRPr="00EF623B">
        <w:rPr>
          <w:rStyle w:val="FootnoteReference"/>
          <w:lang w:val="es-ES"/>
        </w:rPr>
        <w:footnoteRef/>
      </w:r>
      <w:r w:rsidRPr="00EF623B">
        <w:rPr>
          <w:lang w:val="es-ES"/>
        </w:rPr>
        <w:tab/>
        <w:t xml:space="preserve">Información tomada de </w:t>
      </w:r>
      <w:r w:rsidRPr="00EF623B">
        <w:rPr>
          <w:i/>
          <w:lang w:val="es-ES"/>
        </w:rPr>
        <w:t>Economic Review</w:t>
      </w:r>
      <w:r w:rsidRPr="00EF623B">
        <w:rPr>
          <w:lang w:val="es-ES"/>
        </w:rPr>
        <w:t>, noviembre de 2009, Central Bank of Lesotho.</w:t>
      </w:r>
    </w:p>
  </w:footnote>
  <w:footnote w:id="9">
    <w:p w:rsidR="00560A22" w:rsidRPr="00EF623B" w:rsidRDefault="00560A22" w:rsidP="00EF623B">
      <w:pPr>
        <w:pStyle w:val="FootnoteText"/>
        <w:rPr>
          <w:lang w:val="es-ES"/>
        </w:rPr>
      </w:pPr>
      <w:r w:rsidRPr="00EF623B">
        <w:rPr>
          <w:lang w:val="es-ES"/>
        </w:rPr>
        <w:tab/>
      </w:r>
      <w:r w:rsidRPr="00EF623B">
        <w:rPr>
          <w:rStyle w:val="FootnoteReference"/>
          <w:lang w:val="es-ES"/>
        </w:rPr>
        <w:footnoteRef/>
      </w:r>
      <w:r w:rsidRPr="00EF623B">
        <w:rPr>
          <w:lang w:val="es-ES"/>
        </w:rPr>
        <w:tab/>
      </w:r>
      <w:r w:rsidRPr="00EF623B">
        <w:rPr>
          <w:i/>
          <w:lang w:val="es-ES"/>
        </w:rPr>
        <w:t>Ibid.</w:t>
      </w:r>
    </w:p>
  </w:footnote>
  <w:footnote w:id="10">
    <w:p w:rsidR="00560A22" w:rsidRPr="00EF623B" w:rsidRDefault="00560A22" w:rsidP="00EF623B">
      <w:pPr>
        <w:pStyle w:val="FootnoteText"/>
        <w:rPr>
          <w:lang w:val="es-ES"/>
        </w:rPr>
      </w:pPr>
      <w:r w:rsidRPr="00EF623B">
        <w:rPr>
          <w:lang w:val="es-ES"/>
        </w:rPr>
        <w:tab/>
      </w:r>
      <w:r w:rsidRPr="00EF623B">
        <w:rPr>
          <w:rStyle w:val="FootnoteReference"/>
          <w:lang w:val="es-ES"/>
        </w:rPr>
        <w:footnoteRef/>
      </w:r>
      <w:r w:rsidRPr="00EF623B">
        <w:rPr>
          <w:lang w:val="es-ES"/>
        </w:rPr>
        <w:tab/>
        <w:t xml:space="preserve">Resumen y extracto del </w:t>
      </w:r>
      <w:r w:rsidRPr="00EF623B">
        <w:rPr>
          <w:i/>
          <w:lang w:val="es-ES"/>
        </w:rPr>
        <w:t>Informe sobre los Objetivos de Desarrollo del Milenio</w:t>
      </w:r>
      <w:r w:rsidRPr="00EF623B">
        <w:rPr>
          <w:lang w:val="es-ES"/>
        </w:rPr>
        <w:t>, 2010.</w:t>
      </w:r>
    </w:p>
  </w:footnote>
  <w:footnote w:id="11">
    <w:p w:rsidR="00560A22" w:rsidRPr="00EF623B" w:rsidRDefault="00560A22" w:rsidP="00EF623B">
      <w:pPr>
        <w:pStyle w:val="FootnoteText"/>
        <w:rPr>
          <w:lang w:val="es-ES"/>
        </w:rPr>
      </w:pPr>
      <w:r w:rsidRPr="00EF623B">
        <w:rPr>
          <w:lang w:val="es-ES"/>
        </w:rPr>
        <w:tab/>
      </w:r>
      <w:r w:rsidRPr="00EF623B">
        <w:rPr>
          <w:rStyle w:val="FootnoteReference"/>
          <w:lang w:val="es-ES"/>
        </w:rPr>
        <w:footnoteRef/>
      </w:r>
      <w:r w:rsidRPr="00EF623B">
        <w:rPr>
          <w:lang w:val="es-ES"/>
        </w:rPr>
        <w:tab/>
        <w:t>Entrevista con el Director de Trade-MOT&amp;ICM.</w:t>
      </w:r>
    </w:p>
  </w:footnote>
  <w:footnote w:id="12">
    <w:p w:rsidR="00560A22" w:rsidRPr="00EF623B" w:rsidRDefault="00560A22" w:rsidP="00EF623B">
      <w:pPr>
        <w:pStyle w:val="FootnoteText"/>
        <w:rPr>
          <w:lang w:val="es-ES"/>
        </w:rPr>
      </w:pPr>
      <w:r w:rsidRPr="00EF623B">
        <w:rPr>
          <w:lang w:val="es-ES"/>
        </w:rPr>
        <w:tab/>
      </w:r>
      <w:r w:rsidRPr="00EF623B">
        <w:rPr>
          <w:rStyle w:val="FootnoteReference"/>
          <w:lang w:val="es-ES"/>
        </w:rPr>
        <w:footnoteRef/>
      </w:r>
      <w:r w:rsidRPr="00EF623B">
        <w:rPr>
          <w:lang w:val="es-ES"/>
        </w:rPr>
        <w:tab/>
        <w:t xml:space="preserve">Informe sobre la situación de los Objetivos de Desarrollo del Milenio, 2008, y </w:t>
      </w:r>
      <w:r w:rsidRPr="00EF623B">
        <w:rPr>
          <w:i/>
          <w:lang w:val="es-ES"/>
        </w:rPr>
        <w:t>Lesotho Development Goals Report</w:t>
      </w:r>
      <w:r w:rsidRPr="00EF623B">
        <w:rPr>
          <w:lang w:val="es-ES"/>
        </w:rPr>
        <w:t>, 2010.</w:t>
      </w:r>
    </w:p>
  </w:footnote>
  <w:footnote w:id="13">
    <w:p w:rsidR="00560A22" w:rsidRPr="00EF623B" w:rsidRDefault="00560A22" w:rsidP="00EF623B">
      <w:pPr>
        <w:pStyle w:val="FootnoteText"/>
        <w:rPr>
          <w:lang w:val="es-ES"/>
        </w:rPr>
      </w:pPr>
      <w:r w:rsidRPr="00EF623B">
        <w:rPr>
          <w:lang w:val="es-ES"/>
        </w:rPr>
        <w:tab/>
      </w:r>
      <w:r w:rsidRPr="00EF623B">
        <w:rPr>
          <w:rStyle w:val="FootnoteReference"/>
          <w:lang w:val="es-ES"/>
        </w:rPr>
        <w:footnoteRef/>
      </w:r>
      <w:r w:rsidRPr="00EF623B">
        <w:rPr>
          <w:lang w:val="es-ES"/>
        </w:rPr>
        <w:tab/>
        <w:t xml:space="preserve">Lesotho: </w:t>
      </w:r>
      <w:r w:rsidRPr="00EF623B">
        <w:rPr>
          <w:i/>
          <w:lang w:val="es-ES"/>
        </w:rPr>
        <w:t>Millennium Development Goals Report</w:t>
      </w:r>
      <w:r w:rsidRPr="00EF623B">
        <w:rPr>
          <w:lang w:val="es-ES"/>
        </w:rPr>
        <w:t>, 2010.</w:t>
      </w:r>
    </w:p>
  </w:footnote>
  <w:footnote w:id="14">
    <w:p w:rsidR="00560A22" w:rsidRPr="00EF623B" w:rsidRDefault="00560A22" w:rsidP="00EF623B">
      <w:pPr>
        <w:pStyle w:val="FootnoteText"/>
        <w:rPr>
          <w:lang w:val="es-ES"/>
        </w:rPr>
      </w:pPr>
      <w:r w:rsidRPr="00EF623B">
        <w:rPr>
          <w:lang w:val="es-ES"/>
        </w:rPr>
        <w:tab/>
      </w:r>
      <w:r w:rsidRPr="00EF623B">
        <w:rPr>
          <w:rStyle w:val="FootnoteReference"/>
          <w:lang w:val="es-ES"/>
        </w:rPr>
        <w:footnoteRef/>
      </w:r>
      <w:r w:rsidRPr="00EF623B">
        <w:rPr>
          <w:lang w:val="es-ES"/>
        </w:rPr>
        <w:tab/>
      </w:r>
      <w:r w:rsidRPr="00EF623B">
        <w:rPr>
          <w:i/>
          <w:lang w:val="es-ES"/>
        </w:rPr>
        <w:t>Fuente:</w:t>
      </w:r>
      <w:r w:rsidRPr="00EF623B">
        <w:rPr>
          <w:lang w:val="es-ES"/>
        </w:rPr>
        <w:t xml:space="preserve"> Informe del Mecanismo Africano de Evaluación entre Pares (MAEP).</w:t>
      </w:r>
    </w:p>
  </w:footnote>
  <w:footnote w:id="15">
    <w:p w:rsidR="00560A22" w:rsidRPr="00EF623B" w:rsidRDefault="00560A22" w:rsidP="00EF623B">
      <w:pPr>
        <w:pStyle w:val="FootnoteText"/>
        <w:rPr>
          <w:lang w:val="es-ES"/>
        </w:rPr>
      </w:pPr>
      <w:r w:rsidRPr="00EF623B">
        <w:rPr>
          <w:lang w:val="es-ES"/>
        </w:rPr>
        <w:tab/>
      </w:r>
      <w:r w:rsidRPr="00EF623B">
        <w:rPr>
          <w:rStyle w:val="FootnoteReference"/>
          <w:lang w:val="es-ES"/>
        </w:rPr>
        <w:footnoteRef/>
      </w:r>
      <w:r w:rsidRPr="00EF623B">
        <w:rPr>
          <w:lang w:val="es-ES"/>
        </w:rPr>
        <w:tab/>
        <w:t>Informe sobre los Objetivos de Desarrollo del Milenio 2010.</w:t>
      </w:r>
    </w:p>
  </w:footnote>
  <w:footnote w:id="16">
    <w:p w:rsidR="00560A22" w:rsidRPr="00EF623B" w:rsidRDefault="00560A22" w:rsidP="00EF623B">
      <w:pPr>
        <w:pStyle w:val="FootnoteText"/>
        <w:rPr>
          <w:lang w:val="es-ES"/>
        </w:rPr>
      </w:pPr>
      <w:r w:rsidRPr="00EF623B">
        <w:rPr>
          <w:lang w:val="es-ES"/>
        </w:rPr>
        <w:tab/>
      </w:r>
      <w:r w:rsidRPr="00EF623B">
        <w:rPr>
          <w:rStyle w:val="FootnoteReference"/>
          <w:lang w:val="es-ES"/>
        </w:rPr>
        <w:footnoteRef/>
      </w:r>
      <w:r w:rsidRPr="00EF623B">
        <w:rPr>
          <w:lang w:val="es-ES"/>
        </w:rPr>
        <w:tab/>
        <w:t>Informe del MAEP, 2009.</w:t>
      </w:r>
    </w:p>
  </w:footnote>
  <w:footnote w:id="17">
    <w:p w:rsidR="00560A22" w:rsidRPr="00EF623B" w:rsidRDefault="00560A22" w:rsidP="00EF623B">
      <w:pPr>
        <w:pStyle w:val="FootnoteText"/>
        <w:rPr>
          <w:lang w:val="es-ES"/>
        </w:rPr>
      </w:pPr>
      <w:r w:rsidRPr="00EF623B">
        <w:rPr>
          <w:lang w:val="es-ES"/>
        </w:rPr>
        <w:tab/>
      </w:r>
      <w:r w:rsidRPr="00EF623B">
        <w:rPr>
          <w:rStyle w:val="FootnoteReference"/>
          <w:lang w:val="es-ES"/>
        </w:rPr>
        <w:footnoteRef/>
      </w:r>
      <w:r w:rsidRPr="00EF623B">
        <w:rPr>
          <w:lang w:val="es-ES"/>
        </w:rPr>
        <w:tab/>
        <w:t>Lesotho – Informe sobre los Objetivos de Desarrollo del Milenio 2010.</w:t>
      </w:r>
    </w:p>
  </w:footnote>
  <w:footnote w:id="18">
    <w:p w:rsidR="00560A22" w:rsidRPr="00EF623B" w:rsidRDefault="00560A22" w:rsidP="00EF623B">
      <w:pPr>
        <w:pStyle w:val="FootnoteText"/>
        <w:rPr>
          <w:lang w:val="es-ES"/>
        </w:rPr>
      </w:pPr>
      <w:r w:rsidRPr="00EF623B">
        <w:rPr>
          <w:lang w:val="es-ES"/>
        </w:rPr>
        <w:tab/>
      </w:r>
      <w:r w:rsidRPr="00EF623B">
        <w:rPr>
          <w:rStyle w:val="FootnoteReference"/>
          <w:lang w:val="es-ES"/>
        </w:rPr>
        <w:footnoteRef/>
      </w:r>
      <w:r w:rsidRPr="00EF623B">
        <w:rPr>
          <w:lang w:val="es-ES"/>
        </w:rPr>
        <w:tab/>
        <w:t>Código del Trabajo núm. 24 de 1992.</w:t>
      </w:r>
    </w:p>
  </w:footnote>
  <w:footnote w:id="19">
    <w:p w:rsidR="00560A22" w:rsidRPr="00EF623B" w:rsidRDefault="00560A22" w:rsidP="00EF623B">
      <w:pPr>
        <w:pStyle w:val="FootnoteText"/>
        <w:rPr>
          <w:lang w:val="es-ES"/>
        </w:rPr>
      </w:pPr>
      <w:r w:rsidRPr="00EF623B">
        <w:rPr>
          <w:lang w:val="es-ES"/>
        </w:rPr>
        <w:tab/>
      </w:r>
      <w:r w:rsidRPr="00EF623B">
        <w:rPr>
          <w:rStyle w:val="FootnoteReference"/>
          <w:lang w:val="es-ES"/>
        </w:rPr>
        <w:footnoteRef/>
      </w:r>
      <w:r w:rsidRPr="00EF623B">
        <w:rPr>
          <w:lang w:val="es-ES"/>
        </w:rPr>
        <w:tab/>
        <w:t>La situación de la ratificación de los convenios de la OIT está tomada del informe del MAEP.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A22" w:rsidRPr="00102743" w:rsidRDefault="00560A22" w:rsidP="000C69B8">
    <w:pPr>
      <w:pStyle w:val="Header"/>
    </w:pPr>
    <w:r>
      <w:t>HRI/CORE/LSO/2015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A22" w:rsidRPr="00102743" w:rsidRDefault="00560A22" w:rsidP="000C69B8">
    <w:pPr>
      <w:pStyle w:val="Header"/>
      <w:jc w:val="right"/>
    </w:pPr>
    <w:r>
      <w:t>HRI/CORE/LSO/2015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9C63A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4">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5">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02047A"/>
    <w:multiLevelType w:val="hybridMultilevel"/>
    <w:tmpl w:val="8294050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F834970"/>
    <w:multiLevelType w:val="hybridMultilevel"/>
    <w:tmpl w:val="E4EE08C8"/>
    <w:lvl w:ilvl="0" w:tplc="27E622DE">
      <w:start w:val="1"/>
      <w:numFmt w:val="decimal"/>
      <w:pStyle w:val="NumberedParagraph"/>
      <w:lvlText w:val="%1."/>
      <w:lvlJc w:val="left"/>
      <w:pPr>
        <w:tabs>
          <w:tab w:val="num" w:pos="360"/>
        </w:tabs>
        <w:ind w:left="360" w:hanging="360"/>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56E45BD"/>
    <w:multiLevelType w:val="hybridMultilevel"/>
    <w:tmpl w:val="8294050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6283EA7"/>
    <w:multiLevelType w:val="hybridMultilevel"/>
    <w:tmpl w:val="0E201EEC"/>
    <w:lvl w:ilvl="0" w:tplc="04090001">
      <w:start w:val="1"/>
      <w:numFmt w:val="decimal"/>
      <w:lvlText w:val="%1."/>
      <w:lvlJc w:val="left"/>
      <w:pPr>
        <w:tabs>
          <w:tab w:val="num" w:pos="720"/>
        </w:tabs>
        <w:ind w:left="0" w:firstLine="0"/>
      </w:pPr>
      <w:rPr>
        <w:rFonts w:hint="default"/>
        <w:sz w:val="24"/>
        <w:szCs w:val="24"/>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ABD0C1A0">
      <w:start w:val="1"/>
      <w:numFmt w:val="decimal"/>
      <w:pStyle w:val="JudgementNumberedParagraph"/>
      <w:lvlText w:val="%4."/>
      <w:lvlJc w:val="left"/>
      <w:pPr>
        <w:tabs>
          <w:tab w:val="num" w:pos="2880"/>
        </w:tabs>
        <w:ind w:left="288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tplc="04090003">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nsid w:val="27BA32DC"/>
    <w:multiLevelType w:val="hybridMultilevel"/>
    <w:tmpl w:val="5400E232"/>
    <w:lvl w:ilvl="0" w:tplc="4E245528">
      <w:start w:val="1"/>
      <w:numFmt w:val="decimal"/>
      <w:pStyle w:val="StyleNumberedParagraphAfter6pt3"/>
      <w:lvlText w:val="%1."/>
      <w:lvlJc w:val="left"/>
      <w:pPr>
        <w:ind w:left="1065" w:hanging="705"/>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2B853A2C"/>
    <w:multiLevelType w:val="hybridMultilevel"/>
    <w:tmpl w:val="E286D10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2DCE7175"/>
    <w:multiLevelType w:val="hybridMultilevel"/>
    <w:tmpl w:val="E4C6057E"/>
    <w:lvl w:ilvl="0" w:tplc="E440022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2FB02CD6"/>
    <w:multiLevelType w:val="hybridMultilevel"/>
    <w:tmpl w:val="C49E951E"/>
    <w:lvl w:ilvl="0" w:tplc="DF3C9A3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nsid w:val="3C3F7268"/>
    <w:multiLevelType w:val="hybridMultilevel"/>
    <w:tmpl w:val="14AEAA2A"/>
    <w:lvl w:ilvl="0" w:tplc="CE2ABC80">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3F042EDA"/>
    <w:multiLevelType w:val="hybridMultilevel"/>
    <w:tmpl w:val="08F29D58"/>
    <w:lvl w:ilvl="0" w:tplc="8BB639BA">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04F678E"/>
    <w:multiLevelType w:val="hybridMultilevel"/>
    <w:tmpl w:val="FF7271F0"/>
    <w:lvl w:ilvl="0" w:tplc="55A05F78">
      <w:start w:val="3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
    <w:nsid w:val="42381DE5"/>
    <w:multiLevelType w:val="hybridMultilevel"/>
    <w:tmpl w:val="51C20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9F6060"/>
    <w:multiLevelType w:val="hybridMultilevel"/>
    <w:tmpl w:val="13223E90"/>
    <w:lvl w:ilvl="0" w:tplc="0E5AD676">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8">
    <w:nsid w:val="47467D6F"/>
    <w:multiLevelType w:val="hybridMultilevel"/>
    <w:tmpl w:val="09A43DAC"/>
    <w:lvl w:ilvl="0" w:tplc="4F247378">
      <w:start w:val="1"/>
      <w:numFmt w:val="decimal"/>
      <w:lvlText w:val="%1."/>
      <w:lvlJc w:val="left"/>
      <w:pPr>
        <w:ind w:left="1689" w:hanging="555"/>
      </w:pPr>
      <w:rPr>
        <w:rFonts w:hint="default"/>
        <w:i w:val="0"/>
        <w:i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nsid w:val="52066674"/>
    <w:multiLevelType w:val="hybridMultilevel"/>
    <w:tmpl w:val="85884A6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0">
    <w:nsid w:val="54E7627A"/>
    <w:multiLevelType w:val="hybridMultilevel"/>
    <w:tmpl w:val="BDC6DB66"/>
    <w:lvl w:ilvl="0" w:tplc="514649E4">
      <w:start w:val="1"/>
      <w:numFmt w:val="lowerLetter"/>
      <w:lvlText w:val="%1)"/>
      <w:lvlJc w:val="left"/>
      <w:pPr>
        <w:ind w:left="81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6917DA"/>
    <w:multiLevelType w:val="hybridMultilevel"/>
    <w:tmpl w:val="C2DE3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4F16B2"/>
    <w:multiLevelType w:val="hybridMultilevel"/>
    <w:tmpl w:val="D0108F3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3">
    <w:nsid w:val="5FA744DC"/>
    <w:multiLevelType w:val="hybridMultilevel"/>
    <w:tmpl w:val="E08E3EB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nsid w:val="63E87502"/>
    <w:multiLevelType w:val="hybridMultilevel"/>
    <w:tmpl w:val="3E38712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658F6FA6"/>
    <w:multiLevelType w:val="hybridMultilevel"/>
    <w:tmpl w:val="2222E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9">
    <w:nsid w:val="700C54AE"/>
    <w:multiLevelType w:val="hybridMultilevel"/>
    <w:tmpl w:val="0A828CA2"/>
    <w:lvl w:ilvl="0" w:tplc="F170FEA0">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0">
    <w:nsid w:val="7C1C12A5"/>
    <w:multiLevelType w:val="hybridMultilevel"/>
    <w:tmpl w:val="EB84AF42"/>
    <w:lvl w:ilvl="0" w:tplc="108893D6">
      <w:start w:val="1"/>
      <w:numFmt w:val="upperLetter"/>
      <w:lvlText w:val="%1."/>
      <w:lvlJc w:val="left"/>
      <w:pPr>
        <w:ind w:left="720" w:hanging="360"/>
      </w:pPr>
      <w:rPr>
        <w:rFonts w:eastAsia="Times New Roman" w:hint="default"/>
        <w:b/>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41">
    <w:nsid w:val="7F2E69DE"/>
    <w:multiLevelType w:val="hybridMultilevel"/>
    <w:tmpl w:val="8294050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34"/>
  </w:num>
  <w:num w:numId="12">
    <w:abstractNumId w:val="16"/>
  </w:num>
  <w:num w:numId="13">
    <w:abstractNumId w:val="13"/>
  </w:num>
  <w:num w:numId="14">
    <w:abstractNumId w:val="38"/>
  </w:num>
  <w:num w:numId="15">
    <w:abstractNumId w:val="22"/>
  </w:num>
  <w:num w:numId="16">
    <w:abstractNumId w:val="40"/>
  </w:num>
  <w:num w:numId="17">
    <w:abstractNumId w:val="36"/>
  </w:num>
  <w:num w:numId="18">
    <w:abstractNumId w:val="35"/>
  </w:num>
  <w:num w:numId="19">
    <w:abstractNumId w:val="19"/>
  </w:num>
  <w:num w:numId="20">
    <w:abstractNumId w:val="29"/>
  </w:num>
  <w:num w:numId="21">
    <w:abstractNumId w:val="23"/>
  </w:num>
  <w:num w:numId="22">
    <w:abstractNumId w:val="17"/>
  </w:num>
  <w:num w:numId="23">
    <w:abstractNumId w:val="14"/>
  </w:num>
  <w:num w:numId="24">
    <w:abstractNumId w:val="18"/>
  </w:num>
  <w:num w:numId="25">
    <w:abstractNumId w:val="41"/>
  </w:num>
  <w:num w:numId="26">
    <w:abstractNumId w:val="15"/>
  </w:num>
  <w:num w:numId="27">
    <w:abstractNumId w:val="0"/>
  </w:num>
  <w:num w:numId="28">
    <w:abstractNumId w:val="27"/>
  </w:num>
  <w:num w:numId="29">
    <w:abstractNumId w:val="12"/>
  </w:num>
  <w:num w:numId="30">
    <w:abstractNumId w:val="22"/>
  </w:num>
  <w:num w:numId="31">
    <w:abstractNumId w:val="38"/>
  </w:num>
  <w:num w:numId="32">
    <w:abstractNumId w:val="38"/>
  </w:num>
  <w:num w:numId="33">
    <w:abstractNumId w:val="32"/>
  </w:num>
  <w:num w:numId="34">
    <w:abstractNumId w:val="28"/>
  </w:num>
  <w:num w:numId="35">
    <w:abstractNumId w:val="25"/>
  </w:num>
  <w:num w:numId="36">
    <w:abstractNumId w:val="20"/>
  </w:num>
  <w:num w:numId="37">
    <w:abstractNumId w:val="30"/>
  </w:num>
  <w:num w:numId="38">
    <w:abstractNumId w:val="21"/>
  </w:num>
  <w:num w:numId="39">
    <w:abstractNumId w:val="26"/>
  </w:num>
  <w:num w:numId="40">
    <w:abstractNumId w:val="24"/>
  </w:num>
  <w:num w:numId="41">
    <w:abstractNumId w:val="31"/>
  </w:num>
  <w:num w:numId="42">
    <w:abstractNumId w:val="33"/>
  </w:num>
  <w:num w:numId="43">
    <w:abstractNumId w:val="39"/>
  </w:num>
  <w:num w:numId="44">
    <w:abstractNumId w:val="11"/>
  </w:num>
  <w:num w:numId="45">
    <w:abstractNumId w:val="3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en-NZ" w:vendorID="64" w:dllVersion="131078" w:nlCheck="1" w:checkStyle="1"/>
  <w:activeWritingStyle w:appName="MSWord" w:lang="es-ES" w:vendorID="64" w:dllVersion="131078" w:nlCheck="1" w:checkStyle="1"/>
  <w:activeWritingStyle w:appName="MSWord" w:lang="es-AR" w:vendorID="64" w:dllVersion="131078" w:nlCheck="1" w:checkStyle="1"/>
  <w:activeWritingStyle w:appName="MSWord" w:lang="fr-FR" w:vendorID="64" w:dllVersion="131078" w:nlCheck="1" w:checkStyle="1"/>
  <w:activeWritingStyle w:appName="MSWord" w:lang="es-CR" w:vendorID="64" w:dllVersion="131078" w:nlCheck="1" w:checkStyle="1"/>
  <w:proofState w:spelling="clean"/>
  <w:attachedTemplate r:id="rId1"/>
  <w:stylePaneFormatFilter w:val="3004"/>
  <w:stylePaneSortMethod w:val="0002"/>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fillcolor="white" stroke="f">
      <v:fill color="white"/>
      <v:stroke on="f"/>
    </o:shapedefaults>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65F79"/>
    <w:rsid w:val="00001673"/>
    <w:rsid w:val="00001A76"/>
    <w:rsid w:val="000024AD"/>
    <w:rsid w:val="00003044"/>
    <w:rsid w:val="00004A3C"/>
    <w:rsid w:val="000078F4"/>
    <w:rsid w:val="00007930"/>
    <w:rsid w:val="00007AFE"/>
    <w:rsid w:val="00007C39"/>
    <w:rsid w:val="00010018"/>
    <w:rsid w:val="00010657"/>
    <w:rsid w:val="00011AFA"/>
    <w:rsid w:val="000123B1"/>
    <w:rsid w:val="0001442B"/>
    <w:rsid w:val="000159B4"/>
    <w:rsid w:val="00017ECD"/>
    <w:rsid w:val="000206BB"/>
    <w:rsid w:val="00023760"/>
    <w:rsid w:val="00024584"/>
    <w:rsid w:val="00024993"/>
    <w:rsid w:val="00031F4A"/>
    <w:rsid w:val="000325E8"/>
    <w:rsid w:val="0003285F"/>
    <w:rsid w:val="000340ED"/>
    <w:rsid w:val="00035DDA"/>
    <w:rsid w:val="0003787C"/>
    <w:rsid w:val="00037AB1"/>
    <w:rsid w:val="000404CB"/>
    <w:rsid w:val="0004538F"/>
    <w:rsid w:val="00050BD7"/>
    <w:rsid w:val="00050CB2"/>
    <w:rsid w:val="00050F6B"/>
    <w:rsid w:val="0005128C"/>
    <w:rsid w:val="000513B9"/>
    <w:rsid w:val="00052B6E"/>
    <w:rsid w:val="00053360"/>
    <w:rsid w:val="00055045"/>
    <w:rsid w:val="00057AEE"/>
    <w:rsid w:val="00060E3E"/>
    <w:rsid w:val="00061031"/>
    <w:rsid w:val="00062D67"/>
    <w:rsid w:val="00063A7C"/>
    <w:rsid w:val="000649A9"/>
    <w:rsid w:val="000679D0"/>
    <w:rsid w:val="00072B3F"/>
    <w:rsid w:val="00072C8C"/>
    <w:rsid w:val="00073F8F"/>
    <w:rsid w:val="000801EC"/>
    <w:rsid w:val="000841E5"/>
    <w:rsid w:val="000861A7"/>
    <w:rsid w:val="00086E11"/>
    <w:rsid w:val="00091419"/>
    <w:rsid w:val="00091C0F"/>
    <w:rsid w:val="0009218C"/>
    <w:rsid w:val="000931C0"/>
    <w:rsid w:val="00094084"/>
    <w:rsid w:val="0009619B"/>
    <w:rsid w:val="000A25B4"/>
    <w:rsid w:val="000A305B"/>
    <w:rsid w:val="000A3CDC"/>
    <w:rsid w:val="000A482E"/>
    <w:rsid w:val="000A5BFC"/>
    <w:rsid w:val="000A5E31"/>
    <w:rsid w:val="000A6D61"/>
    <w:rsid w:val="000B0343"/>
    <w:rsid w:val="000B175B"/>
    <w:rsid w:val="000B2D2D"/>
    <w:rsid w:val="000B39C0"/>
    <w:rsid w:val="000B3A0F"/>
    <w:rsid w:val="000B6A62"/>
    <w:rsid w:val="000C0BA0"/>
    <w:rsid w:val="000C11CF"/>
    <w:rsid w:val="000C2071"/>
    <w:rsid w:val="000C45C0"/>
    <w:rsid w:val="000C69B8"/>
    <w:rsid w:val="000C7629"/>
    <w:rsid w:val="000C7EEC"/>
    <w:rsid w:val="000D078B"/>
    <w:rsid w:val="000D0955"/>
    <w:rsid w:val="000D2046"/>
    <w:rsid w:val="000D2752"/>
    <w:rsid w:val="000D27A7"/>
    <w:rsid w:val="000D340A"/>
    <w:rsid w:val="000D6236"/>
    <w:rsid w:val="000D6603"/>
    <w:rsid w:val="000D7936"/>
    <w:rsid w:val="000E0415"/>
    <w:rsid w:val="000E237E"/>
    <w:rsid w:val="000E2589"/>
    <w:rsid w:val="000E2C98"/>
    <w:rsid w:val="000E2E2F"/>
    <w:rsid w:val="000E41AE"/>
    <w:rsid w:val="000E7C3C"/>
    <w:rsid w:val="000F1111"/>
    <w:rsid w:val="000F2D97"/>
    <w:rsid w:val="000F32A1"/>
    <w:rsid w:val="000F40F7"/>
    <w:rsid w:val="000F55EA"/>
    <w:rsid w:val="000F59DD"/>
    <w:rsid w:val="000F7859"/>
    <w:rsid w:val="0010120D"/>
    <w:rsid w:val="00102743"/>
    <w:rsid w:val="00104AAC"/>
    <w:rsid w:val="00105232"/>
    <w:rsid w:val="001124DF"/>
    <w:rsid w:val="001127C2"/>
    <w:rsid w:val="00112903"/>
    <w:rsid w:val="00112F32"/>
    <w:rsid w:val="001175BC"/>
    <w:rsid w:val="00121295"/>
    <w:rsid w:val="00121833"/>
    <w:rsid w:val="00122C77"/>
    <w:rsid w:val="00125170"/>
    <w:rsid w:val="0012549C"/>
    <w:rsid w:val="00125DBF"/>
    <w:rsid w:val="001269E2"/>
    <w:rsid w:val="00126EB2"/>
    <w:rsid w:val="001279AC"/>
    <w:rsid w:val="00134AB0"/>
    <w:rsid w:val="00136534"/>
    <w:rsid w:val="00137C8C"/>
    <w:rsid w:val="0014195E"/>
    <w:rsid w:val="00141A02"/>
    <w:rsid w:val="0014262F"/>
    <w:rsid w:val="001428B3"/>
    <w:rsid w:val="00143B8A"/>
    <w:rsid w:val="001471AC"/>
    <w:rsid w:val="00147CF6"/>
    <w:rsid w:val="00151DEA"/>
    <w:rsid w:val="0015294F"/>
    <w:rsid w:val="00152D1C"/>
    <w:rsid w:val="00153334"/>
    <w:rsid w:val="001617DC"/>
    <w:rsid w:val="00162947"/>
    <w:rsid w:val="00163063"/>
    <w:rsid w:val="0016503A"/>
    <w:rsid w:val="0016522F"/>
    <w:rsid w:val="001711E7"/>
    <w:rsid w:val="00171722"/>
    <w:rsid w:val="00172EF0"/>
    <w:rsid w:val="001734E1"/>
    <w:rsid w:val="001760EF"/>
    <w:rsid w:val="00176F81"/>
    <w:rsid w:val="001776E6"/>
    <w:rsid w:val="00177B85"/>
    <w:rsid w:val="00180F05"/>
    <w:rsid w:val="0018161B"/>
    <w:rsid w:val="00181E94"/>
    <w:rsid w:val="00182D4F"/>
    <w:rsid w:val="001832EF"/>
    <w:rsid w:val="001864A6"/>
    <w:rsid w:val="00186F51"/>
    <w:rsid w:val="00191A20"/>
    <w:rsid w:val="00194C8C"/>
    <w:rsid w:val="001973E7"/>
    <w:rsid w:val="001A214A"/>
    <w:rsid w:val="001A3507"/>
    <w:rsid w:val="001A516E"/>
    <w:rsid w:val="001A607E"/>
    <w:rsid w:val="001B04ED"/>
    <w:rsid w:val="001B4224"/>
    <w:rsid w:val="001B4B04"/>
    <w:rsid w:val="001B5391"/>
    <w:rsid w:val="001B59FD"/>
    <w:rsid w:val="001B5E45"/>
    <w:rsid w:val="001B642B"/>
    <w:rsid w:val="001C0124"/>
    <w:rsid w:val="001C02BB"/>
    <w:rsid w:val="001C2006"/>
    <w:rsid w:val="001C2E97"/>
    <w:rsid w:val="001C3079"/>
    <w:rsid w:val="001C35AB"/>
    <w:rsid w:val="001C507E"/>
    <w:rsid w:val="001C6475"/>
    <w:rsid w:val="001C6663"/>
    <w:rsid w:val="001C7895"/>
    <w:rsid w:val="001C7DE1"/>
    <w:rsid w:val="001D07D0"/>
    <w:rsid w:val="001D0DC0"/>
    <w:rsid w:val="001D26DF"/>
    <w:rsid w:val="001D2FDC"/>
    <w:rsid w:val="001D6E9F"/>
    <w:rsid w:val="001D7859"/>
    <w:rsid w:val="001D7B64"/>
    <w:rsid w:val="001E089E"/>
    <w:rsid w:val="001E285D"/>
    <w:rsid w:val="001E2A14"/>
    <w:rsid w:val="001E3807"/>
    <w:rsid w:val="001E3C23"/>
    <w:rsid w:val="001E3CC8"/>
    <w:rsid w:val="001E5246"/>
    <w:rsid w:val="001E5D06"/>
    <w:rsid w:val="001E6849"/>
    <w:rsid w:val="001F0AEE"/>
    <w:rsid w:val="001F0EB1"/>
    <w:rsid w:val="001F1821"/>
    <w:rsid w:val="001F2C08"/>
    <w:rsid w:val="001F2E1E"/>
    <w:rsid w:val="001F3277"/>
    <w:rsid w:val="001F3BFB"/>
    <w:rsid w:val="001F4EF2"/>
    <w:rsid w:val="00200796"/>
    <w:rsid w:val="00203D86"/>
    <w:rsid w:val="00206AE9"/>
    <w:rsid w:val="00211274"/>
    <w:rsid w:val="00211E0B"/>
    <w:rsid w:val="00212949"/>
    <w:rsid w:val="002135E1"/>
    <w:rsid w:val="00215940"/>
    <w:rsid w:val="0021659B"/>
    <w:rsid w:val="002166C2"/>
    <w:rsid w:val="00217754"/>
    <w:rsid w:val="0021787E"/>
    <w:rsid w:val="00220ADD"/>
    <w:rsid w:val="002210B4"/>
    <w:rsid w:val="00222BA0"/>
    <w:rsid w:val="00223083"/>
    <w:rsid w:val="00224992"/>
    <w:rsid w:val="00225861"/>
    <w:rsid w:val="00226204"/>
    <w:rsid w:val="0023138B"/>
    <w:rsid w:val="002326E6"/>
    <w:rsid w:val="0023601F"/>
    <w:rsid w:val="00236EB8"/>
    <w:rsid w:val="00237785"/>
    <w:rsid w:val="00241466"/>
    <w:rsid w:val="0024207C"/>
    <w:rsid w:val="00242B73"/>
    <w:rsid w:val="0024493D"/>
    <w:rsid w:val="002461C8"/>
    <w:rsid w:val="00251865"/>
    <w:rsid w:val="00251C70"/>
    <w:rsid w:val="0025251B"/>
    <w:rsid w:val="002569CB"/>
    <w:rsid w:val="002577DD"/>
    <w:rsid w:val="002632E2"/>
    <w:rsid w:val="00263B08"/>
    <w:rsid w:val="00264BD9"/>
    <w:rsid w:val="00266E29"/>
    <w:rsid w:val="00267B38"/>
    <w:rsid w:val="002709D3"/>
    <w:rsid w:val="00271279"/>
    <w:rsid w:val="00272B24"/>
    <w:rsid w:val="00274520"/>
    <w:rsid w:val="00282A46"/>
    <w:rsid w:val="0028419F"/>
    <w:rsid w:val="00284FBE"/>
    <w:rsid w:val="00287C67"/>
    <w:rsid w:val="00290669"/>
    <w:rsid w:val="00290D52"/>
    <w:rsid w:val="002919D7"/>
    <w:rsid w:val="00292268"/>
    <w:rsid w:val="00293875"/>
    <w:rsid w:val="00294B02"/>
    <w:rsid w:val="002953C1"/>
    <w:rsid w:val="0029582E"/>
    <w:rsid w:val="002958CE"/>
    <w:rsid w:val="0029752F"/>
    <w:rsid w:val="002A0685"/>
    <w:rsid w:val="002A1389"/>
    <w:rsid w:val="002A1D26"/>
    <w:rsid w:val="002A2234"/>
    <w:rsid w:val="002A5C3A"/>
    <w:rsid w:val="002A77AC"/>
    <w:rsid w:val="002B005F"/>
    <w:rsid w:val="002B0679"/>
    <w:rsid w:val="002B35A1"/>
    <w:rsid w:val="002C1B5F"/>
    <w:rsid w:val="002C30E4"/>
    <w:rsid w:val="002C3393"/>
    <w:rsid w:val="002C6584"/>
    <w:rsid w:val="002C7AF1"/>
    <w:rsid w:val="002D0C00"/>
    <w:rsid w:val="002D3603"/>
    <w:rsid w:val="002D3CAD"/>
    <w:rsid w:val="002D5793"/>
    <w:rsid w:val="002E041C"/>
    <w:rsid w:val="002E0542"/>
    <w:rsid w:val="002E2C39"/>
    <w:rsid w:val="002E4329"/>
    <w:rsid w:val="002E46B4"/>
    <w:rsid w:val="002E6F51"/>
    <w:rsid w:val="002E7B95"/>
    <w:rsid w:val="002F16D6"/>
    <w:rsid w:val="002F1DD0"/>
    <w:rsid w:val="002F45E8"/>
    <w:rsid w:val="002F4686"/>
    <w:rsid w:val="002F557A"/>
    <w:rsid w:val="00300300"/>
    <w:rsid w:val="00300C56"/>
    <w:rsid w:val="00302590"/>
    <w:rsid w:val="00304C8E"/>
    <w:rsid w:val="0030568C"/>
    <w:rsid w:val="00306BCA"/>
    <w:rsid w:val="00307DDC"/>
    <w:rsid w:val="00307FBA"/>
    <w:rsid w:val="003107FA"/>
    <w:rsid w:val="00312C96"/>
    <w:rsid w:val="003145EA"/>
    <w:rsid w:val="00315133"/>
    <w:rsid w:val="00315DBC"/>
    <w:rsid w:val="0031666A"/>
    <w:rsid w:val="00317AB8"/>
    <w:rsid w:val="003210BE"/>
    <w:rsid w:val="00321DDD"/>
    <w:rsid w:val="00322100"/>
    <w:rsid w:val="003229D8"/>
    <w:rsid w:val="00324196"/>
    <w:rsid w:val="0032574A"/>
    <w:rsid w:val="003268CE"/>
    <w:rsid w:val="0033023E"/>
    <w:rsid w:val="003307EF"/>
    <w:rsid w:val="00330B16"/>
    <w:rsid w:val="00333ED7"/>
    <w:rsid w:val="00336D20"/>
    <w:rsid w:val="00337DCE"/>
    <w:rsid w:val="00340411"/>
    <w:rsid w:val="003435FC"/>
    <w:rsid w:val="00343DA0"/>
    <w:rsid w:val="00343F37"/>
    <w:rsid w:val="00346DDC"/>
    <w:rsid w:val="0035020E"/>
    <w:rsid w:val="00350518"/>
    <w:rsid w:val="00350836"/>
    <w:rsid w:val="00351954"/>
    <w:rsid w:val="00351AC8"/>
    <w:rsid w:val="0035247E"/>
    <w:rsid w:val="00352EE9"/>
    <w:rsid w:val="0035354E"/>
    <w:rsid w:val="0035380B"/>
    <w:rsid w:val="00353E85"/>
    <w:rsid w:val="003569A8"/>
    <w:rsid w:val="00361336"/>
    <w:rsid w:val="00363496"/>
    <w:rsid w:val="00365199"/>
    <w:rsid w:val="00365924"/>
    <w:rsid w:val="00365B27"/>
    <w:rsid w:val="00366303"/>
    <w:rsid w:val="00367EB8"/>
    <w:rsid w:val="0037035D"/>
    <w:rsid w:val="003703D2"/>
    <w:rsid w:val="003705B2"/>
    <w:rsid w:val="00370967"/>
    <w:rsid w:val="003723E5"/>
    <w:rsid w:val="00373500"/>
    <w:rsid w:val="00373683"/>
    <w:rsid w:val="0037517C"/>
    <w:rsid w:val="0037676B"/>
    <w:rsid w:val="00376BF5"/>
    <w:rsid w:val="00380642"/>
    <w:rsid w:val="00382EA2"/>
    <w:rsid w:val="0038718C"/>
    <w:rsid w:val="00391FAB"/>
    <w:rsid w:val="00391FD4"/>
    <w:rsid w:val="0039218B"/>
    <w:rsid w:val="0039235A"/>
    <w:rsid w:val="0039277A"/>
    <w:rsid w:val="00395C0E"/>
    <w:rsid w:val="003962D8"/>
    <w:rsid w:val="003972E0"/>
    <w:rsid w:val="003A2916"/>
    <w:rsid w:val="003A2F6F"/>
    <w:rsid w:val="003A30E2"/>
    <w:rsid w:val="003A31D9"/>
    <w:rsid w:val="003A5E12"/>
    <w:rsid w:val="003A6AA9"/>
    <w:rsid w:val="003A6B61"/>
    <w:rsid w:val="003B0B74"/>
    <w:rsid w:val="003B1DBC"/>
    <w:rsid w:val="003B25B0"/>
    <w:rsid w:val="003B2818"/>
    <w:rsid w:val="003B3763"/>
    <w:rsid w:val="003B3BEE"/>
    <w:rsid w:val="003B47B3"/>
    <w:rsid w:val="003B482A"/>
    <w:rsid w:val="003B6113"/>
    <w:rsid w:val="003B7750"/>
    <w:rsid w:val="003C1B43"/>
    <w:rsid w:val="003C1F27"/>
    <w:rsid w:val="003C28C8"/>
    <w:rsid w:val="003C2CC4"/>
    <w:rsid w:val="003C5A8E"/>
    <w:rsid w:val="003C7BE4"/>
    <w:rsid w:val="003D1F62"/>
    <w:rsid w:val="003D2012"/>
    <w:rsid w:val="003D4B23"/>
    <w:rsid w:val="003D5CC3"/>
    <w:rsid w:val="003E290A"/>
    <w:rsid w:val="003E2ABB"/>
    <w:rsid w:val="003E3000"/>
    <w:rsid w:val="003E478A"/>
    <w:rsid w:val="003E4C6B"/>
    <w:rsid w:val="003E705A"/>
    <w:rsid w:val="003F145E"/>
    <w:rsid w:val="003F1C01"/>
    <w:rsid w:val="003F1E1B"/>
    <w:rsid w:val="003F300D"/>
    <w:rsid w:val="003F3885"/>
    <w:rsid w:val="003F7D38"/>
    <w:rsid w:val="003F7F22"/>
    <w:rsid w:val="00401980"/>
    <w:rsid w:val="00402521"/>
    <w:rsid w:val="004038C2"/>
    <w:rsid w:val="00405763"/>
    <w:rsid w:val="00406A95"/>
    <w:rsid w:val="00410281"/>
    <w:rsid w:val="00410EB1"/>
    <w:rsid w:val="00411CD8"/>
    <w:rsid w:val="00411D2B"/>
    <w:rsid w:val="00411F94"/>
    <w:rsid w:val="004143EA"/>
    <w:rsid w:val="004215AA"/>
    <w:rsid w:val="00422A22"/>
    <w:rsid w:val="00423492"/>
    <w:rsid w:val="00431632"/>
    <w:rsid w:val="004325CB"/>
    <w:rsid w:val="00434FC9"/>
    <w:rsid w:val="004354C7"/>
    <w:rsid w:val="004418DD"/>
    <w:rsid w:val="00441A09"/>
    <w:rsid w:val="0044279F"/>
    <w:rsid w:val="00442E74"/>
    <w:rsid w:val="004449CA"/>
    <w:rsid w:val="00445538"/>
    <w:rsid w:val="00446927"/>
    <w:rsid w:val="00446DE4"/>
    <w:rsid w:val="00447740"/>
    <w:rsid w:val="0045085E"/>
    <w:rsid w:val="00451364"/>
    <w:rsid w:val="0045213B"/>
    <w:rsid w:val="00453377"/>
    <w:rsid w:val="00454425"/>
    <w:rsid w:val="00455E5E"/>
    <w:rsid w:val="00456ACD"/>
    <w:rsid w:val="00456CFC"/>
    <w:rsid w:val="00460D89"/>
    <w:rsid w:val="00461C2D"/>
    <w:rsid w:val="0046638E"/>
    <w:rsid w:val="00466FE6"/>
    <w:rsid w:val="00467352"/>
    <w:rsid w:val="00470EE5"/>
    <w:rsid w:val="00470F88"/>
    <w:rsid w:val="00473FF8"/>
    <w:rsid w:val="004764D4"/>
    <w:rsid w:val="00476D66"/>
    <w:rsid w:val="00481225"/>
    <w:rsid w:val="00482136"/>
    <w:rsid w:val="0048392D"/>
    <w:rsid w:val="00483EB6"/>
    <w:rsid w:val="00484950"/>
    <w:rsid w:val="00490C00"/>
    <w:rsid w:val="00490CD8"/>
    <w:rsid w:val="00490E24"/>
    <w:rsid w:val="00490FE1"/>
    <w:rsid w:val="00491DF7"/>
    <w:rsid w:val="00491F1F"/>
    <w:rsid w:val="0049523F"/>
    <w:rsid w:val="00496582"/>
    <w:rsid w:val="004A130F"/>
    <w:rsid w:val="004A1575"/>
    <w:rsid w:val="004A230B"/>
    <w:rsid w:val="004A35D6"/>
    <w:rsid w:val="004A3DA9"/>
    <w:rsid w:val="004A6CA9"/>
    <w:rsid w:val="004A6E57"/>
    <w:rsid w:val="004B0A17"/>
    <w:rsid w:val="004B188A"/>
    <w:rsid w:val="004B1C4B"/>
    <w:rsid w:val="004B1D35"/>
    <w:rsid w:val="004B44CF"/>
    <w:rsid w:val="004B566B"/>
    <w:rsid w:val="004B694C"/>
    <w:rsid w:val="004C05D1"/>
    <w:rsid w:val="004C0659"/>
    <w:rsid w:val="004C09CC"/>
    <w:rsid w:val="004C3CA3"/>
    <w:rsid w:val="004C4CAC"/>
    <w:rsid w:val="004D1ED0"/>
    <w:rsid w:val="004D2F72"/>
    <w:rsid w:val="004D3068"/>
    <w:rsid w:val="004D3322"/>
    <w:rsid w:val="004D3CF2"/>
    <w:rsid w:val="004D3D17"/>
    <w:rsid w:val="004D437C"/>
    <w:rsid w:val="004D50CB"/>
    <w:rsid w:val="004D6C4E"/>
    <w:rsid w:val="004E13AA"/>
    <w:rsid w:val="004E421B"/>
    <w:rsid w:val="004E4234"/>
    <w:rsid w:val="004E7AC1"/>
    <w:rsid w:val="004F0C39"/>
    <w:rsid w:val="004F0C99"/>
    <w:rsid w:val="004F401C"/>
    <w:rsid w:val="004F499A"/>
    <w:rsid w:val="004F61A6"/>
    <w:rsid w:val="004F7965"/>
    <w:rsid w:val="005002AB"/>
    <w:rsid w:val="005010B6"/>
    <w:rsid w:val="00501E57"/>
    <w:rsid w:val="00503993"/>
    <w:rsid w:val="00503A2C"/>
    <w:rsid w:val="00503F44"/>
    <w:rsid w:val="005041CE"/>
    <w:rsid w:val="005079D2"/>
    <w:rsid w:val="00512BE5"/>
    <w:rsid w:val="005134CE"/>
    <w:rsid w:val="00513A3E"/>
    <w:rsid w:val="00513F6A"/>
    <w:rsid w:val="00516347"/>
    <w:rsid w:val="005175CF"/>
    <w:rsid w:val="00517677"/>
    <w:rsid w:val="00523ED6"/>
    <w:rsid w:val="0052550E"/>
    <w:rsid w:val="00527865"/>
    <w:rsid w:val="0053035A"/>
    <w:rsid w:val="0053260B"/>
    <w:rsid w:val="00532BDB"/>
    <w:rsid w:val="00534B01"/>
    <w:rsid w:val="0053598E"/>
    <w:rsid w:val="00535D9C"/>
    <w:rsid w:val="00536422"/>
    <w:rsid w:val="00541C32"/>
    <w:rsid w:val="005420F2"/>
    <w:rsid w:val="005444E0"/>
    <w:rsid w:val="00546005"/>
    <w:rsid w:val="005467AD"/>
    <w:rsid w:val="00546D5B"/>
    <w:rsid w:val="005509B3"/>
    <w:rsid w:val="00551680"/>
    <w:rsid w:val="00551F1D"/>
    <w:rsid w:val="00554D73"/>
    <w:rsid w:val="00555E65"/>
    <w:rsid w:val="00556452"/>
    <w:rsid w:val="00560179"/>
    <w:rsid w:val="00560A22"/>
    <w:rsid w:val="00561F85"/>
    <w:rsid w:val="005622D2"/>
    <w:rsid w:val="005637BB"/>
    <w:rsid w:val="00563F9C"/>
    <w:rsid w:val="005641EC"/>
    <w:rsid w:val="00564BE0"/>
    <w:rsid w:val="00565E60"/>
    <w:rsid w:val="00567ED5"/>
    <w:rsid w:val="00573E56"/>
    <w:rsid w:val="00577866"/>
    <w:rsid w:val="005801EC"/>
    <w:rsid w:val="00581402"/>
    <w:rsid w:val="0058174C"/>
    <w:rsid w:val="00582026"/>
    <w:rsid w:val="00583584"/>
    <w:rsid w:val="00584F7A"/>
    <w:rsid w:val="0059020D"/>
    <w:rsid w:val="00590BEB"/>
    <w:rsid w:val="005928F3"/>
    <w:rsid w:val="00594364"/>
    <w:rsid w:val="0059686A"/>
    <w:rsid w:val="00596AAD"/>
    <w:rsid w:val="005A0DB2"/>
    <w:rsid w:val="005A150C"/>
    <w:rsid w:val="005A1819"/>
    <w:rsid w:val="005A2A1E"/>
    <w:rsid w:val="005A428C"/>
    <w:rsid w:val="005A5F48"/>
    <w:rsid w:val="005A6117"/>
    <w:rsid w:val="005A7584"/>
    <w:rsid w:val="005B11E0"/>
    <w:rsid w:val="005B3274"/>
    <w:rsid w:val="005B3D4E"/>
    <w:rsid w:val="005B3DB3"/>
    <w:rsid w:val="005B3F2C"/>
    <w:rsid w:val="005B461F"/>
    <w:rsid w:val="005B5210"/>
    <w:rsid w:val="005B5902"/>
    <w:rsid w:val="005B6AB0"/>
    <w:rsid w:val="005B7EF6"/>
    <w:rsid w:val="005C1385"/>
    <w:rsid w:val="005C2FC1"/>
    <w:rsid w:val="005C5D79"/>
    <w:rsid w:val="005C7426"/>
    <w:rsid w:val="005C7CF9"/>
    <w:rsid w:val="005D1205"/>
    <w:rsid w:val="005D3407"/>
    <w:rsid w:val="005D5010"/>
    <w:rsid w:val="005D52DC"/>
    <w:rsid w:val="005D6859"/>
    <w:rsid w:val="005E002A"/>
    <w:rsid w:val="005E098D"/>
    <w:rsid w:val="005E4423"/>
    <w:rsid w:val="005E5939"/>
    <w:rsid w:val="005E5B4C"/>
    <w:rsid w:val="005E5DAE"/>
    <w:rsid w:val="005E6D4C"/>
    <w:rsid w:val="005E6F80"/>
    <w:rsid w:val="005E78CD"/>
    <w:rsid w:val="005F0542"/>
    <w:rsid w:val="005F1D71"/>
    <w:rsid w:val="005F3EEF"/>
    <w:rsid w:val="005F6B5A"/>
    <w:rsid w:val="0060364D"/>
    <w:rsid w:val="00607FF2"/>
    <w:rsid w:val="006116C1"/>
    <w:rsid w:val="00611FC4"/>
    <w:rsid w:val="0061675D"/>
    <w:rsid w:val="006176FB"/>
    <w:rsid w:val="006202E6"/>
    <w:rsid w:val="00621B63"/>
    <w:rsid w:val="006269CB"/>
    <w:rsid w:val="00626AD3"/>
    <w:rsid w:val="00630AB7"/>
    <w:rsid w:val="00631ECB"/>
    <w:rsid w:val="00632A4F"/>
    <w:rsid w:val="006333C0"/>
    <w:rsid w:val="0063360A"/>
    <w:rsid w:val="006341D7"/>
    <w:rsid w:val="00635E81"/>
    <w:rsid w:val="00637AE7"/>
    <w:rsid w:val="00640B26"/>
    <w:rsid w:val="00645DBD"/>
    <w:rsid w:val="00646FFD"/>
    <w:rsid w:val="00650909"/>
    <w:rsid w:val="0065117F"/>
    <w:rsid w:val="00652333"/>
    <w:rsid w:val="00652C3D"/>
    <w:rsid w:val="00654ADE"/>
    <w:rsid w:val="006560D6"/>
    <w:rsid w:val="0065702B"/>
    <w:rsid w:val="00662A22"/>
    <w:rsid w:val="006643A5"/>
    <w:rsid w:val="00665981"/>
    <w:rsid w:val="00667B59"/>
    <w:rsid w:val="00670903"/>
    <w:rsid w:val="00673CD8"/>
    <w:rsid w:val="00673D8D"/>
    <w:rsid w:val="00674D7D"/>
    <w:rsid w:val="00675BA1"/>
    <w:rsid w:val="00680123"/>
    <w:rsid w:val="0068054C"/>
    <w:rsid w:val="00681C24"/>
    <w:rsid w:val="006826D6"/>
    <w:rsid w:val="0068576A"/>
    <w:rsid w:val="006868EE"/>
    <w:rsid w:val="006875DE"/>
    <w:rsid w:val="006923FE"/>
    <w:rsid w:val="006945C6"/>
    <w:rsid w:val="00695587"/>
    <w:rsid w:val="00697354"/>
    <w:rsid w:val="00697738"/>
    <w:rsid w:val="006A0895"/>
    <w:rsid w:val="006A0921"/>
    <w:rsid w:val="006A20AD"/>
    <w:rsid w:val="006A2EC1"/>
    <w:rsid w:val="006A2EDD"/>
    <w:rsid w:val="006A468A"/>
    <w:rsid w:val="006A5284"/>
    <w:rsid w:val="006A533B"/>
    <w:rsid w:val="006A7213"/>
    <w:rsid w:val="006A7392"/>
    <w:rsid w:val="006B1352"/>
    <w:rsid w:val="006B37E2"/>
    <w:rsid w:val="006B3F36"/>
    <w:rsid w:val="006B6A3A"/>
    <w:rsid w:val="006B7BDF"/>
    <w:rsid w:val="006C0D34"/>
    <w:rsid w:val="006C0E8C"/>
    <w:rsid w:val="006C10E7"/>
    <w:rsid w:val="006C116F"/>
    <w:rsid w:val="006C1533"/>
    <w:rsid w:val="006C26D4"/>
    <w:rsid w:val="006C47DB"/>
    <w:rsid w:val="006D296E"/>
    <w:rsid w:val="006D300B"/>
    <w:rsid w:val="006D46E7"/>
    <w:rsid w:val="006E101D"/>
    <w:rsid w:val="006E27C4"/>
    <w:rsid w:val="006E47AC"/>
    <w:rsid w:val="006E564B"/>
    <w:rsid w:val="006E58E2"/>
    <w:rsid w:val="006E77E7"/>
    <w:rsid w:val="006F043D"/>
    <w:rsid w:val="006F0967"/>
    <w:rsid w:val="006F1BE9"/>
    <w:rsid w:val="006F3CC7"/>
    <w:rsid w:val="006F3F9D"/>
    <w:rsid w:val="006F665B"/>
    <w:rsid w:val="006F779A"/>
    <w:rsid w:val="006F7968"/>
    <w:rsid w:val="00705F40"/>
    <w:rsid w:val="00706015"/>
    <w:rsid w:val="00706383"/>
    <w:rsid w:val="0071085D"/>
    <w:rsid w:val="00710BF0"/>
    <w:rsid w:val="0071147B"/>
    <w:rsid w:val="007122AC"/>
    <w:rsid w:val="007127D0"/>
    <w:rsid w:val="00713B25"/>
    <w:rsid w:val="00713FE0"/>
    <w:rsid w:val="0071401D"/>
    <w:rsid w:val="007163AF"/>
    <w:rsid w:val="0071668F"/>
    <w:rsid w:val="00717ECB"/>
    <w:rsid w:val="00720C28"/>
    <w:rsid w:val="00724194"/>
    <w:rsid w:val="00725D6E"/>
    <w:rsid w:val="0072632A"/>
    <w:rsid w:val="00726C1F"/>
    <w:rsid w:val="0073088B"/>
    <w:rsid w:val="007323E7"/>
    <w:rsid w:val="00735200"/>
    <w:rsid w:val="00737D46"/>
    <w:rsid w:val="0074034D"/>
    <w:rsid w:val="007403FB"/>
    <w:rsid w:val="007405A6"/>
    <w:rsid w:val="007412B9"/>
    <w:rsid w:val="0074167E"/>
    <w:rsid w:val="00741EF3"/>
    <w:rsid w:val="00744C42"/>
    <w:rsid w:val="00745E56"/>
    <w:rsid w:val="007501D9"/>
    <w:rsid w:val="007504E9"/>
    <w:rsid w:val="00753EFC"/>
    <w:rsid w:val="0075424A"/>
    <w:rsid w:val="00754A3F"/>
    <w:rsid w:val="00755380"/>
    <w:rsid w:val="00755AC1"/>
    <w:rsid w:val="00756E6B"/>
    <w:rsid w:val="00756ED3"/>
    <w:rsid w:val="0075783C"/>
    <w:rsid w:val="00757D55"/>
    <w:rsid w:val="00763481"/>
    <w:rsid w:val="007634AF"/>
    <w:rsid w:val="00763E84"/>
    <w:rsid w:val="00764625"/>
    <w:rsid w:val="00764BBD"/>
    <w:rsid w:val="00765F79"/>
    <w:rsid w:val="00767117"/>
    <w:rsid w:val="00767CEA"/>
    <w:rsid w:val="0077108A"/>
    <w:rsid w:val="0077172D"/>
    <w:rsid w:val="00772344"/>
    <w:rsid w:val="00772DC9"/>
    <w:rsid w:val="00773AED"/>
    <w:rsid w:val="0077451B"/>
    <w:rsid w:val="007759C2"/>
    <w:rsid w:val="00780B89"/>
    <w:rsid w:val="00780E73"/>
    <w:rsid w:val="00781979"/>
    <w:rsid w:val="00781F01"/>
    <w:rsid w:val="00782E1F"/>
    <w:rsid w:val="00786B38"/>
    <w:rsid w:val="007905FE"/>
    <w:rsid w:val="007924B8"/>
    <w:rsid w:val="0079299C"/>
    <w:rsid w:val="007932B8"/>
    <w:rsid w:val="0079427C"/>
    <w:rsid w:val="007970F7"/>
    <w:rsid w:val="007A0328"/>
    <w:rsid w:val="007A0593"/>
    <w:rsid w:val="007A0ADA"/>
    <w:rsid w:val="007A36EB"/>
    <w:rsid w:val="007A3CAC"/>
    <w:rsid w:val="007A427A"/>
    <w:rsid w:val="007A7A2D"/>
    <w:rsid w:val="007B1560"/>
    <w:rsid w:val="007B2F63"/>
    <w:rsid w:val="007B37F4"/>
    <w:rsid w:val="007B6BA5"/>
    <w:rsid w:val="007C0A1A"/>
    <w:rsid w:val="007C300A"/>
    <w:rsid w:val="007C3390"/>
    <w:rsid w:val="007C4F4B"/>
    <w:rsid w:val="007C7437"/>
    <w:rsid w:val="007D1E28"/>
    <w:rsid w:val="007D23E2"/>
    <w:rsid w:val="007D2B10"/>
    <w:rsid w:val="007D3141"/>
    <w:rsid w:val="007D3A48"/>
    <w:rsid w:val="007D5996"/>
    <w:rsid w:val="007D6062"/>
    <w:rsid w:val="007D6CB0"/>
    <w:rsid w:val="007D7B32"/>
    <w:rsid w:val="007D7D0B"/>
    <w:rsid w:val="007D7E5A"/>
    <w:rsid w:val="007E056D"/>
    <w:rsid w:val="007E2E16"/>
    <w:rsid w:val="007E6B48"/>
    <w:rsid w:val="007F10F1"/>
    <w:rsid w:val="007F1E99"/>
    <w:rsid w:val="007F2AF1"/>
    <w:rsid w:val="007F4E6A"/>
    <w:rsid w:val="007F5DE5"/>
    <w:rsid w:val="007F6283"/>
    <w:rsid w:val="007F6611"/>
    <w:rsid w:val="007F6E34"/>
    <w:rsid w:val="007F75E9"/>
    <w:rsid w:val="00800E69"/>
    <w:rsid w:val="00801D74"/>
    <w:rsid w:val="00804E0E"/>
    <w:rsid w:val="00805557"/>
    <w:rsid w:val="008056EF"/>
    <w:rsid w:val="008063BC"/>
    <w:rsid w:val="00806782"/>
    <w:rsid w:val="00807674"/>
    <w:rsid w:val="00812DBA"/>
    <w:rsid w:val="00813E1D"/>
    <w:rsid w:val="00814513"/>
    <w:rsid w:val="0081646C"/>
    <w:rsid w:val="008175E9"/>
    <w:rsid w:val="00820B31"/>
    <w:rsid w:val="00820B54"/>
    <w:rsid w:val="00822746"/>
    <w:rsid w:val="008242D7"/>
    <w:rsid w:val="0082479C"/>
    <w:rsid w:val="008258CF"/>
    <w:rsid w:val="00826074"/>
    <w:rsid w:val="00826FE7"/>
    <w:rsid w:val="008274EE"/>
    <w:rsid w:val="00827ED3"/>
    <w:rsid w:val="00831065"/>
    <w:rsid w:val="0083383A"/>
    <w:rsid w:val="008354F0"/>
    <w:rsid w:val="00835B6E"/>
    <w:rsid w:val="00836AAE"/>
    <w:rsid w:val="008467B6"/>
    <w:rsid w:val="008470D6"/>
    <w:rsid w:val="00847107"/>
    <w:rsid w:val="00847A53"/>
    <w:rsid w:val="00852E05"/>
    <w:rsid w:val="00855E86"/>
    <w:rsid w:val="008568ED"/>
    <w:rsid w:val="0086178C"/>
    <w:rsid w:val="00861822"/>
    <w:rsid w:val="008621B6"/>
    <w:rsid w:val="00864595"/>
    <w:rsid w:val="008656DC"/>
    <w:rsid w:val="00866E12"/>
    <w:rsid w:val="00867A11"/>
    <w:rsid w:val="00870591"/>
    <w:rsid w:val="00871E16"/>
    <w:rsid w:val="00871FD5"/>
    <w:rsid w:val="00872545"/>
    <w:rsid w:val="00876BD7"/>
    <w:rsid w:val="00877218"/>
    <w:rsid w:val="00877E56"/>
    <w:rsid w:val="008804E5"/>
    <w:rsid w:val="00881A4F"/>
    <w:rsid w:val="0088413F"/>
    <w:rsid w:val="00884285"/>
    <w:rsid w:val="00885033"/>
    <w:rsid w:val="00885DC1"/>
    <w:rsid w:val="00890CC4"/>
    <w:rsid w:val="008960B1"/>
    <w:rsid w:val="008979B1"/>
    <w:rsid w:val="00897AC0"/>
    <w:rsid w:val="008A07D9"/>
    <w:rsid w:val="008A5765"/>
    <w:rsid w:val="008A5D5A"/>
    <w:rsid w:val="008A6382"/>
    <w:rsid w:val="008A6A9E"/>
    <w:rsid w:val="008A6B25"/>
    <w:rsid w:val="008A6C4F"/>
    <w:rsid w:val="008A7693"/>
    <w:rsid w:val="008A7A4A"/>
    <w:rsid w:val="008B22F9"/>
    <w:rsid w:val="008B32D4"/>
    <w:rsid w:val="008B492A"/>
    <w:rsid w:val="008B4C8D"/>
    <w:rsid w:val="008B5F9A"/>
    <w:rsid w:val="008B6524"/>
    <w:rsid w:val="008B7D85"/>
    <w:rsid w:val="008C0377"/>
    <w:rsid w:val="008C0ACC"/>
    <w:rsid w:val="008C1229"/>
    <w:rsid w:val="008C1794"/>
    <w:rsid w:val="008C2B80"/>
    <w:rsid w:val="008C2FC1"/>
    <w:rsid w:val="008C6403"/>
    <w:rsid w:val="008C6621"/>
    <w:rsid w:val="008D1626"/>
    <w:rsid w:val="008D2612"/>
    <w:rsid w:val="008D2A73"/>
    <w:rsid w:val="008D4C8B"/>
    <w:rsid w:val="008D5507"/>
    <w:rsid w:val="008D5ACB"/>
    <w:rsid w:val="008D75E7"/>
    <w:rsid w:val="008D7927"/>
    <w:rsid w:val="008E0E46"/>
    <w:rsid w:val="008E1B76"/>
    <w:rsid w:val="008E2699"/>
    <w:rsid w:val="008E2809"/>
    <w:rsid w:val="008E73CA"/>
    <w:rsid w:val="008E794F"/>
    <w:rsid w:val="008F1F46"/>
    <w:rsid w:val="008F30ED"/>
    <w:rsid w:val="008F3563"/>
    <w:rsid w:val="008F7DA5"/>
    <w:rsid w:val="00900494"/>
    <w:rsid w:val="0090287E"/>
    <w:rsid w:val="009029B8"/>
    <w:rsid w:val="00907318"/>
    <w:rsid w:val="00914920"/>
    <w:rsid w:val="009155CC"/>
    <w:rsid w:val="00923ADD"/>
    <w:rsid w:val="00925CEF"/>
    <w:rsid w:val="00927B1B"/>
    <w:rsid w:val="00932CF3"/>
    <w:rsid w:val="00933B51"/>
    <w:rsid w:val="00936F92"/>
    <w:rsid w:val="0093764C"/>
    <w:rsid w:val="009409BA"/>
    <w:rsid w:val="00940DCE"/>
    <w:rsid w:val="009410CD"/>
    <w:rsid w:val="009434A7"/>
    <w:rsid w:val="0094376B"/>
    <w:rsid w:val="00945313"/>
    <w:rsid w:val="00947629"/>
    <w:rsid w:val="00947927"/>
    <w:rsid w:val="009512BF"/>
    <w:rsid w:val="00952C96"/>
    <w:rsid w:val="00953130"/>
    <w:rsid w:val="009578D9"/>
    <w:rsid w:val="009605AA"/>
    <w:rsid w:val="00960CD4"/>
    <w:rsid w:val="00960E47"/>
    <w:rsid w:val="0096136E"/>
    <w:rsid w:val="00961749"/>
    <w:rsid w:val="009627D6"/>
    <w:rsid w:val="00963CBA"/>
    <w:rsid w:val="00966EAC"/>
    <w:rsid w:val="00970440"/>
    <w:rsid w:val="00970B57"/>
    <w:rsid w:val="009710EF"/>
    <w:rsid w:val="009717B7"/>
    <w:rsid w:val="00980892"/>
    <w:rsid w:val="009814AF"/>
    <w:rsid w:val="00981537"/>
    <w:rsid w:val="0098191C"/>
    <w:rsid w:val="00984FE8"/>
    <w:rsid w:val="009851A1"/>
    <w:rsid w:val="00985CF1"/>
    <w:rsid w:val="0099001D"/>
    <w:rsid w:val="00991261"/>
    <w:rsid w:val="009936FE"/>
    <w:rsid w:val="0099443A"/>
    <w:rsid w:val="009957A9"/>
    <w:rsid w:val="00995FA9"/>
    <w:rsid w:val="0099634A"/>
    <w:rsid w:val="00997EE1"/>
    <w:rsid w:val="009A054A"/>
    <w:rsid w:val="009A19C3"/>
    <w:rsid w:val="009A1CF0"/>
    <w:rsid w:val="009A21BE"/>
    <w:rsid w:val="009A2B15"/>
    <w:rsid w:val="009A4886"/>
    <w:rsid w:val="009A5B9D"/>
    <w:rsid w:val="009A5ED2"/>
    <w:rsid w:val="009A6C96"/>
    <w:rsid w:val="009A70FE"/>
    <w:rsid w:val="009B09C0"/>
    <w:rsid w:val="009B2A2E"/>
    <w:rsid w:val="009B3747"/>
    <w:rsid w:val="009B4775"/>
    <w:rsid w:val="009B641A"/>
    <w:rsid w:val="009C0031"/>
    <w:rsid w:val="009C195E"/>
    <w:rsid w:val="009C1FBF"/>
    <w:rsid w:val="009C2235"/>
    <w:rsid w:val="009C2482"/>
    <w:rsid w:val="009C2AF2"/>
    <w:rsid w:val="009C7020"/>
    <w:rsid w:val="009D03B8"/>
    <w:rsid w:val="009D1E6A"/>
    <w:rsid w:val="009D487C"/>
    <w:rsid w:val="009D51D0"/>
    <w:rsid w:val="009D5892"/>
    <w:rsid w:val="009E0D3F"/>
    <w:rsid w:val="009E160A"/>
    <w:rsid w:val="009E32B9"/>
    <w:rsid w:val="009E3B96"/>
    <w:rsid w:val="009E572D"/>
    <w:rsid w:val="009E7116"/>
    <w:rsid w:val="009E7577"/>
    <w:rsid w:val="009F027E"/>
    <w:rsid w:val="009F1F9A"/>
    <w:rsid w:val="009F5666"/>
    <w:rsid w:val="009F65FF"/>
    <w:rsid w:val="009F6C46"/>
    <w:rsid w:val="009F7CC0"/>
    <w:rsid w:val="00A001C3"/>
    <w:rsid w:val="00A023D9"/>
    <w:rsid w:val="00A0499A"/>
    <w:rsid w:val="00A056BE"/>
    <w:rsid w:val="00A06DF0"/>
    <w:rsid w:val="00A10727"/>
    <w:rsid w:val="00A1427D"/>
    <w:rsid w:val="00A14D35"/>
    <w:rsid w:val="00A16544"/>
    <w:rsid w:val="00A16993"/>
    <w:rsid w:val="00A16C73"/>
    <w:rsid w:val="00A17112"/>
    <w:rsid w:val="00A21858"/>
    <w:rsid w:val="00A21976"/>
    <w:rsid w:val="00A22699"/>
    <w:rsid w:val="00A22B80"/>
    <w:rsid w:val="00A24865"/>
    <w:rsid w:val="00A25217"/>
    <w:rsid w:val="00A26712"/>
    <w:rsid w:val="00A27024"/>
    <w:rsid w:val="00A306B3"/>
    <w:rsid w:val="00A3149F"/>
    <w:rsid w:val="00A3172D"/>
    <w:rsid w:val="00A31B4B"/>
    <w:rsid w:val="00A35954"/>
    <w:rsid w:val="00A36509"/>
    <w:rsid w:val="00A374A7"/>
    <w:rsid w:val="00A41267"/>
    <w:rsid w:val="00A42046"/>
    <w:rsid w:val="00A42E1D"/>
    <w:rsid w:val="00A43B71"/>
    <w:rsid w:val="00A50F85"/>
    <w:rsid w:val="00A52FE1"/>
    <w:rsid w:val="00A5301D"/>
    <w:rsid w:val="00A53723"/>
    <w:rsid w:val="00A5437F"/>
    <w:rsid w:val="00A60315"/>
    <w:rsid w:val="00A63AB1"/>
    <w:rsid w:val="00A72F22"/>
    <w:rsid w:val="00A7375B"/>
    <w:rsid w:val="00A741DA"/>
    <w:rsid w:val="00A748A6"/>
    <w:rsid w:val="00A75890"/>
    <w:rsid w:val="00A76E08"/>
    <w:rsid w:val="00A77335"/>
    <w:rsid w:val="00A77C23"/>
    <w:rsid w:val="00A80336"/>
    <w:rsid w:val="00A80CF5"/>
    <w:rsid w:val="00A80DD6"/>
    <w:rsid w:val="00A81227"/>
    <w:rsid w:val="00A81F6C"/>
    <w:rsid w:val="00A81FC9"/>
    <w:rsid w:val="00A867E7"/>
    <w:rsid w:val="00A876B2"/>
    <w:rsid w:val="00A879A4"/>
    <w:rsid w:val="00A87C88"/>
    <w:rsid w:val="00A87DEE"/>
    <w:rsid w:val="00A92E2A"/>
    <w:rsid w:val="00A963A7"/>
    <w:rsid w:val="00A96E13"/>
    <w:rsid w:val="00AA3B8E"/>
    <w:rsid w:val="00AA47FC"/>
    <w:rsid w:val="00AA742E"/>
    <w:rsid w:val="00AB0337"/>
    <w:rsid w:val="00AB1638"/>
    <w:rsid w:val="00AB1E0A"/>
    <w:rsid w:val="00AB332B"/>
    <w:rsid w:val="00AB37E5"/>
    <w:rsid w:val="00AB73E5"/>
    <w:rsid w:val="00AC1598"/>
    <w:rsid w:val="00AC1F60"/>
    <w:rsid w:val="00AC1FA5"/>
    <w:rsid w:val="00AC304D"/>
    <w:rsid w:val="00AC4013"/>
    <w:rsid w:val="00AD1B41"/>
    <w:rsid w:val="00AD5104"/>
    <w:rsid w:val="00AD61C2"/>
    <w:rsid w:val="00AE1084"/>
    <w:rsid w:val="00AE3D53"/>
    <w:rsid w:val="00AE5F4F"/>
    <w:rsid w:val="00AE6491"/>
    <w:rsid w:val="00AE70E9"/>
    <w:rsid w:val="00AF14E8"/>
    <w:rsid w:val="00AF2CA4"/>
    <w:rsid w:val="00B01104"/>
    <w:rsid w:val="00B016DB"/>
    <w:rsid w:val="00B017FB"/>
    <w:rsid w:val="00B01B66"/>
    <w:rsid w:val="00B025AD"/>
    <w:rsid w:val="00B032EA"/>
    <w:rsid w:val="00B06ABA"/>
    <w:rsid w:val="00B07102"/>
    <w:rsid w:val="00B07ADE"/>
    <w:rsid w:val="00B07F5A"/>
    <w:rsid w:val="00B11D9B"/>
    <w:rsid w:val="00B13A0F"/>
    <w:rsid w:val="00B155E7"/>
    <w:rsid w:val="00B17841"/>
    <w:rsid w:val="00B211E9"/>
    <w:rsid w:val="00B243EF"/>
    <w:rsid w:val="00B27A03"/>
    <w:rsid w:val="00B27FE2"/>
    <w:rsid w:val="00B30179"/>
    <w:rsid w:val="00B3317B"/>
    <w:rsid w:val="00B37BE3"/>
    <w:rsid w:val="00B400D7"/>
    <w:rsid w:val="00B40745"/>
    <w:rsid w:val="00B407A2"/>
    <w:rsid w:val="00B40EA7"/>
    <w:rsid w:val="00B41C24"/>
    <w:rsid w:val="00B426FA"/>
    <w:rsid w:val="00B43847"/>
    <w:rsid w:val="00B439BE"/>
    <w:rsid w:val="00B43EC8"/>
    <w:rsid w:val="00B452E0"/>
    <w:rsid w:val="00B45A37"/>
    <w:rsid w:val="00B45F73"/>
    <w:rsid w:val="00B46F1F"/>
    <w:rsid w:val="00B4736F"/>
    <w:rsid w:val="00B47BDF"/>
    <w:rsid w:val="00B53592"/>
    <w:rsid w:val="00B543FA"/>
    <w:rsid w:val="00B56930"/>
    <w:rsid w:val="00B576A8"/>
    <w:rsid w:val="00B60625"/>
    <w:rsid w:val="00B60FBD"/>
    <w:rsid w:val="00B613B2"/>
    <w:rsid w:val="00B61CD1"/>
    <w:rsid w:val="00B62740"/>
    <w:rsid w:val="00B66F60"/>
    <w:rsid w:val="00B72765"/>
    <w:rsid w:val="00B74A8A"/>
    <w:rsid w:val="00B74CB7"/>
    <w:rsid w:val="00B75181"/>
    <w:rsid w:val="00B752A9"/>
    <w:rsid w:val="00B762F0"/>
    <w:rsid w:val="00B8159C"/>
    <w:rsid w:val="00B81E12"/>
    <w:rsid w:val="00B83342"/>
    <w:rsid w:val="00B846E4"/>
    <w:rsid w:val="00B86269"/>
    <w:rsid w:val="00B91032"/>
    <w:rsid w:val="00B91409"/>
    <w:rsid w:val="00B93068"/>
    <w:rsid w:val="00B931BA"/>
    <w:rsid w:val="00B937DB"/>
    <w:rsid w:val="00B958AB"/>
    <w:rsid w:val="00B959FC"/>
    <w:rsid w:val="00B9631F"/>
    <w:rsid w:val="00B963B9"/>
    <w:rsid w:val="00B97D4B"/>
    <w:rsid w:val="00BA1438"/>
    <w:rsid w:val="00BA2F86"/>
    <w:rsid w:val="00BA34F9"/>
    <w:rsid w:val="00BA3E64"/>
    <w:rsid w:val="00BA4B29"/>
    <w:rsid w:val="00BA4DE7"/>
    <w:rsid w:val="00BA5922"/>
    <w:rsid w:val="00BA6776"/>
    <w:rsid w:val="00BA7600"/>
    <w:rsid w:val="00BA7A92"/>
    <w:rsid w:val="00BB0D56"/>
    <w:rsid w:val="00BB1569"/>
    <w:rsid w:val="00BB2CE0"/>
    <w:rsid w:val="00BC0A47"/>
    <w:rsid w:val="00BC0FE1"/>
    <w:rsid w:val="00BC3316"/>
    <w:rsid w:val="00BC3B52"/>
    <w:rsid w:val="00BC5573"/>
    <w:rsid w:val="00BC55A6"/>
    <w:rsid w:val="00BC5B93"/>
    <w:rsid w:val="00BC6ECF"/>
    <w:rsid w:val="00BC74E9"/>
    <w:rsid w:val="00BD01D0"/>
    <w:rsid w:val="00BD2CEB"/>
    <w:rsid w:val="00BD3F14"/>
    <w:rsid w:val="00BD4E7C"/>
    <w:rsid w:val="00BD511D"/>
    <w:rsid w:val="00BD7BFA"/>
    <w:rsid w:val="00BE0177"/>
    <w:rsid w:val="00BE0FD5"/>
    <w:rsid w:val="00BE186D"/>
    <w:rsid w:val="00BE1AE1"/>
    <w:rsid w:val="00BE4751"/>
    <w:rsid w:val="00BE5887"/>
    <w:rsid w:val="00BE618E"/>
    <w:rsid w:val="00BF0232"/>
    <w:rsid w:val="00BF0787"/>
    <w:rsid w:val="00BF2E45"/>
    <w:rsid w:val="00BF2FC0"/>
    <w:rsid w:val="00BF3312"/>
    <w:rsid w:val="00C02A2A"/>
    <w:rsid w:val="00C02CFC"/>
    <w:rsid w:val="00C039AE"/>
    <w:rsid w:val="00C0501E"/>
    <w:rsid w:val="00C06675"/>
    <w:rsid w:val="00C0671E"/>
    <w:rsid w:val="00C06C5D"/>
    <w:rsid w:val="00C07623"/>
    <w:rsid w:val="00C10F99"/>
    <w:rsid w:val="00C12716"/>
    <w:rsid w:val="00C13494"/>
    <w:rsid w:val="00C15C48"/>
    <w:rsid w:val="00C167A1"/>
    <w:rsid w:val="00C21081"/>
    <w:rsid w:val="00C218F9"/>
    <w:rsid w:val="00C24163"/>
    <w:rsid w:val="00C3103E"/>
    <w:rsid w:val="00C31318"/>
    <w:rsid w:val="00C3146D"/>
    <w:rsid w:val="00C31B53"/>
    <w:rsid w:val="00C321CF"/>
    <w:rsid w:val="00C33F17"/>
    <w:rsid w:val="00C3473E"/>
    <w:rsid w:val="00C3566F"/>
    <w:rsid w:val="00C3683A"/>
    <w:rsid w:val="00C375FF"/>
    <w:rsid w:val="00C3765D"/>
    <w:rsid w:val="00C41175"/>
    <w:rsid w:val="00C41255"/>
    <w:rsid w:val="00C41A7C"/>
    <w:rsid w:val="00C44844"/>
    <w:rsid w:val="00C4543E"/>
    <w:rsid w:val="00C463DD"/>
    <w:rsid w:val="00C4687C"/>
    <w:rsid w:val="00C46B99"/>
    <w:rsid w:val="00C46FA4"/>
    <w:rsid w:val="00C4742D"/>
    <w:rsid w:val="00C5213B"/>
    <w:rsid w:val="00C56379"/>
    <w:rsid w:val="00C573D8"/>
    <w:rsid w:val="00C606A0"/>
    <w:rsid w:val="00C60DE3"/>
    <w:rsid w:val="00C61D64"/>
    <w:rsid w:val="00C63658"/>
    <w:rsid w:val="00C65166"/>
    <w:rsid w:val="00C7047F"/>
    <w:rsid w:val="00C70D6F"/>
    <w:rsid w:val="00C72B66"/>
    <w:rsid w:val="00C745C3"/>
    <w:rsid w:val="00C76337"/>
    <w:rsid w:val="00C7679C"/>
    <w:rsid w:val="00C76969"/>
    <w:rsid w:val="00C76E1B"/>
    <w:rsid w:val="00C80197"/>
    <w:rsid w:val="00C81AA1"/>
    <w:rsid w:val="00C82E53"/>
    <w:rsid w:val="00C86688"/>
    <w:rsid w:val="00C87418"/>
    <w:rsid w:val="00C906AC"/>
    <w:rsid w:val="00C9202D"/>
    <w:rsid w:val="00C95DF7"/>
    <w:rsid w:val="00C96894"/>
    <w:rsid w:val="00C96E78"/>
    <w:rsid w:val="00C97F3B"/>
    <w:rsid w:val="00CA306C"/>
    <w:rsid w:val="00CB0065"/>
    <w:rsid w:val="00CB1420"/>
    <w:rsid w:val="00CB58C7"/>
    <w:rsid w:val="00CB7B93"/>
    <w:rsid w:val="00CC3337"/>
    <w:rsid w:val="00CD452B"/>
    <w:rsid w:val="00CD53A5"/>
    <w:rsid w:val="00CD6614"/>
    <w:rsid w:val="00CD663D"/>
    <w:rsid w:val="00CD7C0F"/>
    <w:rsid w:val="00CE48CC"/>
    <w:rsid w:val="00CE49B2"/>
    <w:rsid w:val="00CE4A8F"/>
    <w:rsid w:val="00CE4BF3"/>
    <w:rsid w:val="00CE65F5"/>
    <w:rsid w:val="00CF059C"/>
    <w:rsid w:val="00CF0DF1"/>
    <w:rsid w:val="00CF1420"/>
    <w:rsid w:val="00CF1601"/>
    <w:rsid w:val="00CF1E48"/>
    <w:rsid w:val="00CF483B"/>
    <w:rsid w:val="00D04960"/>
    <w:rsid w:val="00D04F69"/>
    <w:rsid w:val="00D11551"/>
    <w:rsid w:val="00D11C96"/>
    <w:rsid w:val="00D12884"/>
    <w:rsid w:val="00D14832"/>
    <w:rsid w:val="00D14892"/>
    <w:rsid w:val="00D15602"/>
    <w:rsid w:val="00D17F99"/>
    <w:rsid w:val="00D2031B"/>
    <w:rsid w:val="00D212B9"/>
    <w:rsid w:val="00D2385D"/>
    <w:rsid w:val="00D23F94"/>
    <w:rsid w:val="00D24062"/>
    <w:rsid w:val="00D25FE2"/>
    <w:rsid w:val="00D276C9"/>
    <w:rsid w:val="00D31639"/>
    <w:rsid w:val="00D31CA2"/>
    <w:rsid w:val="00D32FDC"/>
    <w:rsid w:val="00D36541"/>
    <w:rsid w:val="00D40894"/>
    <w:rsid w:val="00D40BD9"/>
    <w:rsid w:val="00D430BF"/>
    <w:rsid w:val="00D43252"/>
    <w:rsid w:val="00D4496C"/>
    <w:rsid w:val="00D46048"/>
    <w:rsid w:val="00D463CF"/>
    <w:rsid w:val="00D50C2E"/>
    <w:rsid w:val="00D51CF4"/>
    <w:rsid w:val="00D52202"/>
    <w:rsid w:val="00D52A7C"/>
    <w:rsid w:val="00D52FE4"/>
    <w:rsid w:val="00D533A3"/>
    <w:rsid w:val="00D535A1"/>
    <w:rsid w:val="00D55150"/>
    <w:rsid w:val="00D55705"/>
    <w:rsid w:val="00D56FD1"/>
    <w:rsid w:val="00D575CF"/>
    <w:rsid w:val="00D579AE"/>
    <w:rsid w:val="00D601B7"/>
    <w:rsid w:val="00D6460A"/>
    <w:rsid w:val="00D64A38"/>
    <w:rsid w:val="00D64C35"/>
    <w:rsid w:val="00D655AA"/>
    <w:rsid w:val="00D66235"/>
    <w:rsid w:val="00D675D9"/>
    <w:rsid w:val="00D70D3F"/>
    <w:rsid w:val="00D71D53"/>
    <w:rsid w:val="00D73422"/>
    <w:rsid w:val="00D754A1"/>
    <w:rsid w:val="00D754B8"/>
    <w:rsid w:val="00D75627"/>
    <w:rsid w:val="00D75CBE"/>
    <w:rsid w:val="00D82CBF"/>
    <w:rsid w:val="00D86C29"/>
    <w:rsid w:val="00D8710E"/>
    <w:rsid w:val="00D87332"/>
    <w:rsid w:val="00D87EF9"/>
    <w:rsid w:val="00D90562"/>
    <w:rsid w:val="00D9109A"/>
    <w:rsid w:val="00D939A4"/>
    <w:rsid w:val="00D959B8"/>
    <w:rsid w:val="00D978C6"/>
    <w:rsid w:val="00DA1A6D"/>
    <w:rsid w:val="00DA3204"/>
    <w:rsid w:val="00DA457E"/>
    <w:rsid w:val="00DA67AD"/>
    <w:rsid w:val="00DA71EF"/>
    <w:rsid w:val="00DA7E13"/>
    <w:rsid w:val="00DB0FC5"/>
    <w:rsid w:val="00DB3263"/>
    <w:rsid w:val="00DB38A3"/>
    <w:rsid w:val="00DB3FAC"/>
    <w:rsid w:val="00DB52D0"/>
    <w:rsid w:val="00DB6E53"/>
    <w:rsid w:val="00DB77A5"/>
    <w:rsid w:val="00DC3863"/>
    <w:rsid w:val="00DC3D3B"/>
    <w:rsid w:val="00DC5565"/>
    <w:rsid w:val="00DC7FDC"/>
    <w:rsid w:val="00DD3CA8"/>
    <w:rsid w:val="00DD4817"/>
    <w:rsid w:val="00DE269E"/>
    <w:rsid w:val="00DE4C05"/>
    <w:rsid w:val="00DE4F3C"/>
    <w:rsid w:val="00DE5303"/>
    <w:rsid w:val="00DE6E89"/>
    <w:rsid w:val="00DE767F"/>
    <w:rsid w:val="00DF252E"/>
    <w:rsid w:val="00E01BE1"/>
    <w:rsid w:val="00E04142"/>
    <w:rsid w:val="00E04DF6"/>
    <w:rsid w:val="00E06174"/>
    <w:rsid w:val="00E06A47"/>
    <w:rsid w:val="00E06DF7"/>
    <w:rsid w:val="00E075A3"/>
    <w:rsid w:val="00E07E50"/>
    <w:rsid w:val="00E07EAB"/>
    <w:rsid w:val="00E1075D"/>
    <w:rsid w:val="00E130AB"/>
    <w:rsid w:val="00E14AF4"/>
    <w:rsid w:val="00E218A9"/>
    <w:rsid w:val="00E228BF"/>
    <w:rsid w:val="00E30550"/>
    <w:rsid w:val="00E3114A"/>
    <w:rsid w:val="00E31F05"/>
    <w:rsid w:val="00E340E0"/>
    <w:rsid w:val="00E343E2"/>
    <w:rsid w:val="00E34FB4"/>
    <w:rsid w:val="00E362B1"/>
    <w:rsid w:val="00E421FD"/>
    <w:rsid w:val="00E447EC"/>
    <w:rsid w:val="00E45E28"/>
    <w:rsid w:val="00E4725D"/>
    <w:rsid w:val="00E50F80"/>
    <w:rsid w:val="00E53566"/>
    <w:rsid w:val="00E53FBF"/>
    <w:rsid w:val="00E5644E"/>
    <w:rsid w:val="00E60A21"/>
    <w:rsid w:val="00E60B85"/>
    <w:rsid w:val="00E6303D"/>
    <w:rsid w:val="00E6453A"/>
    <w:rsid w:val="00E64965"/>
    <w:rsid w:val="00E65CB6"/>
    <w:rsid w:val="00E70A6D"/>
    <w:rsid w:val="00E715AB"/>
    <w:rsid w:val="00E71A0A"/>
    <w:rsid w:val="00E7260F"/>
    <w:rsid w:val="00E72D8C"/>
    <w:rsid w:val="00E7303E"/>
    <w:rsid w:val="00E738A2"/>
    <w:rsid w:val="00E740E7"/>
    <w:rsid w:val="00E75A2E"/>
    <w:rsid w:val="00E776AE"/>
    <w:rsid w:val="00E80CA3"/>
    <w:rsid w:val="00E8306A"/>
    <w:rsid w:val="00E8440E"/>
    <w:rsid w:val="00E86067"/>
    <w:rsid w:val="00E925BC"/>
    <w:rsid w:val="00E92C03"/>
    <w:rsid w:val="00E93E50"/>
    <w:rsid w:val="00E96630"/>
    <w:rsid w:val="00E97595"/>
    <w:rsid w:val="00EA3D72"/>
    <w:rsid w:val="00EA4044"/>
    <w:rsid w:val="00EA5843"/>
    <w:rsid w:val="00EB25F7"/>
    <w:rsid w:val="00EB2A5A"/>
    <w:rsid w:val="00EB4251"/>
    <w:rsid w:val="00EB5E6A"/>
    <w:rsid w:val="00EB60BE"/>
    <w:rsid w:val="00EC0B09"/>
    <w:rsid w:val="00EC2548"/>
    <w:rsid w:val="00EC36B6"/>
    <w:rsid w:val="00EC5675"/>
    <w:rsid w:val="00EC6846"/>
    <w:rsid w:val="00EC6C0B"/>
    <w:rsid w:val="00EC6F70"/>
    <w:rsid w:val="00EC78ED"/>
    <w:rsid w:val="00ED0CDD"/>
    <w:rsid w:val="00ED1F35"/>
    <w:rsid w:val="00ED20F2"/>
    <w:rsid w:val="00ED314F"/>
    <w:rsid w:val="00ED32C5"/>
    <w:rsid w:val="00ED3760"/>
    <w:rsid w:val="00ED4E9E"/>
    <w:rsid w:val="00ED7A2A"/>
    <w:rsid w:val="00EE0EA2"/>
    <w:rsid w:val="00EE1963"/>
    <w:rsid w:val="00EE220D"/>
    <w:rsid w:val="00EE28F6"/>
    <w:rsid w:val="00EE29C9"/>
    <w:rsid w:val="00EE2C7B"/>
    <w:rsid w:val="00EE4378"/>
    <w:rsid w:val="00EE61C1"/>
    <w:rsid w:val="00EF0990"/>
    <w:rsid w:val="00EF1202"/>
    <w:rsid w:val="00EF1D7F"/>
    <w:rsid w:val="00EF5284"/>
    <w:rsid w:val="00EF541C"/>
    <w:rsid w:val="00EF58BD"/>
    <w:rsid w:val="00EF623B"/>
    <w:rsid w:val="00EF6D91"/>
    <w:rsid w:val="00F002EC"/>
    <w:rsid w:val="00F055F8"/>
    <w:rsid w:val="00F1009B"/>
    <w:rsid w:val="00F106F6"/>
    <w:rsid w:val="00F115EA"/>
    <w:rsid w:val="00F1210D"/>
    <w:rsid w:val="00F1332F"/>
    <w:rsid w:val="00F17800"/>
    <w:rsid w:val="00F20AE7"/>
    <w:rsid w:val="00F20D96"/>
    <w:rsid w:val="00F235DA"/>
    <w:rsid w:val="00F244C5"/>
    <w:rsid w:val="00F24C3D"/>
    <w:rsid w:val="00F3084A"/>
    <w:rsid w:val="00F3109C"/>
    <w:rsid w:val="00F328D3"/>
    <w:rsid w:val="00F37940"/>
    <w:rsid w:val="00F40DCC"/>
    <w:rsid w:val="00F40E75"/>
    <w:rsid w:val="00F4468C"/>
    <w:rsid w:val="00F44C86"/>
    <w:rsid w:val="00F45EEC"/>
    <w:rsid w:val="00F47861"/>
    <w:rsid w:val="00F50671"/>
    <w:rsid w:val="00F509B1"/>
    <w:rsid w:val="00F53E11"/>
    <w:rsid w:val="00F55A74"/>
    <w:rsid w:val="00F609BA"/>
    <w:rsid w:val="00F6149C"/>
    <w:rsid w:val="00F630FA"/>
    <w:rsid w:val="00F63251"/>
    <w:rsid w:val="00F6461E"/>
    <w:rsid w:val="00F65294"/>
    <w:rsid w:val="00F660D8"/>
    <w:rsid w:val="00F66725"/>
    <w:rsid w:val="00F71374"/>
    <w:rsid w:val="00F71839"/>
    <w:rsid w:val="00F71FAF"/>
    <w:rsid w:val="00F757F0"/>
    <w:rsid w:val="00F80925"/>
    <w:rsid w:val="00F82C04"/>
    <w:rsid w:val="00F83880"/>
    <w:rsid w:val="00F90143"/>
    <w:rsid w:val="00F9042A"/>
    <w:rsid w:val="00F92D26"/>
    <w:rsid w:val="00F93676"/>
    <w:rsid w:val="00F95849"/>
    <w:rsid w:val="00F95EBF"/>
    <w:rsid w:val="00F977F2"/>
    <w:rsid w:val="00FA0B88"/>
    <w:rsid w:val="00FA3D73"/>
    <w:rsid w:val="00FA6243"/>
    <w:rsid w:val="00FA7460"/>
    <w:rsid w:val="00FB4707"/>
    <w:rsid w:val="00FC0017"/>
    <w:rsid w:val="00FC25AC"/>
    <w:rsid w:val="00FC68B7"/>
    <w:rsid w:val="00FD0ED9"/>
    <w:rsid w:val="00FD148F"/>
    <w:rsid w:val="00FD1F4E"/>
    <w:rsid w:val="00FD4CF2"/>
    <w:rsid w:val="00FD5A5E"/>
    <w:rsid w:val="00FD66A2"/>
    <w:rsid w:val="00FE0803"/>
    <w:rsid w:val="00FE1D20"/>
    <w:rsid w:val="00FE215B"/>
    <w:rsid w:val="00FE3488"/>
    <w:rsid w:val="00FE6DF1"/>
    <w:rsid w:val="00FE7B4C"/>
    <w:rsid w:val="00FF02E4"/>
    <w:rsid w:val="00FF0680"/>
    <w:rsid w:val="00FF0CAC"/>
    <w:rsid w:val="00FF2BBF"/>
    <w:rsid w:val="00FF37DC"/>
    <w:rsid w:val="00FF41FD"/>
    <w:rsid w:val="00FF4A6D"/>
    <w:rsid w:val="00FF62A7"/>
    <w:rsid w:val="00FF62D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qFormat="1"/>
    <w:lsdException w:name="annotation reference" w:uiPriority="99"/>
    <w:lsdException w:name="List Bullet" w:uiPriority="99"/>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623B"/>
    <w:pPr>
      <w:suppressAutoHyphens/>
      <w:spacing w:line="240" w:lineRule="atLeast"/>
    </w:pPr>
    <w:rPr>
      <w:lang w:val="en-GB"/>
    </w:rPr>
  </w:style>
  <w:style w:type="paragraph" w:styleId="Heading1">
    <w:name w:val="heading 1"/>
    <w:aliases w:val="Table_G"/>
    <w:basedOn w:val="SingleTxtG"/>
    <w:next w:val="SingleTxtG"/>
    <w:link w:val="Heading1Char"/>
    <w:qFormat/>
    <w:rsid w:val="00271279"/>
    <w:pPr>
      <w:keepNext/>
      <w:keepLines/>
      <w:spacing w:after="0" w:line="240" w:lineRule="auto"/>
      <w:ind w:right="0"/>
      <w:jc w:val="left"/>
      <w:outlineLvl w:val="0"/>
    </w:pPr>
  </w:style>
  <w:style w:type="paragraph" w:styleId="Heading2">
    <w:name w:val="heading 2"/>
    <w:basedOn w:val="Normal"/>
    <w:next w:val="Normal"/>
    <w:link w:val="Heading2Char"/>
    <w:uiPriority w:val="9"/>
    <w:qFormat/>
    <w:rsid w:val="00271279"/>
    <w:pPr>
      <w:outlineLvl w:val="1"/>
    </w:pPr>
    <w:rPr>
      <w:lang w:val="fr-CH"/>
    </w:rPr>
  </w:style>
  <w:style w:type="paragraph" w:styleId="Heading3">
    <w:name w:val="heading 3"/>
    <w:basedOn w:val="Normal"/>
    <w:next w:val="Normal"/>
    <w:link w:val="Heading3Char"/>
    <w:qFormat/>
    <w:rsid w:val="00271279"/>
    <w:pPr>
      <w:outlineLvl w:val="2"/>
    </w:pPr>
    <w:rPr>
      <w:lang w:val="fr-CH"/>
    </w:rPr>
  </w:style>
  <w:style w:type="paragraph" w:styleId="Heading4">
    <w:name w:val="heading 4"/>
    <w:basedOn w:val="Normal"/>
    <w:next w:val="Normal"/>
    <w:link w:val="Heading4Char"/>
    <w:qFormat/>
    <w:rsid w:val="00271279"/>
    <w:pPr>
      <w:outlineLvl w:val="3"/>
    </w:pPr>
    <w:rPr>
      <w:lang w:val="fr-CH"/>
    </w:rPr>
  </w:style>
  <w:style w:type="paragraph" w:styleId="Heading5">
    <w:name w:val="heading 5"/>
    <w:basedOn w:val="Normal"/>
    <w:next w:val="Normal"/>
    <w:link w:val="Heading5Char"/>
    <w:uiPriority w:val="9"/>
    <w:qFormat/>
    <w:rsid w:val="00271279"/>
    <w:pPr>
      <w:outlineLvl w:val="4"/>
    </w:pPr>
    <w:rPr>
      <w:lang w:val="fr-CH"/>
    </w:rPr>
  </w:style>
  <w:style w:type="paragraph" w:styleId="Heading6">
    <w:name w:val="heading 6"/>
    <w:basedOn w:val="Normal"/>
    <w:next w:val="Normal"/>
    <w:link w:val="Heading6Char"/>
    <w:qFormat/>
    <w:rsid w:val="00271279"/>
    <w:pPr>
      <w:outlineLvl w:val="5"/>
    </w:pPr>
    <w:rPr>
      <w:lang w:val="fr-CH"/>
    </w:rPr>
  </w:style>
  <w:style w:type="paragraph" w:styleId="Heading7">
    <w:name w:val="heading 7"/>
    <w:basedOn w:val="Normal"/>
    <w:next w:val="Normal"/>
    <w:link w:val="Heading7Char"/>
    <w:qFormat/>
    <w:rsid w:val="00271279"/>
    <w:pPr>
      <w:outlineLvl w:val="6"/>
    </w:pPr>
    <w:rPr>
      <w:lang w:val="fr-CH"/>
    </w:rPr>
  </w:style>
  <w:style w:type="paragraph" w:styleId="Heading8">
    <w:name w:val="heading 8"/>
    <w:basedOn w:val="Normal"/>
    <w:next w:val="Normal"/>
    <w:link w:val="Heading8Char"/>
    <w:qFormat/>
    <w:rsid w:val="00271279"/>
    <w:pPr>
      <w:outlineLvl w:val="7"/>
    </w:pPr>
    <w:rPr>
      <w:lang w:val="fr-CH"/>
    </w:rPr>
  </w:style>
  <w:style w:type="paragraph" w:styleId="Heading9">
    <w:name w:val="heading 9"/>
    <w:aliases w:val="Judgement Heading 9,Judgement Heading 91"/>
    <w:basedOn w:val="Normal"/>
    <w:next w:val="Normal"/>
    <w:link w:val="Heading9Char"/>
    <w:qFormat/>
    <w:rsid w:val="00271279"/>
    <w:pPr>
      <w:outlineLvl w:val="8"/>
    </w:pPr>
    <w:rPr>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271279"/>
    <w:pPr>
      <w:keepNext/>
      <w:keepLines/>
      <w:tabs>
        <w:tab w:val="right" w:pos="851"/>
      </w:tabs>
      <w:spacing w:before="240" w:after="240" w:line="360" w:lineRule="exact"/>
      <w:ind w:left="1134" w:right="1134" w:hanging="1134"/>
    </w:pPr>
    <w:rPr>
      <w:b/>
      <w:sz w:val="34"/>
      <w:lang w:val="fr-CH"/>
    </w:rPr>
  </w:style>
  <w:style w:type="paragraph" w:customStyle="1" w:styleId="HChG">
    <w:name w:val="_ H _Ch_G"/>
    <w:basedOn w:val="Normal"/>
    <w:next w:val="Normal"/>
    <w:rsid w:val="00271279"/>
    <w:pPr>
      <w:keepNext/>
      <w:keepLines/>
      <w:tabs>
        <w:tab w:val="right" w:pos="851"/>
      </w:tabs>
      <w:spacing w:before="360" w:after="240" w:line="300" w:lineRule="exact"/>
      <w:ind w:left="1134" w:right="1134" w:hanging="1134"/>
    </w:pPr>
    <w:rPr>
      <w:b/>
      <w:sz w:val="28"/>
      <w:lang w:val="fr-CH"/>
    </w:rPr>
  </w:style>
  <w:style w:type="paragraph" w:customStyle="1" w:styleId="SingleTxtG">
    <w:name w:val="_ Single Txt_G"/>
    <w:basedOn w:val="Normal"/>
    <w:link w:val="SingleTxtGChar"/>
    <w:uiPriority w:val="99"/>
    <w:qFormat/>
    <w:rsid w:val="00EF623B"/>
    <w:pPr>
      <w:spacing w:after="120"/>
      <w:ind w:left="1134" w:right="1134"/>
      <w:jc w:val="both"/>
    </w:pPr>
    <w:rPr>
      <w:lang w:val="fr-CH"/>
    </w:rPr>
  </w:style>
  <w:style w:type="character" w:styleId="PageNumber">
    <w:name w:val="page number"/>
    <w:aliases w:val="7_G"/>
    <w:rsid w:val="00271279"/>
    <w:rPr>
      <w:rFonts w:ascii="Times New Roman" w:hAnsi="Times New Roman"/>
      <w:b/>
      <w:sz w:val="18"/>
      <w:lang w:val="fr-CH"/>
    </w:rPr>
  </w:style>
  <w:style w:type="paragraph" w:styleId="PlainText">
    <w:name w:val="Plain Text"/>
    <w:basedOn w:val="Normal"/>
    <w:link w:val="PlainTextChar"/>
    <w:semiHidden/>
  </w:style>
  <w:style w:type="paragraph" w:styleId="BodyText">
    <w:name w:val="Body Text"/>
    <w:basedOn w:val="Normal"/>
    <w:next w:val="Normal"/>
    <w:link w:val="BodyTextChar"/>
    <w:uiPriority w:val="99"/>
    <w:rPr>
      <w:lang/>
    </w:rPr>
  </w:style>
  <w:style w:type="paragraph" w:styleId="BodyTextIndent">
    <w:name w:val="Body Text Indent"/>
    <w:basedOn w:val="Normal"/>
    <w:link w:val="BodyTextIndentChar"/>
    <w:uiPriority w:val="99"/>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271279"/>
    <w:pPr>
      <w:keepNext/>
      <w:keepLines/>
      <w:spacing w:before="240" w:after="240" w:line="420" w:lineRule="exact"/>
      <w:ind w:left="1134" w:right="1134"/>
    </w:pPr>
    <w:rPr>
      <w:b/>
      <w:sz w:val="40"/>
      <w:lang w:val="fr-CH"/>
    </w:rPr>
  </w:style>
  <w:style w:type="paragraph" w:customStyle="1" w:styleId="SLG">
    <w:name w:val="__S_L_G"/>
    <w:basedOn w:val="Normal"/>
    <w:next w:val="Normal"/>
    <w:rsid w:val="00271279"/>
    <w:pPr>
      <w:keepNext/>
      <w:keepLines/>
      <w:spacing w:before="240" w:after="240" w:line="580" w:lineRule="exact"/>
      <w:ind w:left="1134" w:right="1134"/>
    </w:pPr>
    <w:rPr>
      <w:b/>
      <w:sz w:val="56"/>
      <w:lang w:val="fr-CH"/>
    </w:rPr>
  </w:style>
  <w:style w:type="paragraph" w:customStyle="1" w:styleId="SSG">
    <w:name w:val="__S_S_G"/>
    <w:basedOn w:val="Normal"/>
    <w:next w:val="Normal"/>
    <w:rsid w:val="00271279"/>
    <w:pPr>
      <w:keepNext/>
      <w:keepLines/>
      <w:spacing w:before="240" w:after="240" w:line="300" w:lineRule="exact"/>
      <w:ind w:left="1134" w:right="1134"/>
    </w:pPr>
    <w:rPr>
      <w:b/>
      <w:sz w:val="28"/>
      <w:lang w:val="fr-CH"/>
    </w:rPr>
  </w:style>
  <w:style w:type="character" w:styleId="EndnoteReference">
    <w:name w:val="endnote reference"/>
    <w:aliases w:val="1_G"/>
    <w:rsid w:val="00271279"/>
    <w:rPr>
      <w:rFonts w:ascii="Times New Roman" w:hAnsi="Times New Roman"/>
      <w:sz w:val="18"/>
      <w:vertAlign w:val="superscript"/>
      <w:lang w:val="fr-CH"/>
    </w:rPr>
  </w:style>
  <w:style w:type="character" w:styleId="FootnoteReference">
    <w:name w:val="footnote reference"/>
    <w:aliases w:val="4_G"/>
    <w:uiPriority w:val="99"/>
    <w:qFormat/>
    <w:rsid w:val="00236EB8"/>
    <w:rPr>
      <w:rFonts w:ascii="Times New Roman" w:hAnsi="Times New Roman"/>
      <w:sz w:val="18"/>
      <w:vertAlign w:val="superscript"/>
    </w:rPr>
  </w:style>
  <w:style w:type="paragraph" w:styleId="FootnoteText">
    <w:name w:val="footnote text"/>
    <w:aliases w:val="5_G,FA,FA Fußnotentext,Footnote Text Char Char Char Char,Footnote Text Char Char Char Char Char Char Char Char Char Char Char Char Char Char Char Char Char Char Char Char Char Char,Footnote"/>
    <w:basedOn w:val="Normal"/>
    <w:link w:val="FootnoteTextChar"/>
    <w:uiPriority w:val="99"/>
    <w:qFormat/>
    <w:rsid w:val="00236EB8"/>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rPr>
  </w:style>
  <w:style w:type="paragraph" w:customStyle="1" w:styleId="XLargeG">
    <w:name w:val="__XLarge_G"/>
    <w:basedOn w:val="Normal"/>
    <w:next w:val="Normal"/>
    <w:rsid w:val="00271279"/>
    <w:pPr>
      <w:keepNext/>
      <w:keepLines/>
      <w:spacing w:before="240" w:after="240" w:line="420" w:lineRule="exact"/>
      <w:ind w:left="1134" w:right="1134"/>
    </w:pPr>
    <w:rPr>
      <w:b/>
      <w:sz w:val="40"/>
      <w:lang w:val="fr-CH"/>
    </w:rPr>
  </w:style>
  <w:style w:type="paragraph" w:customStyle="1" w:styleId="Bullet1G">
    <w:name w:val="_Bullet 1_G"/>
    <w:basedOn w:val="Normal"/>
    <w:qFormat/>
    <w:rsid w:val="00271279"/>
    <w:pPr>
      <w:numPr>
        <w:numId w:val="14"/>
      </w:numPr>
      <w:spacing w:after="120"/>
      <w:ind w:right="1134"/>
      <w:jc w:val="both"/>
    </w:pPr>
    <w:rPr>
      <w:lang w:val="fr-CH"/>
    </w:rPr>
  </w:style>
  <w:style w:type="paragraph" w:styleId="EndnoteText">
    <w:name w:val="endnote text"/>
    <w:aliases w:val="2_G"/>
    <w:basedOn w:val="FootnoteText"/>
    <w:link w:val="EndnoteTextChar"/>
    <w:rsid w:val="00271279"/>
    <w:rPr>
      <w:rFonts w:eastAsia="Times New Roman"/>
      <w:lang w:val="fr-CH" w:eastAsia="en-US"/>
    </w:rPr>
  </w:style>
  <w:style w:type="character" w:styleId="CommentReference">
    <w:name w:val="annotation reference"/>
    <w:uiPriority w:val="99"/>
    <w:rPr>
      <w:sz w:val="6"/>
    </w:rPr>
  </w:style>
  <w:style w:type="paragraph" w:styleId="CommentText">
    <w:name w:val="annotation text"/>
    <w:basedOn w:val="Normal"/>
    <w:link w:val="CommentTextChar2"/>
    <w:uiPriority w:val="99"/>
    <w:rPr>
      <w:lang/>
    </w:rPr>
  </w:style>
  <w:style w:type="character" w:styleId="LineNumber">
    <w:name w:val="line number"/>
    <w:semiHidden/>
    <w:rPr>
      <w:sz w:val="14"/>
    </w:rPr>
  </w:style>
  <w:style w:type="paragraph" w:customStyle="1" w:styleId="Bullet2G">
    <w:name w:val="_Bullet 2_G"/>
    <w:basedOn w:val="Normal"/>
    <w:qFormat/>
    <w:rsid w:val="00271279"/>
    <w:pPr>
      <w:numPr>
        <w:numId w:val="15"/>
      </w:numPr>
      <w:spacing w:after="120"/>
      <w:ind w:right="1134"/>
      <w:jc w:val="both"/>
    </w:pPr>
    <w:rPr>
      <w:lang w:val="fr-CH"/>
    </w:rPr>
  </w:style>
  <w:style w:type="paragraph" w:customStyle="1" w:styleId="H1G">
    <w:name w:val="_ H_1_G"/>
    <w:basedOn w:val="Normal"/>
    <w:next w:val="Normal"/>
    <w:rsid w:val="00271279"/>
    <w:pPr>
      <w:keepNext/>
      <w:keepLines/>
      <w:tabs>
        <w:tab w:val="right" w:pos="851"/>
      </w:tabs>
      <w:spacing w:before="360" w:after="240" w:line="270" w:lineRule="exact"/>
      <w:ind w:left="1134" w:right="1134" w:hanging="1134"/>
    </w:pPr>
    <w:rPr>
      <w:b/>
      <w:sz w:val="24"/>
      <w:lang w:val="fr-CH"/>
    </w:rPr>
  </w:style>
  <w:style w:type="paragraph" w:customStyle="1" w:styleId="H23G">
    <w:name w:val="_ H_2/3_G"/>
    <w:basedOn w:val="Normal"/>
    <w:next w:val="Normal"/>
    <w:rsid w:val="00271279"/>
    <w:pPr>
      <w:keepNext/>
      <w:keepLines/>
      <w:tabs>
        <w:tab w:val="right" w:pos="851"/>
      </w:tabs>
      <w:spacing w:before="240" w:after="120" w:line="240" w:lineRule="exact"/>
      <w:ind w:left="1134" w:right="1134" w:hanging="1134"/>
    </w:pPr>
    <w:rPr>
      <w:b/>
      <w:lang w:val="fr-CH"/>
    </w:rPr>
  </w:style>
  <w:style w:type="paragraph" w:customStyle="1" w:styleId="H4G">
    <w:name w:val="_ H_4_G"/>
    <w:basedOn w:val="Normal"/>
    <w:next w:val="Normal"/>
    <w:rsid w:val="00271279"/>
    <w:pPr>
      <w:keepNext/>
      <w:keepLines/>
      <w:tabs>
        <w:tab w:val="right" w:pos="851"/>
      </w:tabs>
      <w:spacing w:before="240" w:after="120" w:line="240" w:lineRule="exact"/>
      <w:ind w:left="1134" w:right="1134" w:hanging="1134"/>
    </w:pPr>
    <w:rPr>
      <w:i/>
      <w:lang w:val="fr-CH"/>
    </w:rPr>
  </w:style>
  <w:style w:type="paragraph" w:customStyle="1" w:styleId="H56G">
    <w:name w:val="_ H_5/6_G"/>
    <w:basedOn w:val="Normal"/>
    <w:next w:val="Normal"/>
    <w:rsid w:val="00271279"/>
    <w:pPr>
      <w:keepNext/>
      <w:keepLines/>
      <w:tabs>
        <w:tab w:val="right" w:pos="851"/>
      </w:tabs>
      <w:spacing w:before="240" w:after="120" w:line="240" w:lineRule="exact"/>
      <w:ind w:left="1134" w:right="1134" w:hanging="1134"/>
    </w:pPr>
    <w:rPr>
      <w:lang w:val="fr-CH"/>
    </w:r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rPr>
      <w:lang/>
    </w:rPr>
  </w:style>
  <w:style w:type="paragraph" w:styleId="BodyText3">
    <w:name w:val="Body Text 3"/>
    <w:basedOn w:val="Normal"/>
    <w:link w:val="BodyText3Char"/>
    <w:uiPriority w:val="99"/>
    <w:rsid w:val="008A6C4F"/>
    <w:pPr>
      <w:spacing w:after="120"/>
    </w:pPr>
    <w:rPr>
      <w:sz w:val="16"/>
      <w:szCs w:val="16"/>
      <w:lang/>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uiPriority w:val="99"/>
    <w:rsid w:val="008A6C4F"/>
    <w:pPr>
      <w:spacing w:after="120" w:line="480" w:lineRule="auto"/>
      <w:ind w:left="283"/>
    </w:pPr>
  </w:style>
  <w:style w:type="paragraph" w:styleId="BodyTextIndent3">
    <w:name w:val="Body Text Indent 3"/>
    <w:basedOn w:val="Normal"/>
    <w:link w:val="BodyTextIndent3Char"/>
    <w:uiPriority w:val="99"/>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271279"/>
    <w:rPr>
      <w:color w:val="auto"/>
      <w:u w:val="none"/>
    </w:rPr>
  </w:style>
  <w:style w:type="character" w:styleId="HTMLAcronym">
    <w:name w:val="HTML Acronym"/>
    <w:basedOn w:val="DefaultParagraphFont"/>
    <w:rsid w:val="008A6C4F"/>
  </w:style>
  <w:style w:type="paragraph" w:styleId="HTMLAddress">
    <w:name w:val="HTML Address"/>
    <w:basedOn w:val="Normal"/>
    <w:semiHidden/>
    <w:rsid w:val="008A6C4F"/>
    <w:rPr>
      <w:i/>
      <w:iCs/>
    </w:rPr>
  </w:style>
  <w:style w:type="character" w:styleId="HTMLCite">
    <w:name w:val="HTML Cite"/>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271279"/>
    <w:rPr>
      <w:color w:val="auto"/>
      <w:u w:val="none"/>
    </w:rPr>
  </w:style>
  <w:style w:type="paragraph" w:styleId="List">
    <w:name w:val="List"/>
    <w:basedOn w:val="Normal"/>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uiPriority w:val="99"/>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7127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b/>
      <w:bCs/>
      <w:kern w:val="28"/>
      <w:sz w:val="32"/>
      <w:szCs w:val="32"/>
      <w:lang/>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next w:val="Normal"/>
    <w:link w:val="FooterChar"/>
    <w:uiPriority w:val="99"/>
    <w:rsid w:val="00271279"/>
    <w:pPr>
      <w:spacing w:line="240" w:lineRule="auto"/>
    </w:pPr>
    <w:rPr>
      <w:sz w:val="16"/>
      <w:lang w:val="fr-CH"/>
    </w:rPr>
  </w:style>
  <w:style w:type="paragraph" w:styleId="Header">
    <w:name w:val="header"/>
    <w:aliases w:val="6_G"/>
    <w:basedOn w:val="Normal"/>
    <w:next w:val="Normal"/>
    <w:link w:val="HeaderChar"/>
    <w:uiPriority w:val="99"/>
    <w:rsid w:val="00271279"/>
    <w:pPr>
      <w:pBdr>
        <w:bottom w:val="single" w:sz="4" w:space="4" w:color="auto"/>
      </w:pBdr>
      <w:spacing w:line="240" w:lineRule="auto"/>
    </w:pPr>
    <w:rPr>
      <w:b/>
      <w:sz w:val="18"/>
      <w:lang w:val="fr-CH"/>
    </w:rPr>
  </w:style>
  <w:style w:type="paragraph" w:styleId="BalloonText">
    <w:name w:val="Balloon Text"/>
    <w:basedOn w:val="Normal"/>
    <w:link w:val="BalloonTextChar"/>
    <w:uiPriority w:val="99"/>
    <w:rsid w:val="00391FAB"/>
    <w:pPr>
      <w:spacing w:line="240" w:lineRule="auto"/>
    </w:pPr>
    <w:rPr>
      <w:rFonts w:ascii="Tahoma" w:hAnsi="Tahoma"/>
      <w:sz w:val="16"/>
      <w:szCs w:val="16"/>
      <w:lang/>
    </w:rPr>
  </w:style>
  <w:style w:type="character" w:customStyle="1" w:styleId="BalloonTextChar">
    <w:name w:val="Balloon Text Char"/>
    <w:link w:val="BalloonText"/>
    <w:uiPriority w:val="99"/>
    <w:rsid w:val="00391FAB"/>
    <w:rPr>
      <w:rFonts w:ascii="Tahoma" w:hAnsi="Tahoma" w:cs="Tahoma"/>
      <w:sz w:val="16"/>
      <w:szCs w:val="16"/>
      <w:lang w:eastAsia="en-US"/>
    </w:rPr>
  </w:style>
  <w:style w:type="paragraph" w:styleId="CommentSubject">
    <w:name w:val="annotation subject"/>
    <w:basedOn w:val="CommentText"/>
    <w:next w:val="CommentText"/>
    <w:link w:val="CommentSubjectChar"/>
    <w:uiPriority w:val="99"/>
    <w:rsid w:val="00EA3D72"/>
    <w:rPr>
      <w:b/>
      <w:bCs/>
    </w:rPr>
  </w:style>
  <w:style w:type="character" w:customStyle="1" w:styleId="Heading1Char">
    <w:name w:val="Heading 1 Char"/>
    <w:aliases w:val="Table_G Char"/>
    <w:link w:val="Heading1"/>
    <w:rsid w:val="00C65166"/>
    <w:rPr>
      <w:lang w:val="fr-CH" w:eastAsia="en-US"/>
    </w:rPr>
  </w:style>
  <w:style w:type="character" w:customStyle="1" w:styleId="Heading2Char">
    <w:name w:val="Heading 2 Char"/>
    <w:link w:val="Heading2"/>
    <w:uiPriority w:val="9"/>
    <w:rsid w:val="00C65166"/>
    <w:rPr>
      <w:lang w:val="fr-CH" w:eastAsia="en-US"/>
    </w:rPr>
  </w:style>
  <w:style w:type="character" w:customStyle="1" w:styleId="Heading4Char">
    <w:name w:val="Heading 4 Char"/>
    <w:link w:val="Heading4"/>
    <w:rsid w:val="00C65166"/>
    <w:rPr>
      <w:lang w:val="fr-CH" w:eastAsia="en-US"/>
    </w:rPr>
  </w:style>
  <w:style w:type="character" w:customStyle="1" w:styleId="BodyTextChar">
    <w:name w:val="Body Text Char"/>
    <w:link w:val="BodyText"/>
    <w:uiPriority w:val="99"/>
    <w:rsid w:val="00C65166"/>
    <w:rPr>
      <w:lang w:eastAsia="en-US"/>
    </w:rPr>
  </w:style>
  <w:style w:type="paragraph" w:customStyle="1" w:styleId="ParaNoG">
    <w:name w:val="_ParaNo._G"/>
    <w:basedOn w:val="SingleTxtG"/>
    <w:rsid w:val="001760EF"/>
    <w:rPr>
      <w:lang w:val="en-GB"/>
    </w:rPr>
  </w:style>
  <w:style w:type="character" w:customStyle="1" w:styleId="FootnoteTextChar">
    <w:name w:val="Footnote Text Char"/>
    <w:aliases w:val="5_G Char,FA Char,FA Fußnotentext Char,Footnote Text Char Char Char Char Char,Footnote Text Char Char Char Char Char Char Char Char Char Char Char Char Char Char Char Char Char Char Char Char Char Char Char,Footnote Char"/>
    <w:link w:val="FootnoteText"/>
    <w:uiPriority w:val="99"/>
    <w:rsid w:val="00C65166"/>
    <w:rPr>
      <w:rFonts w:eastAsia="SimSun"/>
      <w:sz w:val="18"/>
    </w:rPr>
  </w:style>
  <w:style w:type="character" w:customStyle="1" w:styleId="mw-headline">
    <w:name w:val="mw-headline"/>
    <w:rsid w:val="00C65166"/>
  </w:style>
  <w:style w:type="character" w:customStyle="1" w:styleId="TitleChar">
    <w:name w:val="Title Char"/>
    <w:link w:val="Title"/>
    <w:rsid w:val="00C65166"/>
    <w:rPr>
      <w:rFonts w:ascii="Arial" w:hAnsi="Arial" w:cs="Arial"/>
      <w:b/>
      <w:bCs/>
      <w:kern w:val="28"/>
      <w:sz w:val="32"/>
      <w:szCs w:val="32"/>
      <w:lang w:eastAsia="en-US"/>
    </w:rPr>
  </w:style>
  <w:style w:type="paragraph" w:styleId="Caption">
    <w:name w:val="caption"/>
    <w:basedOn w:val="Normal"/>
    <w:next w:val="Normal"/>
    <w:link w:val="CaptionChar"/>
    <w:uiPriority w:val="35"/>
    <w:qFormat/>
    <w:rsid w:val="00C65166"/>
    <w:pPr>
      <w:suppressAutoHyphens w:val="0"/>
      <w:spacing w:line="240" w:lineRule="auto"/>
    </w:pPr>
    <w:rPr>
      <w:b/>
      <w:bCs/>
    </w:rPr>
  </w:style>
  <w:style w:type="paragraph" w:customStyle="1" w:styleId="Default">
    <w:name w:val="Default"/>
    <w:rsid w:val="00C65166"/>
    <w:pPr>
      <w:autoSpaceDE w:val="0"/>
      <w:autoSpaceDN w:val="0"/>
      <w:adjustRightInd w:val="0"/>
    </w:pPr>
    <w:rPr>
      <w:rFonts w:ascii="Arial" w:hAnsi="Arial" w:cs="Arial"/>
      <w:color w:val="000000"/>
      <w:sz w:val="24"/>
      <w:szCs w:val="24"/>
      <w:lang w:bidi="hi-IN"/>
    </w:rPr>
  </w:style>
  <w:style w:type="character" w:customStyle="1" w:styleId="BodyText3Char">
    <w:name w:val="Body Text 3 Char"/>
    <w:link w:val="BodyText3"/>
    <w:uiPriority w:val="99"/>
    <w:rsid w:val="00C65166"/>
    <w:rPr>
      <w:sz w:val="16"/>
      <w:szCs w:val="16"/>
      <w:lang w:eastAsia="en-US"/>
    </w:rPr>
  </w:style>
  <w:style w:type="character" w:customStyle="1" w:styleId="CharacterStyle2">
    <w:name w:val="Character Style 2"/>
    <w:rsid w:val="00C65166"/>
    <w:rPr>
      <w:rFonts w:ascii="Tahoma" w:hAnsi="Tahoma" w:cs="Tahoma"/>
      <w:sz w:val="28"/>
      <w:szCs w:val="28"/>
    </w:rPr>
  </w:style>
  <w:style w:type="character" w:customStyle="1" w:styleId="FontStyle31">
    <w:name w:val="Font Style31"/>
    <w:rsid w:val="00C65166"/>
    <w:rPr>
      <w:rFonts w:ascii="Tahoma" w:hAnsi="Tahoma" w:cs="Tahoma"/>
      <w:lang w:bidi="hi-IN"/>
    </w:rPr>
  </w:style>
  <w:style w:type="character" w:customStyle="1" w:styleId="BodyText2Char">
    <w:name w:val="Body Text 2 Char"/>
    <w:link w:val="BodyText2"/>
    <w:rsid w:val="00C65166"/>
    <w:rPr>
      <w:lang w:eastAsia="en-US"/>
    </w:rPr>
  </w:style>
  <w:style w:type="paragraph" w:styleId="TOC3">
    <w:name w:val="toc 3"/>
    <w:basedOn w:val="Normal"/>
    <w:next w:val="Normal"/>
    <w:autoRedefine/>
    <w:uiPriority w:val="39"/>
    <w:rsid w:val="00C65166"/>
    <w:pPr>
      <w:tabs>
        <w:tab w:val="left" w:pos="1260"/>
        <w:tab w:val="right" w:leader="dot" w:pos="9061"/>
      </w:tabs>
      <w:suppressAutoHyphens w:val="0"/>
      <w:spacing w:line="240" w:lineRule="auto"/>
      <w:jc w:val="both"/>
    </w:pPr>
    <w:rPr>
      <w:rFonts w:ascii="Book Antiqua" w:hAnsi="Book Antiqua"/>
      <w:b/>
      <w:iCs/>
      <w:noProof/>
      <w:color w:val="000000"/>
      <w:sz w:val="24"/>
      <w:szCs w:val="24"/>
    </w:rPr>
  </w:style>
  <w:style w:type="paragraph" w:customStyle="1" w:styleId="CharChar1CharCharCharCharCharCharCharCharCharCharCharCharChar">
    <w:name w:val="Char Char1 Char Char Char Char Char Char Char Char Char Char Char Char Char"/>
    <w:basedOn w:val="Normal"/>
    <w:rsid w:val="00C65166"/>
    <w:pPr>
      <w:suppressAutoHyphens w:val="0"/>
      <w:spacing w:after="160" w:line="240" w:lineRule="exact"/>
    </w:pPr>
    <w:rPr>
      <w:rFonts w:ascii="Arial" w:hAnsi="Arial" w:cs="Arial"/>
      <w:lang w:val="en-US"/>
    </w:rPr>
  </w:style>
  <w:style w:type="character" w:customStyle="1" w:styleId="FontStyle28">
    <w:name w:val="Font Style28"/>
    <w:rsid w:val="00C65166"/>
    <w:rPr>
      <w:rFonts w:ascii="Tahoma" w:hAnsi="Tahoma" w:cs="Tahoma"/>
      <w:b/>
      <w:bCs/>
      <w:sz w:val="22"/>
      <w:szCs w:val="22"/>
      <w:lang w:bidi="hi-IN"/>
    </w:rPr>
  </w:style>
  <w:style w:type="character" w:customStyle="1" w:styleId="HeaderChar">
    <w:name w:val="Header Char"/>
    <w:aliases w:val="6_G Char"/>
    <w:link w:val="Header"/>
    <w:uiPriority w:val="99"/>
    <w:rsid w:val="00C65166"/>
    <w:rPr>
      <w:b/>
      <w:sz w:val="18"/>
      <w:lang w:val="fr-CH" w:eastAsia="en-US"/>
    </w:rPr>
  </w:style>
  <w:style w:type="character" w:customStyle="1" w:styleId="FooterChar">
    <w:name w:val="Footer Char"/>
    <w:aliases w:val="3_G Char"/>
    <w:link w:val="Footer"/>
    <w:uiPriority w:val="99"/>
    <w:rsid w:val="00C65166"/>
    <w:rPr>
      <w:sz w:val="16"/>
      <w:lang w:val="fr-CH" w:eastAsia="en-US"/>
    </w:rPr>
  </w:style>
  <w:style w:type="character" w:customStyle="1" w:styleId="CommentTextChar2">
    <w:name w:val="Comment Text Char2"/>
    <w:link w:val="CommentText"/>
    <w:uiPriority w:val="99"/>
    <w:rsid w:val="00C65166"/>
    <w:rPr>
      <w:lang w:eastAsia="en-US"/>
    </w:rPr>
  </w:style>
  <w:style w:type="character" w:customStyle="1" w:styleId="CommentSubjectChar">
    <w:name w:val="Comment Subject Char"/>
    <w:link w:val="CommentSubject"/>
    <w:uiPriority w:val="99"/>
    <w:rsid w:val="00C65166"/>
    <w:rPr>
      <w:b/>
      <w:bCs/>
      <w:lang w:eastAsia="en-US"/>
    </w:rPr>
  </w:style>
  <w:style w:type="paragraph" w:customStyle="1" w:styleId="nfasissutil1">
    <w:name w:val="Énfasis sutil1"/>
    <w:basedOn w:val="Normal"/>
    <w:qFormat/>
    <w:rsid w:val="00C65166"/>
    <w:pPr>
      <w:suppressAutoHyphens w:val="0"/>
      <w:spacing w:line="240" w:lineRule="auto"/>
      <w:ind w:left="720"/>
      <w:contextualSpacing/>
    </w:pPr>
    <w:rPr>
      <w:sz w:val="24"/>
      <w:szCs w:val="24"/>
    </w:rPr>
  </w:style>
  <w:style w:type="character" w:customStyle="1" w:styleId="EndnoteTextChar">
    <w:name w:val="Endnote Text Char"/>
    <w:aliases w:val="2_G Char"/>
    <w:link w:val="EndnoteText"/>
    <w:rsid w:val="00C65166"/>
    <w:rPr>
      <w:sz w:val="18"/>
      <w:lang w:val="fr-CH" w:eastAsia="en-US"/>
    </w:rPr>
  </w:style>
  <w:style w:type="paragraph" w:customStyle="1" w:styleId="Encabezadodetabladecontenido">
    <w:name w:val="Encabezado de tabla de contenido"/>
    <w:basedOn w:val="Heading1"/>
    <w:next w:val="Normal"/>
    <w:unhideWhenUsed/>
    <w:qFormat/>
    <w:rsid w:val="00C65166"/>
    <w:pPr>
      <w:suppressAutoHyphens w:val="0"/>
      <w:spacing w:before="480" w:line="276" w:lineRule="auto"/>
      <w:ind w:left="0"/>
      <w:outlineLvl w:val="9"/>
    </w:pPr>
    <w:rPr>
      <w:rFonts w:ascii="Cambria" w:hAnsi="Cambria"/>
      <w:b/>
      <w:bCs/>
      <w:color w:val="365F91"/>
      <w:sz w:val="28"/>
      <w:szCs w:val="28"/>
      <w:lang w:val="en-US"/>
    </w:rPr>
  </w:style>
  <w:style w:type="paragraph" w:styleId="TOC1">
    <w:name w:val="toc 1"/>
    <w:basedOn w:val="Normal"/>
    <w:next w:val="Normal"/>
    <w:autoRedefine/>
    <w:uiPriority w:val="39"/>
    <w:unhideWhenUsed/>
    <w:rsid w:val="00C65166"/>
    <w:pPr>
      <w:tabs>
        <w:tab w:val="right" w:leader="dot" w:pos="9350"/>
      </w:tabs>
      <w:suppressAutoHyphens w:val="0"/>
      <w:spacing w:line="276" w:lineRule="auto"/>
      <w:ind w:left="709" w:hanging="709"/>
    </w:pPr>
    <w:rPr>
      <w:sz w:val="24"/>
      <w:szCs w:val="24"/>
    </w:rPr>
  </w:style>
  <w:style w:type="paragraph" w:styleId="TOC2">
    <w:name w:val="toc 2"/>
    <w:basedOn w:val="Normal"/>
    <w:next w:val="Normal"/>
    <w:autoRedefine/>
    <w:uiPriority w:val="39"/>
    <w:unhideWhenUsed/>
    <w:rsid w:val="00C65166"/>
    <w:pPr>
      <w:tabs>
        <w:tab w:val="left" w:pos="709"/>
        <w:tab w:val="right" w:leader="dot" w:pos="9350"/>
      </w:tabs>
      <w:suppressAutoHyphens w:val="0"/>
      <w:spacing w:line="276" w:lineRule="auto"/>
    </w:pPr>
    <w:rPr>
      <w:sz w:val="24"/>
      <w:szCs w:val="24"/>
    </w:rPr>
  </w:style>
  <w:style w:type="character" w:customStyle="1" w:styleId="Ttulodelibro">
    <w:name w:val="Título de libro"/>
    <w:uiPriority w:val="33"/>
    <w:qFormat/>
    <w:rsid w:val="00C65166"/>
    <w:rPr>
      <w:b/>
      <w:bCs/>
      <w:smallCaps/>
      <w:spacing w:val="5"/>
    </w:rPr>
  </w:style>
  <w:style w:type="paragraph" w:customStyle="1" w:styleId="nfasisintenso1">
    <w:name w:val="Énfasis intenso1"/>
    <w:basedOn w:val="Normal"/>
    <w:next w:val="Normal"/>
    <w:link w:val="nfasisintensoCar"/>
    <w:uiPriority w:val="29"/>
    <w:qFormat/>
    <w:rsid w:val="00C65166"/>
    <w:pPr>
      <w:suppressAutoHyphens w:val="0"/>
      <w:spacing w:after="200" w:line="276" w:lineRule="auto"/>
    </w:pPr>
    <w:rPr>
      <w:rFonts w:ascii="Calibri" w:eastAsia="Calibri" w:hAnsi="Calibri"/>
      <w:i/>
      <w:iCs/>
      <w:color w:val="000000"/>
      <w:sz w:val="22"/>
      <w:szCs w:val="22"/>
      <w:lang w:val="en-US"/>
    </w:rPr>
  </w:style>
  <w:style w:type="character" w:customStyle="1" w:styleId="nfasisintensoCar">
    <w:name w:val="Énfasis intenso Car"/>
    <w:link w:val="nfasisintenso1"/>
    <w:uiPriority w:val="29"/>
    <w:rsid w:val="00C65166"/>
    <w:rPr>
      <w:rFonts w:ascii="Calibri" w:eastAsia="Calibri" w:hAnsi="Calibri"/>
      <w:i/>
      <w:iCs/>
      <w:color w:val="000000"/>
      <w:sz w:val="22"/>
      <w:szCs w:val="22"/>
      <w:lang w:val="en-US" w:eastAsia="en-US"/>
    </w:rPr>
  </w:style>
  <w:style w:type="character" w:customStyle="1" w:styleId="SingleTxtGChar">
    <w:name w:val="_ Single Txt_G Char"/>
    <w:link w:val="SingleTxtG"/>
    <w:uiPriority w:val="99"/>
    <w:rsid w:val="00EF623B"/>
    <w:rPr>
      <w:lang w:val="fr-CH" w:eastAsia="en-US"/>
    </w:rPr>
  </w:style>
  <w:style w:type="paragraph" w:customStyle="1" w:styleId="Char">
    <w:name w:val=" Char"/>
    <w:basedOn w:val="Normal"/>
    <w:rsid w:val="001760EF"/>
    <w:pPr>
      <w:suppressAutoHyphens w:val="0"/>
      <w:spacing w:after="160" w:line="240" w:lineRule="exact"/>
    </w:pPr>
    <w:rPr>
      <w:rFonts w:ascii="Arial" w:hAnsi="Arial" w:cs="Arial"/>
      <w:lang w:val="en-US"/>
    </w:rPr>
  </w:style>
  <w:style w:type="character" w:customStyle="1" w:styleId="Heading3Char">
    <w:name w:val="Heading 3 Char"/>
    <w:link w:val="Heading3"/>
    <w:locked/>
    <w:rsid w:val="001760EF"/>
    <w:rPr>
      <w:lang w:val="fr-CH" w:eastAsia="en-US"/>
    </w:rPr>
  </w:style>
  <w:style w:type="character" w:customStyle="1" w:styleId="pubt">
    <w:name w:val="pubt"/>
    <w:rsid w:val="001760EF"/>
    <w:rPr>
      <w:rFonts w:ascii="Verdana" w:hAnsi="Verdana"/>
      <w:i/>
    </w:rPr>
  </w:style>
  <w:style w:type="character" w:customStyle="1" w:styleId="Hyperlink13">
    <w:name w:val="Hyperlink13"/>
    <w:rsid w:val="001760EF"/>
    <w:rPr>
      <w:color w:val="003399"/>
      <w:u w:val="single"/>
    </w:rPr>
  </w:style>
  <w:style w:type="paragraph" w:customStyle="1" w:styleId="Car1">
    <w:name w:val="Car1"/>
    <w:basedOn w:val="Normal"/>
    <w:rsid w:val="001760EF"/>
    <w:pPr>
      <w:widowControl w:val="0"/>
      <w:suppressAutoHyphens w:val="0"/>
      <w:adjustRightInd w:val="0"/>
      <w:spacing w:after="160" w:line="240" w:lineRule="exact"/>
      <w:jc w:val="both"/>
      <w:textAlignment w:val="baseline"/>
    </w:pPr>
    <w:rPr>
      <w:rFonts w:ascii="Verdana" w:hAnsi="Verdana"/>
      <w:lang w:val="en-CA" w:eastAsia="en-CA"/>
    </w:rPr>
  </w:style>
  <w:style w:type="character" w:customStyle="1" w:styleId="CommentTextChar1">
    <w:name w:val="Comment Text Char1"/>
    <w:rsid w:val="001760EF"/>
    <w:rPr>
      <w:lang w:eastAsia="en-US"/>
    </w:rPr>
  </w:style>
  <w:style w:type="character" w:customStyle="1" w:styleId="apple-converted-space">
    <w:name w:val="apple-converted-space"/>
    <w:rsid w:val="001760EF"/>
  </w:style>
  <w:style w:type="character" w:customStyle="1" w:styleId="A5">
    <w:name w:val="A5"/>
    <w:rsid w:val="001760EF"/>
    <w:rPr>
      <w:color w:val="000000"/>
      <w:sz w:val="58"/>
    </w:rPr>
  </w:style>
  <w:style w:type="paragraph" w:customStyle="1" w:styleId="Paragraphs">
    <w:name w:val="Paragraphs"/>
    <w:link w:val="ParagraphsChar2"/>
    <w:rsid w:val="001760EF"/>
    <w:pPr>
      <w:widowControl w:val="0"/>
      <w:adjustRightInd w:val="0"/>
      <w:spacing w:after="240" w:line="360" w:lineRule="auto"/>
      <w:jc w:val="both"/>
      <w:textAlignment w:val="baseline"/>
    </w:pPr>
    <w:rPr>
      <w:sz w:val="24"/>
      <w:lang w:val="en-GB"/>
    </w:rPr>
  </w:style>
  <w:style w:type="character" w:customStyle="1" w:styleId="ParagraphsChar2">
    <w:name w:val="Paragraphs Char2"/>
    <w:link w:val="Paragraphs"/>
    <w:rsid w:val="001760EF"/>
    <w:rPr>
      <w:sz w:val="24"/>
      <w:lang w:val="en-GB" w:eastAsia="en-US" w:bidi="ar-SA"/>
    </w:rPr>
  </w:style>
  <w:style w:type="paragraph" w:customStyle="1" w:styleId="DissentingOpinionHeader">
    <w:name w:val="Dissenting Opinion Header"/>
    <w:basedOn w:val="Heading1"/>
    <w:rsid w:val="001760EF"/>
    <w:pPr>
      <w:keepLines w:val="0"/>
      <w:widowControl w:val="0"/>
      <w:suppressAutoHyphens w:val="0"/>
      <w:adjustRightInd w:val="0"/>
      <w:spacing w:after="360" w:line="360" w:lineRule="atLeast"/>
      <w:ind w:left="0"/>
      <w:jc w:val="center"/>
      <w:textAlignment w:val="baseline"/>
    </w:pPr>
    <w:rPr>
      <w:b/>
      <w:caps/>
      <w:kern w:val="28"/>
      <w:sz w:val="24"/>
      <w:szCs w:val="26"/>
      <w:lang w:val="en-GB"/>
    </w:rPr>
  </w:style>
  <w:style w:type="paragraph" w:customStyle="1" w:styleId="FootnoteText100">
    <w:name w:val="Footnote Text 100+"/>
    <w:basedOn w:val="FootnoteText"/>
    <w:link w:val="FootnoteText100Char1"/>
    <w:rsid w:val="001760EF"/>
    <w:pPr>
      <w:widowControl w:val="0"/>
      <w:tabs>
        <w:tab w:val="clear" w:pos="1021"/>
      </w:tabs>
      <w:suppressAutoHyphens w:val="0"/>
      <w:kinsoku/>
      <w:overflowPunct/>
      <w:autoSpaceDE/>
      <w:autoSpaceDN/>
      <w:snapToGrid/>
      <w:spacing w:after="40" w:line="360" w:lineRule="atLeast"/>
      <w:ind w:left="216" w:right="0" w:hanging="216"/>
      <w:jc w:val="both"/>
      <w:textAlignment w:val="baseline"/>
    </w:pPr>
    <w:rPr>
      <w:rFonts w:eastAsia="Times New Roman"/>
      <w:sz w:val="20"/>
      <w:lang w:val="en-GB" w:eastAsia="en-US"/>
    </w:rPr>
  </w:style>
  <w:style w:type="character" w:customStyle="1" w:styleId="FootnoteText100Char1">
    <w:name w:val="Footnote Text 100+ Char1"/>
    <w:link w:val="FootnoteText100"/>
    <w:rsid w:val="001760EF"/>
    <w:rPr>
      <w:lang w:val="en-GB" w:eastAsia="en-US"/>
    </w:rPr>
  </w:style>
  <w:style w:type="paragraph" w:customStyle="1" w:styleId="JudgementNumberedParagraph">
    <w:name w:val="Judgement Numbered Paragraph"/>
    <w:basedOn w:val="Normal"/>
    <w:rsid w:val="001760EF"/>
    <w:pPr>
      <w:widowControl w:val="0"/>
      <w:numPr>
        <w:ilvl w:val="3"/>
        <w:numId w:val="22"/>
      </w:numPr>
      <w:tabs>
        <w:tab w:val="clear" w:pos="2880"/>
      </w:tabs>
      <w:suppressAutoHyphens w:val="0"/>
      <w:adjustRightInd w:val="0"/>
      <w:spacing w:after="240" w:line="360" w:lineRule="auto"/>
      <w:ind w:left="0" w:firstLine="0"/>
      <w:jc w:val="both"/>
      <w:textAlignment w:val="baseline"/>
    </w:pPr>
    <w:rPr>
      <w:sz w:val="24"/>
      <w:szCs w:val="24"/>
    </w:rPr>
  </w:style>
  <w:style w:type="paragraph" w:styleId="TOC4">
    <w:name w:val="toc 4"/>
    <w:basedOn w:val="Normal"/>
    <w:next w:val="Normal"/>
    <w:autoRedefine/>
    <w:rsid w:val="001760EF"/>
    <w:pPr>
      <w:widowControl w:val="0"/>
      <w:suppressAutoHyphens w:val="0"/>
      <w:adjustRightInd w:val="0"/>
      <w:spacing w:line="360" w:lineRule="atLeast"/>
      <w:ind w:left="720"/>
      <w:jc w:val="both"/>
      <w:textAlignment w:val="baseline"/>
    </w:pPr>
    <w:rPr>
      <w:sz w:val="18"/>
      <w:szCs w:val="18"/>
    </w:rPr>
  </w:style>
  <w:style w:type="paragraph" w:styleId="TOC5">
    <w:name w:val="toc 5"/>
    <w:basedOn w:val="Normal"/>
    <w:next w:val="Normal"/>
    <w:autoRedefine/>
    <w:rsid w:val="001760EF"/>
    <w:pPr>
      <w:widowControl w:val="0"/>
      <w:suppressAutoHyphens w:val="0"/>
      <w:adjustRightInd w:val="0"/>
      <w:spacing w:line="360" w:lineRule="atLeast"/>
      <w:ind w:left="960"/>
      <w:jc w:val="both"/>
      <w:textAlignment w:val="baseline"/>
    </w:pPr>
    <w:rPr>
      <w:sz w:val="18"/>
      <w:szCs w:val="18"/>
    </w:rPr>
  </w:style>
  <w:style w:type="paragraph" w:styleId="TOC6">
    <w:name w:val="toc 6"/>
    <w:basedOn w:val="Normal"/>
    <w:next w:val="Normal"/>
    <w:autoRedefine/>
    <w:rsid w:val="001760EF"/>
    <w:pPr>
      <w:widowControl w:val="0"/>
      <w:suppressAutoHyphens w:val="0"/>
      <w:adjustRightInd w:val="0"/>
      <w:spacing w:line="360" w:lineRule="atLeast"/>
      <w:ind w:left="1200"/>
      <w:jc w:val="both"/>
      <w:textAlignment w:val="baseline"/>
    </w:pPr>
    <w:rPr>
      <w:sz w:val="18"/>
      <w:szCs w:val="18"/>
    </w:rPr>
  </w:style>
  <w:style w:type="paragraph" w:styleId="TOC7">
    <w:name w:val="toc 7"/>
    <w:basedOn w:val="Normal"/>
    <w:next w:val="Normal"/>
    <w:autoRedefine/>
    <w:rsid w:val="001760EF"/>
    <w:pPr>
      <w:widowControl w:val="0"/>
      <w:suppressAutoHyphens w:val="0"/>
      <w:adjustRightInd w:val="0"/>
      <w:spacing w:line="360" w:lineRule="atLeast"/>
      <w:ind w:left="1440"/>
      <w:jc w:val="both"/>
      <w:textAlignment w:val="baseline"/>
    </w:pPr>
    <w:rPr>
      <w:sz w:val="18"/>
      <w:szCs w:val="18"/>
    </w:rPr>
  </w:style>
  <w:style w:type="paragraph" w:styleId="TOC8">
    <w:name w:val="toc 8"/>
    <w:basedOn w:val="Normal"/>
    <w:next w:val="Normal"/>
    <w:autoRedefine/>
    <w:rsid w:val="001760EF"/>
    <w:pPr>
      <w:widowControl w:val="0"/>
      <w:suppressAutoHyphens w:val="0"/>
      <w:adjustRightInd w:val="0"/>
      <w:spacing w:line="360" w:lineRule="atLeast"/>
      <w:ind w:left="1680"/>
      <w:jc w:val="both"/>
      <w:textAlignment w:val="baseline"/>
    </w:pPr>
    <w:rPr>
      <w:sz w:val="18"/>
      <w:szCs w:val="18"/>
    </w:rPr>
  </w:style>
  <w:style w:type="paragraph" w:customStyle="1" w:styleId="Quotation">
    <w:name w:val="Quotation"/>
    <w:basedOn w:val="Normal"/>
    <w:rsid w:val="001760EF"/>
    <w:pPr>
      <w:widowControl w:val="0"/>
      <w:suppressAutoHyphens w:val="0"/>
      <w:adjustRightInd w:val="0"/>
      <w:spacing w:after="240" w:line="360" w:lineRule="atLeast"/>
      <w:ind w:left="720" w:right="991"/>
      <w:jc w:val="both"/>
      <w:textAlignment w:val="baseline"/>
    </w:pPr>
    <w:rPr>
      <w:sz w:val="22"/>
    </w:rPr>
  </w:style>
  <w:style w:type="character" w:customStyle="1" w:styleId="QuotationChar">
    <w:name w:val="Quotation Char"/>
    <w:rsid w:val="001760EF"/>
    <w:rPr>
      <w:sz w:val="22"/>
      <w:lang w:val="en-GB" w:eastAsia="en-US" w:bidi="ar-SA"/>
    </w:rPr>
  </w:style>
  <w:style w:type="paragraph" w:customStyle="1" w:styleId="StyleHeading1JudgementHeading1JudgementHeading1112pt">
    <w:name w:val="Style Heading 1Judgement Heading 1Judgement Heading 11 + 12 pt"/>
    <w:basedOn w:val="Heading1"/>
    <w:rsid w:val="001760EF"/>
    <w:pPr>
      <w:keepLines w:val="0"/>
      <w:widowControl w:val="0"/>
      <w:suppressAutoHyphens w:val="0"/>
      <w:adjustRightInd w:val="0"/>
      <w:spacing w:after="360" w:line="360" w:lineRule="atLeast"/>
      <w:ind w:left="0"/>
      <w:jc w:val="center"/>
      <w:textAlignment w:val="baseline"/>
    </w:pPr>
    <w:rPr>
      <w:b/>
      <w:bCs/>
      <w:caps/>
      <w:kern w:val="28"/>
      <w:sz w:val="24"/>
      <w:szCs w:val="26"/>
      <w:lang w:val="en-GB"/>
    </w:rPr>
  </w:style>
  <w:style w:type="paragraph" w:customStyle="1" w:styleId="DissentingOpinonHeader">
    <w:name w:val="Dissenting Opinon Header"/>
    <w:basedOn w:val="Heading1"/>
    <w:rsid w:val="001760EF"/>
    <w:pPr>
      <w:keepLines w:val="0"/>
      <w:widowControl w:val="0"/>
      <w:suppressAutoHyphens w:val="0"/>
      <w:adjustRightInd w:val="0"/>
      <w:spacing w:after="360" w:line="360" w:lineRule="atLeast"/>
      <w:ind w:left="0"/>
      <w:jc w:val="center"/>
      <w:textAlignment w:val="baseline"/>
    </w:pPr>
    <w:rPr>
      <w:b/>
      <w:caps/>
      <w:kern w:val="28"/>
      <w:sz w:val="24"/>
      <w:szCs w:val="26"/>
      <w:lang w:val="en-GB"/>
    </w:rPr>
  </w:style>
  <w:style w:type="paragraph" w:customStyle="1" w:styleId="NumberedParagraph">
    <w:name w:val="Numbered Paragraph"/>
    <w:basedOn w:val="Normal"/>
    <w:link w:val="NumberedParagraphChar"/>
    <w:rsid w:val="001760EF"/>
    <w:pPr>
      <w:widowControl w:val="0"/>
      <w:numPr>
        <w:numId w:val="23"/>
      </w:numPr>
      <w:tabs>
        <w:tab w:val="left" w:pos="720"/>
      </w:tabs>
      <w:suppressAutoHyphens w:val="0"/>
      <w:adjustRightInd w:val="0"/>
      <w:spacing w:after="240" w:line="360" w:lineRule="auto"/>
      <w:jc w:val="both"/>
      <w:textAlignment w:val="baseline"/>
    </w:pPr>
    <w:rPr>
      <w:sz w:val="24"/>
      <w:szCs w:val="24"/>
    </w:rPr>
  </w:style>
  <w:style w:type="paragraph" w:customStyle="1" w:styleId="FootnoteQuotation">
    <w:name w:val="Footnote Quotation"/>
    <w:basedOn w:val="FootnoteText"/>
    <w:rsid w:val="001760EF"/>
    <w:pPr>
      <w:widowControl w:val="0"/>
      <w:tabs>
        <w:tab w:val="clear" w:pos="1021"/>
      </w:tabs>
      <w:suppressAutoHyphens w:val="0"/>
      <w:kinsoku/>
      <w:overflowPunct/>
      <w:autoSpaceDE/>
      <w:autoSpaceDN/>
      <w:snapToGrid/>
      <w:spacing w:after="40" w:line="360" w:lineRule="atLeast"/>
      <w:ind w:left="360" w:right="271" w:firstLine="0"/>
      <w:jc w:val="both"/>
      <w:textAlignment w:val="baseline"/>
    </w:pPr>
    <w:rPr>
      <w:rFonts w:eastAsia="Times New Roman"/>
      <w:sz w:val="19"/>
      <w:lang w:val="en-GB" w:eastAsia="en-US"/>
    </w:rPr>
  </w:style>
  <w:style w:type="paragraph" w:customStyle="1" w:styleId="AfterBlockQuote">
    <w:name w:val="After Block Quote"/>
    <w:basedOn w:val="Normal"/>
    <w:rsid w:val="001760EF"/>
    <w:pPr>
      <w:widowControl w:val="0"/>
      <w:suppressAutoHyphens w:val="0"/>
      <w:adjustRightInd w:val="0"/>
      <w:spacing w:after="240" w:line="360" w:lineRule="auto"/>
      <w:jc w:val="both"/>
      <w:textAlignment w:val="baseline"/>
    </w:pPr>
    <w:rPr>
      <w:sz w:val="24"/>
      <w:szCs w:val="24"/>
    </w:rPr>
  </w:style>
  <w:style w:type="paragraph" w:customStyle="1" w:styleId="QuotationNumberedList">
    <w:name w:val="Quotation Numbered List"/>
    <w:basedOn w:val="Quotation"/>
    <w:rsid w:val="001760EF"/>
    <w:pPr>
      <w:spacing w:after="120"/>
      <w:ind w:left="1200" w:right="994" w:hanging="480"/>
    </w:pPr>
  </w:style>
  <w:style w:type="paragraph" w:customStyle="1" w:styleId="JudgementNumberedPre-Quote">
    <w:name w:val="Judgement Numbered Pre-Quote"/>
    <w:basedOn w:val="JudgementNumberedParagraph"/>
    <w:rsid w:val="001760EF"/>
    <w:pPr>
      <w:spacing w:after="120"/>
    </w:pPr>
  </w:style>
  <w:style w:type="paragraph" w:styleId="TOC9">
    <w:name w:val="toc 9"/>
    <w:basedOn w:val="Normal"/>
    <w:next w:val="Normal"/>
    <w:autoRedefine/>
    <w:rsid w:val="001760EF"/>
    <w:pPr>
      <w:widowControl w:val="0"/>
      <w:suppressAutoHyphens w:val="0"/>
      <w:adjustRightInd w:val="0"/>
      <w:spacing w:line="360" w:lineRule="atLeast"/>
      <w:ind w:left="1920"/>
      <w:jc w:val="both"/>
      <w:textAlignment w:val="baseline"/>
    </w:pPr>
    <w:rPr>
      <w:sz w:val="18"/>
      <w:szCs w:val="18"/>
    </w:rPr>
  </w:style>
  <w:style w:type="paragraph" w:customStyle="1" w:styleId="Disposub-para">
    <w:name w:val="Dispo sub-para"/>
    <w:basedOn w:val="JudgementNumberedParagraph"/>
    <w:rsid w:val="001760EF"/>
    <w:pPr>
      <w:numPr>
        <w:ilvl w:val="0"/>
        <w:numId w:val="0"/>
      </w:numPr>
      <w:tabs>
        <w:tab w:val="num" w:pos="720"/>
      </w:tabs>
      <w:spacing w:line="240" w:lineRule="auto"/>
      <w:ind w:left="720" w:hanging="450"/>
    </w:pPr>
    <w:rPr>
      <w:szCs w:val="20"/>
    </w:rPr>
  </w:style>
  <w:style w:type="paragraph" w:customStyle="1" w:styleId="Disposub-sub-para">
    <w:name w:val="Dispo sub-sub-para"/>
    <w:basedOn w:val="JudgementNumberedParagraph"/>
    <w:rsid w:val="001760EF"/>
    <w:pPr>
      <w:numPr>
        <w:ilvl w:val="0"/>
        <w:numId w:val="0"/>
      </w:numPr>
      <w:tabs>
        <w:tab w:val="num" w:pos="1260"/>
      </w:tabs>
      <w:spacing w:line="240" w:lineRule="auto"/>
      <w:ind w:left="1260" w:hanging="270"/>
    </w:pPr>
  </w:style>
  <w:style w:type="paragraph" w:customStyle="1" w:styleId="StyleNumberedParagraphAfter6pt">
    <w:name w:val="Style Numbered Paragraph + After:  6 pt"/>
    <w:basedOn w:val="NumberedParagraph"/>
    <w:rsid w:val="001760EF"/>
    <w:pPr>
      <w:tabs>
        <w:tab w:val="clear" w:pos="360"/>
      </w:tabs>
      <w:spacing w:after="120"/>
    </w:pPr>
    <w:rPr>
      <w:szCs w:val="20"/>
    </w:rPr>
  </w:style>
  <w:style w:type="paragraph" w:customStyle="1" w:styleId="StyleNumberedParagraphAfter6pt1">
    <w:name w:val="Style Numbered Paragraph + After:  6 pt1"/>
    <w:basedOn w:val="NumberedParagraph"/>
    <w:rsid w:val="001760EF"/>
    <w:pPr>
      <w:spacing w:after="120"/>
    </w:pPr>
    <w:rPr>
      <w:szCs w:val="20"/>
    </w:rPr>
  </w:style>
  <w:style w:type="paragraph" w:customStyle="1" w:styleId="StyleNumberedParagraphAfter6pt2">
    <w:name w:val="Style Numbered Paragraph + After:  6 pt2"/>
    <w:basedOn w:val="NumberedParagraph"/>
    <w:rsid w:val="001760EF"/>
    <w:pPr>
      <w:tabs>
        <w:tab w:val="clear" w:pos="360"/>
        <w:tab w:val="clear" w:pos="720"/>
      </w:tabs>
      <w:spacing w:after="120"/>
    </w:pPr>
    <w:rPr>
      <w:szCs w:val="20"/>
    </w:rPr>
  </w:style>
  <w:style w:type="paragraph" w:customStyle="1" w:styleId="StyleNumberedParagraphAfter6pt3">
    <w:name w:val="Style Numbered Paragraph + After:  6 pt3"/>
    <w:basedOn w:val="NumberedParagraph"/>
    <w:rsid w:val="001760EF"/>
    <w:pPr>
      <w:numPr>
        <w:numId w:val="24"/>
      </w:numPr>
      <w:tabs>
        <w:tab w:val="clear" w:pos="720"/>
      </w:tabs>
      <w:spacing w:after="120"/>
      <w:ind w:left="360" w:hanging="360"/>
    </w:pPr>
    <w:rPr>
      <w:szCs w:val="20"/>
    </w:rPr>
  </w:style>
  <w:style w:type="paragraph" w:customStyle="1" w:styleId="CarattereCharCarattereCharCarattere">
    <w:name w:val="Carattere Char Carattere Char Carattere"/>
    <w:basedOn w:val="Normal"/>
    <w:rsid w:val="001760EF"/>
    <w:pPr>
      <w:widowControl w:val="0"/>
      <w:suppressAutoHyphens w:val="0"/>
      <w:adjustRightInd w:val="0"/>
      <w:spacing w:after="160" w:line="240" w:lineRule="exact"/>
      <w:jc w:val="both"/>
      <w:textAlignment w:val="baseline"/>
    </w:pPr>
    <w:rPr>
      <w:rFonts w:ascii="Arial" w:hAnsi="Arial" w:cs="Arial"/>
      <w:lang w:val="en-US"/>
    </w:rPr>
  </w:style>
  <w:style w:type="paragraph" w:customStyle="1" w:styleId="StyleHeaderHanging3">
    <w:name w:val="Style Header Hanging 3&quot;"/>
    <w:basedOn w:val="Header"/>
    <w:rsid w:val="001760EF"/>
    <w:pPr>
      <w:widowControl w:val="0"/>
      <w:pBdr>
        <w:bottom w:val="none" w:sz="0" w:space="0" w:color="auto"/>
      </w:pBdr>
      <w:tabs>
        <w:tab w:val="left" w:pos="4320"/>
        <w:tab w:val="right" w:pos="8640"/>
      </w:tabs>
      <w:suppressAutoHyphens w:val="0"/>
      <w:adjustRightInd w:val="0"/>
      <w:spacing w:line="360" w:lineRule="atLeast"/>
      <w:ind w:left="4320" w:hanging="4320"/>
      <w:jc w:val="both"/>
      <w:textAlignment w:val="baseline"/>
    </w:pPr>
    <w:rPr>
      <w:rFonts w:ascii="TimesPP" w:eastAsia="MS Mincho" w:hAnsi="TimesPP"/>
      <w:b w:val="0"/>
      <w:sz w:val="24"/>
      <w:lang w:val="en-GB" w:eastAsia="zh-CN"/>
    </w:rPr>
  </w:style>
  <w:style w:type="paragraph" w:customStyle="1" w:styleId="CharChar1CharCharChar1">
    <w:name w:val="Char Char1 Char Char Char1"/>
    <w:basedOn w:val="Normal"/>
    <w:rsid w:val="001760EF"/>
    <w:pPr>
      <w:widowControl w:val="0"/>
      <w:suppressAutoHyphens w:val="0"/>
      <w:adjustRightInd w:val="0"/>
      <w:spacing w:after="160" w:line="240" w:lineRule="exact"/>
      <w:jc w:val="both"/>
      <w:textAlignment w:val="baseline"/>
    </w:pPr>
    <w:rPr>
      <w:rFonts w:ascii="Arial" w:hAnsi="Arial" w:cs="Arial"/>
      <w:lang w:val="en-US"/>
    </w:rPr>
  </w:style>
  <w:style w:type="paragraph" w:customStyle="1" w:styleId="Char2Char1CharCharCharChar">
    <w:name w:val="Char2 Char1 Char Char Char Char"/>
    <w:basedOn w:val="Normal"/>
    <w:rsid w:val="001760EF"/>
    <w:pPr>
      <w:widowControl w:val="0"/>
      <w:suppressAutoHyphens w:val="0"/>
      <w:adjustRightInd w:val="0"/>
      <w:spacing w:after="160" w:line="240" w:lineRule="exact"/>
      <w:jc w:val="both"/>
      <w:textAlignment w:val="baseline"/>
    </w:pPr>
    <w:rPr>
      <w:rFonts w:ascii="Arial" w:hAnsi="Arial" w:cs="Arial"/>
      <w:lang w:val="en-US"/>
    </w:rPr>
  </w:style>
  <w:style w:type="paragraph" w:customStyle="1" w:styleId="style9">
    <w:name w:val="style9"/>
    <w:basedOn w:val="Normal"/>
    <w:rsid w:val="001760EF"/>
    <w:pPr>
      <w:widowControl w:val="0"/>
      <w:suppressAutoHyphens w:val="0"/>
      <w:adjustRightInd w:val="0"/>
      <w:spacing w:before="100" w:beforeAutospacing="1" w:after="100" w:afterAutospacing="1" w:line="360" w:lineRule="atLeast"/>
      <w:jc w:val="both"/>
      <w:textAlignment w:val="baseline"/>
    </w:pPr>
    <w:rPr>
      <w:rFonts w:ascii="Verdana" w:hAnsi="Verdana"/>
      <w:color w:val="555555"/>
      <w:sz w:val="17"/>
      <w:szCs w:val="17"/>
      <w:lang w:eastAsia="en-GB"/>
    </w:rPr>
  </w:style>
  <w:style w:type="paragraph" w:customStyle="1" w:styleId="style4">
    <w:name w:val="style4"/>
    <w:basedOn w:val="Normal"/>
    <w:rsid w:val="001760EF"/>
    <w:pPr>
      <w:widowControl w:val="0"/>
      <w:suppressAutoHyphens w:val="0"/>
      <w:adjustRightInd w:val="0"/>
      <w:spacing w:before="100" w:beforeAutospacing="1" w:after="100" w:afterAutospacing="1" w:line="360" w:lineRule="atLeast"/>
      <w:jc w:val="both"/>
      <w:textAlignment w:val="baseline"/>
    </w:pPr>
    <w:rPr>
      <w:sz w:val="17"/>
      <w:szCs w:val="17"/>
      <w:lang w:val="en-US"/>
    </w:rPr>
  </w:style>
  <w:style w:type="paragraph" w:customStyle="1" w:styleId="Pa10">
    <w:name w:val="Pa10"/>
    <w:basedOn w:val="Normal"/>
    <w:next w:val="Normal"/>
    <w:rsid w:val="001760EF"/>
    <w:pPr>
      <w:widowControl w:val="0"/>
      <w:suppressAutoHyphens w:val="0"/>
      <w:autoSpaceDE w:val="0"/>
      <w:autoSpaceDN w:val="0"/>
      <w:adjustRightInd w:val="0"/>
      <w:spacing w:before="100" w:after="100" w:line="241" w:lineRule="atLeast"/>
      <w:jc w:val="both"/>
      <w:textAlignment w:val="baseline"/>
    </w:pPr>
    <w:rPr>
      <w:rFonts w:ascii="Cochin LT Std" w:hAnsi="Cochin LT Std"/>
      <w:sz w:val="24"/>
      <w:szCs w:val="24"/>
      <w:lang w:val="en-US"/>
    </w:rPr>
  </w:style>
  <w:style w:type="paragraph" w:customStyle="1" w:styleId="Cuadrculamulticolor-nfasis6">
    <w:name w:val="Cuadrícula multicolor - Énfasis 6"/>
    <w:hidden/>
    <w:uiPriority w:val="99"/>
    <w:semiHidden/>
    <w:rsid w:val="001760EF"/>
    <w:pPr>
      <w:widowControl w:val="0"/>
      <w:adjustRightInd w:val="0"/>
      <w:spacing w:line="360" w:lineRule="atLeast"/>
      <w:jc w:val="both"/>
      <w:textAlignment w:val="baseline"/>
    </w:pPr>
    <w:rPr>
      <w:sz w:val="24"/>
      <w:lang w:val="en-GB"/>
    </w:rPr>
  </w:style>
  <w:style w:type="table" w:customStyle="1" w:styleId="LightShading1">
    <w:name w:val="Light Shading1"/>
    <w:basedOn w:val="TableNormal"/>
    <w:rsid w:val="001760EF"/>
    <w:rPr>
      <w:rFonts w:ascii="Calibri" w:eastAsia="Calibri" w:hAnsi="Calibri"/>
      <w:color w:val="000000"/>
      <w:sz w:val="22"/>
      <w:szCs w:val="22"/>
      <w:lang w:val="en-I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21">
    <w:name w:val="Medium List 21"/>
    <w:basedOn w:val="TableNormal"/>
    <w:rsid w:val="001760EF"/>
    <w:rPr>
      <w:rFonts w:ascii="Cambria" w:hAnsi="Cambria"/>
      <w:color w:val="000000"/>
      <w:lang w:val="en-IE" w:eastAsia="en-IE"/>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Pa8">
    <w:name w:val="Pa8"/>
    <w:basedOn w:val="Default"/>
    <w:next w:val="Default"/>
    <w:rsid w:val="001760EF"/>
    <w:pPr>
      <w:spacing w:line="241" w:lineRule="atLeast"/>
    </w:pPr>
    <w:rPr>
      <w:rFonts w:ascii="Cochin LT Std" w:hAnsi="Cochin LT Std" w:cs="Times New Roman"/>
      <w:color w:val="auto"/>
      <w:lang w:val="en-IE" w:eastAsia="en-IE" w:bidi="ar-SA"/>
    </w:rPr>
  </w:style>
  <w:style w:type="paragraph" w:customStyle="1" w:styleId="Pa9">
    <w:name w:val="Pa9"/>
    <w:basedOn w:val="Default"/>
    <w:next w:val="Default"/>
    <w:rsid w:val="001760EF"/>
    <w:pPr>
      <w:spacing w:line="241" w:lineRule="atLeast"/>
    </w:pPr>
    <w:rPr>
      <w:rFonts w:ascii="Cochin LT Std" w:hAnsi="Cochin LT Std" w:cs="Times New Roman"/>
      <w:color w:val="auto"/>
      <w:lang w:val="en-IE" w:eastAsia="en-IE" w:bidi="ar-SA"/>
    </w:rPr>
  </w:style>
  <w:style w:type="character" w:customStyle="1" w:styleId="A2">
    <w:name w:val="A2"/>
    <w:rsid w:val="001760EF"/>
    <w:rPr>
      <w:rFonts w:cs="Cochin LT Std"/>
      <w:color w:val="000000"/>
      <w:sz w:val="20"/>
      <w:szCs w:val="20"/>
    </w:rPr>
  </w:style>
  <w:style w:type="paragraph" w:customStyle="1" w:styleId="Pa12">
    <w:name w:val="Pa12"/>
    <w:basedOn w:val="Default"/>
    <w:next w:val="Default"/>
    <w:rsid w:val="001760EF"/>
    <w:pPr>
      <w:spacing w:line="241" w:lineRule="atLeast"/>
    </w:pPr>
    <w:rPr>
      <w:rFonts w:ascii="Cochin LT Std" w:hAnsi="Cochin LT Std" w:cs="Times New Roman"/>
      <w:color w:val="auto"/>
      <w:lang w:val="en-IE" w:eastAsia="en-IE" w:bidi="ar-SA"/>
    </w:rPr>
  </w:style>
  <w:style w:type="paragraph" w:customStyle="1" w:styleId="Pa60">
    <w:name w:val="Pa60"/>
    <w:basedOn w:val="Default"/>
    <w:next w:val="Default"/>
    <w:rsid w:val="001760EF"/>
    <w:pPr>
      <w:spacing w:line="241" w:lineRule="atLeast"/>
    </w:pPr>
    <w:rPr>
      <w:rFonts w:ascii="Cochin LT Std" w:hAnsi="Cochin LT Std" w:cs="Times New Roman"/>
      <w:color w:val="auto"/>
      <w:lang w:val="en-IE" w:eastAsia="en-IE" w:bidi="ar-SA"/>
    </w:rPr>
  </w:style>
  <w:style w:type="character" w:customStyle="1" w:styleId="PlainTextChar">
    <w:name w:val="Plain Text Char"/>
    <w:link w:val="PlainText"/>
    <w:semiHidden/>
    <w:rsid w:val="001760EF"/>
    <w:rPr>
      <w:rFonts w:cs="Courier New"/>
      <w:lang w:val="en-GB" w:eastAsia="en-US"/>
    </w:rPr>
  </w:style>
  <w:style w:type="character" w:customStyle="1" w:styleId="Heading5Char">
    <w:name w:val="Heading 5 Char"/>
    <w:link w:val="Heading5"/>
    <w:uiPriority w:val="9"/>
    <w:rsid w:val="001760EF"/>
    <w:rPr>
      <w:lang w:val="fr-CH" w:eastAsia="en-US"/>
    </w:rPr>
  </w:style>
  <w:style w:type="character" w:customStyle="1" w:styleId="Heading6Char">
    <w:name w:val="Heading 6 Char"/>
    <w:link w:val="Heading6"/>
    <w:rsid w:val="001760EF"/>
    <w:rPr>
      <w:lang w:val="fr-CH" w:eastAsia="en-US"/>
    </w:rPr>
  </w:style>
  <w:style w:type="character" w:customStyle="1" w:styleId="Heading7Char">
    <w:name w:val="Heading 7 Char"/>
    <w:link w:val="Heading7"/>
    <w:rsid w:val="001760EF"/>
    <w:rPr>
      <w:lang w:val="fr-CH" w:eastAsia="en-US"/>
    </w:rPr>
  </w:style>
  <w:style w:type="character" w:customStyle="1" w:styleId="Heading8Char">
    <w:name w:val="Heading 8 Char"/>
    <w:link w:val="Heading8"/>
    <w:rsid w:val="001760EF"/>
    <w:rPr>
      <w:lang w:val="fr-CH" w:eastAsia="en-US"/>
    </w:rPr>
  </w:style>
  <w:style w:type="character" w:customStyle="1" w:styleId="Heading9Char">
    <w:name w:val="Heading 9 Char"/>
    <w:aliases w:val="Judgement Heading 9 Char,Judgement Heading 91 Char"/>
    <w:link w:val="Heading9"/>
    <w:rsid w:val="001760EF"/>
    <w:rPr>
      <w:lang w:val="fr-CH" w:eastAsia="en-US"/>
    </w:rPr>
  </w:style>
  <w:style w:type="paragraph" w:styleId="DocumentMap">
    <w:name w:val="Document Map"/>
    <w:basedOn w:val="Normal"/>
    <w:link w:val="DocumentMapChar"/>
    <w:rsid w:val="001760EF"/>
    <w:pPr>
      <w:shd w:val="clear" w:color="auto" w:fill="000080"/>
    </w:pPr>
    <w:rPr>
      <w:rFonts w:ascii="Tahoma" w:hAnsi="Tahoma"/>
    </w:rPr>
  </w:style>
  <w:style w:type="character" w:customStyle="1" w:styleId="DocumentMapChar">
    <w:name w:val="Document Map Char"/>
    <w:link w:val="DocumentMap"/>
    <w:rsid w:val="001760EF"/>
    <w:rPr>
      <w:rFonts w:ascii="Tahoma" w:hAnsi="Tahoma" w:cs="Tahoma"/>
      <w:shd w:val="clear" w:color="auto" w:fill="000080"/>
      <w:lang w:val="en-GB" w:eastAsia="en-US"/>
    </w:rPr>
  </w:style>
  <w:style w:type="character" w:customStyle="1" w:styleId="5GCarcterCarcter">
    <w:name w:val="5_G Carácter Carácter"/>
    <w:locked/>
    <w:rsid w:val="001760EF"/>
    <w:rPr>
      <w:sz w:val="18"/>
      <w:lang w:val="en-GB" w:eastAsia="en-US"/>
    </w:rPr>
  </w:style>
  <w:style w:type="character" w:customStyle="1" w:styleId="hps">
    <w:name w:val="hps"/>
    <w:uiPriority w:val="99"/>
    <w:rsid w:val="001760EF"/>
  </w:style>
  <w:style w:type="paragraph" w:customStyle="1" w:styleId="singletxtg0">
    <w:name w:val="singletxtg"/>
    <w:basedOn w:val="Normal"/>
    <w:uiPriority w:val="99"/>
    <w:rsid w:val="001760EF"/>
    <w:pPr>
      <w:suppressAutoHyphens w:val="0"/>
      <w:spacing w:line="240" w:lineRule="auto"/>
    </w:pPr>
    <w:rPr>
      <w:sz w:val="24"/>
      <w:szCs w:val="24"/>
      <w:lang w:val="pt-PT" w:eastAsia="pt-PT"/>
    </w:rPr>
  </w:style>
  <w:style w:type="character" w:customStyle="1" w:styleId="BodyTextIndentChar">
    <w:name w:val="Body Text Indent Char"/>
    <w:link w:val="BodyTextIndent"/>
    <w:uiPriority w:val="99"/>
    <w:rsid w:val="001760EF"/>
    <w:rPr>
      <w:lang w:val="en-GB" w:eastAsia="en-US"/>
    </w:rPr>
  </w:style>
  <w:style w:type="character" w:customStyle="1" w:styleId="BodyTextIndent2Char">
    <w:name w:val="Body Text Indent 2 Char"/>
    <w:link w:val="BodyTextIndent2"/>
    <w:uiPriority w:val="99"/>
    <w:rsid w:val="001760EF"/>
    <w:rPr>
      <w:lang w:val="en-GB" w:eastAsia="en-US"/>
    </w:rPr>
  </w:style>
  <w:style w:type="character" w:customStyle="1" w:styleId="BodyTextIndent3Char">
    <w:name w:val="Body Text Indent 3 Char"/>
    <w:link w:val="BodyTextIndent3"/>
    <w:uiPriority w:val="99"/>
    <w:semiHidden/>
    <w:rsid w:val="001760EF"/>
    <w:rPr>
      <w:sz w:val="16"/>
      <w:szCs w:val="16"/>
      <w:lang w:val="en-GB" w:eastAsia="en-US"/>
    </w:rPr>
  </w:style>
  <w:style w:type="paragraph" w:customStyle="1" w:styleId="Tekstpodstawowy21">
    <w:name w:val="Tekst podstawowy 21"/>
    <w:basedOn w:val="Normal"/>
    <w:uiPriority w:val="99"/>
    <w:rsid w:val="001760EF"/>
    <w:pPr>
      <w:suppressAutoHyphens w:val="0"/>
      <w:overflowPunct w:val="0"/>
      <w:autoSpaceDE w:val="0"/>
      <w:autoSpaceDN w:val="0"/>
      <w:adjustRightInd w:val="0"/>
      <w:spacing w:line="360" w:lineRule="auto"/>
      <w:jc w:val="both"/>
      <w:textAlignment w:val="baseline"/>
    </w:pPr>
    <w:rPr>
      <w:color w:val="000000"/>
      <w:sz w:val="24"/>
      <w:u w:val="single"/>
      <w:lang w:eastAsia="pl-PL"/>
    </w:rPr>
  </w:style>
  <w:style w:type="paragraph" w:customStyle="1" w:styleId="a">
    <w:name w:val="Знак Знак Знак"/>
    <w:basedOn w:val="Normal"/>
    <w:uiPriority w:val="99"/>
    <w:rsid w:val="001760EF"/>
    <w:pPr>
      <w:suppressAutoHyphens w:val="0"/>
      <w:spacing w:line="360" w:lineRule="auto"/>
      <w:jc w:val="both"/>
    </w:pPr>
    <w:rPr>
      <w:rFonts w:ascii="Verdana" w:hAnsi="Verdana"/>
      <w:color w:val="000000"/>
      <w:u w:val="single"/>
      <w:lang w:val="en-US"/>
    </w:rPr>
  </w:style>
  <w:style w:type="character" w:customStyle="1" w:styleId="st1">
    <w:name w:val="st1"/>
    <w:rsid w:val="001760EF"/>
    <w:rPr>
      <w:rFonts w:cs="Times New Roman"/>
    </w:rPr>
  </w:style>
  <w:style w:type="character" w:customStyle="1" w:styleId="postbody">
    <w:name w:val="postbody"/>
    <w:rsid w:val="001760EF"/>
  </w:style>
  <w:style w:type="character" w:customStyle="1" w:styleId="st">
    <w:name w:val="st"/>
    <w:rsid w:val="001760EF"/>
  </w:style>
  <w:style w:type="character" w:customStyle="1" w:styleId="Domylnaczcionkaakapitu1">
    <w:name w:val="Domyślna czcionka akapitu1"/>
    <w:rsid w:val="001760EF"/>
  </w:style>
  <w:style w:type="paragraph" w:customStyle="1" w:styleId="Heading">
    <w:name w:val="Heading"/>
    <w:basedOn w:val="Normal"/>
    <w:next w:val="BodyText"/>
    <w:rsid w:val="001760EF"/>
    <w:pPr>
      <w:keepNext/>
      <w:spacing w:before="240" w:after="120" w:line="360" w:lineRule="auto"/>
      <w:jc w:val="both"/>
    </w:pPr>
    <w:rPr>
      <w:rFonts w:ascii="Arial" w:eastAsia="SimSun" w:hAnsi="Arial" w:cs="Mangal"/>
      <w:color w:val="000000"/>
      <w:sz w:val="28"/>
      <w:szCs w:val="28"/>
      <w:u w:val="single"/>
      <w:lang w:eastAsia="zh-CN"/>
    </w:rPr>
  </w:style>
  <w:style w:type="paragraph" w:customStyle="1" w:styleId="Index">
    <w:name w:val="Index"/>
    <w:basedOn w:val="Normal"/>
    <w:rsid w:val="001760EF"/>
    <w:pPr>
      <w:suppressLineNumbers/>
      <w:spacing w:line="360" w:lineRule="auto"/>
      <w:jc w:val="both"/>
    </w:pPr>
    <w:rPr>
      <w:rFonts w:cs="Mangal"/>
      <w:color w:val="000000"/>
      <w:sz w:val="24"/>
      <w:u w:val="single"/>
      <w:lang w:eastAsia="zh-CN"/>
    </w:rPr>
  </w:style>
  <w:style w:type="paragraph" w:customStyle="1" w:styleId="TableContents">
    <w:name w:val="Table Contents"/>
    <w:basedOn w:val="Normal"/>
    <w:rsid w:val="001760EF"/>
    <w:pPr>
      <w:suppressLineNumbers/>
      <w:spacing w:line="360" w:lineRule="auto"/>
      <w:jc w:val="both"/>
    </w:pPr>
    <w:rPr>
      <w:color w:val="000000"/>
      <w:sz w:val="24"/>
      <w:u w:val="single"/>
      <w:lang w:eastAsia="zh-CN"/>
    </w:rPr>
  </w:style>
  <w:style w:type="character" w:customStyle="1" w:styleId="WW8Num2z0">
    <w:name w:val="WW8Num2z0"/>
    <w:rsid w:val="001760EF"/>
    <w:rPr>
      <w:rFonts w:ascii="Wingdings 2" w:hAnsi="Wingdings 2" w:cs="OpenSymbol"/>
    </w:rPr>
  </w:style>
  <w:style w:type="character" w:customStyle="1" w:styleId="WW8Num2z1">
    <w:name w:val="WW8Num2z1"/>
    <w:rsid w:val="001760EF"/>
    <w:rPr>
      <w:rFonts w:ascii="OpenSymbol" w:hAnsi="OpenSymbol"/>
    </w:rPr>
  </w:style>
  <w:style w:type="character" w:customStyle="1" w:styleId="WW8Num7z0">
    <w:name w:val="WW8Num7z0"/>
    <w:rsid w:val="001760EF"/>
    <w:rPr>
      <w:rFonts w:ascii="Symbol" w:hAnsi="Symbol" w:cs="OpenSymbol"/>
    </w:rPr>
  </w:style>
  <w:style w:type="character" w:customStyle="1" w:styleId="WW8Num8z0">
    <w:name w:val="WW8Num8z0"/>
    <w:rsid w:val="001760EF"/>
    <w:rPr>
      <w:rFonts w:ascii="Symbol" w:hAnsi="Symbol" w:cs="OpenSymbol"/>
    </w:rPr>
  </w:style>
  <w:style w:type="character" w:customStyle="1" w:styleId="WW8Num9z0">
    <w:name w:val="WW8Num9z0"/>
    <w:rsid w:val="001760EF"/>
    <w:rPr>
      <w:rFonts w:ascii="Symbol" w:hAnsi="Symbol" w:cs="OpenSymbol"/>
    </w:rPr>
  </w:style>
  <w:style w:type="character" w:customStyle="1" w:styleId="WW8Num10z0">
    <w:name w:val="WW8Num10z0"/>
    <w:rsid w:val="001760EF"/>
    <w:rPr>
      <w:rFonts w:ascii="Symbol" w:hAnsi="Symbol" w:cs="OpenSymbol"/>
    </w:rPr>
  </w:style>
  <w:style w:type="character" w:customStyle="1" w:styleId="WW8Num11z0">
    <w:name w:val="WW8Num11z0"/>
    <w:rsid w:val="001760EF"/>
    <w:rPr>
      <w:rFonts w:ascii="Symbol" w:hAnsi="Symbol" w:cs="OpenSymbol"/>
    </w:rPr>
  </w:style>
  <w:style w:type="character" w:customStyle="1" w:styleId="WW8Num12z0">
    <w:name w:val="WW8Num12z0"/>
    <w:rsid w:val="001760EF"/>
    <w:rPr>
      <w:rFonts w:ascii="Symbol" w:hAnsi="Symbol" w:cs="OpenSymbol"/>
    </w:rPr>
  </w:style>
  <w:style w:type="character" w:customStyle="1" w:styleId="WW8Num13z0">
    <w:name w:val="WW8Num13z0"/>
    <w:rsid w:val="001760EF"/>
    <w:rPr>
      <w:rFonts w:ascii="Symbol" w:hAnsi="Symbol" w:cs="OpenSymbol"/>
    </w:rPr>
  </w:style>
  <w:style w:type="character" w:customStyle="1" w:styleId="WW8Num14z0">
    <w:name w:val="WW8Num14z0"/>
    <w:rsid w:val="001760EF"/>
    <w:rPr>
      <w:rFonts w:ascii="Symbol" w:hAnsi="Symbol" w:cs="OpenSymbol"/>
    </w:rPr>
  </w:style>
  <w:style w:type="character" w:customStyle="1" w:styleId="WW8Num15z0">
    <w:name w:val="WW8Num15z0"/>
    <w:rsid w:val="001760EF"/>
    <w:rPr>
      <w:rFonts w:ascii="Symbol" w:hAnsi="Symbol" w:cs="OpenSymbol"/>
    </w:rPr>
  </w:style>
  <w:style w:type="character" w:customStyle="1" w:styleId="WW8Num16z0">
    <w:name w:val="WW8Num16z0"/>
    <w:rsid w:val="001760EF"/>
    <w:rPr>
      <w:rFonts w:ascii="Symbol" w:hAnsi="Symbol" w:cs="OpenSymbol"/>
    </w:rPr>
  </w:style>
  <w:style w:type="character" w:customStyle="1" w:styleId="WW8Num17z0">
    <w:name w:val="WW8Num17z0"/>
    <w:rsid w:val="001760EF"/>
    <w:rPr>
      <w:rFonts w:ascii="Symbol" w:hAnsi="Symbol" w:cs="OpenSymbol"/>
    </w:rPr>
  </w:style>
  <w:style w:type="character" w:customStyle="1" w:styleId="WW8Num18z0">
    <w:name w:val="WW8Num18z0"/>
    <w:rsid w:val="001760EF"/>
    <w:rPr>
      <w:rFonts w:ascii="Symbol" w:hAnsi="Symbol" w:cs="OpenSymbol"/>
    </w:rPr>
  </w:style>
  <w:style w:type="character" w:customStyle="1" w:styleId="WW8Num19z0">
    <w:name w:val="WW8Num19z0"/>
    <w:rsid w:val="001760EF"/>
    <w:rPr>
      <w:rFonts w:ascii="Symbol" w:hAnsi="Symbol" w:cs="OpenSymbol"/>
    </w:rPr>
  </w:style>
  <w:style w:type="character" w:customStyle="1" w:styleId="WW8Num20z0">
    <w:name w:val="WW8Num20z0"/>
    <w:rsid w:val="001760EF"/>
    <w:rPr>
      <w:rFonts w:ascii="Symbol" w:hAnsi="Symbol" w:cs="OpenSymbol"/>
    </w:rPr>
  </w:style>
  <w:style w:type="character" w:customStyle="1" w:styleId="WW8Num20z1">
    <w:name w:val="WW8Num20z1"/>
    <w:rsid w:val="001760EF"/>
    <w:rPr>
      <w:rFonts w:ascii="OpenSymbol" w:hAnsi="OpenSymbol" w:cs="OpenSymbol"/>
    </w:rPr>
  </w:style>
  <w:style w:type="character" w:customStyle="1" w:styleId="WW8Num21z0">
    <w:name w:val="WW8Num21z0"/>
    <w:rsid w:val="001760EF"/>
    <w:rPr>
      <w:rFonts w:ascii="Symbol" w:hAnsi="Symbol" w:cs="OpenSymbol"/>
    </w:rPr>
  </w:style>
  <w:style w:type="character" w:customStyle="1" w:styleId="WW8Num21z1">
    <w:name w:val="WW8Num21z1"/>
    <w:rsid w:val="001760EF"/>
    <w:rPr>
      <w:rFonts w:ascii="OpenSymbol" w:hAnsi="OpenSymbol" w:cs="OpenSymbol"/>
    </w:rPr>
  </w:style>
  <w:style w:type="character" w:customStyle="1" w:styleId="WW8Num23z0">
    <w:name w:val="WW8Num23z0"/>
    <w:rsid w:val="001760EF"/>
    <w:rPr>
      <w:rFonts w:ascii="Symbol" w:hAnsi="Symbol" w:cs="OpenSymbol"/>
    </w:rPr>
  </w:style>
  <w:style w:type="character" w:customStyle="1" w:styleId="WW8Num23z1">
    <w:name w:val="WW8Num23z1"/>
    <w:rsid w:val="001760EF"/>
    <w:rPr>
      <w:rFonts w:ascii="OpenSymbol" w:hAnsi="OpenSymbol" w:cs="OpenSymbol"/>
    </w:rPr>
  </w:style>
  <w:style w:type="character" w:customStyle="1" w:styleId="WW8Num26z0">
    <w:name w:val="WW8Num26z0"/>
    <w:rsid w:val="001760EF"/>
    <w:rPr>
      <w:rFonts w:ascii="Symbol" w:hAnsi="Symbol" w:cs="OpenSymbol"/>
    </w:rPr>
  </w:style>
  <w:style w:type="character" w:customStyle="1" w:styleId="WW8Num26z1">
    <w:name w:val="WW8Num26z1"/>
    <w:rsid w:val="001760EF"/>
    <w:rPr>
      <w:rFonts w:ascii="OpenSymbol" w:hAnsi="OpenSymbol" w:cs="OpenSymbol"/>
    </w:rPr>
  </w:style>
  <w:style w:type="character" w:customStyle="1" w:styleId="WW8Num27z0">
    <w:name w:val="WW8Num27z0"/>
    <w:rsid w:val="001760EF"/>
    <w:rPr>
      <w:rFonts w:ascii="Symbol" w:hAnsi="Symbol" w:cs="OpenSymbol"/>
      <w:b w:val="0"/>
      <w:bCs w:val="0"/>
    </w:rPr>
  </w:style>
  <w:style w:type="character" w:customStyle="1" w:styleId="WW8Num27z1">
    <w:name w:val="WW8Num27z1"/>
    <w:rsid w:val="001760EF"/>
    <w:rPr>
      <w:rFonts w:ascii="OpenSymbol" w:hAnsi="OpenSymbol" w:cs="OpenSymbol"/>
    </w:rPr>
  </w:style>
  <w:style w:type="character" w:customStyle="1" w:styleId="WW8Num28z0">
    <w:name w:val="WW8Num28z0"/>
    <w:rsid w:val="001760EF"/>
    <w:rPr>
      <w:rFonts w:ascii="Symbol" w:hAnsi="Symbol" w:cs="OpenSymbol"/>
    </w:rPr>
  </w:style>
  <w:style w:type="character" w:customStyle="1" w:styleId="WW8Num28z1">
    <w:name w:val="WW8Num28z1"/>
    <w:rsid w:val="001760EF"/>
    <w:rPr>
      <w:rFonts w:ascii="OpenSymbol" w:hAnsi="OpenSymbol" w:cs="OpenSymbol"/>
    </w:rPr>
  </w:style>
  <w:style w:type="character" w:customStyle="1" w:styleId="WW8Num29z0">
    <w:name w:val="WW8Num29z0"/>
    <w:rsid w:val="001760EF"/>
    <w:rPr>
      <w:rFonts w:ascii="Symbol" w:hAnsi="Symbol" w:cs="OpenSymbol"/>
    </w:rPr>
  </w:style>
  <w:style w:type="character" w:customStyle="1" w:styleId="WW8Num29z1">
    <w:name w:val="WW8Num29z1"/>
    <w:rsid w:val="001760EF"/>
    <w:rPr>
      <w:rFonts w:ascii="OpenSymbol" w:hAnsi="OpenSymbol" w:cs="OpenSymbol"/>
    </w:rPr>
  </w:style>
  <w:style w:type="character" w:customStyle="1" w:styleId="WW8Num31z0">
    <w:name w:val="WW8Num31z0"/>
    <w:rsid w:val="001760EF"/>
    <w:rPr>
      <w:rFonts w:ascii="Symbol" w:hAnsi="Symbol" w:cs="OpenSymbol"/>
    </w:rPr>
  </w:style>
  <w:style w:type="character" w:customStyle="1" w:styleId="WW8Num31z1">
    <w:name w:val="WW8Num31z1"/>
    <w:rsid w:val="001760EF"/>
    <w:rPr>
      <w:rFonts w:ascii="OpenSymbol" w:hAnsi="OpenSymbol" w:cs="OpenSymbol"/>
    </w:rPr>
  </w:style>
  <w:style w:type="character" w:customStyle="1" w:styleId="WW8Num32z0">
    <w:name w:val="WW8Num32z0"/>
    <w:rsid w:val="001760EF"/>
    <w:rPr>
      <w:rFonts w:ascii="Symbol" w:hAnsi="Symbol" w:cs="OpenSymbol"/>
    </w:rPr>
  </w:style>
  <w:style w:type="character" w:customStyle="1" w:styleId="WW8Num32z1">
    <w:name w:val="WW8Num32z1"/>
    <w:rsid w:val="001760EF"/>
    <w:rPr>
      <w:rFonts w:ascii="OpenSymbol" w:hAnsi="OpenSymbol" w:cs="OpenSymbol"/>
    </w:rPr>
  </w:style>
  <w:style w:type="character" w:customStyle="1" w:styleId="WW8Num33z0">
    <w:name w:val="WW8Num33z0"/>
    <w:rsid w:val="001760EF"/>
    <w:rPr>
      <w:rFonts w:ascii="Symbol" w:hAnsi="Symbol" w:cs="OpenSymbol"/>
    </w:rPr>
  </w:style>
  <w:style w:type="character" w:customStyle="1" w:styleId="WW8Num33z1">
    <w:name w:val="WW8Num33z1"/>
    <w:rsid w:val="001760EF"/>
    <w:rPr>
      <w:rFonts w:ascii="OpenSymbol" w:hAnsi="OpenSymbol" w:cs="OpenSymbol"/>
    </w:rPr>
  </w:style>
  <w:style w:type="character" w:customStyle="1" w:styleId="WW8Num37z1">
    <w:name w:val="WW8Num37z1"/>
    <w:rsid w:val="001760EF"/>
    <w:rPr>
      <w:rFonts w:ascii="OpenSymbol" w:hAnsi="OpenSymbol" w:cs="OpenSymbol"/>
    </w:rPr>
  </w:style>
  <w:style w:type="character" w:customStyle="1" w:styleId="WW8Num37z3">
    <w:name w:val="WW8Num37z3"/>
    <w:rsid w:val="001760EF"/>
    <w:rPr>
      <w:rFonts w:ascii="Wingdings 2" w:hAnsi="Wingdings 2" w:cs="OpenSymbol"/>
    </w:rPr>
  </w:style>
  <w:style w:type="character" w:customStyle="1" w:styleId="WW8Num38z1">
    <w:name w:val="WW8Num38z1"/>
    <w:rsid w:val="001760EF"/>
    <w:rPr>
      <w:rFonts w:ascii="OpenSymbol" w:hAnsi="OpenSymbol" w:cs="OpenSymbol"/>
    </w:rPr>
  </w:style>
  <w:style w:type="character" w:customStyle="1" w:styleId="WW8Num38z3">
    <w:name w:val="WW8Num38z3"/>
    <w:rsid w:val="001760EF"/>
    <w:rPr>
      <w:rFonts w:ascii="Wingdings 2" w:hAnsi="Wingdings 2" w:cs="OpenSymbol"/>
    </w:rPr>
  </w:style>
  <w:style w:type="character" w:customStyle="1" w:styleId="WW8Num39z1">
    <w:name w:val="WW8Num39z1"/>
    <w:rsid w:val="001760EF"/>
    <w:rPr>
      <w:rFonts w:ascii="OpenSymbol" w:hAnsi="OpenSymbol" w:cs="OpenSymbol"/>
    </w:rPr>
  </w:style>
  <w:style w:type="character" w:customStyle="1" w:styleId="WW8Num39z3">
    <w:name w:val="WW8Num39z3"/>
    <w:rsid w:val="001760EF"/>
    <w:rPr>
      <w:rFonts w:ascii="Wingdings 2" w:hAnsi="Wingdings 2" w:cs="OpenSymbol"/>
    </w:rPr>
  </w:style>
  <w:style w:type="character" w:customStyle="1" w:styleId="WW8Num40z1">
    <w:name w:val="WW8Num40z1"/>
    <w:rsid w:val="001760EF"/>
    <w:rPr>
      <w:rFonts w:ascii="OpenSymbol" w:hAnsi="OpenSymbol" w:cs="OpenSymbol"/>
    </w:rPr>
  </w:style>
  <w:style w:type="character" w:customStyle="1" w:styleId="WW8Num40z3">
    <w:name w:val="WW8Num40z3"/>
    <w:rsid w:val="001760EF"/>
    <w:rPr>
      <w:rFonts w:ascii="Wingdings 2" w:hAnsi="Wingdings 2" w:cs="OpenSymbol"/>
    </w:rPr>
  </w:style>
  <w:style w:type="character" w:customStyle="1" w:styleId="WW8Num41z1">
    <w:name w:val="WW8Num41z1"/>
    <w:rsid w:val="001760EF"/>
    <w:rPr>
      <w:rFonts w:ascii="OpenSymbol" w:hAnsi="OpenSymbol" w:cs="OpenSymbol"/>
    </w:rPr>
  </w:style>
  <w:style w:type="character" w:customStyle="1" w:styleId="WW8Num41z3">
    <w:name w:val="WW8Num41z3"/>
    <w:rsid w:val="001760EF"/>
    <w:rPr>
      <w:rFonts w:ascii="Wingdings 2" w:hAnsi="Wingdings 2" w:cs="OpenSymbol"/>
    </w:rPr>
  </w:style>
  <w:style w:type="character" w:customStyle="1" w:styleId="WW8Num42z0">
    <w:name w:val="WW8Num42z0"/>
    <w:rsid w:val="001760EF"/>
    <w:rPr>
      <w:rFonts w:ascii="Wingdings 2" w:hAnsi="Wingdings 2" w:cs="OpenSymbol"/>
    </w:rPr>
  </w:style>
  <w:style w:type="character" w:customStyle="1" w:styleId="WW8Num42z1">
    <w:name w:val="WW8Num42z1"/>
    <w:rsid w:val="001760EF"/>
    <w:rPr>
      <w:rFonts w:ascii="OpenSymbol" w:hAnsi="OpenSymbol" w:cs="OpenSymbol"/>
    </w:rPr>
  </w:style>
  <w:style w:type="character" w:customStyle="1" w:styleId="WW8Num43z0">
    <w:name w:val="WW8Num43z0"/>
    <w:rsid w:val="001760EF"/>
    <w:rPr>
      <w:rFonts w:ascii="Wingdings 2" w:hAnsi="Wingdings 2" w:cs="OpenSymbol"/>
    </w:rPr>
  </w:style>
  <w:style w:type="character" w:customStyle="1" w:styleId="WW8Num43z1">
    <w:name w:val="WW8Num43z1"/>
    <w:rsid w:val="001760EF"/>
    <w:rPr>
      <w:rFonts w:ascii="OpenSymbol" w:hAnsi="OpenSymbol" w:cs="OpenSymbol"/>
    </w:rPr>
  </w:style>
  <w:style w:type="character" w:customStyle="1" w:styleId="Absatz-Standardschriftart">
    <w:name w:val="Absatz-Standardschriftart"/>
    <w:rsid w:val="001760EF"/>
  </w:style>
  <w:style w:type="character" w:customStyle="1" w:styleId="WW8Num3z0">
    <w:name w:val="WW8Num3z0"/>
    <w:rsid w:val="001760EF"/>
    <w:rPr>
      <w:rFonts w:ascii="Symbol" w:hAnsi="Symbol" w:cs="Symbol"/>
    </w:rPr>
  </w:style>
  <w:style w:type="character" w:customStyle="1" w:styleId="WW8Num4z0">
    <w:name w:val="WW8Num4z0"/>
    <w:rsid w:val="001760EF"/>
    <w:rPr>
      <w:rFonts w:ascii="Symbol" w:hAnsi="Symbol" w:cs="Symbol"/>
    </w:rPr>
  </w:style>
  <w:style w:type="character" w:customStyle="1" w:styleId="WW8Num5z0">
    <w:name w:val="WW8Num5z0"/>
    <w:rsid w:val="001760EF"/>
    <w:rPr>
      <w:rFonts w:ascii="Symbol" w:hAnsi="Symbol" w:cs="OpenSymbol"/>
    </w:rPr>
  </w:style>
  <w:style w:type="character" w:customStyle="1" w:styleId="WW8Num6z0">
    <w:name w:val="WW8Num6z0"/>
    <w:rsid w:val="001760EF"/>
    <w:rPr>
      <w:rFonts w:ascii="Symbol" w:hAnsi="Symbol" w:cs="OpenSymbol"/>
    </w:rPr>
  </w:style>
  <w:style w:type="character" w:customStyle="1" w:styleId="WW8Num16z1">
    <w:name w:val="WW8Num16z1"/>
    <w:rsid w:val="001760EF"/>
    <w:rPr>
      <w:rFonts w:ascii="OpenSymbol" w:hAnsi="OpenSymbol" w:cs="OpenSymbol"/>
    </w:rPr>
  </w:style>
  <w:style w:type="character" w:customStyle="1" w:styleId="WW8Num17z1">
    <w:name w:val="WW8Num17z1"/>
    <w:rsid w:val="001760EF"/>
    <w:rPr>
      <w:rFonts w:ascii="OpenSymbol" w:hAnsi="OpenSymbol" w:cs="OpenSymbol"/>
    </w:rPr>
  </w:style>
  <w:style w:type="character" w:customStyle="1" w:styleId="NumberingSymbols">
    <w:name w:val="Numbering Symbols"/>
    <w:rsid w:val="001760EF"/>
  </w:style>
  <w:style w:type="character" w:customStyle="1" w:styleId="WW8Num18z1">
    <w:name w:val="WW8Num18z1"/>
    <w:rsid w:val="001760EF"/>
    <w:rPr>
      <w:rFonts w:ascii="OpenSymbol" w:hAnsi="OpenSymbol" w:cs="OpenSymbol"/>
    </w:rPr>
  </w:style>
  <w:style w:type="character" w:customStyle="1" w:styleId="charScheduleActAmendText">
    <w:name w:val="charScheduleActAmendText"/>
    <w:rsid w:val="001760EF"/>
  </w:style>
  <w:style w:type="character" w:customStyle="1" w:styleId="charChapterText">
    <w:name w:val="charChapterText"/>
    <w:rsid w:val="001760EF"/>
  </w:style>
  <w:style w:type="character" w:customStyle="1" w:styleId="charDivisionText">
    <w:name w:val="charDivisionText"/>
    <w:rsid w:val="001760EF"/>
  </w:style>
  <w:style w:type="character" w:customStyle="1" w:styleId="WW8Num22z0">
    <w:name w:val="WW8Num22z0"/>
    <w:rsid w:val="001760EF"/>
    <w:rPr>
      <w:rFonts w:ascii="Symbol" w:hAnsi="Symbol" w:cs="OpenSymbol"/>
      <w:b w:val="0"/>
      <w:bCs w:val="0"/>
    </w:rPr>
  </w:style>
  <w:style w:type="character" w:customStyle="1" w:styleId="WW8Num22z1">
    <w:name w:val="WW8Num22z1"/>
    <w:rsid w:val="001760EF"/>
    <w:rPr>
      <w:rFonts w:ascii="OpenSymbol" w:hAnsi="OpenSymbol" w:cs="OpenSymbol"/>
    </w:rPr>
  </w:style>
  <w:style w:type="character" w:customStyle="1" w:styleId="WW8Num24z0">
    <w:name w:val="WW8Num24z0"/>
    <w:rsid w:val="001760EF"/>
    <w:rPr>
      <w:rFonts w:ascii="Symbol" w:hAnsi="Symbol" w:cs="OpenSymbol"/>
    </w:rPr>
  </w:style>
  <w:style w:type="character" w:customStyle="1" w:styleId="WW8Num24z1">
    <w:name w:val="WW8Num24z1"/>
    <w:rsid w:val="001760EF"/>
    <w:rPr>
      <w:rFonts w:ascii="OpenSymbol" w:hAnsi="OpenSymbol" w:cs="OpenSymbol"/>
    </w:rPr>
  </w:style>
  <w:style w:type="character" w:customStyle="1" w:styleId="WW8Num19z1">
    <w:name w:val="WW8Num19z1"/>
    <w:rsid w:val="001760EF"/>
    <w:rPr>
      <w:rFonts w:ascii="OpenSymbol" w:hAnsi="OpenSymbol" w:cs="OpenSymbol"/>
    </w:rPr>
  </w:style>
  <w:style w:type="character" w:customStyle="1" w:styleId="Bullets">
    <w:name w:val="Bullets"/>
    <w:rsid w:val="001760EF"/>
    <w:rPr>
      <w:rFonts w:ascii="OpenSymbol" w:eastAsia="OpenSymbol" w:hAnsi="OpenSymbol" w:cs="OpenSymbol"/>
    </w:rPr>
  </w:style>
  <w:style w:type="paragraph" w:customStyle="1" w:styleId="ContentsHeading">
    <w:name w:val="Contents Heading"/>
    <w:basedOn w:val="Heading"/>
    <w:rsid w:val="001760EF"/>
    <w:pPr>
      <w:widowControl w:val="0"/>
      <w:suppressLineNumbers/>
      <w:jc w:val="left"/>
    </w:pPr>
    <w:rPr>
      <w:rFonts w:ascii="Liberation Sans" w:eastAsia="Droid Sans Fallback" w:hAnsi="Liberation Sans" w:cs="Lohit Hindi"/>
      <w:b/>
      <w:bCs/>
      <w:color w:val="auto"/>
      <w:kern w:val="1"/>
      <w:sz w:val="32"/>
      <w:szCs w:val="32"/>
      <w:u w:val="none"/>
      <w:lang w:val="en-US" w:eastAsia="hi-IN" w:bidi="hi-IN"/>
    </w:rPr>
  </w:style>
  <w:style w:type="paragraph" w:customStyle="1" w:styleId="Tableindexheading">
    <w:name w:val="Table index heading"/>
    <w:basedOn w:val="Heading"/>
    <w:rsid w:val="001760EF"/>
    <w:pPr>
      <w:widowControl w:val="0"/>
      <w:suppressLineNumbers/>
      <w:jc w:val="left"/>
    </w:pPr>
    <w:rPr>
      <w:rFonts w:ascii="Liberation Sans" w:eastAsia="Droid Sans Fallback" w:hAnsi="Liberation Sans" w:cs="Lohit Hindi"/>
      <w:b/>
      <w:bCs/>
      <w:color w:val="auto"/>
      <w:kern w:val="1"/>
      <w:sz w:val="32"/>
      <w:szCs w:val="32"/>
      <w:u w:val="none"/>
      <w:lang w:val="en-US" w:eastAsia="hi-IN" w:bidi="hi-IN"/>
    </w:rPr>
  </w:style>
  <w:style w:type="paragraph" w:customStyle="1" w:styleId="IllustrationIndexHeading">
    <w:name w:val="Illustration Index Heading"/>
    <w:basedOn w:val="Heading"/>
    <w:rsid w:val="001760EF"/>
    <w:pPr>
      <w:widowControl w:val="0"/>
      <w:suppressLineNumbers/>
      <w:jc w:val="left"/>
    </w:pPr>
    <w:rPr>
      <w:rFonts w:ascii="Liberation Sans" w:eastAsia="Droid Sans Fallback" w:hAnsi="Liberation Sans" w:cs="Lohit Hindi"/>
      <w:b/>
      <w:bCs/>
      <w:color w:val="auto"/>
      <w:kern w:val="1"/>
      <w:sz w:val="32"/>
      <w:szCs w:val="32"/>
      <w:u w:val="none"/>
      <w:lang w:val="en-US" w:eastAsia="hi-IN" w:bidi="hi-IN"/>
    </w:rPr>
  </w:style>
  <w:style w:type="paragraph" w:customStyle="1" w:styleId="Table">
    <w:name w:val="Table"/>
    <w:basedOn w:val="Caption"/>
    <w:link w:val="TableChar"/>
    <w:rsid w:val="001760EF"/>
    <w:pPr>
      <w:widowControl w:val="0"/>
      <w:suppressLineNumbers/>
      <w:suppressAutoHyphens/>
      <w:spacing w:before="58" w:after="58" w:line="100" w:lineRule="atLeast"/>
    </w:pPr>
    <w:rPr>
      <w:rFonts w:eastAsia="Droid Sans Fallback" w:cs="Lohit Hindi"/>
      <w:bCs w:val="0"/>
      <w:iCs/>
      <w:kern w:val="1"/>
      <w:sz w:val="24"/>
      <w:szCs w:val="24"/>
      <w:lang w:eastAsia="hi-IN" w:bidi="hi-IN"/>
    </w:rPr>
  </w:style>
  <w:style w:type="paragraph" w:customStyle="1" w:styleId="Tableindex1">
    <w:name w:val="Table index 1"/>
    <w:basedOn w:val="Index"/>
    <w:rsid w:val="001760EF"/>
    <w:pPr>
      <w:widowControl w:val="0"/>
      <w:tabs>
        <w:tab w:val="right" w:leader="dot" w:pos="9972"/>
      </w:tabs>
      <w:spacing w:before="144"/>
      <w:jc w:val="left"/>
    </w:pPr>
    <w:rPr>
      <w:rFonts w:eastAsia="Droid Sans Fallback" w:cs="Lohit Hindi"/>
      <w:color w:val="auto"/>
      <w:kern w:val="1"/>
      <w:szCs w:val="24"/>
      <w:u w:val="none"/>
      <w:lang w:val="en-US" w:eastAsia="hi-IN" w:bidi="hi-IN"/>
    </w:rPr>
  </w:style>
  <w:style w:type="paragraph" w:customStyle="1" w:styleId="Figure">
    <w:name w:val="Figure"/>
    <w:basedOn w:val="Caption"/>
    <w:rsid w:val="001760EF"/>
    <w:pPr>
      <w:widowControl w:val="0"/>
      <w:suppressLineNumbers/>
      <w:suppressAutoHyphens/>
      <w:spacing w:before="58" w:after="58" w:line="100" w:lineRule="atLeast"/>
    </w:pPr>
    <w:rPr>
      <w:rFonts w:eastAsia="Droid Sans Fallback" w:cs="Lohit Hindi"/>
      <w:b w:val="0"/>
      <w:bCs w:val="0"/>
      <w:i/>
      <w:iCs/>
      <w:kern w:val="1"/>
      <w:sz w:val="24"/>
      <w:szCs w:val="24"/>
      <w:lang w:val="en-US" w:eastAsia="hi-IN" w:bidi="hi-IN"/>
    </w:rPr>
  </w:style>
  <w:style w:type="paragraph" w:customStyle="1" w:styleId="TableHeading">
    <w:name w:val="Table Heading"/>
    <w:basedOn w:val="TableContents"/>
    <w:rsid w:val="001760EF"/>
    <w:pPr>
      <w:widowControl w:val="0"/>
      <w:spacing w:line="100" w:lineRule="atLeast"/>
      <w:jc w:val="center"/>
    </w:pPr>
    <w:rPr>
      <w:rFonts w:eastAsia="Droid Sans Fallback" w:cs="Lohit Hindi"/>
      <w:color w:val="auto"/>
      <w:kern w:val="1"/>
      <w:szCs w:val="24"/>
      <w:u w:val="none"/>
      <w:lang w:val="en-US" w:eastAsia="hi-IN" w:bidi="hi-IN"/>
    </w:rPr>
  </w:style>
  <w:style w:type="paragraph" w:customStyle="1" w:styleId="BlankHeader">
    <w:name w:val="BlankHeader"/>
    <w:next w:val="Normal"/>
    <w:rsid w:val="001760EF"/>
    <w:pPr>
      <w:widowControl w:val="0"/>
      <w:suppressAutoHyphens/>
    </w:pPr>
    <w:rPr>
      <w:rFonts w:ascii="Helvetica" w:eastAsia="Arial" w:hAnsi="Helvetica"/>
      <w:vanish/>
      <w:kern w:val="1"/>
      <w:sz w:val="24"/>
      <w:szCs w:val="24"/>
      <w:lang w:val="en-AU" w:eastAsia="ar-SA"/>
    </w:rPr>
  </w:style>
  <w:style w:type="paragraph" w:customStyle="1" w:styleId="Quotations">
    <w:name w:val="Quotations"/>
    <w:basedOn w:val="Normal"/>
    <w:rsid w:val="001760EF"/>
    <w:pPr>
      <w:widowControl w:val="0"/>
      <w:spacing w:after="283" w:line="360" w:lineRule="auto"/>
      <w:ind w:left="567" w:right="567"/>
    </w:pPr>
    <w:rPr>
      <w:rFonts w:eastAsia="Droid Sans Fallback" w:cs="Lohit Hindi"/>
      <w:kern w:val="1"/>
      <w:sz w:val="24"/>
      <w:szCs w:val="24"/>
      <w:lang w:val="en-US" w:eastAsia="hi-IN" w:bidi="hi-IN"/>
    </w:rPr>
  </w:style>
  <w:style w:type="paragraph" w:customStyle="1" w:styleId="Hangingindent">
    <w:name w:val="Hanging indent"/>
    <w:basedOn w:val="BodyText"/>
    <w:rsid w:val="001760EF"/>
    <w:pPr>
      <w:widowControl w:val="0"/>
      <w:spacing w:after="120" w:line="360" w:lineRule="auto"/>
      <w:ind w:hanging="288"/>
    </w:pPr>
    <w:rPr>
      <w:rFonts w:eastAsia="Droid Sans Fallback" w:cs="Lohit Hindi"/>
      <w:kern w:val="1"/>
      <w:sz w:val="24"/>
      <w:szCs w:val="24"/>
      <w:lang w:val="en-US" w:eastAsia="hi-IN" w:bidi="hi-IN"/>
    </w:rPr>
  </w:style>
  <w:style w:type="paragraph" w:customStyle="1" w:styleId="Numbering1">
    <w:name w:val="Numbering 1"/>
    <w:basedOn w:val="List"/>
    <w:rsid w:val="001760EF"/>
    <w:pPr>
      <w:widowControl w:val="0"/>
      <w:spacing w:after="120" w:line="360" w:lineRule="auto"/>
      <w:ind w:left="360" w:hanging="360"/>
    </w:pPr>
    <w:rPr>
      <w:rFonts w:eastAsia="Droid Sans Fallback" w:cs="Lohit Hindi"/>
      <w:kern w:val="1"/>
      <w:sz w:val="24"/>
      <w:szCs w:val="24"/>
      <w:lang w:val="en-US" w:eastAsia="hi-IN" w:bidi="hi-IN"/>
    </w:rPr>
  </w:style>
  <w:style w:type="paragraph" w:customStyle="1" w:styleId="Framecontents">
    <w:name w:val="Frame contents"/>
    <w:basedOn w:val="BodyText"/>
    <w:rsid w:val="001760EF"/>
    <w:pPr>
      <w:widowControl w:val="0"/>
      <w:spacing w:after="120" w:line="360" w:lineRule="auto"/>
    </w:pPr>
    <w:rPr>
      <w:rFonts w:eastAsia="Droid Sans Fallback" w:cs="Lohit Hindi"/>
      <w:kern w:val="1"/>
      <w:sz w:val="24"/>
      <w:szCs w:val="24"/>
      <w:lang w:val="en-US" w:eastAsia="hi-IN" w:bidi="hi-IN"/>
    </w:rPr>
  </w:style>
  <w:style w:type="paragraph" w:customStyle="1" w:styleId="Textbodyquote">
    <w:name w:val="Text body quote"/>
    <w:basedOn w:val="BodyText"/>
    <w:next w:val="Normal"/>
    <w:rsid w:val="001760EF"/>
    <w:pPr>
      <w:widowControl w:val="0"/>
      <w:spacing w:after="120" w:line="100" w:lineRule="atLeast"/>
      <w:ind w:left="1440" w:right="1440" w:firstLine="360"/>
    </w:pPr>
    <w:rPr>
      <w:rFonts w:eastAsia="Droid Sans Fallback" w:cs="Lohit Hindi"/>
      <w:kern w:val="1"/>
      <w:sz w:val="24"/>
      <w:szCs w:val="24"/>
      <w:lang w:val="en-US" w:eastAsia="hi-IN" w:bidi="hi-IN"/>
    </w:rPr>
  </w:style>
  <w:style w:type="paragraph" w:customStyle="1" w:styleId="WW-Default">
    <w:name w:val="WW-Default"/>
    <w:rsid w:val="001760EF"/>
    <w:pPr>
      <w:suppressAutoHyphens/>
      <w:autoSpaceDE w:val="0"/>
    </w:pPr>
    <w:rPr>
      <w:rFonts w:ascii="Arial" w:eastAsia="Arial" w:hAnsi="Arial" w:cs="Arial"/>
      <w:color w:val="000000"/>
      <w:kern w:val="1"/>
      <w:sz w:val="24"/>
      <w:szCs w:val="24"/>
      <w:lang w:eastAsia="ar-SA"/>
    </w:rPr>
  </w:style>
  <w:style w:type="paragraph" w:customStyle="1" w:styleId="HeadingPART">
    <w:name w:val="Heading PART"/>
    <w:basedOn w:val="Heading3"/>
    <w:next w:val="Normal"/>
    <w:rsid w:val="001760EF"/>
    <w:pPr>
      <w:widowControl w:val="0"/>
      <w:spacing w:before="245" w:after="72" w:line="360" w:lineRule="auto"/>
      <w:jc w:val="center"/>
    </w:pPr>
    <w:rPr>
      <w:rFonts w:eastAsia="Droid Sans Fallback" w:cs="Lohit Hindi"/>
      <w:b/>
      <w:kern w:val="1"/>
      <w:sz w:val="24"/>
      <w:szCs w:val="24"/>
      <w:lang w:val="en-US" w:eastAsia="hi-IN" w:bidi="hi-IN"/>
    </w:rPr>
  </w:style>
  <w:style w:type="paragraph" w:customStyle="1" w:styleId="Textbodyquotelists">
    <w:name w:val="Text body quote lists"/>
    <w:basedOn w:val="Textbodyquote"/>
    <w:next w:val="Textbodyquote"/>
    <w:rsid w:val="001760EF"/>
    <w:pPr>
      <w:spacing w:after="0"/>
    </w:pPr>
  </w:style>
  <w:style w:type="paragraph" w:customStyle="1" w:styleId="Defaultlistastyle">
    <w:name w:val="Default list (a) style"/>
    <w:basedOn w:val="Normal"/>
    <w:next w:val="Normal"/>
    <w:rsid w:val="001760EF"/>
    <w:pPr>
      <w:widowControl w:val="0"/>
      <w:spacing w:line="100" w:lineRule="atLeast"/>
    </w:pPr>
    <w:rPr>
      <w:rFonts w:eastAsia="Droid Sans Fallback" w:cs="Lohit Hindi"/>
      <w:kern w:val="1"/>
      <w:sz w:val="24"/>
      <w:szCs w:val="24"/>
      <w:lang w:val="en-US" w:eastAsia="hi-IN" w:bidi="hi-IN"/>
    </w:rPr>
  </w:style>
  <w:style w:type="paragraph" w:customStyle="1" w:styleId="Textbodyquotebullets">
    <w:name w:val="Text body quote bullets"/>
    <w:basedOn w:val="Textbodyquotelists"/>
    <w:next w:val="Textbodyquote"/>
    <w:rsid w:val="001760EF"/>
    <w:pPr>
      <w:numPr>
        <w:numId w:val="2"/>
      </w:numPr>
      <w:ind w:left="0" w:firstLine="360"/>
    </w:pPr>
  </w:style>
  <w:style w:type="paragraph" w:customStyle="1" w:styleId="DefaultLTGliederung1">
    <w:name w:val="Default~LT~Gliederung 1"/>
    <w:rsid w:val="001760EF"/>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rFonts w:ascii="Arial" w:eastAsia="Arial" w:hAnsi="Arial" w:cs="Arial"/>
      <w:color w:val="000000"/>
      <w:kern w:val="1"/>
      <w:sz w:val="64"/>
      <w:szCs w:val="64"/>
      <w:lang w:eastAsia="hi-IN" w:bidi="hi-IN"/>
    </w:rPr>
  </w:style>
  <w:style w:type="paragraph" w:customStyle="1" w:styleId="Contents10">
    <w:name w:val="Contents 10"/>
    <w:basedOn w:val="Index"/>
    <w:rsid w:val="001760EF"/>
    <w:pPr>
      <w:widowControl w:val="0"/>
      <w:tabs>
        <w:tab w:val="right" w:leader="dot" w:pos="7091"/>
      </w:tabs>
      <w:spacing w:before="144"/>
      <w:ind w:left="2547"/>
      <w:jc w:val="left"/>
    </w:pPr>
    <w:rPr>
      <w:rFonts w:eastAsia="Droid Sans Fallback" w:cs="Lohit Hindi"/>
      <w:color w:val="auto"/>
      <w:kern w:val="1"/>
      <w:szCs w:val="24"/>
      <w:u w:val="none"/>
      <w:lang w:val="en-US" w:eastAsia="hi-IN" w:bidi="hi-IN"/>
    </w:rPr>
  </w:style>
  <w:style w:type="paragraph" w:customStyle="1" w:styleId="LightList-Accent61">
    <w:name w:val="Light List - Accent 61"/>
    <w:link w:val="LightList-Accent6Char"/>
    <w:uiPriority w:val="1"/>
    <w:qFormat/>
    <w:rsid w:val="001760EF"/>
    <w:pPr>
      <w:widowControl w:val="0"/>
      <w:suppressAutoHyphens/>
    </w:pPr>
    <w:rPr>
      <w:rFonts w:eastAsia="Droid Sans Fallback" w:cs="Mangal"/>
      <w:kern w:val="1"/>
      <w:sz w:val="24"/>
      <w:szCs w:val="21"/>
      <w:lang w:eastAsia="hi-IN" w:bidi="hi-IN"/>
    </w:rPr>
  </w:style>
  <w:style w:type="character" w:customStyle="1" w:styleId="LightList-Accent6Char">
    <w:name w:val="Light List - Accent 6 Char"/>
    <w:link w:val="LightList-Accent61"/>
    <w:uiPriority w:val="1"/>
    <w:rsid w:val="001760EF"/>
    <w:rPr>
      <w:rFonts w:eastAsia="Droid Sans Fallback" w:cs="Mangal"/>
      <w:kern w:val="1"/>
      <w:sz w:val="24"/>
      <w:szCs w:val="21"/>
      <w:lang w:eastAsia="hi-IN" w:bidi="hi-IN"/>
    </w:rPr>
  </w:style>
  <w:style w:type="paragraph" w:styleId="TableofFigures">
    <w:name w:val="table of figures"/>
    <w:basedOn w:val="Normal"/>
    <w:next w:val="Normal"/>
    <w:uiPriority w:val="99"/>
    <w:unhideWhenUsed/>
    <w:rsid w:val="001760EF"/>
    <w:pPr>
      <w:widowControl w:val="0"/>
      <w:spacing w:before="144" w:line="360" w:lineRule="auto"/>
    </w:pPr>
    <w:rPr>
      <w:rFonts w:eastAsia="Droid Sans Fallback" w:cs="Mangal"/>
      <w:kern w:val="1"/>
      <w:sz w:val="24"/>
      <w:szCs w:val="21"/>
      <w:lang w:val="en-US" w:eastAsia="hi-IN" w:bidi="hi-IN"/>
    </w:rPr>
  </w:style>
  <w:style w:type="paragraph" w:customStyle="1" w:styleId="Source">
    <w:name w:val="Source"/>
    <w:basedOn w:val="Table"/>
    <w:link w:val="SourceChar"/>
    <w:qFormat/>
    <w:rsid w:val="001760EF"/>
    <w:rPr>
      <w:b w:val="0"/>
      <w:i/>
      <w:sz w:val="18"/>
    </w:rPr>
  </w:style>
  <w:style w:type="character" w:customStyle="1" w:styleId="NumberedParagraphChar">
    <w:name w:val="Numbered Paragraph Char"/>
    <w:link w:val="NumberedParagraph"/>
    <w:rsid w:val="001760EF"/>
    <w:rPr>
      <w:sz w:val="24"/>
      <w:szCs w:val="24"/>
      <w:lang w:val="en-GB" w:eastAsia="en-US"/>
    </w:rPr>
  </w:style>
  <w:style w:type="character" w:customStyle="1" w:styleId="CaptionChar">
    <w:name w:val="Caption Char"/>
    <w:link w:val="Caption"/>
    <w:uiPriority w:val="35"/>
    <w:rsid w:val="001760EF"/>
    <w:rPr>
      <w:b/>
      <w:bCs/>
      <w:lang w:val="en-GB" w:eastAsia="en-US"/>
    </w:rPr>
  </w:style>
  <w:style w:type="character" w:customStyle="1" w:styleId="TableChar">
    <w:name w:val="Table Char"/>
    <w:link w:val="Table"/>
    <w:rsid w:val="001760EF"/>
    <w:rPr>
      <w:rFonts w:eastAsia="Droid Sans Fallback" w:cs="Lohit Hindi"/>
      <w:b/>
      <w:iCs/>
      <w:kern w:val="1"/>
      <w:sz w:val="24"/>
      <w:szCs w:val="24"/>
      <w:lang w:eastAsia="hi-IN" w:bidi="hi-IN"/>
    </w:rPr>
  </w:style>
  <w:style w:type="character" w:customStyle="1" w:styleId="SourceChar">
    <w:name w:val="Source Char"/>
    <w:link w:val="Source"/>
    <w:rsid w:val="001760EF"/>
    <w:rPr>
      <w:rFonts w:eastAsia="Droid Sans Fallback" w:cs="Lohit Hindi"/>
      <w:i/>
      <w:iCs/>
      <w:kern w:val="1"/>
      <w:sz w:val="18"/>
      <w:szCs w:val="24"/>
      <w:lang w:eastAsia="hi-IN" w:bidi="hi-IN"/>
    </w:rPr>
  </w:style>
  <w:style w:type="paragraph" w:customStyle="1" w:styleId="NumPara">
    <w:name w:val="Num Para"/>
    <w:basedOn w:val="NumberedParagraph"/>
    <w:link w:val="NumParaChar"/>
    <w:qFormat/>
    <w:rsid w:val="001760EF"/>
    <w:pPr>
      <w:tabs>
        <w:tab w:val="clear" w:pos="360"/>
        <w:tab w:val="clear" w:pos="720"/>
        <w:tab w:val="left" w:pos="709"/>
      </w:tabs>
      <w:suppressAutoHyphens/>
      <w:adjustRightInd/>
      <w:spacing w:before="144" w:after="0"/>
      <w:ind w:left="0" w:firstLine="0"/>
      <w:textAlignment w:val="auto"/>
    </w:pPr>
    <w:rPr>
      <w:rFonts w:eastAsia="Droid Sans Fallback" w:cs="Lohit Hindi"/>
      <w:kern w:val="1"/>
      <w:lang w:eastAsia="hi-IN" w:bidi="hi-IN"/>
    </w:rPr>
  </w:style>
  <w:style w:type="character" w:customStyle="1" w:styleId="NumParaChar">
    <w:name w:val="Num Para Char"/>
    <w:link w:val="NumPara"/>
    <w:rsid w:val="001760EF"/>
    <w:rPr>
      <w:rFonts w:eastAsia="Droid Sans Fallback" w:cs="Lohit Hindi"/>
      <w:kern w:val="1"/>
      <w:sz w:val="24"/>
      <w:szCs w:val="24"/>
      <w:lang w:eastAsia="hi-IN" w:bidi="hi-IN"/>
    </w:rPr>
  </w:style>
  <w:style w:type="character" w:customStyle="1" w:styleId="Sombreadomedio1-nfasis1Car">
    <w:name w:val="Sombreado medio 1 - Énfasis 1 Car"/>
    <w:link w:val="MediumList2-Accent51"/>
    <w:uiPriority w:val="1"/>
    <w:rsid w:val="00B243EF"/>
    <w:rPr>
      <w:rFonts w:eastAsia="Droid Sans Fallback" w:cs="Mangal"/>
      <w:kern w:val="1"/>
      <w:sz w:val="24"/>
      <w:szCs w:val="21"/>
      <w:lang w:eastAsia="hi-IN" w:bidi="hi-IN"/>
    </w:rPr>
  </w:style>
  <w:style w:type="table" w:customStyle="1" w:styleId="MediumList2-Accent51">
    <w:name w:val="Medium List 2 - Accent 51"/>
    <w:basedOn w:val="TableNormal"/>
    <w:link w:val="Sombreadomedio1-nfasis1Car"/>
    <w:uiPriority w:val="1"/>
    <w:rsid w:val="00B243EF"/>
    <w:rPr>
      <w:rFonts w:eastAsia="Droid Sans Fallback" w:cs="Mangal"/>
      <w:kern w:val="1"/>
      <w:sz w:val="24"/>
      <w:szCs w:val="21"/>
      <w:lang w:eastAsia="hi-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Sombreadomedio1-nfasis11">
    <w:name w:val="Sombreado medio 1 - Énfasis 11"/>
    <w:uiPriority w:val="1"/>
    <w:qFormat/>
    <w:rsid w:val="00007930"/>
    <w:pPr>
      <w:widowControl w:val="0"/>
      <w:suppressAutoHyphens/>
    </w:pPr>
    <w:rPr>
      <w:rFonts w:eastAsia="Droid Sans Fallback" w:cs="Mangal"/>
      <w:kern w:val="1"/>
      <w:sz w:val="24"/>
      <w:szCs w:val="21"/>
      <w:lang w:eastAsia="hi-IN" w:bidi="hi-IN"/>
    </w:rPr>
  </w:style>
  <w:style w:type="paragraph" w:customStyle="1" w:styleId="Cuadrculamedia1-nfasis21">
    <w:name w:val="Cuadrícula media 1 - Énfasis 21"/>
    <w:basedOn w:val="Normal"/>
    <w:qFormat/>
    <w:rsid w:val="00914920"/>
    <w:pPr>
      <w:suppressAutoHyphens w:val="0"/>
      <w:spacing w:line="240" w:lineRule="auto"/>
      <w:ind w:left="720"/>
      <w:contextualSpacing/>
    </w:pPr>
    <w:rPr>
      <w:sz w:val="24"/>
      <w:szCs w:val="24"/>
    </w:rPr>
  </w:style>
  <w:style w:type="character" w:customStyle="1" w:styleId="style1">
    <w:name w:val="style1"/>
    <w:rsid w:val="00E421FD"/>
  </w:style>
  <w:style w:type="character" w:customStyle="1" w:styleId="Link">
    <w:name w:val="Link"/>
    <w:rsid w:val="00E421FD"/>
    <w:rPr>
      <w:color w:val="0000FF"/>
      <w:u w:val="single" w:color="0000FF"/>
    </w:rPr>
  </w:style>
  <w:style w:type="character" w:customStyle="1" w:styleId="CommentTextChar">
    <w:name w:val="Comment Text Char"/>
    <w:uiPriority w:val="99"/>
    <w:semiHidden/>
    <w:rsid w:val="00E421FD"/>
    <w:rPr>
      <w:rFonts w:hAnsi="Arial Unicode MS" w:cs="Arial Unicode MS"/>
      <w:color w:val="000000"/>
      <w:u w:color="000000"/>
    </w:rPr>
  </w:style>
  <w:style w:type="character" w:customStyle="1" w:styleId="Hyperlink0">
    <w:name w:val="Hyperlink.0"/>
    <w:rsid w:val="00E421FD"/>
    <w:rPr>
      <w:caps w:val="0"/>
      <w:smallCaps w:val="0"/>
      <w:strike w:val="0"/>
      <w:dstrike w:val="0"/>
      <w:color w:val="0000FF"/>
      <w:spacing w:val="0"/>
      <w:kern w:val="0"/>
      <w:position w:val="0"/>
      <w:sz w:val="18"/>
      <w:szCs w:val="18"/>
      <w:u w:val="single" w:color="0000FF"/>
      <w:vertAlign w:val="baseline"/>
      <w:lang w:val="en-US"/>
    </w:rPr>
  </w:style>
  <w:style w:type="character" w:customStyle="1" w:styleId="Hyperlink1">
    <w:name w:val="Hyperlink.1"/>
    <w:rsid w:val="00E421FD"/>
    <w:rPr>
      <w:caps w:val="0"/>
      <w:smallCaps w:val="0"/>
      <w:strike w:val="0"/>
      <w:dstrike w:val="0"/>
      <w:color w:val="0000CC"/>
      <w:spacing w:val="0"/>
      <w:kern w:val="0"/>
      <w:position w:val="0"/>
      <w:sz w:val="18"/>
      <w:szCs w:val="18"/>
      <w:u w:val="single" w:color="0000CC"/>
      <w:vertAlign w:val="baseline"/>
      <w:lang w:val="en-US"/>
    </w:rPr>
  </w:style>
  <w:style w:type="character" w:customStyle="1" w:styleId="Hyperlink2">
    <w:name w:val="Hyperlink.2"/>
    <w:rsid w:val="00E421FD"/>
    <w:rPr>
      <w:color w:val="0000FF"/>
      <w:u w:val="single" w:color="0000FF"/>
      <w:lang w:val="en-US"/>
    </w:rPr>
  </w:style>
  <w:style w:type="character" w:customStyle="1" w:styleId="Hyperlink4">
    <w:name w:val="Hyperlink.4"/>
    <w:rsid w:val="00E421FD"/>
    <w:rPr>
      <w:caps w:val="0"/>
      <w:smallCaps w:val="0"/>
      <w:strike w:val="0"/>
      <w:dstrike w:val="0"/>
      <w:color w:val="0000FF"/>
      <w:spacing w:val="0"/>
      <w:kern w:val="0"/>
      <w:position w:val="0"/>
      <w:sz w:val="20"/>
      <w:szCs w:val="20"/>
      <w:u w:val="single" w:color="0000FF"/>
      <w:vertAlign w:val="baseline"/>
      <w:lang w:val="en-US"/>
    </w:rPr>
  </w:style>
  <w:style w:type="character" w:customStyle="1" w:styleId="Hyperlink3">
    <w:name w:val="Hyperlink.3"/>
    <w:rsid w:val="00E421FD"/>
    <w:rPr>
      <w:caps w:val="0"/>
      <w:smallCaps w:val="0"/>
      <w:strike w:val="0"/>
      <w:dstrike w:val="0"/>
      <w:color w:val="0000FF"/>
      <w:spacing w:val="0"/>
      <w:kern w:val="0"/>
      <w:position w:val="0"/>
      <w:sz w:val="20"/>
      <w:szCs w:val="20"/>
      <w:u w:val="single" w:color="0000FF"/>
      <w:vertAlign w:val="baseline"/>
      <w:lang w:val="en-US"/>
    </w:rPr>
  </w:style>
  <w:style w:type="character" w:customStyle="1" w:styleId="BalloonTextChar1">
    <w:name w:val="Balloon Text Char1"/>
    <w:rsid w:val="00E421FD"/>
    <w:rPr>
      <w:rFonts w:ascii="Tahoma" w:hAnsi="Tahoma" w:cs="Tahoma"/>
      <w:sz w:val="16"/>
      <w:szCs w:val="16"/>
      <w:lang w:eastAsia="en-US"/>
    </w:rPr>
  </w:style>
  <w:style w:type="paragraph" w:customStyle="1" w:styleId="HeaderFooter">
    <w:name w:val="Header &amp; Footer"/>
    <w:rsid w:val="00E421FD"/>
    <w:pPr>
      <w:tabs>
        <w:tab w:val="right" w:pos="9020"/>
      </w:tabs>
    </w:pPr>
    <w:rPr>
      <w:rFonts w:ascii="Helvetica" w:eastAsia="Arial Unicode MS" w:hAnsi="Arial Unicode MS" w:cs="Arial Unicode MS"/>
      <w:color w:val="000000"/>
      <w:sz w:val="24"/>
      <w:szCs w:val="24"/>
    </w:rPr>
  </w:style>
  <w:style w:type="character" w:customStyle="1" w:styleId="CommentSubjectChar1">
    <w:name w:val="Comment Subject Char1"/>
    <w:rsid w:val="00E421FD"/>
    <w:rPr>
      <w:b/>
      <w:bCs/>
      <w:lang w:eastAsia="en-US"/>
    </w:rPr>
  </w:style>
  <w:style w:type="paragraph" w:styleId="Revision">
    <w:name w:val="Revision"/>
    <w:uiPriority w:val="99"/>
    <w:semiHidden/>
    <w:rsid w:val="00E421FD"/>
    <w:rPr>
      <w:rFonts w:eastAsia="Arial Unicode MS" w:hAnsi="Arial Unicode MS" w:cs="Arial Unicode MS"/>
      <w:color w:val="000000"/>
      <w:sz w:val="24"/>
      <w:szCs w:val="24"/>
      <w:u w:color="000000"/>
    </w:rPr>
  </w:style>
  <w:style w:type="paragraph" w:styleId="ListParagraph">
    <w:name w:val="List Paragraph"/>
    <w:uiPriority w:val="34"/>
    <w:qFormat/>
    <w:rsid w:val="00E421FD"/>
    <w:pPr>
      <w:ind w:left="720"/>
    </w:pPr>
    <w:rPr>
      <w:rFonts w:eastAsia="Arial Unicode MS" w:hAnsi="Arial Unicode MS" w:cs="Arial Unicode MS"/>
      <w:color w:val="000000"/>
      <w:sz w:val="24"/>
      <w:szCs w:val="24"/>
      <w:u w:color="000000"/>
    </w:rPr>
  </w:style>
  <w:style w:type="paragraph" w:customStyle="1" w:styleId="TableStyle2">
    <w:name w:val="Table Style 2"/>
    <w:rsid w:val="00E421FD"/>
    <w:rPr>
      <w:rFonts w:ascii="Helvetica" w:eastAsia="Helvetica" w:hAnsi="Helvetica" w:cs="Helvetica"/>
      <w:color w:val="000000"/>
    </w:rPr>
  </w:style>
  <w:style w:type="paragraph" w:customStyle="1" w:styleId="BodyA">
    <w:name w:val="Body A"/>
    <w:rsid w:val="00E421FD"/>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eastAsia="en-GB"/>
    </w:rPr>
  </w:style>
  <w:style w:type="paragraph" w:styleId="TOCHeading">
    <w:name w:val="TOC Heading"/>
    <w:basedOn w:val="Heading1"/>
    <w:next w:val="Normal"/>
    <w:uiPriority w:val="39"/>
    <w:semiHidden/>
    <w:unhideWhenUsed/>
    <w:qFormat/>
    <w:rsid w:val="00E421FD"/>
    <w:pPr>
      <w:suppressAutoHyphens w:val="0"/>
      <w:spacing w:before="480" w:line="276" w:lineRule="auto"/>
      <w:ind w:left="0"/>
      <w:outlineLvl w:val="9"/>
    </w:pPr>
    <w:rPr>
      <w:rFonts w:ascii="Cambria" w:hAnsi="Cambria"/>
      <w:b/>
      <w:bCs/>
      <w:color w:val="365F91"/>
      <w:sz w:val="28"/>
      <w:szCs w:val="28"/>
      <w:lang w:val="en-US"/>
    </w:rPr>
  </w:style>
  <w:style w:type="character" w:customStyle="1" w:styleId="fullstoryclass">
    <w:name w:val="fullstory_class"/>
    <w:rsid w:val="00E421FD"/>
  </w:style>
  <w:style w:type="paragraph" w:customStyle="1" w:styleId="Paragraphedeliste1">
    <w:name w:val="Paragraphe de liste1"/>
    <w:basedOn w:val="Normal"/>
    <w:qFormat/>
    <w:rsid w:val="00E421FD"/>
    <w:pPr>
      <w:suppressAutoHyphens w:val="0"/>
      <w:spacing w:after="200" w:line="276" w:lineRule="auto"/>
      <w:ind w:left="720"/>
      <w:contextualSpacing/>
      <w:jc w:val="both"/>
    </w:pPr>
    <w:rPr>
      <w:rFonts w:ascii="Calibri" w:hAnsi="Calibri"/>
      <w:sz w:val="22"/>
      <w:szCs w:val="22"/>
      <w:lang w:val="sw-KE" w:eastAsia="sw-KE"/>
    </w:rPr>
  </w:style>
  <w:style w:type="character" w:customStyle="1" w:styleId="HTMLPreformattedChar">
    <w:name w:val="HTML Preformatted Char"/>
    <w:link w:val="HTMLPreformatted"/>
    <w:rsid w:val="00E421FD"/>
    <w:rPr>
      <w:rFonts w:ascii="Courier New" w:hAnsi="Courier New" w:cs="Courier New"/>
      <w:lang w:val="en-GB" w:eastAsia="en-US"/>
    </w:rPr>
  </w:style>
  <w:style w:type="paragraph" w:customStyle="1" w:styleId="NumberedParagraphs">
    <w:name w:val="Numbered Paragraphs"/>
    <w:basedOn w:val="Normal"/>
    <w:autoRedefine/>
    <w:rsid w:val="00E421FD"/>
    <w:pPr>
      <w:tabs>
        <w:tab w:val="left" w:pos="504"/>
      </w:tabs>
      <w:suppressAutoHyphens w:val="0"/>
      <w:spacing w:before="240" w:after="240" w:line="360" w:lineRule="auto"/>
      <w:jc w:val="both"/>
    </w:pPr>
    <w:rPr>
      <w:sz w:val="24"/>
      <w:szCs w:val="24"/>
    </w:rPr>
  </w:style>
  <w:style w:type="paragraph" w:customStyle="1" w:styleId="StyleBodyTextGaramondLatin11ptComplexItalicCharCharCharCharCharCharCharCharCharCharCharCharCharChar">
    <w:name w:val="Style Body Text + Garamond (Latin) 11 pt (Complex) Italic Char Char Char Char Char Char Char Char Char Char Char Char Char Char"/>
    <w:rsid w:val="00E421FD"/>
    <w:pPr>
      <w:spacing w:after="200" w:line="276" w:lineRule="auto"/>
    </w:pPr>
    <w:rPr>
      <w:rFonts w:ascii="Calibri" w:eastAsia="Calibri" w:hAnsi="Calibri" w:cs="Arial"/>
      <w:sz w:val="22"/>
      <w:szCs w:val="22"/>
    </w:rPr>
  </w:style>
  <w:style w:type="paragraph" w:customStyle="1" w:styleId="GovernmentCitations">
    <w:name w:val="Government Citations"/>
    <w:basedOn w:val="Normal"/>
    <w:rsid w:val="00E421FD"/>
    <w:pPr>
      <w:suppressAutoHyphens w:val="0"/>
      <w:spacing w:line="240" w:lineRule="auto"/>
      <w:ind w:left="720" w:right="720"/>
      <w:jc w:val="both"/>
    </w:pPr>
    <w:rPr>
      <w:szCs w:val="24"/>
    </w:rPr>
  </w:style>
</w:styles>
</file>

<file path=word/webSettings.xml><?xml version="1.0" encoding="utf-8"?>
<w:webSettings xmlns:r="http://schemas.openxmlformats.org/officeDocument/2006/relationships" xmlns:w="http://schemas.openxmlformats.org/wordprocessingml/2006/main">
  <w:divs>
    <w:div w:id="1642073761">
      <w:bodyDiv w:val="1"/>
      <w:marLeft w:val="0"/>
      <w:marRight w:val="0"/>
      <w:marTop w:val="0"/>
      <w:marBottom w:val="0"/>
      <w:divBdr>
        <w:top w:val="none" w:sz="0" w:space="0" w:color="auto"/>
        <w:left w:val="none" w:sz="0" w:space="0" w:color="auto"/>
        <w:bottom w:val="none" w:sz="0" w:space="0" w:color="auto"/>
        <w:right w:val="none" w:sz="0" w:space="0" w:color="auto"/>
      </w:divBdr>
      <w:divsChild>
        <w:div w:id="1630209964">
          <w:marLeft w:val="0"/>
          <w:marRight w:val="0"/>
          <w:marTop w:val="0"/>
          <w:marBottom w:val="0"/>
          <w:divBdr>
            <w:top w:val="none" w:sz="0" w:space="0" w:color="auto"/>
            <w:left w:val="none" w:sz="0" w:space="0" w:color="auto"/>
            <w:bottom w:val="none" w:sz="0" w:space="0" w:color="auto"/>
            <w:right w:val="none" w:sz="0" w:space="0" w:color="auto"/>
          </w:divBdr>
        </w:div>
        <w:div w:id="1664045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HRI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HRI_E.dotm</Template>
  <TotalTime>0</TotalTime>
  <Pages>47</Pages>
  <Words>22915</Words>
  <Characters>130616</Characters>
  <Application>Microsoft Office Outlook</Application>
  <DocSecurity>4</DocSecurity>
  <Lines>1088</Lines>
  <Paragraphs>306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DCM</Company>
  <LinksUpToDate>false</LinksUpToDate>
  <CharactersWithSpaces>153225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AdayMartin</dc:creator>
  <cp:keywords/>
  <cp:lastModifiedBy>AdayMartin</cp:lastModifiedBy>
  <cp:revision>3</cp:revision>
  <cp:lastPrinted>2016-03-21T09:47:00Z</cp:lastPrinted>
  <dcterms:created xsi:type="dcterms:W3CDTF">2016-03-21T13:06:00Z</dcterms:created>
  <dcterms:modified xsi:type="dcterms:W3CDTF">2016-03-21T13:07:00Z</dcterms:modified>
</cp:coreProperties>
</file>