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0090A7" w14:textId="77777777" w:rsidTr="00C057D5">
        <w:trPr>
          <w:trHeight w:hRule="exact" w:val="851"/>
        </w:trPr>
        <w:tc>
          <w:tcPr>
            <w:tcW w:w="1276" w:type="dxa"/>
            <w:tcBorders>
              <w:bottom w:val="single" w:sz="4" w:space="0" w:color="auto"/>
            </w:tcBorders>
          </w:tcPr>
          <w:p w14:paraId="4A4EB070" w14:textId="77777777" w:rsidR="002D5AAC" w:rsidRDefault="002D5AAC" w:rsidP="008A38B9">
            <w:pPr>
              <w:kinsoku w:val="0"/>
              <w:overflowPunct w:val="0"/>
              <w:autoSpaceDE w:val="0"/>
              <w:autoSpaceDN w:val="0"/>
              <w:adjustRightInd w:val="0"/>
              <w:snapToGrid w:val="0"/>
            </w:pPr>
          </w:p>
        </w:tc>
        <w:tc>
          <w:tcPr>
            <w:tcW w:w="2268" w:type="dxa"/>
            <w:tcBorders>
              <w:bottom w:val="single" w:sz="4" w:space="0" w:color="auto"/>
            </w:tcBorders>
            <w:vAlign w:val="bottom"/>
          </w:tcPr>
          <w:p w14:paraId="47D39779" w14:textId="77777777"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66CE2F" w14:textId="77777777" w:rsidR="002D5AAC" w:rsidRDefault="008A38B9" w:rsidP="008A38B9">
            <w:pPr>
              <w:jc w:val="right"/>
            </w:pPr>
            <w:r w:rsidRPr="008A38B9">
              <w:rPr>
                <w:sz w:val="40"/>
              </w:rPr>
              <w:t>HRI</w:t>
            </w:r>
            <w:r>
              <w:t>/CORE/IRQ/2019</w:t>
            </w:r>
          </w:p>
        </w:tc>
      </w:tr>
      <w:tr w:rsidR="002D5AAC" w14:paraId="64C59757" w14:textId="77777777" w:rsidTr="00C057D5">
        <w:trPr>
          <w:trHeight w:hRule="exact" w:val="2835"/>
        </w:trPr>
        <w:tc>
          <w:tcPr>
            <w:tcW w:w="1276" w:type="dxa"/>
            <w:tcBorders>
              <w:top w:val="single" w:sz="4" w:space="0" w:color="auto"/>
              <w:bottom w:val="single" w:sz="12" w:space="0" w:color="auto"/>
            </w:tcBorders>
          </w:tcPr>
          <w:p w14:paraId="7ABA3D9E" w14:textId="77777777" w:rsidR="002D5AAC" w:rsidRDefault="0095700F" w:rsidP="00C057D5">
            <w:pPr>
              <w:spacing w:before="120"/>
              <w:jc w:val="center"/>
            </w:pPr>
            <w:r>
              <w:rPr>
                <w:noProof/>
              </w:rPr>
              <w:drawing>
                <wp:inline distT="0" distB="0" distL="0" distR="0" wp14:anchorId="2A1DBFE7" wp14:editId="5257DA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DAC644"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14:paraId="44F4FFE3" w14:textId="77777777" w:rsidR="002D5AAC" w:rsidRDefault="008A38B9" w:rsidP="00C057D5">
            <w:pPr>
              <w:spacing w:before="240"/>
            </w:pPr>
            <w:r>
              <w:t>Distr. general</w:t>
            </w:r>
          </w:p>
          <w:p w14:paraId="0609717F" w14:textId="77777777" w:rsidR="008A38B9" w:rsidRDefault="008A38B9" w:rsidP="008A38B9">
            <w:pPr>
              <w:spacing w:line="240" w:lineRule="exact"/>
            </w:pPr>
            <w:r>
              <w:t>20 de diciembre de 2019</w:t>
            </w:r>
          </w:p>
          <w:p w14:paraId="3353DA4C" w14:textId="77777777" w:rsidR="008A38B9" w:rsidRDefault="008A38B9" w:rsidP="008A38B9">
            <w:pPr>
              <w:spacing w:line="240" w:lineRule="exact"/>
            </w:pPr>
            <w:r>
              <w:t>Español</w:t>
            </w:r>
          </w:p>
          <w:p w14:paraId="32EA6230" w14:textId="77777777" w:rsidR="008A38B9" w:rsidRDefault="008A38B9" w:rsidP="008A38B9">
            <w:pPr>
              <w:spacing w:line="240" w:lineRule="exact"/>
            </w:pPr>
            <w:r>
              <w:t>Original: árabe</w:t>
            </w:r>
          </w:p>
        </w:tc>
      </w:tr>
    </w:tbl>
    <w:p w14:paraId="0B4BBE86" w14:textId="77777777" w:rsidR="008A38B9" w:rsidRPr="008A38B9" w:rsidRDefault="008A38B9" w:rsidP="008A38B9">
      <w:pPr>
        <w:pStyle w:val="HMG"/>
      </w:pPr>
      <w:bookmarkStart w:id="0" w:name="_Hlk27397606"/>
      <w:r>
        <w:tab/>
      </w:r>
      <w:r w:rsidRPr="008A38B9">
        <w:tab/>
        <w:t>Documento básico que forma parte integrante de</w:t>
      </w:r>
      <w:r>
        <w:t> </w:t>
      </w:r>
      <w:r w:rsidRPr="008A38B9">
        <w:t>los informes de los Estados partes</w:t>
      </w:r>
    </w:p>
    <w:p w14:paraId="73D8CCF4" w14:textId="77777777" w:rsidR="008A38B9" w:rsidRPr="008A38B9" w:rsidRDefault="008A38B9" w:rsidP="008A38B9">
      <w:pPr>
        <w:pStyle w:val="HMG"/>
      </w:pPr>
      <w:r>
        <w:tab/>
      </w:r>
      <w:r w:rsidRPr="008A38B9">
        <w:tab/>
        <w:t>Iraq</w:t>
      </w:r>
      <w:r w:rsidRPr="008A38B9">
        <w:rPr>
          <w:rStyle w:val="Refdenotaalpie"/>
          <w:b w:val="0"/>
          <w:bCs/>
          <w:sz w:val="20"/>
          <w:vertAlign w:val="baseline"/>
        </w:rPr>
        <w:footnoteReference w:customMarkFollows="1" w:id="1"/>
        <w:t>*</w:t>
      </w:r>
      <w:bookmarkEnd w:id="0"/>
    </w:p>
    <w:p w14:paraId="5F3BA845" w14:textId="77777777" w:rsidR="008A38B9" w:rsidRPr="008A38B9" w:rsidRDefault="008A38B9" w:rsidP="008A38B9">
      <w:pPr>
        <w:pStyle w:val="SingleTxtG"/>
        <w:jc w:val="right"/>
      </w:pPr>
      <w:r w:rsidRPr="008A38B9">
        <w:t>[Fecha de recepción: 12 de septiembre de 2019]</w:t>
      </w:r>
    </w:p>
    <w:p w14:paraId="0EB3542F" w14:textId="77777777" w:rsidR="008A38B9" w:rsidRPr="008A38B9" w:rsidRDefault="008A38B9" w:rsidP="008A38B9">
      <w:pPr>
        <w:spacing w:line="240" w:lineRule="auto"/>
      </w:pPr>
      <w:r w:rsidRPr="008A38B9">
        <w:br w:type="page"/>
      </w:r>
    </w:p>
    <w:p w14:paraId="10B13EE2" w14:textId="77777777" w:rsidR="008A38B9" w:rsidRDefault="008A38B9" w:rsidP="008A38B9">
      <w:pPr>
        <w:spacing w:after="120"/>
        <w:rPr>
          <w:sz w:val="28"/>
        </w:rPr>
      </w:pPr>
      <w:r>
        <w:rPr>
          <w:sz w:val="28"/>
        </w:rPr>
        <w:lastRenderedPageBreak/>
        <w:t>Índice</w:t>
      </w:r>
    </w:p>
    <w:p w14:paraId="7AC6133A" w14:textId="77777777" w:rsidR="008A38B9" w:rsidRDefault="008A38B9" w:rsidP="008A38B9">
      <w:pPr>
        <w:tabs>
          <w:tab w:val="right" w:pos="8929"/>
          <w:tab w:val="right" w:pos="9638"/>
        </w:tabs>
        <w:spacing w:after="120"/>
        <w:ind w:left="283"/>
        <w:rPr>
          <w:sz w:val="18"/>
        </w:rPr>
      </w:pPr>
      <w:r>
        <w:rPr>
          <w:i/>
          <w:sz w:val="18"/>
        </w:rPr>
        <w:tab/>
        <w:t>Párrafos</w:t>
      </w:r>
      <w:r>
        <w:rPr>
          <w:i/>
          <w:sz w:val="18"/>
        </w:rPr>
        <w:tab/>
        <w:t>Página</w:t>
      </w:r>
    </w:p>
    <w:p w14:paraId="1BDCA1F1" w14:textId="77777777" w:rsidR="008A38B9" w:rsidRDefault="008A38B9" w:rsidP="008A38B9">
      <w:pPr>
        <w:tabs>
          <w:tab w:val="right" w:pos="850"/>
          <w:tab w:val="left" w:pos="1134"/>
          <w:tab w:val="left" w:pos="1559"/>
          <w:tab w:val="left" w:pos="1984"/>
          <w:tab w:val="left" w:leader="dot" w:pos="7654"/>
          <w:tab w:val="right" w:pos="8929"/>
          <w:tab w:val="right" w:pos="9638"/>
        </w:tabs>
        <w:spacing w:after="120"/>
        <w:rPr>
          <w:bCs/>
        </w:rPr>
      </w:pPr>
      <w:r>
        <w:tab/>
      </w:r>
      <w:r>
        <w:tab/>
      </w:r>
      <w:r w:rsidRPr="008A38B9">
        <w:rPr>
          <w:bCs/>
        </w:rPr>
        <w:t>Introducción</w:t>
      </w:r>
      <w:r>
        <w:rPr>
          <w:bCs/>
        </w:rPr>
        <w:tab/>
      </w:r>
      <w:r>
        <w:rPr>
          <w:bCs/>
        </w:rPr>
        <w:tab/>
        <w:t>1–6</w:t>
      </w:r>
      <w:r>
        <w:rPr>
          <w:bCs/>
        </w:rPr>
        <w:tab/>
        <w:t>3</w:t>
      </w:r>
    </w:p>
    <w:p w14:paraId="7A3D566A" w14:textId="77777777" w:rsidR="008A38B9" w:rsidRDefault="008A38B9"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8A38B9">
        <w:rPr>
          <w:bCs/>
        </w:rPr>
        <w:t>Características demográficas, económicas, sociales y culturales</w:t>
      </w:r>
      <w:r>
        <w:rPr>
          <w:bCs/>
        </w:rPr>
        <w:tab/>
      </w:r>
      <w:r>
        <w:rPr>
          <w:bCs/>
        </w:rPr>
        <w:tab/>
        <w:t>7–21</w:t>
      </w:r>
      <w:r>
        <w:rPr>
          <w:bCs/>
        </w:rPr>
        <w:tab/>
        <w:t>3</w:t>
      </w:r>
    </w:p>
    <w:p w14:paraId="1E2925BC" w14:textId="77777777" w:rsidR="008A38B9" w:rsidRDefault="008A38B9" w:rsidP="001F4EC7">
      <w:pPr>
        <w:tabs>
          <w:tab w:val="right" w:pos="850"/>
          <w:tab w:val="left" w:pos="1134"/>
          <w:tab w:val="left" w:pos="1559"/>
          <w:tab w:val="left" w:leader="dot" w:pos="7654"/>
          <w:tab w:val="right" w:pos="8929"/>
          <w:tab w:val="right" w:pos="9638"/>
        </w:tabs>
        <w:spacing w:after="120"/>
        <w:rPr>
          <w:bCs/>
        </w:rPr>
      </w:pPr>
      <w:r>
        <w:rPr>
          <w:bCs/>
        </w:rPr>
        <w:tab/>
      </w:r>
      <w:r>
        <w:rPr>
          <w:bCs/>
        </w:rPr>
        <w:tab/>
      </w:r>
      <w:r w:rsidR="001F4EC7" w:rsidRPr="001F4EC7">
        <w:rPr>
          <w:bCs/>
        </w:rPr>
        <w:t>Idiomas</w:t>
      </w:r>
      <w:r w:rsidR="001F4EC7">
        <w:rPr>
          <w:bCs/>
        </w:rPr>
        <w:tab/>
      </w:r>
      <w:r w:rsidR="001F4EC7">
        <w:rPr>
          <w:bCs/>
        </w:rPr>
        <w:tab/>
        <w:t>22–24</w:t>
      </w:r>
      <w:r w:rsidR="001F4EC7">
        <w:rPr>
          <w:bCs/>
        </w:rPr>
        <w:tab/>
        <w:t>6</w:t>
      </w:r>
    </w:p>
    <w:p w14:paraId="2B994F47" w14:textId="77777777" w:rsidR="001F4EC7" w:rsidRDefault="001F4EC7"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1F4EC7">
        <w:rPr>
          <w:bCs/>
        </w:rPr>
        <w:t>Diversidad étnica y religiosa</w:t>
      </w:r>
      <w:r>
        <w:rPr>
          <w:bCs/>
        </w:rPr>
        <w:tab/>
      </w:r>
      <w:r>
        <w:rPr>
          <w:bCs/>
        </w:rPr>
        <w:tab/>
        <w:t>25–38</w:t>
      </w:r>
      <w:r>
        <w:rPr>
          <w:bCs/>
        </w:rPr>
        <w:tab/>
        <w:t>7</w:t>
      </w:r>
    </w:p>
    <w:p w14:paraId="33831030" w14:textId="77777777" w:rsidR="001F4EC7" w:rsidRDefault="001F4EC7"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1F4EC7">
        <w:rPr>
          <w:bCs/>
        </w:rPr>
        <w:t>Indicadores económicos</w:t>
      </w:r>
      <w:r>
        <w:rPr>
          <w:bCs/>
        </w:rPr>
        <w:tab/>
      </w:r>
      <w:r>
        <w:rPr>
          <w:bCs/>
        </w:rPr>
        <w:tab/>
        <w:t>39–42</w:t>
      </w:r>
      <w:r>
        <w:rPr>
          <w:bCs/>
        </w:rPr>
        <w:tab/>
        <w:t>8</w:t>
      </w:r>
    </w:p>
    <w:p w14:paraId="4610E085" w14:textId="77777777" w:rsidR="001F4EC7" w:rsidRDefault="001F4EC7"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00C410DE">
        <w:rPr>
          <w:bCs/>
        </w:rPr>
        <w:t>Desempleo</w:t>
      </w:r>
      <w:r w:rsidR="00C410DE">
        <w:rPr>
          <w:bCs/>
        </w:rPr>
        <w:tab/>
      </w:r>
      <w:r w:rsidR="00C410DE">
        <w:rPr>
          <w:bCs/>
        </w:rPr>
        <w:tab/>
        <w:t>43</w:t>
      </w:r>
      <w:r w:rsidR="00C410DE">
        <w:rPr>
          <w:bCs/>
        </w:rPr>
        <w:tab/>
        <w:t>9</w:t>
      </w:r>
    </w:p>
    <w:p w14:paraId="10823B6A" w14:textId="77777777" w:rsidR="00C410DE" w:rsidRDefault="00C410DE" w:rsidP="00DF5DA5">
      <w:pPr>
        <w:tabs>
          <w:tab w:val="right" w:pos="850"/>
          <w:tab w:val="left" w:pos="1134"/>
          <w:tab w:val="left" w:pos="1559"/>
          <w:tab w:val="left" w:pos="1701"/>
          <w:tab w:val="left" w:leader="dot" w:pos="7654"/>
          <w:tab w:val="right" w:pos="8929"/>
          <w:tab w:val="right" w:pos="9638"/>
        </w:tabs>
        <w:spacing w:after="120"/>
        <w:rPr>
          <w:bCs/>
        </w:rPr>
      </w:pPr>
      <w:r>
        <w:rPr>
          <w:bCs/>
        </w:rPr>
        <w:tab/>
      </w:r>
      <w:r>
        <w:rPr>
          <w:bCs/>
        </w:rPr>
        <w:tab/>
      </w:r>
      <w:r w:rsidR="00DF5DA5">
        <w:rPr>
          <w:bCs/>
        </w:rPr>
        <w:t>Pobreza</w:t>
      </w:r>
      <w:r w:rsidR="00DF5DA5">
        <w:rPr>
          <w:bCs/>
        </w:rPr>
        <w:tab/>
      </w:r>
      <w:r w:rsidR="00DF5DA5">
        <w:rPr>
          <w:bCs/>
        </w:rPr>
        <w:tab/>
        <w:t>44–45</w:t>
      </w:r>
      <w:r w:rsidR="00DF5DA5">
        <w:rPr>
          <w:bCs/>
        </w:rPr>
        <w:tab/>
        <w:t>9</w:t>
      </w:r>
    </w:p>
    <w:p w14:paraId="6F2E16F7" w14:textId="77777777" w:rsidR="00DF5DA5" w:rsidRDefault="00DF5DA5" w:rsidP="00DF5DA5">
      <w:pPr>
        <w:tabs>
          <w:tab w:val="right" w:pos="850"/>
          <w:tab w:val="left" w:pos="1134"/>
          <w:tab w:val="left" w:pos="1560"/>
          <w:tab w:val="left" w:leader="dot" w:pos="7654"/>
          <w:tab w:val="right" w:pos="8929"/>
          <w:tab w:val="right" w:pos="9638"/>
        </w:tabs>
        <w:spacing w:after="120"/>
        <w:rPr>
          <w:bCs/>
        </w:rPr>
      </w:pPr>
      <w:r>
        <w:rPr>
          <w:bCs/>
        </w:rPr>
        <w:tab/>
      </w:r>
      <w:r>
        <w:rPr>
          <w:bCs/>
        </w:rPr>
        <w:tab/>
        <w:t>Petróleo</w:t>
      </w:r>
      <w:r>
        <w:rPr>
          <w:bCs/>
        </w:rPr>
        <w:tab/>
      </w:r>
      <w:r>
        <w:rPr>
          <w:bCs/>
        </w:rPr>
        <w:tab/>
        <w:t>46–48</w:t>
      </w:r>
      <w:r>
        <w:rPr>
          <w:bCs/>
        </w:rPr>
        <w:tab/>
        <w:t>10</w:t>
      </w:r>
    </w:p>
    <w:p w14:paraId="5633EA2E" w14:textId="77777777" w:rsidR="00DF5DA5" w:rsidRDefault="00DF5DA5"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Electricidad</w:t>
      </w:r>
      <w:r>
        <w:rPr>
          <w:bCs/>
        </w:rPr>
        <w:tab/>
      </w:r>
      <w:r>
        <w:rPr>
          <w:bCs/>
        </w:rPr>
        <w:tab/>
        <w:t>49–52</w:t>
      </w:r>
      <w:r>
        <w:rPr>
          <w:bCs/>
        </w:rPr>
        <w:tab/>
        <w:t>11</w:t>
      </w:r>
    </w:p>
    <w:p w14:paraId="20ABC8A5" w14:textId="77777777" w:rsidR="00DF5DA5" w:rsidRDefault="00DF5DA5"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Agricultura</w:t>
      </w:r>
      <w:r>
        <w:rPr>
          <w:bCs/>
        </w:rPr>
        <w:tab/>
      </w:r>
      <w:r>
        <w:rPr>
          <w:bCs/>
        </w:rPr>
        <w:tab/>
        <w:t>53–55</w:t>
      </w:r>
      <w:r>
        <w:rPr>
          <w:bCs/>
        </w:rPr>
        <w:tab/>
        <w:t>11</w:t>
      </w:r>
    </w:p>
    <w:p w14:paraId="793D24ED" w14:textId="77777777" w:rsidR="00DF5DA5" w:rsidRDefault="00DF5DA5" w:rsidP="00DF5DA5">
      <w:pPr>
        <w:tabs>
          <w:tab w:val="right" w:pos="850"/>
          <w:tab w:val="left" w:pos="1134"/>
          <w:tab w:val="left" w:pos="1560"/>
          <w:tab w:val="left" w:leader="dot" w:pos="7654"/>
          <w:tab w:val="right" w:pos="8929"/>
          <w:tab w:val="right" w:pos="9638"/>
        </w:tabs>
        <w:spacing w:after="120"/>
        <w:rPr>
          <w:bCs/>
        </w:rPr>
      </w:pPr>
      <w:r>
        <w:rPr>
          <w:bCs/>
        </w:rPr>
        <w:tab/>
      </w:r>
      <w:r>
        <w:rPr>
          <w:bCs/>
        </w:rPr>
        <w:tab/>
        <w:t>Salud</w:t>
      </w:r>
      <w:r>
        <w:rPr>
          <w:bCs/>
        </w:rPr>
        <w:tab/>
      </w:r>
      <w:r>
        <w:rPr>
          <w:bCs/>
        </w:rPr>
        <w:tab/>
        <w:t>56–64</w:t>
      </w:r>
      <w:r>
        <w:rPr>
          <w:bCs/>
        </w:rPr>
        <w:tab/>
        <w:t>12</w:t>
      </w:r>
    </w:p>
    <w:p w14:paraId="39BE80C6" w14:textId="77777777" w:rsidR="00DF5DA5" w:rsidRDefault="00DF5DA5" w:rsidP="008A38B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Educación</w:t>
      </w:r>
      <w:r>
        <w:rPr>
          <w:bCs/>
        </w:rPr>
        <w:tab/>
      </w:r>
      <w:r>
        <w:rPr>
          <w:bCs/>
        </w:rPr>
        <w:tab/>
      </w:r>
      <w:r>
        <w:rPr>
          <w:bCs/>
        </w:rPr>
        <w:tab/>
        <w:t>65–74</w:t>
      </w:r>
      <w:r>
        <w:rPr>
          <w:bCs/>
        </w:rPr>
        <w:tab/>
        <w:t>15</w:t>
      </w:r>
    </w:p>
    <w:p w14:paraId="5C5EFC54" w14:textId="77777777" w:rsidR="00DF5DA5" w:rsidRDefault="00DF5DA5" w:rsidP="008A38B9">
      <w:pPr>
        <w:tabs>
          <w:tab w:val="right" w:pos="850"/>
          <w:tab w:val="left" w:pos="1134"/>
          <w:tab w:val="left" w:pos="1559"/>
          <w:tab w:val="left" w:pos="1984"/>
          <w:tab w:val="left" w:leader="dot" w:pos="7654"/>
          <w:tab w:val="right" w:pos="8929"/>
          <w:tab w:val="right" w:pos="9638"/>
        </w:tabs>
        <w:spacing w:after="120"/>
      </w:pPr>
      <w:r>
        <w:rPr>
          <w:bCs/>
        </w:rPr>
        <w:tab/>
      </w:r>
      <w:r>
        <w:rPr>
          <w:bCs/>
        </w:rPr>
        <w:tab/>
      </w:r>
      <w:r w:rsidR="00971FE8" w:rsidRPr="008A38B9">
        <w:t>Estructura constitucional y política del Estado</w:t>
      </w:r>
      <w:r w:rsidR="00971FE8">
        <w:tab/>
      </w:r>
      <w:r w:rsidR="00971FE8">
        <w:tab/>
        <w:t>75–87</w:t>
      </w:r>
      <w:r w:rsidR="00971FE8">
        <w:tab/>
        <w:t>17</w:t>
      </w:r>
    </w:p>
    <w:p w14:paraId="4302F889" w14:textId="77777777" w:rsidR="00971FE8" w:rsidRDefault="00971FE8" w:rsidP="008A38B9">
      <w:pPr>
        <w:tabs>
          <w:tab w:val="right" w:pos="850"/>
          <w:tab w:val="left" w:pos="1134"/>
          <w:tab w:val="left" w:pos="1559"/>
          <w:tab w:val="left" w:pos="1984"/>
          <w:tab w:val="left" w:leader="dot" w:pos="7654"/>
          <w:tab w:val="right" w:pos="8929"/>
          <w:tab w:val="right" w:pos="9638"/>
        </w:tabs>
        <w:spacing w:after="120"/>
      </w:pPr>
      <w:r>
        <w:tab/>
      </w:r>
      <w:r>
        <w:tab/>
      </w:r>
      <w:r w:rsidRPr="00971FE8">
        <w:t>Marco general para la protección y la promoción de los derechos humanos</w:t>
      </w:r>
      <w:r>
        <w:tab/>
      </w:r>
      <w:r>
        <w:tab/>
        <w:t>88–95</w:t>
      </w:r>
      <w:r>
        <w:tab/>
        <w:t>28</w:t>
      </w:r>
    </w:p>
    <w:p w14:paraId="64056753" w14:textId="77777777" w:rsidR="00971FE8" w:rsidRDefault="00971FE8" w:rsidP="008A38B9">
      <w:pPr>
        <w:tabs>
          <w:tab w:val="right" w:pos="850"/>
          <w:tab w:val="left" w:pos="1134"/>
          <w:tab w:val="left" w:pos="1559"/>
          <w:tab w:val="left" w:pos="1984"/>
          <w:tab w:val="left" w:leader="dot" w:pos="7654"/>
          <w:tab w:val="right" w:pos="8929"/>
          <w:tab w:val="right" w:pos="9638"/>
        </w:tabs>
        <w:spacing w:after="120"/>
      </w:pPr>
      <w:r>
        <w:tab/>
      </w:r>
      <w:r>
        <w:tab/>
      </w:r>
      <w:r w:rsidRPr="00971FE8">
        <w:t>Instituciones de derechos humanos</w:t>
      </w:r>
      <w:r>
        <w:tab/>
      </w:r>
      <w:r>
        <w:tab/>
        <w:t>96–97</w:t>
      </w:r>
      <w:r>
        <w:tab/>
        <w:t>31</w:t>
      </w:r>
    </w:p>
    <w:p w14:paraId="3E59C6E6" w14:textId="77777777" w:rsidR="00971FE8" w:rsidRDefault="00971FE8" w:rsidP="008A38B9">
      <w:pPr>
        <w:tabs>
          <w:tab w:val="right" w:pos="850"/>
          <w:tab w:val="left" w:pos="1134"/>
          <w:tab w:val="left" w:pos="1559"/>
          <w:tab w:val="left" w:pos="1984"/>
          <w:tab w:val="left" w:leader="dot" w:pos="7654"/>
          <w:tab w:val="right" w:pos="8929"/>
          <w:tab w:val="right" w:pos="9638"/>
        </w:tabs>
        <w:spacing w:after="120"/>
      </w:pPr>
      <w:r>
        <w:tab/>
      </w:r>
      <w:r>
        <w:tab/>
      </w:r>
      <w:r w:rsidRPr="008A38B9">
        <w:t>Legislación nacional de derechos humanos</w:t>
      </w:r>
      <w:r>
        <w:tab/>
      </w:r>
      <w:r>
        <w:tab/>
        <w:t>98–99</w:t>
      </w:r>
      <w:r>
        <w:tab/>
        <w:t>34</w:t>
      </w:r>
    </w:p>
    <w:p w14:paraId="1530470A" w14:textId="77777777" w:rsidR="00971FE8" w:rsidRDefault="00971FE8" w:rsidP="008A38B9">
      <w:pPr>
        <w:tabs>
          <w:tab w:val="right" w:pos="850"/>
          <w:tab w:val="left" w:pos="1134"/>
          <w:tab w:val="left" w:pos="1559"/>
          <w:tab w:val="left" w:pos="1984"/>
          <w:tab w:val="left" w:leader="dot" w:pos="7654"/>
          <w:tab w:val="right" w:pos="8929"/>
          <w:tab w:val="right" w:pos="9638"/>
        </w:tabs>
        <w:spacing w:after="120"/>
      </w:pPr>
      <w:r>
        <w:tab/>
      </w:r>
      <w:r>
        <w:tab/>
        <w:t>Información y comunicaciones</w:t>
      </w:r>
      <w:r>
        <w:tab/>
      </w:r>
      <w:r>
        <w:tab/>
        <w:t>100–106</w:t>
      </w:r>
      <w:r>
        <w:tab/>
        <w:t>39</w:t>
      </w:r>
    </w:p>
    <w:p w14:paraId="78220A2B" w14:textId="77777777" w:rsidR="00971FE8" w:rsidRPr="00971FE8" w:rsidRDefault="00971FE8" w:rsidP="008A38B9">
      <w:pPr>
        <w:tabs>
          <w:tab w:val="right" w:pos="850"/>
          <w:tab w:val="left" w:pos="1134"/>
          <w:tab w:val="left" w:pos="1559"/>
          <w:tab w:val="left" w:pos="1984"/>
          <w:tab w:val="left" w:leader="dot" w:pos="7654"/>
          <w:tab w:val="right" w:pos="8929"/>
          <w:tab w:val="right" w:pos="9638"/>
        </w:tabs>
        <w:spacing w:after="120"/>
      </w:pPr>
      <w:r>
        <w:tab/>
      </w:r>
      <w:r>
        <w:tab/>
        <w:t>Organizaciones no gubernamentales</w:t>
      </w:r>
      <w:r>
        <w:tab/>
      </w:r>
      <w:r>
        <w:tab/>
        <w:t>107</w:t>
      </w:r>
      <w:r>
        <w:tab/>
        <w:t>41</w:t>
      </w:r>
    </w:p>
    <w:p w14:paraId="4CED1506" w14:textId="77777777" w:rsidR="008A38B9" w:rsidRDefault="008A38B9">
      <w:pPr>
        <w:spacing w:line="240" w:lineRule="auto"/>
      </w:pPr>
      <w:r>
        <w:br w:type="page"/>
      </w:r>
    </w:p>
    <w:p w14:paraId="3E4C5555" w14:textId="77777777" w:rsidR="008A38B9" w:rsidRPr="008A38B9" w:rsidRDefault="008A38B9" w:rsidP="008A38B9">
      <w:pPr>
        <w:pStyle w:val="HChG"/>
      </w:pPr>
      <w:r>
        <w:lastRenderedPageBreak/>
        <w:tab/>
      </w:r>
      <w:r w:rsidRPr="008A38B9">
        <w:tab/>
        <w:t>Introducción</w:t>
      </w:r>
    </w:p>
    <w:p w14:paraId="117262AB" w14:textId="77777777" w:rsidR="008A38B9" w:rsidRPr="008A38B9" w:rsidRDefault="008A38B9" w:rsidP="008A38B9">
      <w:pPr>
        <w:pStyle w:val="SingleTxtG"/>
        <w:rPr>
          <w:u w:val="single"/>
        </w:rPr>
      </w:pPr>
      <w:r w:rsidRPr="008A38B9">
        <w:t>1.</w:t>
      </w:r>
      <w:r w:rsidRPr="008A38B9">
        <w:tab/>
        <w:t>La República del Iraq, en consonancia con sus obligaciones internacionales, presenta el documento básico común y los informes elaborados en virtud de tratados, así como reafirma su observancia plena de los principios fundamentales enunciados en los tratados de derechos humanos y consagrados por los comités creados en virtud de esos tratados. El presente documento se presenta en aplicación de la resolución 68/268 (2014) de la Asamblea General y de las recomendaciones formuladas a la República del Iraq durante el examen de sus informes sobre tratados. El Estado afirma los principios de transparencia y apertura, que son primordiales para el adelanto de los derechos humanos.</w:t>
      </w:r>
    </w:p>
    <w:p w14:paraId="6C3FE3DB" w14:textId="77777777" w:rsidR="008A38B9" w:rsidRPr="008A38B9" w:rsidRDefault="008A38B9" w:rsidP="008A38B9">
      <w:pPr>
        <w:pStyle w:val="SingleTxtG"/>
        <w:rPr>
          <w:u w:val="single"/>
        </w:rPr>
      </w:pPr>
      <w:r w:rsidRPr="008A38B9">
        <w:t>2.</w:t>
      </w:r>
      <w:r w:rsidRPr="008A38B9">
        <w:tab/>
        <w:t>La República del Iraq tiene muy presente que los ciudadanos deben disfrutar los derechos y libertades enunciados en la Declaración Universal de Derechos Humanos y las convenciones internacionales y que le incumbe la responsabilidad, junto con la comunidad internacional, de promover que todos los pueblos, en particular el iraquí, gocen los derechos y libertades consagrados en las convenciones y los tratados internacionales.</w:t>
      </w:r>
    </w:p>
    <w:p w14:paraId="6A152910" w14:textId="77777777" w:rsidR="008A38B9" w:rsidRPr="008A38B9" w:rsidRDefault="008A38B9" w:rsidP="008A38B9">
      <w:pPr>
        <w:pStyle w:val="SingleTxtG"/>
      </w:pPr>
      <w:r w:rsidRPr="008A38B9">
        <w:t>3.</w:t>
      </w:r>
      <w:r w:rsidRPr="008A38B9">
        <w:tab/>
        <w:t>Numerosos ciudadanos iraquíes han perdido la vida a consecuencia de la dictadura o de los crímenes cometidos tras ella por grupos terroristas organizados. Otros muchos, sobre todo huérfanos, viudas, personas con discapacidad o desempleadas, padecen aún las secuelas de esos crímenes. El nivel de vida se ha deteriorado y todos los problemas sociales se han agravado.</w:t>
      </w:r>
    </w:p>
    <w:p w14:paraId="48D54937" w14:textId="77777777" w:rsidR="008A38B9" w:rsidRPr="008A38B9" w:rsidRDefault="008A38B9" w:rsidP="008A38B9">
      <w:pPr>
        <w:pStyle w:val="SingleTxtG"/>
      </w:pPr>
      <w:r w:rsidRPr="008A38B9">
        <w:t>4.</w:t>
      </w:r>
      <w:r w:rsidRPr="008A38B9">
        <w:tab/>
        <w:t>El Estado afronta numerosos retos para lograr sus objetivos fundamentales en materia de promoción y protección de los derechos humanos. Los actos de terrorismo perpetrados por las bandas terroristas de Dáesh y otras organizaciones asociadas y la situación de las numerosas personas afectadas por ellos son particularmente graves. La República del Iraq y todas sus instituciones concernidas se afanan de consuno en promover, proteger y hacer efectivos los derechos humanos y evitar la violación de esos derechos, así como, en cumplimiento de sus obligaciones internacionales y en la medida de los daños causados, en reparar e indemnizar a las víctimas del terrorismo.</w:t>
      </w:r>
    </w:p>
    <w:p w14:paraId="3966AD3B" w14:textId="77777777" w:rsidR="008A38B9" w:rsidRPr="008A38B9" w:rsidRDefault="008A38B9" w:rsidP="008A38B9">
      <w:pPr>
        <w:pStyle w:val="SingleTxtG"/>
      </w:pPr>
      <w:r w:rsidRPr="008A38B9">
        <w:t>5.</w:t>
      </w:r>
      <w:r w:rsidRPr="008A38B9">
        <w:tab/>
        <w:t xml:space="preserve">Una comisión ministerial central presidida por el Subsecretario del Ministerio de Justicia con mayor antigüedad en el servicio e integrada por personal técnico (juristas y estadísticos) de los organismos concernidos elaboró el documento básico común de la República del Iraq de conformidad con la Constitución iraquí en vigor, la legislación nacional y las directrices pertinentes, así como determinó su contenido a la vista de las estadísticas oficiales remitidas por los organismos públicos, en particular y entre otros Ministerios por el Ministerio de Planificación (Órgano Central de Estadísticas). </w:t>
      </w:r>
    </w:p>
    <w:p w14:paraId="331079A4" w14:textId="77777777" w:rsidR="008A38B9" w:rsidRPr="008A38B9" w:rsidRDefault="008A38B9" w:rsidP="008A38B9">
      <w:pPr>
        <w:pStyle w:val="SingleTxtG"/>
      </w:pPr>
      <w:r w:rsidRPr="008A38B9">
        <w:t>6.</w:t>
      </w:r>
      <w:r w:rsidRPr="008A38B9">
        <w:tab/>
        <w:t>La República del Iraq cumple las obligaciones dimanantes de los pactos y convenios internacionales a los que se ha adherido y presenta informes sobre la situación de los derechos humanos en el Estado, en este caso el documento básico común, en comunicación con la comunidad internacional y con su colaboración para proteger y promover esos derechos.</w:t>
      </w:r>
    </w:p>
    <w:p w14:paraId="1A174DD1" w14:textId="77777777" w:rsidR="008A38B9" w:rsidRPr="008A38B9" w:rsidRDefault="008A38B9" w:rsidP="008A38B9">
      <w:pPr>
        <w:pStyle w:val="HChG"/>
      </w:pPr>
      <w:r>
        <w:tab/>
      </w:r>
      <w:r w:rsidRPr="008A38B9">
        <w:tab/>
        <w:t>Características demográficas, económicas, sociales y</w:t>
      </w:r>
      <w:r>
        <w:t> </w:t>
      </w:r>
      <w:r w:rsidRPr="008A38B9">
        <w:t>culturales</w:t>
      </w:r>
    </w:p>
    <w:p w14:paraId="0B10F81C" w14:textId="77777777" w:rsidR="008A38B9" w:rsidRPr="008A38B9" w:rsidRDefault="008A38B9" w:rsidP="008A38B9">
      <w:pPr>
        <w:pStyle w:val="SingleTxtG"/>
      </w:pPr>
      <w:r w:rsidRPr="008A38B9">
        <w:t>7.</w:t>
      </w:r>
      <w:r w:rsidRPr="008A38B9">
        <w:tab/>
        <w:t>La República del Iraq tiene una superficie de 435.052 km</w:t>
      </w:r>
      <w:r w:rsidRPr="008A38B9">
        <w:rPr>
          <w:vertAlign w:val="superscript"/>
        </w:rPr>
        <w:t>2</w:t>
      </w:r>
      <w:r w:rsidRPr="008A38B9">
        <w:t>.</w:t>
      </w:r>
    </w:p>
    <w:p w14:paraId="250B11F5" w14:textId="77777777" w:rsidR="008A38B9" w:rsidRPr="008A38B9" w:rsidRDefault="008A38B9" w:rsidP="008A38B9">
      <w:pPr>
        <w:pStyle w:val="SingleTxtG"/>
      </w:pPr>
      <w:r w:rsidRPr="008A38B9">
        <w:t>8.</w:t>
      </w:r>
      <w:r w:rsidRPr="008A38B9">
        <w:tab/>
        <w:t>La República del Iraq ocupa una posición central en la región del Oriente Medio. Limita al este con el Irán, al norte con Turquía, al oeste con Siria y Jordania, y al sur con la Arabia Saudita y Kuwait. El país comprende un desierto árido, al oeste del Éufrates, un extenso valle entre los ríos Tigris y Éufrates, y montañas al noreste. El delta formado en el Chatt al-Arab, cerca del Golfo Arábigo, por la desembocadura del Tigris y el Éufrates es extenso y fértil.</w:t>
      </w:r>
    </w:p>
    <w:p w14:paraId="34BC97EE" w14:textId="77777777" w:rsidR="008A38B9" w:rsidRPr="008A38B9" w:rsidRDefault="008A38B9" w:rsidP="008A38B9">
      <w:pPr>
        <w:pStyle w:val="SingleTxtG"/>
      </w:pPr>
      <w:r w:rsidRPr="008A38B9">
        <w:t>9.</w:t>
      </w:r>
      <w:r w:rsidRPr="008A38B9">
        <w:tab/>
        <w:t xml:space="preserve">El Iraq, aunque ubicado en la zona templada septentrional, presenta un clima continental semitropical con patrones de pluviosidad similares a los del clima mediterráneo </w:t>
      </w:r>
      <w:r w:rsidRPr="008A38B9">
        <w:lastRenderedPageBreak/>
        <w:t>(precipitaciones mayoritarias en invierno, algunas lluvia</w:t>
      </w:r>
      <w:r w:rsidR="00EE5288">
        <w:t>s</w:t>
      </w:r>
      <w:r w:rsidRPr="008A38B9">
        <w:t xml:space="preserve"> en otoño y primavera, y ninguna en verano).</w:t>
      </w:r>
    </w:p>
    <w:p w14:paraId="421D5A94" w14:textId="77777777" w:rsidR="008A38B9" w:rsidRDefault="008A38B9" w:rsidP="008A38B9">
      <w:pPr>
        <w:pStyle w:val="SingleTxtG"/>
      </w:pPr>
      <w:r w:rsidRPr="008A38B9">
        <w:t>10.</w:t>
      </w:r>
      <w:r w:rsidRPr="008A38B9">
        <w:tab/>
        <w:t>En el cuadro siguiente se describe el relieve del Iraq.</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8"/>
        <w:gridCol w:w="1886"/>
        <w:gridCol w:w="1886"/>
      </w:tblGrid>
      <w:tr w:rsidR="008A38B9" w:rsidRPr="008A38B9" w14:paraId="1237D70F" w14:textId="77777777" w:rsidTr="008A38B9">
        <w:tc>
          <w:tcPr>
            <w:tcW w:w="3598" w:type="dxa"/>
            <w:tcBorders>
              <w:top w:val="single" w:sz="4" w:space="0" w:color="auto"/>
              <w:bottom w:val="single" w:sz="12" w:space="0" w:color="auto"/>
            </w:tcBorders>
            <w:shd w:val="clear" w:color="auto" w:fill="auto"/>
            <w:vAlign w:val="bottom"/>
          </w:tcPr>
          <w:p w14:paraId="7B28C6CA" w14:textId="77777777" w:rsidR="008A38B9" w:rsidRPr="008A38B9" w:rsidRDefault="008A38B9" w:rsidP="008A38B9">
            <w:pPr>
              <w:pStyle w:val="SingleTxtG"/>
              <w:spacing w:before="80" w:after="80" w:line="200" w:lineRule="exact"/>
              <w:ind w:left="0" w:right="0"/>
              <w:jc w:val="left"/>
              <w:rPr>
                <w:i/>
                <w:sz w:val="16"/>
              </w:rPr>
            </w:pPr>
          </w:p>
        </w:tc>
        <w:tc>
          <w:tcPr>
            <w:tcW w:w="1886" w:type="dxa"/>
            <w:tcBorders>
              <w:top w:val="single" w:sz="4" w:space="0" w:color="auto"/>
              <w:bottom w:val="single" w:sz="12" w:space="0" w:color="auto"/>
            </w:tcBorders>
            <w:shd w:val="clear" w:color="auto" w:fill="auto"/>
            <w:vAlign w:val="bottom"/>
          </w:tcPr>
          <w:p w14:paraId="665F2A38" w14:textId="77777777" w:rsidR="008A38B9" w:rsidRPr="008A38B9" w:rsidRDefault="008A38B9" w:rsidP="008A38B9">
            <w:pPr>
              <w:pStyle w:val="SingleTxtG"/>
              <w:spacing w:before="80" w:after="80" w:line="200" w:lineRule="exact"/>
              <w:ind w:left="0" w:right="0"/>
              <w:jc w:val="right"/>
              <w:rPr>
                <w:i/>
                <w:sz w:val="16"/>
              </w:rPr>
            </w:pPr>
            <w:r>
              <w:rPr>
                <w:i/>
                <w:sz w:val="16"/>
              </w:rPr>
              <w:t>Porcentaje</w:t>
            </w:r>
          </w:p>
        </w:tc>
        <w:tc>
          <w:tcPr>
            <w:tcW w:w="1886" w:type="dxa"/>
            <w:tcBorders>
              <w:top w:val="single" w:sz="4" w:space="0" w:color="auto"/>
              <w:bottom w:val="single" w:sz="12" w:space="0" w:color="auto"/>
            </w:tcBorders>
            <w:shd w:val="clear" w:color="auto" w:fill="auto"/>
            <w:vAlign w:val="bottom"/>
          </w:tcPr>
          <w:p w14:paraId="6BE3837A" w14:textId="77777777" w:rsidR="008A38B9" w:rsidRPr="008A38B9" w:rsidRDefault="008A38B9" w:rsidP="008A38B9">
            <w:pPr>
              <w:pStyle w:val="SingleTxtG"/>
              <w:spacing w:before="80" w:after="80" w:line="200" w:lineRule="exact"/>
              <w:ind w:left="0" w:right="0"/>
              <w:jc w:val="right"/>
              <w:rPr>
                <w:i/>
                <w:sz w:val="16"/>
              </w:rPr>
            </w:pPr>
            <w:r>
              <w:rPr>
                <w:i/>
                <w:sz w:val="16"/>
              </w:rPr>
              <w:t>Superficie (kms</w:t>
            </w:r>
            <w:r w:rsidRPr="008A38B9">
              <w:rPr>
                <w:i/>
                <w:sz w:val="16"/>
                <w:vertAlign w:val="superscript"/>
              </w:rPr>
              <w:t>2</w:t>
            </w:r>
            <w:r>
              <w:rPr>
                <w:i/>
                <w:sz w:val="16"/>
              </w:rPr>
              <w:t>)</w:t>
            </w:r>
          </w:p>
        </w:tc>
      </w:tr>
      <w:tr w:rsidR="008A38B9" w:rsidRPr="008A38B9" w14:paraId="583A5BCF" w14:textId="77777777" w:rsidTr="008A38B9">
        <w:tc>
          <w:tcPr>
            <w:tcW w:w="3598" w:type="dxa"/>
            <w:tcBorders>
              <w:top w:val="single" w:sz="12" w:space="0" w:color="auto"/>
            </w:tcBorders>
            <w:shd w:val="clear" w:color="auto" w:fill="auto"/>
            <w:vAlign w:val="bottom"/>
          </w:tcPr>
          <w:p w14:paraId="0342181F" w14:textId="77777777" w:rsidR="008A38B9" w:rsidRPr="008A38B9" w:rsidRDefault="008A38B9" w:rsidP="008A38B9">
            <w:pPr>
              <w:pStyle w:val="SingleTxtG"/>
              <w:spacing w:before="40" w:after="40" w:line="220" w:lineRule="exact"/>
              <w:ind w:left="0" w:right="0"/>
              <w:jc w:val="left"/>
              <w:rPr>
                <w:sz w:val="18"/>
              </w:rPr>
            </w:pPr>
            <w:r w:rsidRPr="008A38B9">
              <w:rPr>
                <w:sz w:val="18"/>
              </w:rPr>
              <w:t>Llanos (incluidas marismas y lagunas)</w:t>
            </w:r>
          </w:p>
        </w:tc>
        <w:tc>
          <w:tcPr>
            <w:tcW w:w="1886" w:type="dxa"/>
            <w:tcBorders>
              <w:top w:val="single" w:sz="12" w:space="0" w:color="auto"/>
            </w:tcBorders>
            <w:shd w:val="clear" w:color="auto" w:fill="auto"/>
          </w:tcPr>
          <w:p w14:paraId="19A3FD2F" w14:textId="77777777" w:rsidR="008A38B9" w:rsidRPr="008A38B9" w:rsidRDefault="008A38B9" w:rsidP="008A38B9">
            <w:pPr>
              <w:pStyle w:val="SingleTxtG"/>
              <w:spacing w:before="40" w:after="40" w:line="220" w:lineRule="exact"/>
              <w:ind w:left="0" w:right="0"/>
              <w:jc w:val="right"/>
              <w:rPr>
                <w:sz w:val="18"/>
              </w:rPr>
            </w:pPr>
            <w:r w:rsidRPr="008A38B9">
              <w:rPr>
                <w:sz w:val="18"/>
              </w:rPr>
              <w:t>30,5</w:t>
            </w:r>
          </w:p>
        </w:tc>
        <w:tc>
          <w:tcPr>
            <w:tcW w:w="1886" w:type="dxa"/>
            <w:tcBorders>
              <w:top w:val="single" w:sz="12" w:space="0" w:color="auto"/>
            </w:tcBorders>
            <w:shd w:val="clear" w:color="auto" w:fill="auto"/>
          </w:tcPr>
          <w:p w14:paraId="4334B617" w14:textId="77777777" w:rsidR="008A38B9" w:rsidRPr="008A38B9" w:rsidRDefault="008A38B9" w:rsidP="008A38B9">
            <w:pPr>
              <w:pStyle w:val="SingleTxtG"/>
              <w:spacing w:before="40" w:after="40" w:line="220" w:lineRule="exact"/>
              <w:ind w:left="0" w:right="0"/>
              <w:jc w:val="right"/>
              <w:rPr>
                <w:sz w:val="18"/>
              </w:rPr>
            </w:pPr>
            <w:r w:rsidRPr="008A38B9">
              <w:rPr>
                <w:sz w:val="18"/>
              </w:rPr>
              <w:t>132</w:t>
            </w:r>
            <w:r>
              <w:rPr>
                <w:sz w:val="18"/>
              </w:rPr>
              <w:t xml:space="preserve"> </w:t>
            </w:r>
            <w:r w:rsidRPr="008A38B9">
              <w:rPr>
                <w:sz w:val="18"/>
              </w:rPr>
              <w:t>500</w:t>
            </w:r>
          </w:p>
        </w:tc>
      </w:tr>
      <w:tr w:rsidR="008A38B9" w:rsidRPr="008A38B9" w14:paraId="3F5D98AC" w14:textId="77777777" w:rsidTr="008A38B9">
        <w:tc>
          <w:tcPr>
            <w:tcW w:w="3598" w:type="dxa"/>
            <w:shd w:val="clear" w:color="auto" w:fill="auto"/>
            <w:vAlign w:val="bottom"/>
          </w:tcPr>
          <w:p w14:paraId="51E0EAAA" w14:textId="77777777" w:rsidR="008A38B9" w:rsidRPr="008A38B9" w:rsidRDefault="008A38B9" w:rsidP="008A38B9">
            <w:pPr>
              <w:pStyle w:val="SingleTxtG"/>
              <w:spacing w:before="40" w:after="40" w:line="220" w:lineRule="exact"/>
              <w:ind w:left="0" w:right="0"/>
              <w:jc w:val="left"/>
              <w:rPr>
                <w:sz w:val="18"/>
              </w:rPr>
            </w:pPr>
            <w:r w:rsidRPr="008A38B9">
              <w:rPr>
                <w:sz w:val="18"/>
              </w:rPr>
              <w:t>Terreno semimontañoso</w:t>
            </w:r>
          </w:p>
        </w:tc>
        <w:tc>
          <w:tcPr>
            <w:tcW w:w="1886" w:type="dxa"/>
            <w:shd w:val="clear" w:color="auto" w:fill="auto"/>
          </w:tcPr>
          <w:p w14:paraId="3C976D20" w14:textId="77777777" w:rsidR="008A38B9" w:rsidRPr="008A38B9" w:rsidRDefault="008A38B9" w:rsidP="008A38B9">
            <w:pPr>
              <w:pStyle w:val="SingleTxtG"/>
              <w:spacing w:before="40" w:after="40" w:line="220" w:lineRule="exact"/>
              <w:ind w:left="0" w:right="0"/>
              <w:jc w:val="right"/>
              <w:rPr>
                <w:sz w:val="18"/>
              </w:rPr>
            </w:pPr>
            <w:r w:rsidRPr="008A38B9">
              <w:rPr>
                <w:sz w:val="18"/>
              </w:rPr>
              <w:t>9,7</w:t>
            </w:r>
          </w:p>
        </w:tc>
        <w:tc>
          <w:tcPr>
            <w:tcW w:w="1886" w:type="dxa"/>
            <w:shd w:val="clear" w:color="auto" w:fill="auto"/>
          </w:tcPr>
          <w:p w14:paraId="184237A6" w14:textId="77777777" w:rsidR="008A38B9" w:rsidRPr="008A38B9" w:rsidRDefault="008A38B9" w:rsidP="008A38B9">
            <w:pPr>
              <w:pStyle w:val="SingleTxtG"/>
              <w:spacing w:before="40" w:after="40" w:line="220" w:lineRule="exact"/>
              <w:ind w:left="0" w:right="0"/>
              <w:jc w:val="right"/>
              <w:rPr>
                <w:sz w:val="18"/>
              </w:rPr>
            </w:pPr>
            <w:r w:rsidRPr="008A38B9">
              <w:rPr>
                <w:sz w:val="18"/>
              </w:rPr>
              <w:t>42</w:t>
            </w:r>
            <w:r>
              <w:rPr>
                <w:sz w:val="18"/>
              </w:rPr>
              <w:t xml:space="preserve"> </w:t>
            </w:r>
            <w:r w:rsidRPr="008A38B9">
              <w:rPr>
                <w:sz w:val="18"/>
              </w:rPr>
              <w:t>000</w:t>
            </w:r>
          </w:p>
        </w:tc>
      </w:tr>
      <w:tr w:rsidR="008A38B9" w:rsidRPr="008A38B9" w14:paraId="681764AF" w14:textId="77777777" w:rsidTr="008A38B9">
        <w:tc>
          <w:tcPr>
            <w:tcW w:w="3598" w:type="dxa"/>
            <w:shd w:val="clear" w:color="auto" w:fill="auto"/>
            <w:vAlign w:val="bottom"/>
          </w:tcPr>
          <w:p w14:paraId="04B6CF43" w14:textId="77777777" w:rsidR="008A38B9" w:rsidRPr="008A38B9" w:rsidRDefault="008A38B9" w:rsidP="008A38B9">
            <w:pPr>
              <w:pStyle w:val="SingleTxtG"/>
              <w:spacing w:before="40" w:after="40" w:line="220" w:lineRule="exact"/>
              <w:ind w:left="0" w:right="0"/>
              <w:jc w:val="left"/>
              <w:rPr>
                <w:sz w:val="18"/>
              </w:rPr>
            </w:pPr>
            <w:r w:rsidRPr="008A38B9">
              <w:rPr>
                <w:sz w:val="18"/>
              </w:rPr>
              <w:t>Montañas</w:t>
            </w:r>
          </w:p>
        </w:tc>
        <w:tc>
          <w:tcPr>
            <w:tcW w:w="1886" w:type="dxa"/>
            <w:shd w:val="clear" w:color="auto" w:fill="auto"/>
          </w:tcPr>
          <w:p w14:paraId="7439E978" w14:textId="77777777" w:rsidR="008A38B9" w:rsidRPr="008A38B9" w:rsidRDefault="008A38B9" w:rsidP="008A38B9">
            <w:pPr>
              <w:pStyle w:val="SingleTxtG"/>
              <w:spacing w:before="40" w:after="40" w:line="220" w:lineRule="exact"/>
              <w:ind w:left="0" w:right="0"/>
              <w:jc w:val="right"/>
              <w:rPr>
                <w:sz w:val="18"/>
              </w:rPr>
            </w:pPr>
            <w:r w:rsidRPr="008A38B9">
              <w:rPr>
                <w:sz w:val="18"/>
              </w:rPr>
              <w:t>21,1</w:t>
            </w:r>
          </w:p>
        </w:tc>
        <w:tc>
          <w:tcPr>
            <w:tcW w:w="1886" w:type="dxa"/>
            <w:shd w:val="clear" w:color="auto" w:fill="auto"/>
          </w:tcPr>
          <w:p w14:paraId="6CBEA045" w14:textId="77777777" w:rsidR="008A38B9" w:rsidRPr="008A38B9" w:rsidRDefault="008A38B9" w:rsidP="008A38B9">
            <w:pPr>
              <w:pStyle w:val="SingleTxtG"/>
              <w:spacing w:before="40" w:after="40" w:line="220" w:lineRule="exact"/>
              <w:ind w:left="0" w:right="0"/>
              <w:jc w:val="right"/>
              <w:rPr>
                <w:sz w:val="18"/>
              </w:rPr>
            </w:pPr>
            <w:r w:rsidRPr="008A38B9">
              <w:rPr>
                <w:sz w:val="18"/>
              </w:rPr>
              <w:t>92</w:t>
            </w:r>
            <w:r>
              <w:rPr>
                <w:sz w:val="18"/>
              </w:rPr>
              <w:t xml:space="preserve"> </w:t>
            </w:r>
            <w:r w:rsidRPr="008A38B9">
              <w:rPr>
                <w:sz w:val="18"/>
              </w:rPr>
              <w:t>000</w:t>
            </w:r>
          </w:p>
        </w:tc>
      </w:tr>
      <w:tr w:rsidR="008A38B9" w:rsidRPr="008A38B9" w14:paraId="27151DB9" w14:textId="77777777" w:rsidTr="008A38B9">
        <w:tc>
          <w:tcPr>
            <w:tcW w:w="3598" w:type="dxa"/>
            <w:tcBorders>
              <w:bottom w:val="single" w:sz="4" w:space="0" w:color="auto"/>
            </w:tcBorders>
            <w:shd w:val="clear" w:color="auto" w:fill="auto"/>
            <w:vAlign w:val="bottom"/>
          </w:tcPr>
          <w:p w14:paraId="647E83E2" w14:textId="77777777" w:rsidR="008A38B9" w:rsidRPr="008A38B9" w:rsidRDefault="008A38B9" w:rsidP="008A38B9">
            <w:pPr>
              <w:pStyle w:val="SingleTxtG"/>
              <w:spacing w:before="40" w:after="40" w:line="220" w:lineRule="exact"/>
              <w:ind w:left="0" w:right="0"/>
              <w:jc w:val="left"/>
              <w:rPr>
                <w:sz w:val="18"/>
              </w:rPr>
            </w:pPr>
            <w:r w:rsidRPr="008A38B9">
              <w:rPr>
                <w:sz w:val="18"/>
              </w:rPr>
              <w:t>Desierto</w:t>
            </w:r>
          </w:p>
        </w:tc>
        <w:tc>
          <w:tcPr>
            <w:tcW w:w="1886" w:type="dxa"/>
            <w:tcBorders>
              <w:bottom w:val="single" w:sz="4" w:space="0" w:color="auto"/>
            </w:tcBorders>
            <w:shd w:val="clear" w:color="auto" w:fill="auto"/>
          </w:tcPr>
          <w:p w14:paraId="64966E09" w14:textId="77777777" w:rsidR="008A38B9" w:rsidRPr="008A38B9" w:rsidRDefault="008A38B9" w:rsidP="008A38B9">
            <w:pPr>
              <w:pStyle w:val="SingleTxtG"/>
              <w:spacing w:before="40" w:after="40" w:line="220" w:lineRule="exact"/>
              <w:ind w:left="0" w:right="0"/>
              <w:jc w:val="right"/>
              <w:rPr>
                <w:sz w:val="18"/>
              </w:rPr>
            </w:pPr>
            <w:r w:rsidRPr="008A38B9">
              <w:rPr>
                <w:sz w:val="18"/>
              </w:rPr>
              <w:t>38,7</w:t>
            </w:r>
          </w:p>
        </w:tc>
        <w:tc>
          <w:tcPr>
            <w:tcW w:w="1886" w:type="dxa"/>
            <w:tcBorders>
              <w:bottom w:val="single" w:sz="4" w:space="0" w:color="auto"/>
            </w:tcBorders>
            <w:shd w:val="clear" w:color="auto" w:fill="auto"/>
          </w:tcPr>
          <w:p w14:paraId="7A082F8D" w14:textId="77777777" w:rsidR="008A38B9" w:rsidRPr="008A38B9" w:rsidRDefault="008A38B9" w:rsidP="008A38B9">
            <w:pPr>
              <w:pStyle w:val="SingleTxtG"/>
              <w:spacing w:before="40" w:after="40" w:line="220" w:lineRule="exact"/>
              <w:ind w:left="0" w:right="0"/>
              <w:jc w:val="right"/>
              <w:rPr>
                <w:sz w:val="18"/>
              </w:rPr>
            </w:pPr>
            <w:r w:rsidRPr="008A38B9">
              <w:rPr>
                <w:sz w:val="18"/>
              </w:rPr>
              <w:t>168</w:t>
            </w:r>
            <w:r>
              <w:rPr>
                <w:sz w:val="18"/>
              </w:rPr>
              <w:t xml:space="preserve"> </w:t>
            </w:r>
            <w:r w:rsidRPr="008A38B9">
              <w:rPr>
                <w:sz w:val="18"/>
              </w:rPr>
              <w:t>552</w:t>
            </w:r>
          </w:p>
        </w:tc>
      </w:tr>
      <w:tr w:rsidR="008A38B9" w:rsidRPr="008A38B9" w14:paraId="3482CD9F" w14:textId="77777777" w:rsidTr="008A38B9">
        <w:tc>
          <w:tcPr>
            <w:tcW w:w="3598" w:type="dxa"/>
            <w:tcBorders>
              <w:top w:val="single" w:sz="4" w:space="0" w:color="auto"/>
              <w:bottom w:val="single" w:sz="12" w:space="0" w:color="auto"/>
            </w:tcBorders>
            <w:shd w:val="clear" w:color="auto" w:fill="auto"/>
            <w:vAlign w:val="bottom"/>
          </w:tcPr>
          <w:p w14:paraId="70221274" w14:textId="77777777" w:rsidR="008A38B9" w:rsidRPr="008A38B9" w:rsidRDefault="008A38B9" w:rsidP="008A38B9">
            <w:pPr>
              <w:pStyle w:val="SingleTxtG"/>
              <w:spacing w:before="80" w:after="80" w:line="220" w:lineRule="exact"/>
              <w:ind w:left="284" w:right="0"/>
              <w:jc w:val="left"/>
              <w:rPr>
                <w:b/>
                <w:bCs/>
                <w:sz w:val="18"/>
              </w:rPr>
            </w:pPr>
            <w:r w:rsidRPr="008A38B9">
              <w:rPr>
                <w:b/>
                <w:bCs/>
                <w:sz w:val="18"/>
              </w:rPr>
              <w:t>Total</w:t>
            </w:r>
          </w:p>
        </w:tc>
        <w:tc>
          <w:tcPr>
            <w:tcW w:w="1886" w:type="dxa"/>
            <w:tcBorders>
              <w:top w:val="single" w:sz="4" w:space="0" w:color="auto"/>
              <w:bottom w:val="single" w:sz="12" w:space="0" w:color="auto"/>
            </w:tcBorders>
            <w:shd w:val="clear" w:color="auto" w:fill="auto"/>
          </w:tcPr>
          <w:p w14:paraId="662ADA95" w14:textId="77777777" w:rsidR="008A38B9" w:rsidRPr="008A38B9" w:rsidRDefault="008A38B9" w:rsidP="008A38B9">
            <w:pPr>
              <w:pStyle w:val="SingleTxtG"/>
              <w:spacing w:before="80" w:after="80" w:line="220" w:lineRule="exact"/>
              <w:ind w:left="0" w:right="0"/>
              <w:jc w:val="right"/>
              <w:rPr>
                <w:b/>
                <w:bCs/>
                <w:sz w:val="18"/>
              </w:rPr>
            </w:pPr>
            <w:r w:rsidRPr="008A38B9">
              <w:rPr>
                <w:b/>
                <w:bCs/>
                <w:sz w:val="18"/>
              </w:rPr>
              <w:t>100</w:t>
            </w:r>
          </w:p>
        </w:tc>
        <w:tc>
          <w:tcPr>
            <w:tcW w:w="1886" w:type="dxa"/>
            <w:tcBorders>
              <w:top w:val="single" w:sz="4" w:space="0" w:color="auto"/>
              <w:bottom w:val="single" w:sz="12" w:space="0" w:color="auto"/>
            </w:tcBorders>
            <w:shd w:val="clear" w:color="auto" w:fill="auto"/>
          </w:tcPr>
          <w:p w14:paraId="15107C72" w14:textId="77777777" w:rsidR="008A38B9" w:rsidRPr="008A38B9" w:rsidRDefault="008A38B9" w:rsidP="008A38B9">
            <w:pPr>
              <w:pStyle w:val="SingleTxtG"/>
              <w:spacing w:before="80" w:after="80" w:line="220" w:lineRule="exact"/>
              <w:ind w:left="0" w:right="0"/>
              <w:jc w:val="right"/>
              <w:rPr>
                <w:b/>
                <w:bCs/>
                <w:sz w:val="18"/>
              </w:rPr>
            </w:pPr>
            <w:r w:rsidRPr="008A38B9">
              <w:rPr>
                <w:b/>
                <w:bCs/>
                <w:sz w:val="18"/>
              </w:rPr>
              <w:t>435 052</w:t>
            </w:r>
          </w:p>
        </w:tc>
      </w:tr>
    </w:tbl>
    <w:p w14:paraId="19172D0C" w14:textId="77777777" w:rsidR="008A38B9" w:rsidRPr="008A38B9" w:rsidRDefault="008A38B9" w:rsidP="008A38B9">
      <w:pPr>
        <w:pStyle w:val="SingleTxtG"/>
        <w:spacing w:before="120" w:after="240"/>
        <w:ind w:left="1304"/>
        <w:rPr>
          <w:sz w:val="18"/>
          <w:szCs w:val="18"/>
        </w:rPr>
      </w:pPr>
      <w:r w:rsidRPr="008A38B9">
        <w:rPr>
          <w:i/>
          <w:sz w:val="18"/>
          <w:szCs w:val="18"/>
        </w:rPr>
        <w:t>Fuente:</w:t>
      </w:r>
      <w:r w:rsidRPr="008A38B9">
        <w:rPr>
          <w:sz w:val="18"/>
          <w:szCs w:val="18"/>
        </w:rPr>
        <w:t xml:space="preserve"> Boletín estadístico (2017).</w:t>
      </w:r>
    </w:p>
    <w:p w14:paraId="2927E87F" w14:textId="77777777" w:rsidR="008A38B9" w:rsidRPr="008A38B9" w:rsidRDefault="008A38B9" w:rsidP="008A38B9">
      <w:pPr>
        <w:pStyle w:val="SingleTxtG"/>
      </w:pPr>
      <w:r w:rsidRPr="008A38B9">
        <w:t>11.</w:t>
      </w:r>
      <w:r w:rsidRPr="008A38B9">
        <w:tab/>
        <w:t>Según los datos censales, el Iraq tenía 12 millones de habitantes en 1977. Entre 1987 y 1997, la población pasó de 16 a 22 millones de personas, con una tasa de crecimiento anual del 2,9 %. A la vista de las conclusiones del Censo de Población y Viviendas se estima que el Iraq tenía 31,6 millones de habitantes en 2009 y 35,2 en 2015. Las proyecciones demográficas para el Estado preveían una población de 38,1 millones de personas para 2018.</w:t>
      </w:r>
    </w:p>
    <w:p w14:paraId="7B0F2062" w14:textId="77777777" w:rsidR="008A38B9" w:rsidRPr="008A38B9" w:rsidRDefault="008A38B9" w:rsidP="008A38B9">
      <w:pPr>
        <w:pStyle w:val="SingleTxtG"/>
      </w:pPr>
      <w:r w:rsidRPr="008A38B9">
        <w:t>12.</w:t>
      </w:r>
      <w:r w:rsidRPr="008A38B9">
        <w:tab/>
        <w:t xml:space="preserve">La población iraquí se compone de 19.261.000 varones y 18.863.000 mujeres. En 2018, la esperanza de vida al nacer de los varones y las mujeres era, respectivamente, 71,7 y 75,6 años. </w:t>
      </w:r>
    </w:p>
    <w:p w14:paraId="0E5A3E0D" w14:textId="77777777" w:rsidR="008A38B9" w:rsidRPr="008A38B9" w:rsidRDefault="008A38B9" w:rsidP="008A38B9">
      <w:pPr>
        <w:pStyle w:val="SingleTxtG"/>
      </w:pPr>
      <w:r w:rsidRPr="008A38B9">
        <w:t>13.</w:t>
      </w:r>
      <w:r w:rsidRPr="008A38B9">
        <w:tab/>
        <w:t>Los indicadores demográficos apuntan a una aceleración del crecimiento. Entre 2014 y 2015, la población pasó de 34.819.301 a 35.212.600 personas, lo que supone una tasa de crecimiento del 2,6 % con una razón de sexo de 102,1. En el mismo período, la tasa global de fecundidad pasó del 4,14 % al 4,08 %.</w:t>
      </w:r>
    </w:p>
    <w:p w14:paraId="370B224F" w14:textId="77777777" w:rsidR="008A38B9" w:rsidRPr="008A38B9" w:rsidRDefault="008A38B9" w:rsidP="008A38B9">
      <w:pPr>
        <w:pStyle w:val="SingleTxtG"/>
      </w:pPr>
      <w:r w:rsidRPr="008A38B9">
        <w:t>14.</w:t>
      </w:r>
      <w:r w:rsidRPr="008A38B9">
        <w:tab/>
        <w:t>En 2014, el hogar medio albergaba 6,6 personas.</w:t>
      </w:r>
    </w:p>
    <w:p w14:paraId="41300345" w14:textId="77777777" w:rsidR="008A38B9" w:rsidRPr="008A38B9" w:rsidRDefault="008A38B9" w:rsidP="008A38B9">
      <w:pPr>
        <w:pStyle w:val="SingleTxtG"/>
      </w:pPr>
      <w:r w:rsidRPr="008A38B9">
        <w:t>15.</w:t>
      </w:r>
      <w:r w:rsidRPr="008A38B9">
        <w:tab/>
        <w:t>El 69,8 % de la población del Iraq es urbana y el 30,2 % rural. En 2018, el Estado presentaba una densidad de población de 87,6 habitantes por km</w:t>
      </w:r>
      <w:r w:rsidRPr="008A38B9">
        <w:rPr>
          <w:vertAlign w:val="superscript"/>
        </w:rPr>
        <w:t>2</w:t>
      </w:r>
      <w:r w:rsidRPr="008A38B9">
        <w:t>.</w:t>
      </w:r>
    </w:p>
    <w:p w14:paraId="69FA4E59" w14:textId="77777777" w:rsidR="008A38B9" w:rsidRDefault="008A38B9" w:rsidP="008A38B9">
      <w:pPr>
        <w:pStyle w:val="SingleTxtG"/>
      </w:pPr>
      <w:r w:rsidRPr="008A38B9">
        <w:t>16.</w:t>
      </w:r>
      <w:r w:rsidRPr="008A38B9">
        <w:tab/>
        <w:t>En el cuadro siguiente figuran indicadores demográficos sobre el Iraq.</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25"/>
        <w:gridCol w:w="1172"/>
        <w:gridCol w:w="1173"/>
      </w:tblGrid>
      <w:tr w:rsidR="008A38B9" w:rsidRPr="008A38B9" w14:paraId="439FB4D6" w14:textId="77777777" w:rsidTr="008A38B9">
        <w:tc>
          <w:tcPr>
            <w:tcW w:w="5025" w:type="dxa"/>
            <w:tcBorders>
              <w:top w:val="single" w:sz="4" w:space="0" w:color="auto"/>
              <w:bottom w:val="single" w:sz="12" w:space="0" w:color="auto"/>
            </w:tcBorders>
            <w:shd w:val="clear" w:color="auto" w:fill="auto"/>
            <w:vAlign w:val="bottom"/>
          </w:tcPr>
          <w:p w14:paraId="429C95D5" w14:textId="77777777" w:rsidR="008A38B9" w:rsidRPr="008A38B9" w:rsidRDefault="008A38B9" w:rsidP="008A38B9">
            <w:pPr>
              <w:pStyle w:val="SingleTxtG"/>
              <w:spacing w:before="80" w:after="80" w:line="200" w:lineRule="exact"/>
              <w:ind w:left="0" w:right="0"/>
              <w:jc w:val="left"/>
              <w:rPr>
                <w:i/>
                <w:sz w:val="16"/>
              </w:rPr>
            </w:pPr>
            <w:r w:rsidRPr="008A38B9">
              <w:rPr>
                <w:i/>
                <w:sz w:val="16"/>
              </w:rPr>
              <w:t>Indicador</w:t>
            </w:r>
          </w:p>
        </w:tc>
        <w:tc>
          <w:tcPr>
            <w:tcW w:w="1172" w:type="dxa"/>
            <w:tcBorders>
              <w:top w:val="single" w:sz="4" w:space="0" w:color="auto"/>
              <w:bottom w:val="single" w:sz="12" w:space="0" w:color="auto"/>
            </w:tcBorders>
            <w:shd w:val="clear" w:color="auto" w:fill="auto"/>
          </w:tcPr>
          <w:p w14:paraId="0C2CDCA1" w14:textId="77777777" w:rsidR="008A38B9" w:rsidRPr="008A38B9" w:rsidRDefault="008A38B9" w:rsidP="008A38B9">
            <w:pPr>
              <w:pStyle w:val="SingleTxtG"/>
              <w:spacing w:before="80" w:after="80" w:line="200" w:lineRule="exact"/>
              <w:ind w:left="0" w:right="0"/>
              <w:jc w:val="right"/>
              <w:rPr>
                <w:i/>
                <w:sz w:val="16"/>
              </w:rPr>
            </w:pPr>
            <w:r w:rsidRPr="008A38B9">
              <w:rPr>
                <w:i/>
                <w:sz w:val="16"/>
              </w:rPr>
              <w:t>2013</w:t>
            </w:r>
          </w:p>
        </w:tc>
        <w:tc>
          <w:tcPr>
            <w:tcW w:w="1173" w:type="dxa"/>
            <w:tcBorders>
              <w:top w:val="single" w:sz="4" w:space="0" w:color="auto"/>
              <w:bottom w:val="single" w:sz="12" w:space="0" w:color="auto"/>
            </w:tcBorders>
            <w:shd w:val="clear" w:color="auto" w:fill="auto"/>
          </w:tcPr>
          <w:p w14:paraId="3018D492" w14:textId="77777777" w:rsidR="008A38B9" w:rsidRPr="008A38B9" w:rsidRDefault="008A38B9" w:rsidP="008A38B9">
            <w:pPr>
              <w:pStyle w:val="SingleTxtG"/>
              <w:spacing w:before="80" w:after="80" w:line="200" w:lineRule="exact"/>
              <w:ind w:left="0" w:right="0"/>
              <w:jc w:val="right"/>
              <w:rPr>
                <w:i/>
                <w:sz w:val="16"/>
              </w:rPr>
            </w:pPr>
            <w:r w:rsidRPr="008A38B9">
              <w:rPr>
                <w:i/>
                <w:sz w:val="16"/>
              </w:rPr>
              <w:t>2018</w:t>
            </w:r>
          </w:p>
        </w:tc>
      </w:tr>
      <w:tr w:rsidR="008A38B9" w:rsidRPr="008A38B9" w14:paraId="07FAF019" w14:textId="77777777" w:rsidTr="0024488B">
        <w:tc>
          <w:tcPr>
            <w:tcW w:w="5025" w:type="dxa"/>
            <w:tcBorders>
              <w:top w:val="single" w:sz="12" w:space="0" w:color="auto"/>
            </w:tcBorders>
            <w:shd w:val="clear" w:color="auto" w:fill="auto"/>
          </w:tcPr>
          <w:p w14:paraId="60E960BD" w14:textId="77777777" w:rsidR="008A38B9" w:rsidRPr="008A38B9" w:rsidRDefault="008A38B9" w:rsidP="008A38B9">
            <w:pPr>
              <w:pStyle w:val="SingleTxtG"/>
              <w:spacing w:before="40" w:after="40" w:line="220" w:lineRule="exact"/>
              <w:ind w:left="0" w:right="0"/>
              <w:jc w:val="left"/>
              <w:rPr>
                <w:sz w:val="18"/>
              </w:rPr>
            </w:pPr>
            <w:r w:rsidRPr="008A38B9">
              <w:rPr>
                <w:sz w:val="18"/>
              </w:rPr>
              <w:t xml:space="preserve">Tasa bruta de reproducción (reemplazo) </w:t>
            </w:r>
            <w:r w:rsidR="00EE5288">
              <w:rPr>
                <w:sz w:val="18"/>
              </w:rPr>
              <w:t>(porcentaje)</w:t>
            </w:r>
          </w:p>
        </w:tc>
        <w:tc>
          <w:tcPr>
            <w:tcW w:w="1172" w:type="dxa"/>
            <w:tcBorders>
              <w:top w:val="single" w:sz="12" w:space="0" w:color="auto"/>
            </w:tcBorders>
            <w:shd w:val="clear" w:color="auto" w:fill="auto"/>
            <w:vAlign w:val="bottom"/>
          </w:tcPr>
          <w:p w14:paraId="74311B2F" w14:textId="77777777" w:rsidR="008A38B9" w:rsidRPr="008A38B9" w:rsidRDefault="008A38B9" w:rsidP="0024488B">
            <w:pPr>
              <w:pStyle w:val="SingleTxtG"/>
              <w:spacing w:before="40" w:after="40" w:line="220" w:lineRule="exact"/>
              <w:ind w:left="0" w:right="0"/>
              <w:jc w:val="right"/>
              <w:rPr>
                <w:sz w:val="18"/>
              </w:rPr>
            </w:pPr>
            <w:r w:rsidRPr="008A38B9">
              <w:rPr>
                <w:sz w:val="18"/>
              </w:rPr>
              <w:t>2,0</w:t>
            </w:r>
          </w:p>
        </w:tc>
        <w:tc>
          <w:tcPr>
            <w:tcW w:w="1173" w:type="dxa"/>
            <w:tcBorders>
              <w:top w:val="single" w:sz="12" w:space="0" w:color="auto"/>
            </w:tcBorders>
            <w:shd w:val="clear" w:color="auto" w:fill="auto"/>
            <w:vAlign w:val="bottom"/>
          </w:tcPr>
          <w:p w14:paraId="1AECC2D4" w14:textId="77777777" w:rsidR="008A38B9" w:rsidRPr="008A38B9" w:rsidRDefault="008A38B9" w:rsidP="0024488B">
            <w:pPr>
              <w:pStyle w:val="SingleTxtG"/>
              <w:spacing w:before="40" w:after="40" w:line="220" w:lineRule="exact"/>
              <w:ind w:left="0" w:right="0"/>
              <w:jc w:val="right"/>
              <w:rPr>
                <w:sz w:val="18"/>
              </w:rPr>
            </w:pPr>
            <w:r w:rsidRPr="008A38B9">
              <w:rPr>
                <w:sz w:val="18"/>
              </w:rPr>
              <w:t>1,93</w:t>
            </w:r>
          </w:p>
        </w:tc>
      </w:tr>
      <w:tr w:rsidR="008A38B9" w:rsidRPr="008A38B9" w14:paraId="266A0DC2" w14:textId="77777777" w:rsidTr="0024488B">
        <w:tc>
          <w:tcPr>
            <w:tcW w:w="5025" w:type="dxa"/>
            <w:shd w:val="clear" w:color="auto" w:fill="auto"/>
          </w:tcPr>
          <w:p w14:paraId="40D9A195" w14:textId="77777777" w:rsidR="008A38B9" w:rsidRPr="008A38B9" w:rsidRDefault="008A38B9" w:rsidP="008A38B9">
            <w:pPr>
              <w:pStyle w:val="SingleTxtG"/>
              <w:spacing w:before="40" w:after="40" w:line="220" w:lineRule="exact"/>
              <w:ind w:left="0" w:right="0"/>
              <w:jc w:val="left"/>
              <w:rPr>
                <w:sz w:val="18"/>
              </w:rPr>
            </w:pPr>
            <w:r w:rsidRPr="008A38B9">
              <w:rPr>
                <w:sz w:val="18"/>
              </w:rPr>
              <w:t xml:space="preserve">Tasa neta de reproducción </w:t>
            </w:r>
            <w:r w:rsidR="00EE5288">
              <w:rPr>
                <w:sz w:val="18"/>
              </w:rPr>
              <w:t>(porcentaje)</w:t>
            </w:r>
          </w:p>
        </w:tc>
        <w:tc>
          <w:tcPr>
            <w:tcW w:w="1172" w:type="dxa"/>
            <w:shd w:val="clear" w:color="auto" w:fill="auto"/>
            <w:vAlign w:val="bottom"/>
          </w:tcPr>
          <w:p w14:paraId="7818BB4D" w14:textId="77777777" w:rsidR="008A38B9" w:rsidRPr="008A38B9" w:rsidRDefault="008A38B9" w:rsidP="0024488B">
            <w:pPr>
              <w:pStyle w:val="SingleTxtG"/>
              <w:spacing w:before="40" w:after="40" w:line="220" w:lineRule="exact"/>
              <w:ind w:left="0" w:right="0"/>
              <w:jc w:val="right"/>
              <w:rPr>
                <w:sz w:val="18"/>
              </w:rPr>
            </w:pPr>
            <w:r w:rsidRPr="008A38B9">
              <w:rPr>
                <w:sz w:val="18"/>
              </w:rPr>
              <w:t>1,9</w:t>
            </w:r>
          </w:p>
        </w:tc>
        <w:tc>
          <w:tcPr>
            <w:tcW w:w="1173" w:type="dxa"/>
            <w:shd w:val="clear" w:color="auto" w:fill="auto"/>
            <w:vAlign w:val="bottom"/>
          </w:tcPr>
          <w:p w14:paraId="67D66192" w14:textId="77777777" w:rsidR="008A38B9" w:rsidRPr="008A38B9" w:rsidRDefault="008A38B9" w:rsidP="0024488B">
            <w:pPr>
              <w:pStyle w:val="SingleTxtG"/>
              <w:spacing w:before="40" w:after="40" w:line="220" w:lineRule="exact"/>
              <w:ind w:left="0" w:right="0"/>
              <w:jc w:val="right"/>
              <w:rPr>
                <w:sz w:val="18"/>
              </w:rPr>
            </w:pPr>
            <w:r w:rsidRPr="008A38B9">
              <w:rPr>
                <w:sz w:val="18"/>
              </w:rPr>
              <w:t>1,88</w:t>
            </w:r>
          </w:p>
        </w:tc>
      </w:tr>
      <w:tr w:rsidR="008A38B9" w:rsidRPr="008A38B9" w14:paraId="33A8DC23" w14:textId="77777777" w:rsidTr="0024488B">
        <w:tc>
          <w:tcPr>
            <w:tcW w:w="5025" w:type="dxa"/>
            <w:shd w:val="clear" w:color="auto" w:fill="auto"/>
          </w:tcPr>
          <w:p w14:paraId="4D9E9EA5" w14:textId="77777777" w:rsidR="008A38B9" w:rsidRPr="008A38B9" w:rsidRDefault="008A38B9" w:rsidP="008A38B9">
            <w:pPr>
              <w:pStyle w:val="SingleTxtG"/>
              <w:spacing w:before="40" w:after="40" w:line="220" w:lineRule="exact"/>
              <w:ind w:left="0" w:right="0"/>
              <w:jc w:val="left"/>
              <w:rPr>
                <w:sz w:val="18"/>
              </w:rPr>
            </w:pPr>
            <w:r w:rsidRPr="008A38B9">
              <w:rPr>
                <w:sz w:val="18"/>
              </w:rPr>
              <w:t>Edad media al contraer el primer matrimonio (en años)</w:t>
            </w:r>
          </w:p>
        </w:tc>
        <w:tc>
          <w:tcPr>
            <w:tcW w:w="1172" w:type="dxa"/>
            <w:shd w:val="clear" w:color="auto" w:fill="auto"/>
            <w:vAlign w:val="bottom"/>
          </w:tcPr>
          <w:p w14:paraId="5939119B" w14:textId="77777777" w:rsidR="008A38B9" w:rsidRPr="008A38B9" w:rsidRDefault="008A38B9" w:rsidP="0024488B">
            <w:pPr>
              <w:pStyle w:val="SingleTxtG"/>
              <w:spacing w:before="40" w:after="40" w:line="220" w:lineRule="exact"/>
              <w:ind w:left="0" w:right="0"/>
              <w:jc w:val="right"/>
              <w:rPr>
                <w:sz w:val="18"/>
              </w:rPr>
            </w:pPr>
            <w:r w:rsidRPr="008A38B9">
              <w:rPr>
                <w:sz w:val="18"/>
              </w:rPr>
              <w:t>23,9</w:t>
            </w:r>
          </w:p>
        </w:tc>
        <w:tc>
          <w:tcPr>
            <w:tcW w:w="1173" w:type="dxa"/>
            <w:shd w:val="clear" w:color="auto" w:fill="auto"/>
            <w:vAlign w:val="bottom"/>
          </w:tcPr>
          <w:p w14:paraId="7D655633" w14:textId="77777777" w:rsidR="008A38B9" w:rsidRPr="008A38B9" w:rsidRDefault="008A38B9" w:rsidP="0024488B">
            <w:pPr>
              <w:pStyle w:val="SingleTxtG"/>
              <w:spacing w:before="40" w:after="40" w:line="220" w:lineRule="exact"/>
              <w:ind w:left="0" w:right="0"/>
              <w:jc w:val="right"/>
              <w:rPr>
                <w:sz w:val="18"/>
              </w:rPr>
            </w:pPr>
            <w:r w:rsidRPr="008A38B9">
              <w:rPr>
                <w:sz w:val="18"/>
              </w:rPr>
              <w:t>-</w:t>
            </w:r>
          </w:p>
        </w:tc>
      </w:tr>
      <w:tr w:rsidR="008A38B9" w:rsidRPr="008A38B9" w14:paraId="3956ADEA" w14:textId="77777777" w:rsidTr="0024488B">
        <w:tc>
          <w:tcPr>
            <w:tcW w:w="5025" w:type="dxa"/>
            <w:shd w:val="clear" w:color="auto" w:fill="auto"/>
          </w:tcPr>
          <w:p w14:paraId="7011FD0F" w14:textId="77777777" w:rsidR="008A38B9" w:rsidRPr="008A38B9" w:rsidRDefault="008A38B9" w:rsidP="008A38B9">
            <w:pPr>
              <w:pStyle w:val="SingleTxtG"/>
              <w:spacing w:before="40" w:after="40" w:line="220" w:lineRule="exact"/>
              <w:ind w:left="0" w:right="0"/>
              <w:jc w:val="left"/>
              <w:rPr>
                <w:sz w:val="18"/>
              </w:rPr>
            </w:pPr>
            <w:r w:rsidRPr="008A38B9">
              <w:rPr>
                <w:sz w:val="18"/>
              </w:rPr>
              <w:t xml:space="preserve">Tasa de nupcialidad entre personas con al menos 15 años cumplidos (por cada 1.000 habitantes) </w:t>
            </w:r>
          </w:p>
        </w:tc>
        <w:tc>
          <w:tcPr>
            <w:tcW w:w="1172" w:type="dxa"/>
            <w:shd w:val="clear" w:color="auto" w:fill="auto"/>
            <w:vAlign w:val="bottom"/>
          </w:tcPr>
          <w:p w14:paraId="7D261A30" w14:textId="77777777" w:rsidR="008A38B9" w:rsidRPr="008A38B9" w:rsidRDefault="008A38B9" w:rsidP="0024488B">
            <w:pPr>
              <w:pStyle w:val="SingleTxtG"/>
              <w:spacing w:before="40" w:after="40" w:line="220" w:lineRule="exact"/>
              <w:ind w:left="0" w:right="0"/>
              <w:jc w:val="right"/>
              <w:rPr>
                <w:sz w:val="18"/>
              </w:rPr>
            </w:pPr>
            <w:r w:rsidRPr="008A38B9">
              <w:rPr>
                <w:sz w:val="18"/>
              </w:rPr>
              <w:t>609</w:t>
            </w:r>
          </w:p>
        </w:tc>
        <w:tc>
          <w:tcPr>
            <w:tcW w:w="1173" w:type="dxa"/>
            <w:shd w:val="clear" w:color="auto" w:fill="auto"/>
            <w:vAlign w:val="bottom"/>
          </w:tcPr>
          <w:p w14:paraId="39C79973" w14:textId="77777777" w:rsidR="008A38B9" w:rsidRPr="008A38B9" w:rsidRDefault="008A38B9" w:rsidP="0024488B">
            <w:pPr>
              <w:pStyle w:val="SingleTxtG"/>
              <w:spacing w:before="40" w:after="40" w:line="220" w:lineRule="exact"/>
              <w:ind w:left="0" w:right="0"/>
              <w:jc w:val="right"/>
              <w:rPr>
                <w:sz w:val="18"/>
              </w:rPr>
            </w:pPr>
            <w:r w:rsidRPr="008A38B9">
              <w:rPr>
                <w:sz w:val="18"/>
              </w:rPr>
              <w:t>609</w:t>
            </w:r>
          </w:p>
        </w:tc>
      </w:tr>
      <w:tr w:rsidR="008A38B9" w:rsidRPr="008A38B9" w14:paraId="65202FED" w14:textId="77777777" w:rsidTr="0024488B">
        <w:tc>
          <w:tcPr>
            <w:tcW w:w="5025" w:type="dxa"/>
            <w:shd w:val="clear" w:color="auto" w:fill="auto"/>
          </w:tcPr>
          <w:p w14:paraId="4D5ABB61" w14:textId="77777777" w:rsidR="008A38B9" w:rsidRPr="008A38B9" w:rsidRDefault="008A38B9" w:rsidP="008A38B9">
            <w:pPr>
              <w:pStyle w:val="SingleTxtG"/>
              <w:spacing w:before="40" w:after="40" w:line="220" w:lineRule="exact"/>
              <w:ind w:left="0" w:right="0"/>
              <w:jc w:val="left"/>
              <w:rPr>
                <w:sz w:val="18"/>
              </w:rPr>
            </w:pPr>
            <w:r w:rsidRPr="008A38B9">
              <w:rPr>
                <w:sz w:val="18"/>
              </w:rPr>
              <w:t xml:space="preserve">Tasa de divorcios entre personas con al menos 15 años cumplidos (por cada 1.000 habitantes) </w:t>
            </w:r>
          </w:p>
        </w:tc>
        <w:tc>
          <w:tcPr>
            <w:tcW w:w="1172" w:type="dxa"/>
            <w:shd w:val="clear" w:color="auto" w:fill="auto"/>
            <w:vAlign w:val="bottom"/>
          </w:tcPr>
          <w:p w14:paraId="2CD35C1F" w14:textId="77777777" w:rsidR="008A38B9" w:rsidRPr="008A38B9" w:rsidRDefault="008A38B9" w:rsidP="0024488B">
            <w:pPr>
              <w:pStyle w:val="SingleTxtG"/>
              <w:spacing w:before="40" w:after="40" w:line="220" w:lineRule="exact"/>
              <w:ind w:left="0" w:right="0"/>
              <w:jc w:val="right"/>
              <w:rPr>
                <w:sz w:val="18"/>
              </w:rPr>
            </w:pPr>
            <w:r w:rsidRPr="008A38B9">
              <w:rPr>
                <w:sz w:val="18"/>
              </w:rPr>
              <w:t>6,6</w:t>
            </w:r>
          </w:p>
        </w:tc>
        <w:tc>
          <w:tcPr>
            <w:tcW w:w="1173" w:type="dxa"/>
            <w:shd w:val="clear" w:color="auto" w:fill="auto"/>
            <w:vAlign w:val="bottom"/>
          </w:tcPr>
          <w:p w14:paraId="4381C99C" w14:textId="77777777" w:rsidR="008A38B9" w:rsidRPr="008A38B9" w:rsidRDefault="008A38B9" w:rsidP="0024488B">
            <w:pPr>
              <w:pStyle w:val="SingleTxtG"/>
              <w:spacing w:before="40" w:after="40" w:line="220" w:lineRule="exact"/>
              <w:ind w:left="0" w:right="0"/>
              <w:jc w:val="right"/>
              <w:rPr>
                <w:sz w:val="18"/>
              </w:rPr>
            </w:pPr>
            <w:r w:rsidRPr="008A38B9">
              <w:rPr>
                <w:sz w:val="18"/>
              </w:rPr>
              <w:t xml:space="preserve">- </w:t>
            </w:r>
          </w:p>
        </w:tc>
      </w:tr>
      <w:tr w:rsidR="008A38B9" w:rsidRPr="008A38B9" w14:paraId="4066E0E5" w14:textId="77777777" w:rsidTr="0024488B">
        <w:tc>
          <w:tcPr>
            <w:tcW w:w="5025" w:type="dxa"/>
            <w:tcBorders>
              <w:bottom w:val="single" w:sz="12" w:space="0" w:color="auto"/>
            </w:tcBorders>
            <w:shd w:val="clear" w:color="auto" w:fill="auto"/>
          </w:tcPr>
          <w:p w14:paraId="1EDB712A" w14:textId="77777777" w:rsidR="008A38B9" w:rsidRPr="008A38B9" w:rsidRDefault="008A38B9" w:rsidP="008A38B9">
            <w:pPr>
              <w:pStyle w:val="SingleTxtG"/>
              <w:spacing w:before="40" w:after="40" w:line="220" w:lineRule="exact"/>
              <w:ind w:left="0" w:right="0"/>
              <w:jc w:val="left"/>
              <w:rPr>
                <w:sz w:val="18"/>
              </w:rPr>
            </w:pPr>
            <w:r w:rsidRPr="008A38B9">
              <w:rPr>
                <w:sz w:val="18"/>
              </w:rPr>
              <w:t>Tasa de mortalidad bruta (por cada 1.000 habitantes)</w:t>
            </w:r>
          </w:p>
        </w:tc>
        <w:tc>
          <w:tcPr>
            <w:tcW w:w="1172" w:type="dxa"/>
            <w:tcBorders>
              <w:bottom w:val="single" w:sz="12" w:space="0" w:color="auto"/>
            </w:tcBorders>
            <w:shd w:val="clear" w:color="auto" w:fill="auto"/>
            <w:vAlign w:val="bottom"/>
          </w:tcPr>
          <w:p w14:paraId="63911878" w14:textId="77777777" w:rsidR="008A38B9" w:rsidRPr="008A38B9" w:rsidRDefault="008A38B9" w:rsidP="0024488B">
            <w:pPr>
              <w:pStyle w:val="SingleTxtG"/>
              <w:spacing w:before="40" w:after="40" w:line="220" w:lineRule="exact"/>
              <w:ind w:left="0" w:right="0"/>
              <w:jc w:val="right"/>
              <w:rPr>
                <w:sz w:val="18"/>
              </w:rPr>
            </w:pPr>
            <w:r w:rsidRPr="008A38B9">
              <w:rPr>
                <w:sz w:val="18"/>
              </w:rPr>
              <w:t>4,5</w:t>
            </w:r>
          </w:p>
        </w:tc>
        <w:tc>
          <w:tcPr>
            <w:tcW w:w="1173" w:type="dxa"/>
            <w:tcBorders>
              <w:bottom w:val="single" w:sz="12" w:space="0" w:color="auto"/>
            </w:tcBorders>
            <w:shd w:val="clear" w:color="auto" w:fill="auto"/>
            <w:vAlign w:val="bottom"/>
          </w:tcPr>
          <w:p w14:paraId="5064A6FC" w14:textId="77777777" w:rsidR="008A38B9" w:rsidRPr="008A38B9" w:rsidRDefault="008A38B9" w:rsidP="0024488B">
            <w:pPr>
              <w:pStyle w:val="SingleTxtG"/>
              <w:spacing w:before="40" w:after="40" w:line="220" w:lineRule="exact"/>
              <w:ind w:left="0" w:right="0"/>
              <w:jc w:val="right"/>
              <w:rPr>
                <w:sz w:val="18"/>
              </w:rPr>
            </w:pPr>
            <w:r w:rsidRPr="008A38B9">
              <w:rPr>
                <w:sz w:val="18"/>
              </w:rPr>
              <w:t>5,3</w:t>
            </w:r>
          </w:p>
        </w:tc>
      </w:tr>
    </w:tbl>
    <w:p w14:paraId="45CE98BE" w14:textId="77777777" w:rsidR="008A38B9" w:rsidRPr="008A38B9" w:rsidRDefault="008A38B9" w:rsidP="000150D9">
      <w:pPr>
        <w:pStyle w:val="SingleTxtG"/>
        <w:spacing w:before="120" w:after="240"/>
        <w:ind w:firstLine="170"/>
        <w:jc w:val="left"/>
        <w:rPr>
          <w:sz w:val="18"/>
          <w:szCs w:val="18"/>
        </w:rPr>
      </w:pPr>
      <w:r w:rsidRPr="008A38B9">
        <w:rPr>
          <w:i/>
          <w:iCs/>
          <w:sz w:val="18"/>
          <w:szCs w:val="18"/>
        </w:rPr>
        <w:t>Fuente</w:t>
      </w:r>
      <w:r w:rsidRPr="008A38B9">
        <w:rPr>
          <w:i/>
          <w:sz w:val="18"/>
          <w:szCs w:val="18"/>
        </w:rPr>
        <w:t>:</w:t>
      </w:r>
      <w:r w:rsidRPr="008A38B9">
        <w:rPr>
          <w:sz w:val="18"/>
          <w:szCs w:val="18"/>
        </w:rPr>
        <w:t xml:space="preserve"> Estimaciones de población del Iraq (2015-2018) y </w:t>
      </w:r>
      <w:r w:rsidRPr="008A38B9">
        <w:rPr>
          <w:i/>
          <w:iCs/>
          <w:sz w:val="18"/>
          <w:szCs w:val="18"/>
        </w:rPr>
        <w:t>Mapa de la pobreza y la mortalidad infantil</w:t>
      </w:r>
      <w:r w:rsidRPr="008A38B9">
        <w:rPr>
          <w:sz w:val="18"/>
          <w:szCs w:val="18"/>
        </w:rPr>
        <w:t xml:space="preserve"> (2013).</w:t>
      </w:r>
    </w:p>
    <w:p w14:paraId="21C68BEA" w14:textId="77777777" w:rsidR="0024488B" w:rsidRDefault="008A38B9" w:rsidP="0024488B">
      <w:pPr>
        <w:pStyle w:val="SingleTxtG"/>
      </w:pPr>
      <w:r w:rsidRPr="008A38B9">
        <w:t>17.</w:t>
      </w:r>
      <w:r w:rsidRPr="008A38B9">
        <w:tab/>
      </w:r>
      <w:r w:rsidR="0024488B">
        <w:t>“</w:t>
      </w:r>
      <w:r w:rsidRPr="008A38B9">
        <w:t>La Ley de la Administración del Estado Iraquí durante el Período de Transición y sus anexos se tendrán por abolidos una vez que se constituya el nuevo Gobierno, salvo su artículo 53, párrafo a), y su artículo 58</w:t>
      </w:r>
      <w:r w:rsidR="0024488B">
        <w:t>”</w:t>
      </w:r>
      <w:r w:rsidRPr="008A38B9">
        <w:t xml:space="preserve"> (art. 143 de la Constitución iraquí de 2005).</w:t>
      </w:r>
    </w:p>
    <w:p w14:paraId="58F25025" w14:textId="77777777" w:rsidR="0024488B" w:rsidRDefault="0024488B" w:rsidP="0024488B">
      <w:pPr>
        <w:pStyle w:val="SingleTxtG"/>
      </w:pPr>
      <w:r>
        <w:tab/>
      </w:r>
      <w:r w:rsidR="008A38B9" w:rsidRPr="008A38B9">
        <w:t>El artículo 53, párrafo a), de la Ley de la Administración del Estado Iraquí durante el Período de Transición (2004) dispone lo siguiente:</w:t>
      </w:r>
    </w:p>
    <w:p w14:paraId="62F987DC" w14:textId="77777777" w:rsidR="008A38B9" w:rsidRPr="008A38B9" w:rsidRDefault="0024488B" w:rsidP="0024488B">
      <w:pPr>
        <w:pStyle w:val="SingleTxtG"/>
      </w:pPr>
      <w:r>
        <w:tab/>
        <w:t>“</w:t>
      </w:r>
      <w:r w:rsidR="008A38B9" w:rsidRPr="008A38B9">
        <w:t xml:space="preserve">a) El Gobierno Regional del Kurdistán quedará reconocido 19 de marzo de 2003 como órgano oficial de gobierno de los territorios por él administrados en las provincias de Dahuk, Irbil, Sulaymaniya, Kirkuk, Diyala y Nínive. Por </w:t>
      </w:r>
      <w:r>
        <w:t>‘</w:t>
      </w:r>
      <w:r w:rsidR="008A38B9" w:rsidRPr="008A38B9">
        <w:t xml:space="preserve">Gobierno Regional del </w:t>
      </w:r>
      <w:r w:rsidR="008A38B9" w:rsidRPr="008A38B9">
        <w:lastRenderedPageBreak/>
        <w:t>Kurdistán</w:t>
      </w:r>
      <w:r>
        <w:t>’</w:t>
      </w:r>
      <w:r w:rsidR="008A38B9" w:rsidRPr="008A38B9">
        <w:t xml:space="preserve"> se entenderá en esta ley el Consejo Nacional Kurdo, el Consejo de Ministros del Kurdistán y el poder legislativo regional de la Región del Kurdistán”.</w:t>
      </w:r>
    </w:p>
    <w:p w14:paraId="19DDFCC2" w14:textId="77777777" w:rsidR="0024488B" w:rsidRDefault="008A38B9" w:rsidP="0024488B">
      <w:pPr>
        <w:pStyle w:val="SingleTxtG"/>
      </w:pPr>
      <w:r w:rsidRPr="008A38B9">
        <w:t>18.</w:t>
      </w:r>
      <w:r w:rsidRPr="008A38B9">
        <w:tab/>
        <w:t>El artículo 58 de la ley citada dispone lo siguiente:</w:t>
      </w:r>
    </w:p>
    <w:p w14:paraId="74365F49" w14:textId="77777777" w:rsidR="008A38B9" w:rsidRPr="008A38B9" w:rsidRDefault="0024488B" w:rsidP="0024488B">
      <w:pPr>
        <w:pStyle w:val="SingleTxtG"/>
      </w:pPr>
      <w:r>
        <w:tab/>
        <w:t>“</w:t>
      </w:r>
      <w:r w:rsidR="008A38B9" w:rsidRPr="008A38B9">
        <w:t>a) El Gobierno Iraquí de Transición, en particular la Comisión de Alto Nivel para la Resolución de los Conflictos relativos a la Propiedad Inmobiliaria y otras instancias concernidas, tomará medidas prontas para remediar los atropellos con los que el régimen anterior trató de modificar la situación demográfica en determinadas zonas, en particular Kirkuk. Los habitantes de esas zonas fueron forzados a trasladarse dentro o fuera de la región, se les expulsó de sus lugares de residencia, donde se asentó a personas foráneas, se les negó el empleo y se modificó su identidad étnica. Para remediar esas injusticias, el Gobierno Iraquí de Transición tomará las medidas siguientes:</w:t>
      </w:r>
    </w:p>
    <w:p w14:paraId="64F2784A" w14:textId="77777777" w:rsidR="008A38B9" w:rsidRPr="008A38B9" w:rsidRDefault="008A38B9" w:rsidP="0024488B">
      <w:pPr>
        <w:pStyle w:val="Bullet1G"/>
      </w:pPr>
      <w:r w:rsidRPr="008A38B9">
        <w:t>Restituirá sus hogares y bienes a los residentes deportados, exiliados, desplazados y migrantes en un plazo razonable, de conformidad con la Ley de la Comisión de Alto Nivel para la Resolución de los Conflictos relativos a la Propiedad Inmobiliaria y el resto de la legislación nacional. Si fuera materialmente imposible, los indemnizará con justicia</w:t>
      </w:r>
      <w:r w:rsidR="00F0543C">
        <w:t>;</w:t>
      </w:r>
    </w:p>
    <w:p w14:paraId="44FDA9FD" w14:textId="77777777" w:rsidR="008A38B9" w:rsidRPr="008A38B9" w:rsidRDefault="008A38B9" w:rsidP="0024488B">
      <w:pPr>
        <w:pStyle w:val="Bullet1G"/>
      </w:pPr>
      <w:r w:rsidRPr="008A38B9">
        <w:t>Con arreglo a lo previsto en el artículo 10 de la Ley de la Comisión de Alto Nivel para la Resolución de los Conflictos relativos a la Propiedad Inmobiliaria, el Gobierno asegurará que las personas trasladadas a otras zonas y territorios sean reasentadas e indemnizadas y reciban nuevas tierras del Estado cerca de su lugar de residencia en su provincia de origen, o sean indemnizadas por los gastos de traslado a esas zonas</w:t>
      </w:r>
      <w:r w:rsidR="00F0543C">
        <w:t>;</w:t>
      </w:r>
    </w:p>
    <w:p w14:paraId="526F3975" w14:textId="77777777" w:rsidR="008A38B9" w:rsidRPr="008A38B9" w:rsidRDefault="008A38B9" w:rsidP="0024488B">
      <w:pPr>
        <w:pStyle w:val="Bullet1G"/>
      </w:pPr>
      <w:r w:rsidRPr="008A38B9">
        <w:t>El Gobierno velará por que las personas que fueron despojadas de empleo y de todo medio de vida para forzarlas a migrar de sus lugares de residencia en las regiones y territorios accedan en ellos a nuevas oportunidades de trabajo</w:t>
      </w:r>
      <w:r w:rsidR="00F0543C">
        <w:t>;</w:t>
      </w:r>
    </w:p>
    <w:p w14:paraId="0FFC2296" w14:textId="77777777" w:rsidR="008A38B9" w:rsidRPr="008A38B9" w:rsidRDefault="008A38B9" w:rsidP="0024488B">
      <w:pPr>
        <w:pStyle w:val="Bullet1G"/>
      </w:pPr>
      <w:r w:rsidRPr="008A38B9">
        <w:t>El Gobierno derogará todas las disposiciones encaminadas a modificar la identidad étnica y garantizará el derecho de las personas afectadas por ellas a decidir su identidad nacional y su adscripción étnica sin coacción ni presión algunas.</w:t>
      </w:r>
    </w:p>
    <w:p w14:paraId="56C7893E" w14:textId="77777777" w:rsidR="008A38B9" w:rsidRPr="008A38B9" w:rsidRDefault="008A38B9" w:rsidP="0024488B">
      <w:pPr>
        <w:pStyle w:val="SingleTxtG"/>
      </w:pPr>
      <w:r w:rsidRPr="008A38B9">
        <w:tab/>
        <w:t>b)</w:t>
      </w:r>
      <w:r w:rsidRPr="008A38B9">
        <w:tab/>
        <w:t>El régimen anterior también manipuló con fines políticos las demarcaciones administrativas y de otra índole. La Presidencia y el Gobierno Iraquí de Transición formularán recomendaciones a la Asamblea Nacional para que se corrijan esas alteraciones injustas. Si la Presidencia no pudiera aprobar por unanimidad las recomendaciones, el Consejo Presidencial designará por unanimidad un árbitro imparcial que examine la cuestión y formule recomendaciones. El Consejo Presidencial, si no pudiera convenir en un árbitro, solicitará al Secretario General de las Naciones Unidas que designe a una personalidad internacional destacada para que se haga cargo del arbitraje;</w:t>
      </w:r>
    </w:p>
    <w:p w14:paraId="3FE8E491" w14:textId="77777777" w:rsidR="008A38B9" w:rsidRPr="008A38B9" w:rsidRDefault="008A38B9" w:rsidP="0024488B">
      <w:pPr>
        <w:pStyle w:val="SingleTxtG"/>
      </w:pPr>
      <w:r w:rsidRPr="008A38B9">
        <w:tab/>
        <w:t>c)</w:t>
      </w:r>
      <w:r w:rsidRPr="008A38B9">
        <w:tab/>
        <w:t>La solución definitiva para los territorios en disputa, incluido Kirkuk, quedará aplazada hasta que se culminen las medidas anteriores, se realice un censo de población justo y transparente y se sancione la Constitución permanente. La solución será equitativa y conforme a la voluntad de la población de esos territorios</w:t>
      </w:r>
      <w:r w:rsidR="0024488B">
        <w:t>”</w:t>
      </w:r>
      <w:r w:rsidRPr="008A38B9">
        <w:t>.</w:t>
      </w:r>
    </w:p>
    <w:p w14:paraId="64956EBB" w14:textId="77777777" w:rsidR="00BF1766" w:rsidRDefault="008A38B9" w:rsidP="0024488B">
      <w:pPr>
        <w:pStyle w:val="SingleTxtG"/>
      </w:pPr>
      <w:r w:rsidRPr="008A38B9">
        <w:t>19.</w:t>
      </w:r>
      <w:r w:rsidRPr="008A38B9">
        <w:tab/>
        <w:t>Los artículos 140 y 141 de la Constitución iraquí trazaron una hoja de ruta para el estatus de la Región del Kurdistán y las zonas en disputa.</w:t>
      </w:r>
    </w:p>
    <w:p w14:paraId="53C5F6E4" w14:textId="77777777" w:rsidR="008A38B9" w:rsidRPr="008A38B9" w:rsidRDefault="00BF1766" w:rsidP="0024488B">
      <w:pPr>
        <w:pStyle w:val="SingleTxtG"/>
        <w:rPr>
          <w:b/>
          <w:bCs/>
        </w:rPr>
      </w:pPr>
      <w:r>
        <w:tab/>
      </w:r>
      <w:r w:rsidR="008A38B9" w:rsidRPr="008A38B9">
        <w:t>El artículo 140 dispone lo siguiente:</w:t>
      </w:r>
    </w:p>
    <w:p w14:paraId="6C9D6570" w14:textId="77777777" w:rsidR="008A38B9" w:rsidRPr="008A38B9" w:rsidRDefault="008A38B9" w:rsidP="0024488B">
      <w:pPr>
        <w:pStyle w:val="SingleTxtG"/>
      </w:pPr>
      <w:r w:rsidRPr="008A38B9">
        <w:tab/>
      </w:r>
      <w:r w:rsidR="0024488B">
        <w:t>“</w:t>
      </w:r>
      <w:r w:rsidRPr="008A38B9">
        <w:t>1.</w:t>
      </w:r>
      <w:r w:rsidRPr="008A38B9">
        <w:tab/>
        <w:t xml:space="preserve">El poder ejecutivo tomará las medidas necesarias para que se cumplan los requerimientos previstos en todos los párrafos del artículo 58 de la Ley de la Administración del Estado Iraquí durante el Período de Transición; </w:t>
      </w:r>
    </w:p>
    <w:p w14:paraId="6D496701" w14:textId="77777777" w:rsidR="008A38B9" w:rsidRPr="008A38B9" w:rsidRDefault="008A38B9" w:rsidP="0024488B">
      <w:pPr>
        <w:pStyle w:val="SingleTxtG"/>
      </w:pPr>
      <w:r w:rsidRPr="008A38B9">
        <w:tab/>
        <w:t>2.</w:t>
      </w:r>
      <w:r w:rsidRPr="008A38B9">
        <w:tab/>
        <w:t>El mandato conferido al poder ejecutivo del Gobierno de Transición de conformidad con el artículo 58 de la Ley de la Administración del Estado Iraquí durante el Período de Transición se trasladará, con arreglo a esta Constitución, al poder ejecutivo electo hasta que ese mandato se cumpla en su totalidad (normalización, censo y referéndum en Kirkuk y en las otras zonas en disputa para determinar la voluntad de sus habitantes) o, en cualquier caso, antes del 31 de diciembre de 2007</w:t>
      </w:r>
      <w:r w:rsidR="0024488B">
        <w:t>”</w:t>
      </w:r>
      <w:r w:rsidRPr="008A38B9">
        <w:t>.</w:t>
      </w:r>
    </w:p>
    <w:p w14:paraId="3401922B" w14:textId="77777777" w:rsidR="008A38B9" w:rsidRPr="008A38B9" w:rsidRDefault="008A38B9" w:rsidP="0024488B">
      <w:pPr>
        <w:pStyle w:val="SingleTxtG"/>
      </w:pPr>
      <w:r w:rsidRPr="008A38B9">
        <w:lastRenderedPageBreak/>
        <w:t>20.</w:t>
      </w:r>
      <w:r w:rsidRPr="008A38B9">
        <w:tab/>
        <w:t xml:space="preserve">Artículo 141: </w:t>
      </w:r>
      <w:r w:rsidR="0024488B">
        <w:t>“</w:t>
      </w:r>
      <w:r w:rsidRPr="008A38B9">
        <w:t>Las leyes promulgadas en la Región del Kurdistán a partir de 1992 seguirán en vigor. Las resoluciones adoptadas por el Gobierno de la Región del Kurdistán, incluidas las sentencias judiciales y los contratos, seguirán siendo válidas, salvo que sus instancias competentes las modifiquen o revoquen con arreglo a la ley de la Región del Kurdistán o sean contrarias a esta Constitución</w:t>
      </w:r>
      <w:r w:rsidR="0024488B">
        <w:t>”</w:t>
      </w:r>
      <w:r w:rsidRPr="008A38B9">
        <w:t>.</w:t>
      </w:r>
    </w:p>
    <w:p w14:paraId="3B513863" w14:textId="77777777" w:rsidR="008A38B9" w:rsidRDefault="008A38B9" w:rsidP="0024488B">
      <w:pPr>
        <w:pStyle w:val="SingleTxtG"/>
      </w:pPr>
      <w:r w:rsidRPr="008A38B9">
        <w:t>21.</w:t>
      </w:r>
      <w:r w:rsidRPr="008A38B9">
        <w:tab/>
        <w:t>En el cuadro siguiente figuran las previsiones demográficas del Iraq para 2018, con datos desglosados por edad, entorno y sexo*.</w:t>
      </w:r>
    </w:p>
    <w:tbl>
      <w:tblPr>
        <w:tblStyle w:val="Tablaconcuadrcula"/>
        <w:tblW w:w="9757"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8"/>
        <w:gridCol w:w="948"/>
        <w:gridCol w:w="949"/>
        <w:gridCol w:w="949"/>
        <w:gridCol w:w="949"/>
        <w:gridCol w:w="948"/>
        <w:gridCol w:w="949"/>
        <w:gridCol w:w="949"/>
        <w:gridCol w:w="949"/>
        <w:gridCol w:w="949"/>
      </w:tblGrid>
      <w:tr w:rsidR="0024488B" w:rsidRPr="0024488B" w14:paraId="53A1538D" w14:textId="77777777" w:rsidTr="00F836D2">
        <w:tc>
          <w:tcPr>
            <w:tcW w:w="1218" w:type="dxa"/>
            <w:tcBorders>
              <w:top w:val="single" w:sz="4" w:space="0" w:color="auto"/>
            </w:tcBorders>
            <w:shd w:val="clear" w:color="auto" w:fill="auto"/>
            <w:vAlign w:val="bottom"/>
          </w:tcPr>
          <w:p w14:paraId="35ED13B8" w14:textId="77777777" w:rsidR="0024488B" w:rsidRPr="0024488B" w:rsidRDefault="0024488B" w:rsidP="0024488B">
            <w:pPr>
              <w:pStyle w:val="SingleTxtG"/>
              <w:spacing w:before="80" w:after="80" w:line="200" w:lineRule="exact"/>
              <w:ind w:left="0" w:right="0"/>
              <w:jc w:val="left"/>
              <w:rPr>
                <w:i/>
                <w:sz w:val="16"/>
              </w:rPr>
            </w:pPr>
          </w:p>
        </w:tc>
        <w:tc>
          <w:tcPr>
            <w:tcW w:w="2846" w:type="dxa"/>
            <w:gridSpan w:val="3"/>
            <w:tcBorders>
              <w:top w:val="single" w:sz="4" w:space="0" w:color="auto"/>
              <w:bottom w:val="single" w:sz="4" w:space="0" w:color="auto"/>
              <w:right w:val="single" w:sz="24" w:space="0" w:color="FFFFFF" w:themeColor="background1"/>
            </w:tcBorders>
            <w:shd w:val="clear" w:color="auto" w:fill="auto"/>
          </w:tcPr>
          <w:p w14:paraId="631A46F1" w14:textId="77777777" w:rsidR="0024488B" w:rsidRPr="0024488B" w:rsidRDefault="0024488B" w:rsidP="0024488B">
            <w:pPr>
              <w:pStyle w:val="SingleTxtG"/>
              <w:spacing w:before="80" w:after="80" w:line="200" w:lineRule="exact"/>
              <w:ind w:left="0" w:right="0"/>
              <w:jc w:val="center"/>
              <w:rPr>
                <w:i/>
                <w:sz w:val="16"/>
              </w:rPr>
            </w:pPr>
            <w:r w:rsidRPr="0024488B">
              <w:rPr>
                <w:i/>
                <w:sz w:val="16"/>
              </w:rPr>
              <w:t>Entorno urbano</w:t>
            </w:r>
          </w:p>
        </w:tc>
        <w:tc>
          <w:tcPr>
            <w:tcW w:w="284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0220883C" w14:textId="77777777" w:rsidR="0024488B" w:rsidRPr="0024488B" w:rsidRDefault="0024488B" w:rsidP="0024488B">
            <w:pPr>
              <w:pStyle w:val="SingleTxtG"/>
              <w:spacing w:before="80" w:after="80" w:line="200" w:lineRule="exact"/>
              <w:ind w:left="0" w:right="0"/>
              <w:jc w:val="center"/>
              <w:rPr>
                <w:i/>
                <w:sz w:val="16"/>
              </w:rPr>
            </w:pPr>
            <w:r w:rsidRPr="0024488B">
              <w:rPr>
                <w:i/>
                <w:sz w:val="16"/>
              </w:rPr>
              <w:t>Entorno rural</w:t>
            </w:r>
          </w:p>
        </w:tc>
        <w:tc>
          <w:tcPr>
            <w:tcW w:w="2847" w:type="dxa"/>
            <w:gridSpan w:val="3"/>
            <w:tcBorders>
              <w:top w:val="single" w:sz="4" w:space="0" w:color="auto"/>
              <w:left w:val="single" w:sz="24" w:space="0" w:color="FFFFFF" w:themeColor="background1"/>
              <w:bottom w:val="single" w:sz="4" w:space="0" w:color="auto"/>
            </w:tcBorders>
            <w:shd w:val="clear" w:color="auto" w:fill="auto"/>
          </w:tcPr>
          <w:p w14:paraId="351722DD" w14:textId="77777777" w:rsidR="0024488B" w:rsidRPr="0024488B" w:rsidRDefault="0024488B" w:rsidP="0024488B">
            <w:pPr>
              <w:pStyle w:val="SingleTxtG"/>
              <w:spacing w:before="80" w:after="80" w:line="200" w:lineRule="exact"/>
              <w:ind w:left="0" w:right="0"/>
              <w:jc w:val="center"/>
              <w:rPr>
                <w:i/>
                <w:sz w:val="16"/>
              </w:rPr>
            </w:pPr>
            <w:r w:rsidRPr="0024488B">
              <w:rPr>
                <w:i/>
                <w:sz w:val="16"/>
              </w:rPr>
              <w:t>Total</w:t>
            </w:r>
          </w:p>
        </w:tc>
      </w:tr>
      <w:tr w:rsidR="0024488B" w:rsidRPr="0024488B" w14:paraId="53647DB0" w14:textId="77777777" w:rsidTr="00F836D2">
        <w:tc>
          <w:tcPr>
            <w:tcW w:w="1218" w:type="dxa"/>
            <w:tcBorders>
              <w:bottom w:val="single" w:sz="12" w:space="0" w:color="auto"/>
            </w:tcBorders>
            <w:shd w:val="clear" w:color="auto" w:fill="auto"/>
            <w:vAlign w:val="bottom"/>
          </w:tcPr>
          <w:p w14:paraId="6F0F1BD7" w14:textId="77777777" w:rsidR="0024488B" w:rsidRPr="0024488B" w:rsidRDefault="0024488B" w:rsidP="0024488B">
            <w:pPr>
              <w:pStyle w:val="SingleTxtG"/>
              <w:spacing w:before="80" w:after="80" w:line="200" w:lineRule="exact"/>
              <w:ind w:left="0" w:right="0"/>
              <w:jc w:val="left"/>
              <w:rPr>
                <w:i/>
                <w:sz w:val="16"/>
              </w:rPr>
            </w:pPr>
            <w:r w:rsidRPr="0024488B">
              <w:rPr>
                <w:i/>
                <w:sz w:val="16"/>
              </w:rPr>
              <w:t>Edad</w:t>
            </w:r>
          </w:p>
        </w:tc>
        <w:tc>
          <w:tcPr>
            <w:tcW w:w="948" w:type="dxa"/>
            <w:tcBorders>
              <w:top w:val="single" w:sz="4" w:space="0" w:color="auto"/>
              <w:bottom w:val="single" w:sz="12" w:space="0" w:color="auto"/>
            </w:tcBorders>
            <w:shd w:val="clear" w:color="auto" w:fill="auto"/>
          </w:tcPr>
          <w:p w14:paraId="31ABFC38" w14:textId="77777777" w:rsidR="0024488B" w:rsidRPr="0024488B" w:rsidRDefault="0024488B" w:rsidP="0024488B">
            <w:pPr>
              <w:pStyle w:val="SingleTxtG"/>
              <w:spacing w:before="80" w:after="80" w:line="200" w:lineRule="exact"/>
              <w:ind w:left="0" w:right="0"/>
              <w:jc w:val="right"/>
              <w:rPr>
                <w:i/>
                <w:sz w:val="16"/>
              </w:rPr>
            </w:pPr>
            <w:r w:rsidRPr="0024488B">
              <w:rPr>
                <w:i/>
                <w:sz w:val="16"/>
              </w:rPr>
              <w:t>Hombres</w:t>
            </w:r>
          </w:p>
        </w:tc>
        <w:tc>
          <w:tcPr>
            <w:tcW w:w="949" w:type="dxa"/>
            <w:tcBorders>
              <w:top w:val="single" w:sz="4" w:space="0" w:color="auto"/>
              <w:bottom w:val="single" w:sz="12" w:space="0" w:color="auto"/>
            </w:tcBorders>
            <w:shd w:val="clear" w:color="auto" w:fill="auto"/>
          </w:tcPr>
          <w:p w14:paraId="2DF7C696" w14:textId="77777777" w:rsidR="0024488B" w:rsidRPr="0024488B" w:rsidRDefault="0024488B" w:rsidP="0024488B">
            <w:pPr>
              <w:pStyle w:val="SingleTxtG"/>
              <w:spacing w:before="80" w:after="80" w:line="200" w:lineRule="exact"/>
              <w:ind w:left="0" w:right="0"/>
              <w:jc w:val="right"/>
              <w:rPr>
                <w:i/>
                <w:sz w:val="16"/>
              </w:rPr>
            </w:pPr>
            <w:r w:rsidRPr="0024488B">
              <w:rPr>
                <w:i/>
                <w:sz w:val="16"/>
              </w:rPr>
              <w:t>Mujeres</w:t>
            </w:r>
          </w:p>
        </w:tc>
        <w:tc>
          <w:tcPr>
            <w:tcW w:w="949" w:type="dxa"/>
            <w:tcBorders>
              <w:top w:val="single" w:sz="4" w:space="0" w:color="auto"/>
              <w:bottom w:val="single" w:sz="12" w:space="0" w:color="auto"/>
              <w:right w:val="single" w:sz="24" w:space="0" w:color="FFFFFF" w:themeColor="background1"/>
            </w:tcBorders>
            <w:shd w:val="clear" w:color="auto" w:fill="auto"/>
          </w:tcPr>
          <w:p w14:paraId="158A44F5" w14:textId="77777777" w:rsidR="0024488B" w:rsidRPr="0024488B" w:rsidRDefault="0024488B" w:rsidP="00F836D2">
            <w:pPr>
              <w:pStyle w:val="SingleTxtG"/>
              <w:spacing w:before="80" w:after="80" w:line="200" w:lineRule="exact"/>
              <w:ind w:left="0" w:right="57"/>
              <w:jc w:val="right"/>
              <w:rPr>
                <w:i/>
                <w:sz w:val="16"/>
              </w:rPr>
            </w:pPr>
            <w:r w:rsidRPr="0024488B">
              <w:rPr>
                <w:i/>
                <w:sz w:val="16"/>
              </w:rPr>
              <w:t>Total</w:t>
            </w:r>
          </w:p>
        </w:tc>
        <w:tc>
          <w:tcPr>
            <w:tcW w:w="949" w:type="dxa"/>
            <w:tcBorders>
              <w:top w:val="single" w:sz="4" w:space="0" w:color="auto"/>
              <w:left w:val="single" w:sz="24" w:space="0" w:color="FFFFFF" w:themeColor="background1"/>
              <w:bottom w:val="single" w:sz="12" w:space="0" w:color="auto"/>
            </w:tcBorders>
            <w:shd w:val="clear" w:color="auto" w:fill="auto"/>
          </w:tcPr>
          <w:p w14:paraId="74842405" w14:textId="77777777" w:rsidR="0024488B" w:rsidRPr="0024488B" w:rsidRDefault="0024488B" w:rsidP="0024488B">
            <w:pPr>
              <w:pStyle w:val="SingleTxtG"/>
              <w:spacing w:before="80" w:after="80" w:line="200" w:lineRule="exact"/>
              <w:ind w:left="0" w:right="0"/>
              <w:jc w:val="right"/>
              <w:rPr>
                <w:i/>
                <w:sz w:val="16"/>
              </w:rPr>
            </w:pPr>
            <w:r w:rsidRPr="0024488B">
              <w:rPr>
                <w:i/>
                <w:sz w:val="16"/>
              </w:rPr>
              <w:t>Hombres</w:t>
            </w:r>
          </w:p>
        </w:tc>
        <w:tc>
          <w:tcPr>
            <w:tcW w:w="948" w:type="dxa"/>
            <w:tcBorders>
              <w:top w:val="single" w:sz="4" w:space="0" w:color="auto"/>
              <w:bottom w:val="single" w:sz="12" w:space="0" w:color="auto"/>
            </w:tcBorders>
            <w:shd w:val="clear" w:color="auto" w:fill="auto"/>
          </w:tcPr>
          <w:p w14:paraId="0C66DCCA" w14:textId="77777777" w:rsidR="0024488B" w:rsidRPr="0024488B" w:rsidRDefault="0024488B" w:rsidP="0024488B">
            <w:pPr>
              <w:pStyle w:val="SingleTxtG"/>
              <w:spacing w:before="80" w:after="80" w:line="200" w:lineRule="exact"/>
              <w:ind w:left="0" w:right="0"/>
              <w:jc w:val="right"/>
              <w:rPr>
                <w:i/>
                <w:sz w:val="16"/>
              </w:rPr>
            </w:pPr>
            <w:r w:rsidRPr="0024488B">
              <w:rPr>
                <w:i/>
                <w:sz w:val="16"/>
              </w:rPr>
              <w:t>Mujeres</w:t>
            </w:r>
          </w:p>
        </w:tc>
        <w:tc>
          <w:tcPr>
            <w:tcW w:w="949" w:type="dxa"/>
            <w:tcBorders>
              <w:top w:val="single" w:sz="4" w:space="0" w:color="auto"/>
              <w:bottom w:val="single" w:sz="12" w:space="0" w:color="auto"/>
              <w:right w:val="single" w:sz="24" w:space="0" w:color="FFFFFF" w:themeColor="background1"/>
            </w:tcBorders>
            <w:shd w:val="clear" w:color="auto" w:fill="auto"/>
          </w:tcPr>
          <w:p w14:paraId="6130E65B" w14:textId="77777777" w:rsidR="0024488B" w:rsidRPr="0024488B" w:rsidRDefault="0024488B" w:rsidP="00F836D2">
            <w:pPr>
              <w:pStyle w:val="SingleTxtG"/>
              <w:spacing w:before="80" w:after="80" w:line="200" w:lineRule="exact"/>
              <w:ind w:left="0" w:right="57"/>
              <w:jc w:val="right"/>
              <w:rPr>
                <w:i/>
                <w:sz w:val="16"/>
              </w:rPr>
            </w:pPr>
            <w:r w:rsidRPr="0024488B">
              <w:rPr>
                <w:i/>
                <w:sz w:val="16"/>
              </w:rPr>
              <w:t>Total</w:t>
            </w:r>
          </w:p>
        </w:tc>
        <w:tc>
          <w:tcPr>
            <w:tcW w:w="949" w:type="dxa"/>
            <w:tcBorders>
              <w:top w:val="single" w:sz="4" w:space="0" w:color="auto"/>
              <w:left w:val="single" w:sz="24" w:space="0" w:color="FFFFFF" w:themeColor="background1"/>
              <w:bottom w:val="single" w:sz="12" w:space="0" w:color="auto"/>
            </w:tcBorders>
            <w:shd w:val="clear" w:color="auto" w:fill="auto"/>
          </w:tcPr>
          <w:p w14:paraId="2C021B02" w14:textId="77777777" w:rsidR="0024488B" w:rsidRPr="0024488B" w:rsidRDefault="0024488B" w:rsidP="0024488B">
            <w:pPr>
              <w:pStyle w:val="SingleTxtG"/>
              <w:spacing w:before="80" w:after="80" w:line="200" w:lineRule="exact"/>
              <w:ind w:left="0" w:right="0"/>
              <w:jc w:val="right"/>
              <w:rPr>
                <w:i/>
                <w:sz w:val="16"/>
              </w:rPr>
            </w:pPr>
            <w:r w:rsidRPr="0024488B">
              <w:rPr>
                <w:i/>
                <w:sz w:val="16"/>
              </w:rPr>
              <w:t>Hombres</w:t>
            </w:r>
          </w:p>
        </w:tc>
        <w:tc>
          <w:tcPr>
            <w:tcW w:w="949" w:type="dxa"/>
            <w:tcBorders>
              <w:top w:val="single" w:sz="4" w:space="0" w:color="auto"/>
              <w:bottom w:val="single" w:sz="12" w:space="0" w:color="auto"/>
            </w:tcBorders>
            <w:shd w:val="clear" w:color="auto" w:fill="auto"/>
          </w:tcPr>
          <w:p w14:paraId="67D2EF6B" w14:textId="77777777" w:rsidR="0024488B" w:rsidRPr="0024488B" w:rsidRDefault="0024488B" w:rsidP="0024488B">
            <w:pPr>
              <w:pStyle w:val="SingleTxtG"/>
              <w:spacing w:before="80" w:after="80" w:line="200" w:lineRule="exact"/>
              <w:ind w:left="0" w:right="0"/>
              <w:jc w:val="right"/>
              <w:rPr>
                <w:i/>
                <w:sz w:val="16"/>
              </w:rPr>
            </w:pPr>
            <w:r w:rsidRPr="0024488B">
              <w:rPr>
                <w:i/>
                <w:sz w:val="16"/>
              </w:rPr>
              <w:t>Mujeres</w:t>
            </w:r>
          </w:p>
        </w:tc>
        <w:tc>
          <w:tcPr>
            <w:tcW w:w="949" w:type="dxa"/>
            <w:tcBorders>
              <w:top w:val="single" w:sz="4" w:space="0" w:color="auto"/>
              <w:bottom w:val="single" w:sz="12" w:space="0" w:color="auto"/>
            </w:tcBorders>
            <w:shd w:val="clear" w:color="auto" w:fill="auto"/>
          </w:tcPr>
          <w:p w14:paraId="2237D7F4" w14:textId="77777777" w:rsidR="0024488B" w:rsidRPr="0024488B" w:rsidRDefault="0024488B" w:rsidP="0024488B">
            <w:pPr>
              <w:pStyle w:val="SingleTxtG"/>
              <w:spacing w:before="80" w:after="80" w:line="200" w:lineRule="exact"/>
              <w:ind w:left="0" w:right="0"/>
              <w:jc w:val="right"/>
              <w:rPr>
                <w:i/>
                <w:sz w:val="16"/>
              </w:rPr>
            </w:pPr>
            <w:r w:rsidRPr="0024488B">
              <w:rPr>
                <w:i/>
                <w:sz w:val="16"/>
              </w:rPr>
              <w:t>Total</w:t>
            </w:r>
          </w:p>
        </w:tc>
      </w:tr>
      <w:tr w:rsidR="0024488B" w:rsidRPr="0024488B" w14:paraId="5A6BF506" w14:textId="77777777" w:rsidTr="0024488B">
        <w:tc>
          <w:tcPr>
            <w:tcW w:w="1218" w:type="dxa"/>
            <w:tcBorders>
              <w:top w:val="single" w:sz="12" w:space="0" w:color="auto"/>
            </w:tcBorders>
            <w:shd w:val="clear" w:color="auto" w:fill="auto"/>
          </w:tcPr>
          <w:p w14:paraId="51369ECE"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0 a 4 años</w:t>
            </w:r>
          </w:p>
        </w:tc>
        <w:tc>
          <w:tcPr>
            <w:tcW w:w="948" w:type="dxa"/>
            <w:tcBorders>
              <w:top w:val="single" w:sz="12" w:space="0" w:color="auto"/>
            </w:tcBorders>
            <w:shd w:val="clear" w:color="auto" w:fill="auto"/>
          </w:tcPr>
          <w:p w14:paraId="377724D2"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919</w:t>
            </w:r>
            <w:r w:rsidR="00F836D2">
              <w:rPr>
                <w:sz w:val="18"/>
              </w:rPr>
              <w:t xml:space="preserve"> </w:t>
            </w:r>
            <w:r w:rsidRPr="0024488B">
              <w:rPr>
                <w:sz w:val="18"/>
              </w:rPr>
              <w:t>946</w:t>
            </w:r>
          </w:p>
        </w:tc>
        <w:tc>
          <w:tcPr>
            <w:tcW w:w="949" w:type="dxa"/>
            <w:tcBorders>
              <w:top w:val="single" w:sz="12" w:space="0" w:color="auto"/>
            </w:tcBorders>
            <w:shd w:val="clear" w:color="auto" w:fill="auto"/>
          </w:tcPr>
          <w:p w14:paraId="70CC59EA"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816</w:t>
            </w:r>
            <w:r w:rsidR="00F836D2">
              <w:rPr>
                <w:sz w:val="18"/>
              </w:rPr>
              <w:t xml:space="preserve"> </w:t>
            </w:r>
            <w:r w:rsidRPr="0024488B">
              <w:rPr>
                <w:sz w:val="18"/>
              </w:rPr>
              <w:t>384</w:t>
            </w:r>
          </w:p>
        </w:tc>
        <w:tc>
          <w:tcPr>
            <w:tcW w:w="949" w:type="dxa"/>
            <w:tcBorders>
              <w:top w:val="single" w:sz="12" w:space="0" w:color="auto"/>
            </w:tcBorders>
            <w:shd w:val="clear" w:color="auto" w:fill="auto"/>
          </w:tcPr>
          <w:p w14:paraId="6AA246BD" w14:textId="77777777" w:rsidR="0024488B" w:rsidRPr="0024488B" w:rsidRDefault="0024488B" w:rsidP="00F836D2">
            <w:pPr>
              <w:pStyle w:val="SingleTxtG"/>
              <w:spacing w:before="40" w:after="40" w:line="220" w:lineRule="exact"/>
              <w:ind w:left="0" w:right="57"/>
              <w:jc w:val="right"/>
              <w:rPr>
                <w:sz w:val="18"/>
              </w:rPr>
            </w:pPr>
            <w:r w:rsidRPr="0024488B">
              <w:rPr>
                <w:sz w:val="18"/>
              </w:rPr>
              <w:t>3</w:t>
            </w:r>
            <w:r w:rsidR="00F836D2">
              <w:rPr>
                <w:sz w:val="18"/>
              </w:rPr>
              <w:t xml:space="preserve"> </w:t>
            </w:r>
            <w:r w:rsidRPr="0024488B">
              <w:rPr>
                <w:sz w:val="18"/>
              </w:rPr>
              <w:t>736</w:t>
            </w:r>
            <w:r w:rsidR="00F836D2">
              <w:rPr>
                <w:sz w:val="18"/>
              </w:rPr>
              <w:t xml:space="preserve"> </w:t>
            </w:r>
            <w:r w:rsidRPr="0024488B">
              <w:rPr>
                <w:sz w:val="18"/>
              </w:rPr>
              <w:t>330</w:t>
            </w:r>
          </w:p>
        </w:tc>
        <w:tc>
          <w:tcPr>
            <w:tcW w:w="949" w:type="dxa"/>
            <w:tcBorders>
              <w:top w:val="single" w:sz="12" w:space="0" w:color="auto"/>
            </w:tcBorders>
            <w:shd w:val="clear" w:color="auto" w:fill="auto"/>
          </w:tcPr>
          <w:p w14:paraId="6E80ADAE" w14:textId="77777777" w:rsidR="0024488B" w:rsidRPr="0024488B" w:rsidRDefault="0024488B" w:rsidP="0024488B">
            <w:pPr>
              <w:pStyle w:val="SingleTxtG"/>
              <w:spacing w:before="40" w:after="40" w:line="220" w:lineRule="exact"/>
              <w:ind w:left="0" w:right="0"/>
              <w:jc w:val="right"/>
              <w:rPr>
                <w:sz w:val="18"/>
              </w:rPr>
            </w:pPr>
            <w:r w:rsidRPr="0024488B">
              <w:rPr>
                <w:sz w:val="18"/>
              </w:rPr>
              <w:t>951</w:t>
            </w:r>
            <w:r w:rsidR="00F836D2">
              <w:rPr>
                <w:sz w:val="18"/>
              </w:rPr>
              <w:t xml:space="preserve"> </w:t>
            </w:r>
            <w:r w:rsidRPr="0024488B">
              <w:rPr>
                <w:sz w:val="18"/>
              </w:rPr>
              <w:t>778</w:t>
            </w:r>
          </w:p>
        </w:tc>
        <w:tc>
          <w:tcPr>
            <w:tcW w:w="948" w:type="dxa"/>
            <w:tcBorders>
              <w:top w:val="single" w:sz="12" w:space="0" w:color="auto"/>
            </w:tcBorders>
            <w:shd w:val="clear" w:color="auto" w:fill="auto"/>
          </w:tcPr>
          <w:p w14:paraId="5993D110" w14:textId="77777777" w:rsidR="0024488B" w:rsidRPr="0024488B" w:rsidRDefault="0024488B" w:rsidP="0024488B">
            <w:pPr>
              <w:pStyle w:val="SingleTxtG"/>
              <w:spacing w:before="40" w:after="40" w:line="220" w:lineRule="exact"/>
              <w:ind w:left="0" w:right="0"/>
              <w:jc w:val="right"/>
              <w:rPr>
                <w:sz w:val="18"/>
              </w:rPr>
            </w:pPr>
            <w:r w:rsidRPr="0024488B">
              <w:rPr>
                <w:sz w:val="18"/>
              </w:rPr>
              <w:t>905</w:t>
            </w:r>
            <w:r w:rsidR="00F836D2">
              <w:rPr>
                <w:sz w:val="18"/>
              </w:rPr>
              <w:t xml:space="preserve"> </w:t>
            </w:r>
            <w:r w:rsidRPr="0024488B">
              <w:rPr>
                <w:sz w:val="18"/>
              </w:rPr>
              <w:t>794</w:t>
            </w:r>
          </w:p>
        </w:tc>
        <w:tc>
          <w:tcPr>
            <w:tcW w:w="949" w:type="dxa"/>
            <w:tcBorders>
              <w:top w:val="single" w:sz="12" w:space="0" w:color="auto"/>
            </w:tcBorders>
            <w:shd w:val="clear" w:color="auto" w:fill="auto"/>
          </w:tcPr>
          <w:p w14:paraId="16C83F89"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857</w:t>
            </w:r>
            <w:r w:rsidR="00F836D2">
              <w:rPr>
                <w:sz w:val="18"/>
              </w:rPr>
              <w:t xml:space="preserve"> </w:t>
            </w:r>
            <w:r w:rsidRPr="0024488B">
              <w:rPr>
                <w:sz w:val="18"/>
              </w:rPr>
              <w:t>572</w:t>
            </w:r>
          </w:p>
        </w:tc>
        <w:tc>
          <w:tcPr>
            <w:tcW w:w="949" w:type="dxa"/>
            <w:tcBorders>
              <w:top w:val="single" w:sz="12" w:space="0" w:color="auto"/>
            </w:tcBorders>
            <w:shd w:val="clear" w:color="auto" w:fill="auto"/>
          </w:tcPr>
          <w:p w14:paraId="1B3A33C1"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871</w:t>
            </w:r>
            <w:r w:rsidR="00F836D2">
              <w:rPr>
                <w:sz w:val="18"/>
              </w:rPr>
              <w:t xml:space="preserve"> </w:t>
            </w:r>
            <w:r w:rsidRPr="0024488B">
              <w:rPr>
                <w:sz w:val="18"/>
              </w:rPr>
              <w:t>724</w:t>
            </w:r>
          </w:p>
        </w:tc>
        <w:tc>
          <w:tcPr>
            <w:tcW w:w="949" w:type="dxa"/>
            <w:tcBorders>
              <w:top w:val="single" w:sz="12" w:space="0" w:color="auto"/>
            </w:tcBorders>
            <w:shd w:val="clear" w:color="auto" w:fill="auto"/>
          </w:tcPr>
          <w:p w14:paraId="22E02372"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722</w:t>
            </w:r>
            <w:r w:rsidR="00F836D2">
              <w:rPr>
                <w:sz w:val="18"/>
              </w:rPr>
              <w:t xml:space="preserve"> </w:t>
            </w:r>
            <w:r w:rsidRPr="0024488B">
              <w:rPr>
                <w:sz w:val="18"/>
              </w:rPr>
              <w:t>178</w:t>
            </w:r>
          </w:p>
        </w:tc>
        <w:tc>
          <w:tcPr>
            <w:tcW w:w="949" w:type="dxa"/>
            <w:tcBorders>
              <w:top w:val="single" w:sz="12" w:space="0" w:color="auto"/>
            </w:tcBorders>
            <w:shd w:val="clear" w:color="auto" w:fill="auto"/>
          </w:tcPr>
          <w:p w14:paraId="0BBC85F6" w14:textId="77777777" w:rsidR="0024488B" w:rsidRPr="0024488B" w:rsidRDefault="0024488B" w:rsidP="0024488B">
            <w:pPr>
              <w:pStyle w:val="SingleTxtG"/>
              <w:spacing w:before="40" w:after="40" w:line="220" w:lineRule="exact"/>
              <w:ind w:left="0" w:right="0"/>
              <w:jc w:val="right"/>
              <w:rPr>
                <w:sz w:val="18"/>
              </w:rPr>
            </w:pPr>
            <w:r w:rsidRPr="0024488B">
              <w:rPr>
                <w:sz w:val="18"/>
              </w:rPr>
              <w:t>5</w:t>
            </w:r>
            <w:r w:rsidR="00F836D2">
              <w:rPr>
                <w:sz w:val="18"/>
              </w:rPr>
              <w:t xml:space="preserve"> </w:t>
            </w:r>
            <w:r w:rsidRPr="0024488B">
              <w:rPr>
                <w:sz w:val="18"/>
              </w:rPr>
              <w:t>593</w:t>
            </w:r>
            <w:r w:rsidR="00F836D2">
              <w:rPr>
                <w:sz w:val="18"/>
              </w:rPr>
              <w:t xml:space="preserve"> </w:t>
            </w:r>
            <w:r w:rsidRPr="0024488B">
              <w:rPr>
                <w:sz w:val="18"/>
              </w:rPr>
              <w:t>902</w:t>
            </w:r>
          </w:p>
        </w:tc>
      </w:tr>
      <w:tr w:rsidR="0024488B" w:rsidRPr="0024488B" w14:paraId="28FAA3AB" w14:textId="77777777" w:rsidTr="0024488B">
        <w:tc>
          <w:tcPr>
            <w:tcW w:w="1218" w:type="dxa"/>
            <w:shd w:val="clear" w:color="auto" w:fill="auto"/>
          </w:tcPr>
          <w:p w14:paraId="7AA3CC08"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5 a 9 años</w:t>
            </w:r>
          </w:p>
        </w:tc>
        <w:tc>
          <w:tcPr>
            <w:tcW w:w="948" w:type="dxa"/>
            <w:shd w:val="clear" w:color="auto" w:fill="auto"/>
          </w:tcPr>
          <w:p w14:paraId="78D73B79"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767</w:t>
            </w:r>
            <w:r w:rsidR="00F836D2">
              <w:rPr>
                <w:sz w:val="18"/>
              </w:rPr>
              <w:t xml:space="preserve"> </w:t>
            </w:r>
            <w:r w:rsidRPr="0024488B">
              <w:rPr>
                <w:sz w:val="18"/>
              </w:rPr>
              <w:t>034</w:t>
            </w:r>
          </w:p>
        </w:tc>
        <w:tc>
          <w:tcPr>
            <w:tcW w:w="949" w:type="dxa"/>
            <w:shd w:val="clear" w:color="auto" w:fill="auto"/>
          </w:tcPr>
          <w:p w14:paraId="741198CD"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681</w:t>
            </w:r>
            <w:r w:rsidR="00F836D2">
              <w:rPr>
                <w:sz w:val="18"/>
              </w:rPr>
              <w:t xml:space="preserve"> </w:t>
            </w:r>
            <w:r w:rsidRPr="0024488B">
              <w:rPr>
                <w:sz w:val="18"/>
              </w:rPr>
              <w:t>422</w:t>
            </w:r>
          </w:p>
        </w:tc>
        <w:tc>
          <w:tcPr>
            <w:tcW w:w="949" w:type="dxa"/>
            <w:shd w:val="clear" w:color="auto" w:fill="auto"/>
          </w:tcPr>
          <w:p w14:paraId="621FD673" w14:textId="77777777" w:rsidR="0024488B" w:rsidRPr="0024488B" w:rsidRDefault="0024488B" w:rsidP="00F836D2">
            <w:pPr>
              <w:pStyle w:val="SingleTxtG"/>
              <w:spacing w:before="40" w:after="40" w:line="220" w:lineRule="exact"/>
              <w:ind w:left="0" w:right="57"/>
              <w:jc w:val="right"/>
              <w:rPr>
                <w:sz w:val="18"/>
              </w:rPr>
            </w:pPr>
            <w:r w:rsidRPr="0024488B">
              <w:rPr>
                <w:sz w:val="18"/>
              </w:rPr>
              <w:t>3</w:t>
            </w:r>
            <w:r w:rsidR="00F836D2">
              <w:rPr>
                <w:sz w:val="18"/>
              </w:rPr>
              <w:t xml:space="preserve"> </w:t>
            </w:r>
            <w:r w:rsidRPr="0024488B">
              <w:rPr>
                <w:sz w:val="18"/>
              </w:rPr>
              <w:t>448</w:t>
            </w:r>
            <w:r w:rsidR="00F836D2">
              <w:rPr>
                <w:sz w:val="18"/>
              </w:rPr>
              <w:t xml:space="preserve"> </w:t>
            </w:r>
            <w:r w:rsidRPr="0024488B">
              <w:rPr>
                <w:sz w:val="18"/>
              </w:rPr>
              <w:t>456</w:t>
            </w:r>
          </w:p>
        </w:tc>
        <w:tc>
          <w:tcPr>
            <w:tcW w:w="949" w:type="dxa"/>
            <w:shd w:val="clear" w:color="auto" w:fill="auto"/>
          </w:tcPr>
          <w:p w14:paraId="7A72DBDB" w14:textId="77777777" w:rsidR="0024488B" w:rsidRPr="0024488B" w:rsidRDefault="0024488B" w:rsidP="0024488B">
            <w:pPr>
              <w:pStyle w:val="SingleTxtG"/>
              <w:spacing w:before="40" w:after="40" w:line="220" w:lineRule="exact"/>
              <w:ind w:left="0" w:right="0"/>
              <w:jc w:val="right"/>
              <w:rPr>
                <w:sz w:val="18"/>
              </w:rPr>
            </w:pPr>
            <w:r w:rsidRPr="0024488B">
              <w:rPr>
                <w:sz w:val="18"/>
              </w:rPr>
              <w:t>913</w:t>
            </w:r>
            <w:r w:rsidR="00F836D2">
              <w:rPr>
                <w:sz w:val="18"/>
              </w:rPr>
              <w:t xml:space="preserve"> </w:t>
            </w:r>
            <w:r w:rsidRPr="0024488B">
              <w:rPr>
                <w:sz w:val="18"/>
              </w:rPr>
              <w:t>027</w:t>
            </w:r>
          </w:p>
        </w:tc>
        <w:tc>
          <w:tcPr>
            <w:tcW w:w="948" w:type="dxa"/>
            <w:shd w:val="clear" w:color="auto" w:fill="auto"/>
          </w:tcPr>
          <w:p w14:paraId="236957D9" w14:textId="77777777" w:rsidR="0024488B" w:rsidRPr="0024488B" w:rsidRDefault="0024488B" w:rsidP="0024488B">
            <w:pPr>
              <w:pStyle w:val="SingleTxtG"/>
              <w:spacing w:before="40" w:after="40" w:line="220" w:lineRule="exact"/>
              <w:ind w:left="0" w:right="0"/>
              <w:jc w:val="right"/>
              <w:rPr>
                <w:sz w:val="18"/>
              </w:rPr>
            </w:pPr>
            <w:r w:rsidRPr="0024488B">
              <w:rPr>
                <w:sz w:val="18"/>
              </w:rPr>
              <w:t>841</w:t>
            </w:r>
            <w:r w:rsidR="00F836D2">
              <w:rPr>
                <w:sz w:val="18"/>
              </w:rPr>
              <w:t xml:space="preserve"> </w:t>
            </w:r>
            <w:r w:rsidRPr="0024488B">
              <w:rPr>
                <w:sz w:val="18"/>
              </w:rPr>
              <w:t>495</w:t>
            </w:r>
          </w:p>
        </w:tc>
        <w:tc>
          <w:tcPr>
            <w:tcW w:w="949" w:type="dxa"/>
            <w:shd w:val="clear" w:color="auto" w:fill="auto"/>
          </w:tcPr>
          <w:p w14:paraId="1B5BD9E7"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754</w:t>
            </w:r>
            <w:r w:rsidR="00F836D2">
              <w:rPr>
                <w:sz w:val="18"/>
              </w:rPr>
              <w:t xml:space="preserve"> </w:t>
            </w:r>
            <w:r w:rsidRPr="0024488B">
              <w:rPr>
                <w:sz w:val="18"/>
              </w:rPr>
              <w:t>522</w:t>
            </w:r>
          </w:p>
        </w:tc>
        <w:tc>
          <w:tcPr>
            <w:tcW w:w="949" w:type="dxa"/>
            <w:shd w:val="clear" w:color="auto" w:fill="auto"/>
          </w:tcPr>
          <w:p w14:paraId="2DC343FE"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680</w:t>
            </w:r>
            <w:r w:rsidR="00F836D2">
              <w:rPr>
                <w:sz w:val="18"/>
              </w:rPr>
              <w:t xml:space="preserve"> </w:t>
            </w:r>
            <w:r w:rsidRPr="0024488B">
              <w:rPr>
                <w:sz w:val="18"/>
              </w:rPr>
              <w:t>061</w:t>
            </w:r>
          </w:p>
        </w:tc>
        <w:tc>
          <w:tcPr>
            <w:tcW w:w="949" w:type="dxa"/>
            <w:shd w:val="clear" w:color="auto" w:fill="auto"/>
          </w:tcPr>
          <w:p w14:paraId="37142F48"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522</w:t>
            </w:r>
            <w:r w:rsidR="00F836D2">
              <w:rPr>
                <w:sz w:val="18"/>
              </w:rPr>
              <w:t xml:space="preserve"> </w:t>
            </w:r>
            <w:r w:rsidRPr="0024488B">
              <w:rPr>
                <w:sz w:val="18"/>
              </w:rPr>
              <w:t>917</w:t>
            </w:r>
          </w:p>
        </w:tc>
        <w:tc>
          <w:tcPr>
            <w:tcW w:w="949" w:type="dxa"/>
            <w:shd w:val="clear" w:color="auto" w:fill="auto"/>
          </w:tcPr>
          <w:p w14:paraId="1C66A5FD" w14:textId="77777777" w:rsidR="0024488B" w:rsidRPr="0024488B" w:rsidRDefault="0024488B" w:rsidP="0024488B">
            <w:pPr>
              <w:pStyle w:val="SingleTxtG"/>
              <w:spacing w:before="40" w:after="40" w:line="220" w:lineRule="exact"/>
              <w:ind w:left="0" w:right="0"/>
              <w:jc w:val="right"/>
              <w:rPr>
                <w:sz w:val="18"/>
              </w:rPr>
            </w:pPr>
            <w:r w:rsidRPr="0024488B">
              <w:rPr>
                <w:sz w:val="18"/>
              </w:rPr>
              <w:t>5</w:t>
            </w:r>
            <w:r w:rsidR="00F836D2">
              <w:rPr>
                <w:sz w:val="18"/>
              </w:rPr>
              <w:t xml:space="preserve"> </w:t>
            </w:r>
            <w:r w:rsidRPr="0024488B">
              <w:rPr>
                <w:sz w:val="18"/>
              </w:rPr>
              <w:t>202</w:t>
            </w:r>
            <w:r w:rsidR="00F836D2">
              <w:rPr>
                <w:sz w:val="18"/>
              </w:rPr>
              <w:t xml:space="preserve"> </w:t>
            </w:r>
            <w:r w:rsidRPr="0024488B">
              <w:rPr>
                <w:sz w:val="18"/>
              </w:rPr>
              <w:t>978</w:t>
            </w:r>
          </w:p>
        </w:tc>
      </w:tr>
      <w:tr w:rsidR="0024488B" w:rsidRPr="0024488B" w14:paraId="53FFC6C3" w14:textId="77777777" w:rsidTr="0024488B">
        <w:tc>
          <w:tcPr>
            <w:tcW w:w="1218" w:type="dxa"/>
            <w:shd w:val="clear" w:color="auto" w:fill="auto"/>
          </w:tcPr>
          <w:p w14:paraId="326598E9"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10 a 14 años</w:t>
            </w:r>
          </w:p>
        </w:tc>
        <w:tc>
          <w:tcPr>
            <w:tcW w:w="948" w:type="dxa"/>
            <w:shd w:val="clear" w:color="auto" w:fill="auto"/>
          </w:tcPr>
          <w:p w14:paraId="7EA7E88D"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582</w:t>
            </w:r>
            <w:r w:rsidR="00F836D2">
              <w:rPr>
                <w:sz w:val="18"/>
              </w:rPr>
              <w:t xml:space="preserve"> </w:t>
            </w:r>
            <w:r w:rsidRPr="0024488B">
              <w:rPr>
                <w:sz w:val="18"/>
              </w:rPr>
              <w:t>308</w:t>
            </w:r>
          </w:p>
        </w:tc>
        <w:tc>
          <w:tcPr>
            <w:tcW w:w="949" w:type="dxa"/>
            <w:shd w:val="clear" w:color="auto" w:fill="auto"/>
          </w:tcPr>
          <w:p w14:paraId="0A91551F"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479</w:t>
            </w:r>
            <w:r w:rsidR="00F836D2">
              <w:rPr>
                <w:sz w:val="18"/>
              </w:rPr>
              <w:t xml:space="preserve"> </w:t>
            </w:r>
            <w:r w:rsidRPr="0024488B">
              <w:rPr>
                <w:sz w:val="18"/>
              </w:rPr>
              <w:t>690</w:t>
            </w:r>
          </w:p>
        </w:tc>
        <w:tc>
          <w:tcPr>
            <w:tcW w:w="949" w:type="dxa"/>
            <w:shd w:val="clear" w:color="auto" w:fill="auto"/>
          </w:tcPr>
          <w:p w14:paraId="047B4F52" w14:textId="77777777" w:rsidR="0024488B" w:rsidRPr="0024488B" w:rsidRDefault="0024488B" w:rsidP="00F836D2">
            <w:pPr>
              <w:pStyle w:val="SingleTxtG"/>
              <w:spacing w:before="40" w:after="40" w:line="220" w:lineRule="exact"/>
              <w:ind w:left="0" w:right="57"/>
              <w:jc w:val="right"/>
              <w:rPr>
                <w:sz w:val="18"/>
              </w:rPr>
            </w:pPr>
            <w:r w:rsidRPr="0024488B">
              <w:rPr>
                <w:sz w:val="18"/>
              </w:rPr>
              <w:t>3</w:t>
            </w:r>
            <w:r w:rsidR="00F836D2">
              <w:rPr>
                <w:sz w:val="18"/>
              </w:rPr>
              <w:t xml:space="preserve"> </w:t>
            </w:r>
            <w:r w:rsidRPr="0024488B">
              <w:rPr>
                <w:sz w:val="18"/>
              </w:rPr>
              <w:t>061</w:t>
            </w:r>
            <w:r w:rsidR="00F836D2">
              <w:rPr>
                <w:sz w:val="18"/>
              </w:rPr>
              <w:t xml:space="preserve"> </w:t>
            </w:r>
            <w:r w:rsidRPr="0024488B">
              <w:rPr>
                <w:sz w:val="18"/>
              </w:rPr>
              <w:t>998</w:t>
            </w:r>
          </w:p>
        </w:tc>
        <w:tc>
          <w:tcPr>
            <w:tcW w:w="949" w:type="dxa"/>
            <w:shd w:val="clear" w:color="auto" w:fill="auto"/>
          </w:tcPr>
          <w:p w14:paraId="099EB417" w14:textId="77777777" w:rsidR="0024488B" w:rsidRPr="0024488B" w:rsidRDefault="0024488B" w:rsidP="0024488B">
            <w:pPr>
              <w:pStyle w:val="SingleTxtG"/>
              <w:spacing w:before="40" w:after="40" w:line="220" w:lineRule="exact"/>
              <w:ind w:left="0" w:right="0"/>
              <w:jc w:val="right"/>
              <w:rPr>
                <w:sz w:val="18"/>
              </w:rPr>
            </w:pPr>
            <w:r w:rsidRPr="0024488B">
              <w:rPr>
                <w:sz w:val="18"/>
              </w:rPr>
              <w:t>812</w:t>
            </w:r>
            <w:r w:rsidR="00F836D2">
              <w:rPr>
                <w:sz w:val="18"/>
              </w:rPr>
              <w:t xml:space="preserve"> </w:t>
            </w:r>
            <w:r w:rsidRPr="0024488B">
              <w:rPr>
                <w:sz w:val="18"/>
              </w:rPr>
              <w:t>859</w:t>
            </w:r>
          </w:p>
        </w:tc>
        <w:tc>
          <w:tcPr>
            <w:tcW w:w="948" w:type="dxa"/>
            <w:shd w:val="clear" w:color="auto" w:fill="auto"/>
          </w:tcPr>
          <w:p w14:paraId="286F8BC8" w14:textId="77777777" w:rsidR="0024488B" w:rsidRPr="0024488B" w:rsidRDefault="0024488B" w:rsidP="0024488B">
            <w:pPr>
              <w:pStyle w:val="SingleTxtG"/>
              <w:spacing w:before="40" w:after="40" w:line="220" w:lineRule="exact"/>
              <w:ind w:left="0" w:right="0"/>
              <w:jc w:val="right"/>
              <w:rPr>
                <w:sz w:val="18"/>
              </w:rPr>
            </w:pPr>
            <w:r w:rsidRPr="0024488B">
              <w:rPr>
                <w:sz w:val="18"/>
              </w:rPr>
              <w:t>756</w:t>
            </w:r>
            <w:r w:rsidR="00F836D2">
              <w:rPr>
                <w:sz w:val="18"/>
              </w:rPr>
              <w:t xml:space="preserve"> </w:t>
            </w:r>
            <w:r w:rsidRPr="0024488B">
              <w:rPr>
                <w:sz w:val="18"/>
              </w:rPr>
              <w:t>295</w:t>
            </w:r>
          </w:p>
        </w:tc>
        <w:tc>
          <w:tcPr>
            <w:tcW w:w="949" w:type="dxa"/>
            <w:shd w:val="clear" w:color="auto" w:fill="auto"/>
          </w:tcPr>
          <w:p w14:paraId="5A523EB0"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569</w:t>
            </w:r>
            <w:r w:rsidR="00F836D2">
              <w:rPr>
                <w:sz w:val="18"/>
              </w:rPr>
              <w:t xml:space="preserve"> </w:t>
            </w:r>
            <w:r w:rsidRPr="0024488B">
              <w:rPr>
                <w:sz w:val="18"/>
              </w:rPr>
              <w:t>154</w:t>
            </w:r>
          </w:p>
        </w:tc>
        <w:tc>
          <w:tcPr>
            <w:tcW w:w="949" w:type="dxa"/>
            <w:shd w:val="clear" w:color="auto" w:fill="auto"/>
          </w:tcPr>
          <w:p w14:paraId="203BC746"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395</w:t>
            </w:r>
            <w:r w:rsidR="00F836D2">
              <w:rPr>
                <w:sz w:val="18"/>
              </w:rPr>
              <w:t xml:space="preserve"> </w:t>
            </w:r>
            <w:r w:rsidRPr="0024488B">
              <w:rPr>
                <w:sz w:val="18"/>
              </w:rPr>
              <w:t>167</w:t>
            </w:r>
          </w:p>
        </w:tc>
        <w:tc>
          <w:tcPr>
            <w:tcW w:w="949" w:type="dxa"/>
            <w:shd w:val="clear" w:color="auto" w:fill="auto"/>
          </w:tcPr>
          <w:p w14:paraId="30587A09"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235</w:t>
            </w:r>
            <w:r w:rsidR="00F836D2">
              <w:rPr>
                <w:sz w:val="18"/>
              </w:rPr>
              <w:t xml:space="preserve"> </w:t>
            </w:r>
            <w:r w:rsidRPr="0024488B">
              <w:rPr>
                <w:sz w:val="18"/>
              </w:rPr>
              <w:t>985</w:t>
            </w:r>
          </w:p>
        </w:tc>
        <w:tc>
          <w:tcPr>
            <w:tcW w:w="949" w:type="dxa"/>
            <w:shd w:val="clear" w:color="auto" w:fill="auto"/>
          </w:tcPr>
          <w:p w14:paraId="4D4E6830" w14:textId="77777777" w:rsidR="0024488B" w:rsidRPr="0024488B" w:rsidRDefault="0024488B" w:rsidP="0024488B">
            <w:pPr>
              <w:pStyle w:val="SingleTxtG"/>
              <w:spacing w:before="40" w:after="40" w:line="220" w:lineRule="exact"/>
              <w:ind w:left="0" w:right="0"/>
              <w:jc w:val="right"/>
              <w:rPr>
                <w:sz w:val="18"/>
              </w:rPr>
            </w:pPr>
            <w:r w:rsidRPr="0024488B">
              <w:rPr>
                <w:sz w:val="18"/>
              </w:rPr>
              <w:t>4</w:t>
            </w:r>
            <w:r w:rsidR="00F836D2">
              <w:rPr>
                <w:sz w:val="18"/>
              </w:rPr>
              <w:t xml:space="preserve"> </w:t>
            </w:r>
            <w:r w:rsidRPr="0024488B">
              <w:rPr>
                <w:sz w:val="18"/>
              </w:rPr>
              <w:t>631</w:t>
            </w:r>
            <w:r w:rsidR="00F836D2">
              <w:rPr>
                <w:sz w:val="18"/>
              </w:rPr>
              <w:t xml:space="preserve"> </w:t>
            </w:r>
            <w:r w:rsidRPr="0024488B">
              <w:rPr>
                <w:sz w:val="18"/>
              </w:rPr>
              <w:t>152</w:t>
            </w:r>
          </w:p>
        </w:tc>
      </w:tr>
      <w:tr w:rsidR="0024488B" w:rsidRPr="0024488B" w14:paraId="3FC265A1" w14:textId="77777777" w:rsidTr="0024488B">
        <w:tc>
          <w:tcPr>
            <w:tcW w:w="1218" w:type="dxa"/>
            <w:shd w:val="clear" w:color="auto" w:fill="auto"/>
          </w:tcPr>
          <w:p w14:paraId="16791211"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15 a 19 años</w:t>
            </w:r>
          </w:p>
        </w:tc>
        <w:tc>
          <w:tcPr>
            <w:tcW w:w="948" w:type="dxa"/>
            <w:shd w:val="clear" w:color="auto" w:fill="auto"/>
          </w:tcPr>
          <w:p w14:paraId="3DB6C6E1"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425</w:t>
            </w:r>
            <w:r w:rsidR="00F836D2">
              <w:rPr>
                <w:sz w:val="18"/>
              </w:rPr>
              <w:t xml:space="preserve"> </w:t>
            </w:r>
            <w:r w:rsidRPr="0024488B">
              <w:rPr>
                <w:sz w:val="18"/>
              </w:rPr>
              <w:t>898</w:t>
            </w:r>
          </w:p>
        </w:tc>
        <w:tc>
          <w:tcPr>
            <w:tcW w:w="949" w:type="dxa"/>
            <w:shd w:val="clear" w:color="auto" w:fill="auto"/>
          </w:tcPr>
          <w:p w14:paraId="27F88220"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361</w:t>
            </w:r>
            <w:r w:rsidR="00F836D2">
              <w:rPr>
                <w:sz w:val="18"/>
              </w:rPr>
              <w:t xml:space="preserve"> </w:t>
            </w:r>
            <w:r w:rsidRPr="0024488B">
              <w:rPr>
                <w:sz w:val="18"/>
              </w:rPr>
              <w:t>876</w:t>
            </w:r>
          </w:p>
        </w:tc>
        <w:tc>
          <w:tcPr>
            <w:tcW w:w="949" w:type="dxa"/>
            <w:shd w:val="clear" w:color="auto" w:fill="auto"/>
          </w:tcPr>
          <w:p w14:paraId="03A4DE0B" w14:textId="77777777" w:rsidR="0024488B" w:rsidRPr="0024488B" w:rsidRDefault="0024488B" w:rsidP="00F836D2">
            <w:pPr>
              <w:pStyle w:val="SingleTxtG"/>
              <w:spacing w:before="40" w:after="40" w:line="220" w:lineRule="exact"/>
              <w:ind w:left="0" w:right="57"/>
              <w:jc w:val="right"/>
              <w:rPr>
                <w:sz w:val="18"/>
              </w:rPr>
            </w:pPr>
            <w:r w:rsidRPr="0024488B">
              <w:rPr>
                <w:sz w:val="18"/>
              </w:rPr>
              <w:t>2</w:t>
            </w:r>
            <w:r w:rsidR="00F836D2">
              <w:rPr>
                <w:sz w:val="18"/>
              </w:rPr>
              <w:t xml:space="preserve"> </w:t>
            </w:r>
            <w:r w:rsidRPr="0024488B">
              <w:rPr>
                <w:sz w:val="18"/>
              </w:rPr>
              <w:t>787</w:t>
            </w:r>
            <w:r w:rsidR="00F836D2">
              <w:rPr>
                <w:sz w:val="18"/>
              </w:rPr>
              <w:t xml:space="preserve"> </w:t>
            </w:r>
            <w:r w:rsidRPr="0024488B">
              <w:rPr>
                <w:sz w:val="18"/>
              </w:rPr>
              <w:t>774</w:t>
            </w:r>
          </w:p>
        </w:tc>
        <w:tc>
          <w:tcPr>
            <w:tcW w:w="949" w:type="dxa"/>
            <w:shd w:val="clear" w:color="auto" w:fill="auto"/>
          </w:tcPr>
          <w:p w14:paraId="66E70C5C" w14:textId="77777777" w:rsidR="0024488B" w:rsidRPr="0024488B" w:rsidRDefault="0024488B" w:rsidP="0024488B">
            <w:pPr>
              <w:pStyle w:val="SingleTxtG"/>
              <w:spacing w:before="40" w:after="40" w:line="220" w:lineRule="exact"/>
              <w:ind w:left="0" w:right="0"/>
              <w:jc w:val="right"/>
              <w:rPr>
                <w:sz w:val="18"/>
              </w:rPr>
            </w:pPr>
            <w:r w:rsidRPr="0024488B">
              <w:rPr>
                <w:sz w:val="18"/>
              </w:rPr>
              <w:t>675</w:t>
            </w:r>
            <w:r w:rsidR="00F836D2">
              <w:rPr>
                <w:sz w:val="18"/>
              </w:rPr>
              <w:t xml:space="preserve"> </w:t>
            </w:r>
            <w:r w:rsidRPr="0024488B">
              <w:rPr>
                <w:sz w:val="18"/>
              </w:rPr>
              <w:t>579</w:t>
            </w:r>
          </w:p>
        </w:tc>
        <w:tc>
          <w:tcPr>
            <w:tcW w:w="948" w:type="dxa"/>
            <w:shd w:val="clear" w:color="auto" w:fill="auto"/>
          </w:tcPr>
          <w:p w14:paraId="48D20062" w14:textId="77777777" w:rsidR="0024488B" w:rsidRPr="0024488B" w:rsidRDefault="0024488B" w:rsidP="0024488B">
            <w:pPr>
              <w:pStyle w:val="SingleTxtG"/>
              <w:spacing w:before="40" w:after="40" w:line="220" w:lineRule="exact"/>
              <w:ind w:left="0" w:right="0"/>
              <w:jc w:val="right"/>
              <w:rPr>
                <w:sz w:val="18"/>
              </w:rPr>
            </w:pPr>
            <w:r w:rsidRPr="0024488B">
              <w:rPr>
                <w:sz w:val="18"/>
              </w:rPr>
              <w:t>623</w:t>
            </w:r>
            <w:r w:rsidR="00F836D2">
              <w:rPr>
                <w:sz w:val="18"/>
              </w:rPr>
              <w:t xml:space="preserve"> </w:t>
            </w:r>
            <w:r w:rsidRPr="0024488B">
              <w:rPr>
                <w:sz w:val="18"/>
              </w:rPr>
              <w:t>687</w:t>
            </w:r>
          </w:p>
        </w:tc>
        <w:tc>
          <w:tcPr>
            <w:tcW w:w="949" w:type="dxa"/>
            <w:shd w:val="clear" w:color="auto" w:fill="auto"/>
          </w:tcPr>
          <w:p w14:paraId="3B659D13"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299</w:t>
            </w:r>
            <w:r w:rsidR="00F836D2">
              <w:rPr>
                <w:sz w:val="18"/>
              </w:rPr>
              <w:t xml:space="preserve"> </w:t>
            </w:r>
            <w:r w:rsidRPr="0024488B">
              <w:rPr>
                <w:sz w:val="18"/>
              </w:rPr>
              <w:t>266</w:t>
            </w:r>
          </w:p>
        </w:tc>
        <w:tc>
          <w:tcPr>
            <w:tcW w:w="949" w:type="dxa"/>
            <w:shd w:val="clear" w:color="auto" w:fill="auto"/>
          </w:tcPr>
          <w:p w14:paraId="4447A3D7"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101</w:t>
            </w:r>
            <w:r w:rsidR="00F836D2">
              <w:rPr>
                <w:sz w:val="18"/>
              </w:rPr>
              <w:t xml:space="preserve"> </w:t>
            </w:r>
            <w:r w:rsidRPr="0024488B">
              <w:rPr>
                <w:sz w:val="18"/>
              </w:rPr>
              <w:t>477</w:t>
            </w:r>
          </w:p>
        </w:tc>
        <w:tc>
          <w:tcPr>
            <w:tcW w:w="949" w:type="dxa"/>
            <w:shd w:val="clear" w:color="auto" w:fill="auto"/>
          </w:tcPr>
          <w:p w14:paraId="0B6542F4"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985</w:t>
            </w:r>
            <w:r w:rsidR="00F836D2">
              <w:rPr>
                <w:sz w:val="18"/>
              </w:rPr>
              <w:t xml:space="preserve"> </w:t>
            </w:r>
            <w:r w:rsidRPr="0024488B">
              <w:rPr>
                <w:sz w:val="18"/>
              </w:rPr>
              <w:t>563</w:t>
            </w:r>
          </w:p>
        </w:tc>
        <w:tc>
          <w:tcPr>
            <w:tcW w:w="949" w:type="dxa"/>
            <w:shd w:val="clear" w:color="auto" w:fill="auto"/>
          </w:tcPr>
          <w:p w14:paraId="46C647EF" w14:textId="77777777" w:rsidR="0024488B" w:rsidRPr="0024488B" w:rsidRDefault="0024488B" w:rsidP="0024488B">
            <w:pPr>
              <w:pStyle w:val="SingleTxtG"/>
              <w:spacing w:before="40" w:after="40" w:line="220" w:lineRule="exact"/>
              <w:ind w:left="0" w:right="0"/>
              <w:jc w:val="right"/>
              <w:rPr>
                <w:sz w:val="18"/>
              </w:rPr>
            </w:pPr>
            <w:r w:rsidRPr="0024488B">
              <w:rPr>
                <w:sz w:val="18"/>
              </w:rPr>
              <w:t>4</w:t>
            </w:r>
            <w:r w:rsidR="00F836D2">
              <w:rPr>
                <w:sz w:val="18"/>
              </w:rPr>
              <w:t xml:space="preserve"> </w:t>
            </w:r>
            <w:r w:rsidRPr="0024488B">
              <w:rPr>
                <w:sz w:val="18"/>
              </w:rPr>
              <w:t>087</w:t>
            </w:r>
            <w:r w:rsidR="00F836D2">
              <w:rPr>
                <w:sz w:val="18"/>
              </w:rPr>
              <w:t xml:space="preserve"> </w:t>
            </w:r>
            <w:r w:rsidRPr="0024488B">
              <w:rPr>
                <w:sz w:val="18"/>
              </w:rPr>
              <w:t>040</w:t>
            </w:r>
          </w:p>
        </w:tc>
      </w:tr>
      <w:tr w:rsidR="0024488B" w:rsidRPr="0024488B" w14:paraId="68F35919" w14:textId="77777777" w:rsidTr="0024488B">
        <w:tc>
          <w:tcPr>
            <w:tcW w:w="1218" w:type="dxa"/>
            <w:shd w:val="clear" w:color="auto" w:fill="auto"/>
          </w:tcPr>
          <w:p w14:paraId="1FC1A81C"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20 a 22 años</w:t>
            </w:r>
          </w:p>
        </w:tc>
        <w:tc>
          <w:tcPr>
            <w:tcW w:w="948" w:type="dxa"/>
            <w:shd w:val="clear" w:color="auto" w:fill="auto"/>
          </w:tcPr>
          <w:p w14:paraId="635AECBF"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306</w:t>
            </w:r>
            <w:r w:rsidR="00F836D2">
              <w:rPr>
                <w:sz w:val="18"/>
              </w:rPr>
              <w:t xml:space="preserve"> </w:t>
            </w:r>
            <w:r w:rsidRPr="0024488B">
              <w:rPr>
                <w:sz w:val="18"/>
              </w:rPr>
              <w:t>542</w:t>
            </w:r>
          </w:p>
        </w:tc>
        <w:tc>
          <w:tcPr>
            <w:tcW w:w="949" w:type="dxa"/>
            <w:shd w:val="clear" w:color="auto" w:fill="auto"/>
          </w:tcPr>
          <w:p w14:paraId="32394C88"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221</w:t>
            </w:r>
            <w:r w:rsidR="00F836D2">
              <w:rPr>
                <w:sz w:val="18"/>
              </w:rPr>
              <w:t xml:space="preserve"> </w:t>
            </w:r>
            <w:r w:rsidRPr="0024488B">
              <w:rPr>
                <w:sz w:val="18"/>
              </w:rPr>
              <w:t>484</w:t>
            </w:r>
          </w:p>
        </w:tc>
        <w:tc>
          <w:tcPr>
            <w:tcW w:w="949" w:type="dxa"/>
            <w:shd w:val="clear" w:color="auto" w:fill="auto"/>
          </w:tcPr>
          <w:p w14:paraId="5B39BB85" w14:textId="77777777" w:rsidR="0024488B" w:rsidRPr="0024488B" w:rsidRDefault="0024488B" w:rsidP="00F836D2">
            <w:pPr>
              <w:pStyle w:val="SingleTxtG"/>
              <w:spacing w:before="40" w:after="40" w:line="220" w:lineRule="exact"/>
              <w:ind w:left="0" w:right="57"/>
              <w:jc w:val="right"/>
              <w:rPr>
                <w:sz w:val="18"/>
              </w:rPr>
            </w:pPr>
            <w:r w:rsidRPr="0024488B">
              <w:rPr>
                <w:sz w:val="18"/>
              </w:rPr>
              <w:t>528</w:t>
            </w:r>
            <w:r w:rsidR="00F836D2">
              <w:rPr>
                <w:sz w:val="18"/>
              </w:rPr>
              <w:t xml:space="preserve"> </w:t>
            </w:r>
            <w:r w:rsidRPr="0024488B">
              <w:rPr>
                <w:sz w:val="18"/>
              </w:rPr>
              <w:t>026</w:t>
            </w:r>
          </w:p>
        </w:tc>
        <w:tc>
          <w:tcPr>
            <w:tcW w:w="949" w:type="dxa"/>
            <w:shd w:val="clear" w:color="auto" w:fill="auto"/>
          </w:tcPr>
          <w:p w14:paraId="50DBCD69" w14:textId="77777777" w:rsidR="0024488B" w:rsidRPr="0024488B" w:rsidRDefault="0024488B" w:rsidP="0024488B">
            <w:pPr>
              <w:pStyle w:val="SingleTxtG"/>
              <w:spacing w:before="40" w:after="40" w:line="220" w:lineRule="exact"/>
              <w:ind w:left="0" w:right="0"/>
              <w:jc w:val="right"/>
              <w:rPr>
                <w:sz w:val="18"/>
              </w:rPr>
            </w:pPr>
            <w:r w:rsidRPr="0024488B">
              <w:rPr>
                <w:sz w:val="18"/>
              </w:rPr>
              <w:t>529</w:t>
            </w:r>
            <w:r w:rsidR="00F836D2">
              <w:rPr>
                <w:sz w:val="18"/>
              </w:rPr>
              <w:t xml:space="preserve"> </w:t>
            </w:r>
            <w:r w:rsidRPr="0024488B">
              <w:rPr>
                <w:sz w:val="18"/>
              </w:rPr>
              <w:t>055</w:t>
            </w:r>
          </w:p>
        </w:tc>
        <w:tc>
          <w:tcPr>
            <w:tcW w:w="948" w:type="dxa"/>
            <w:shd w:val="clear" w:color="auto" w:fill="auto"/>
          </w:tcPr>
          <w:p w14:paraId="1B6404CC" w14:textId="77777777" w:rsidR="0024488B" w:rsidRPr="0024488B" w:rsidRDefault="0024488B" w:rsidP="0024488B">
            <w:pPr>
              <w:pStyle w:val="SingleTxtG"/>
              <w:spacing w:before="40" w:after="40" w:line="220" w:lineRule="exact"/>
              <w:ind w:left="0" w:right="0"/>
              <w:jc w:val="right"/>
              <w:rPr>
                <w:sz w:val="18"/>
              </w:rPr>
            </w:pPr>
            <w:r w:rsidRPr="0024488B">
              <w:rPr>
                <w:sz w:val="18"/>
              </w:rPr>
              <w:t>472</w:t>
            </w:r>
            <w:r w:rsidR="00F836D2">
              <w:rPr>
                <w:sz w:val="18"/>
              </w:rPr>
              <w:t xml:space="preserve"> </w:t>
            </w:r>
            <w:r w:rsidRPr="0024488B">
              <w:rPr>
                <w:sz w:val="18"/>
              </w:rPr>
              <w:t>589</w:t>
            </w:r>
          </w:p>
        </w:tc>
        <w:tc>
          <w:tcPr>
            <w:tcW w:w="949" w:type="dxa"/>
            <w:shd w:val="clear" w:color="auto" w:fill="auto"/>
          </w:tcPr>
          <w:p w14:paraId="6718BCCE"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001</w:t>
            </w:r>
            <w:r w:rsidR="00F836D2">
              <w:rPr>
                <w:sz w:val="18"/>
              </w:rPr>
              <w:t xml:space="preserve"> </w:t>
            </w:r>
            <w:r w:rsidRPr="0024488B">
              <w:rPr>
                <w:sz w:val="18"/>
              </w:rPr>
              <w:t>644</w:t>
            </w:r>
          </w:p>
        </w:tc>
        <w:tc>
          <w:tcPr>
            <w:tcW w:w="949" w:type="dxa"/>
            <w:shd w:val="clear" w:color="auto" w:fill="auto"/>
          </w:tcPr>
          <w:p w14:paraId="3B101B9B"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835</w:t>
            </w:r>
            <w:r w:rsidR="00F836D2">
              <w:rPr>
                <w:sz w:val="18"/>
              </w:rPr>
              <w:t xml:space="preserve"> </w:t>
            </w:r>
            <w:r w:rsidRPr="0024488B">
              <w:rPr>
                <w:sz w:val="18"/>
              </w:rPr>
              <w:t>597</w:t>
            </w:r>
          </w:p>
        </w:tc>
        <w:tc>
          <w:tcPr>
            <w:tcW w:w="949" w:type="dxa"/>
            <w:shd w:val="clear" w:color="auto" w:fill="auto"/>
          </w:tcPr>
          <w:p w14:paraId="73FFCAF1"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694</w:t>
            </w:r>
            <w:r w:rsidR="00F836D2">
              <w:rPr>
                <w:sz w:val="18"/>
              </w:rPr>
              <w:t xml:space="preserve"> </w:t>
            </w:r>
            <w:r w:rsidRPr="0024488B">
              <w:rPr>
                <w:sz w:val="18"/>
              </w:rPr>
              <w:t>073</w:t>
            </w:r>
          </w:p>
        </w:tc>
        <w:tc>
          <w:tcPr>
            <w:tcW w:w="949" w:type="dxa"/>
            <w:shd w:val="clear" w:color="auto" w:fill="auto"/>
          </w:tcPr>
          <w:p w14:paraId="37198440" w14:textId="77777777" w:rsidR="0024488B" w:rsidRPr="0024488B" w:rsidRDefault="0024488B" w:rsidP="0024488B">
            <w:pPr>
              <w:pStyle w:val="SingleTxtG"/>
              <w:spacing w:before="40" w:after="40" w:line="220" w:lineRule="exact"/>
              <w:ind w:left="0" w:right="0"/>
              <w:jc w:val="right"/>
              <w:rPr>
                <w:sz w:val="18"/>
              </w:rPr>
            </w:pPr>
            <w:r w:rsidRPr="0024488B">
              <w:rPr>
                <w:sz w:val="18"/>
              </w:rPr>
              <w:t>3</w:t>
            </w:r>
            <w:r w:rsidR="00F836D2">
              <w:rPr>
                <w:sz w:val="18"/>
              </w:rPr>
              <w:t xml:space="preserve"> </w:t>
            </w:r>
            <w:r w:rsidRPr="0024488B">
              <w:rPr>
                <w:sz w:val="18"/>
              </w:rPr>
              <w:t>529</w:t>
            </w:r>
            <w:r w:rsidR="00F836D2">
              <w:rPr>
                <w:sz w:val="18"/>
              </w:rPr>
              <w:t xml:space="preserve"> </w:t>
            </w:r>
            <w:r w:rsidRPr="0024488B">
              <w:rPr>
                <w:sz w:val="18"/>
              </w:rPr>
              <w:t>670</w:t>
            </w:r>
          </w:p>
        </w:tc>
      </w:tr>
      <w:tr w:rsidR="0024488B" w:rsidRPr="0024488B" w14:paraId="7F2767B9" w14:textId="77777777" w:rsidTr="0024488B">
        <w:tc>
          <w:tcPr>
            <w:tcW w:w="1218" w:type="dxa"/>
            <w:shd w:val="clear" w:color="auto" w:fill="auto"/>
          </w:tcPr>
          <w:p w14:paraId="5AAE09B8"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25 a 29 años</w:t>
            </w:r>
          </w:p>
        </w:tc>
        <w:tc>
          <w:tcPr>
            <w:tcW w:w="948" w:type="dxa"/>
            <w:shd w:val="clear" w:color="auto" w:fill="auto"/>
          </w:tcPr>
          <w:p w14:paraId="61B7B86D"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046</w:t>
            </w:r>
            <w:r w:rsidR="00F836D2">
              <w:rPr>
                <w:sz w:val="18"/>
              </w:rPr>
              <w:t xml:space="preserve"> </w:t>
            </w:r>
            <w:r w:rsidRPr="0024488B">
              <w:rPr>
                <w:sz w:val="18"/>
              </w:rPr>
              <w:t>362</w:t>
            </w:r>
          </w:p>
        </w:tc>
        <w:tc>
          <w:tcPr>
            <w:tcW w:w="949" w:type="dxa"/>
            <w:shd w:val="clear" w:color="auto" w:fill="auto"/>
          </w:tcPr>
          <w:p w14:paraId="602B0C9B"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004</w:t>
            </w:r>
            <w:r w:rsidR="00F836D2">
              <w:rPr>
                <w:sz w:val="18"/>
              </w:rPr>
              <w:t xml:space="preserve"> </w:t>
            </w:r>
            <w:r w:rsidRPr="0024488B">
              <w:rPr>
                <w:sz w:val="18"/>
              </w:rPr>
              <w:t>785</w:t>
            </w:r>
          </w:p>
        </w:tc>
        <w:tc>
          <w:tcPr>
            <w:tcW w:w="949" w:type="dxa"/>
            <w:shd w:val="clear" w:color="auto" w:fill="auto"/>
          </w:tcPr>
          <w:p w14:paraId="6E8F7C6F" w14:textId="77777777" w:rsidR="0024488B" w:rsidRPr="0024488B" w:rsidRDefault="0024488B" w:rsidP="00F836D2">
            <w:pPr>
              <w:pStyle w:val="SingleTxtG"/>
              <w:spacing w:before="40" w:after="40" w:line="220" w:lineRule="exact"/>
              <w:ind w:left="0" w:right="57"/>
              <w:jc w:val="right"/>
              <w:rPr>
                <w:sz w:val="18"/>
              </w:rPr>
            </w:pPr>
            <w:r w:rsidRPr="0024488B">
              <w:rPr>
                <w:sz w:val="18"/>
              </w:rPr>
              <w:t>2</w:t>
            </w:r>
            <w:r w:rsidR="00F836D2">
              <w:rPr>
                <w:sz w:val="18"/>
              </w:rPr>
              <w:t xml:space="preserve"> </w:t>
            </w:r>
            <w:r w:rsidRPr="0024488B">
              <w:rPr>
                <w:sz w:val="18"/>
              </w:rPr>
              <w:t>051</w:t>
            </w:r>
            <w:r w:rsidR="00F836D2">
              <w:rPr>
                <w:sz w:val="18"/>
              </w:rPr>
              <w:t xml:space="preserve"> </w:t>
            </w:r>
            <w:r w:rsidRPr="0024488B">
              <w:rPr>
                <w:sz w:val="18"/>
              </w:rPr>
              <w:t>147</w:t>
            </w:r>
          </w:p>
        </w:tc>
        <w:tc>
          <w:tcPr>
            <w:tcW w:w="949" w:type="dxa"/>
            <w:shd w:val="clear" w:color="auto" w:fill="auto"/>
          </w:tcPr>
          <w:p w14:paraId="11A59E45" w14:textId="77777777" w:rsidR="0024488B" w:rsidRPr="0024488B" w:rsidRDefault="0024488B" w:rsidP="0024488B">
            <w:pPr>
              <w:pStyle w:val="SingleTxtG"/>
              <w:spacing w:before="40" w:after="40" w:line="220" w:lineRule="exact"/>
              <w:ind w:left="0" w:right="0"/>
              <w:jc w:val="right"/>
              <w:rPr>
                <w:sz w:val="18"/>
              </w:rPr>
            </w:pPr>
            <w:r w:rsidRPr="0024488B">
              <w:rPr>
                <w:sz w:val="18"/>
              </w:rPr>
              <w:t>393</w:t>
            </w:r>
            <w:r w:rsidR="00F836D2">
              <w:rPr>
                <w:sz w:val="18"/>
              </w:rPr>
              <w:t xml:space="preserve"> </w:t>
            </w:r>
            <w:r w:rsidRPr="0024488B">
              <w:rPr>
                <w:sz w:val="18"/>
              </w:rPr>
              <w:t>384</w:t>
            </w:r>
          </w:p>
        </w:tc>
        <w:tc>
          <w:tcPr>
            <w:tcW w:w="948" w:type="dxa"/>
            <w:shd w:val="clear" w:color="auto" w:fill="auto"/>
          </w:tcPr>
          <w:p w14:paraId="19B57EEE" w14:textId="77777777" w:rsidR="0024488B" w:rsidRPr="0024488B" w:rsidRDefault="0024488B" w:rsidP="0024488B">
            <w:pPr>
              <w:pStyle w:val="SingleTxtG"/>
              <w:spacing w:before="40" w:after="40" w:line="220" w:lineRule="exact"/>
              <w:ind w:left="0" w:right="0"/>
              <w:jc w:val="right"/>
              <w:rPr>
                <w:sz w:val="18"/>
              </w:rPr>
            </w:pPr>
            <w:r w:rsidRPr="0024488B">
              <w:rPr>
                <w:sz w:val="18"/>
              </w:rPr>
              <w:t>395</w:t>
            </w:r>
            <w:r w:rsidR="00F836D2">
              <w:rPr>
                <w:sz w:val="18"/>
              </w:rPr>
              <w:t xml:space="preserve"> </w:t>
            </w:r>
            <w:r w:rsidRPr="0024488B">
              <w:rPr>
                <w:sz w:val="18"/>
              </w:rPr>
              <w:t>068</w:t>
            </w:r>
          </w:p>
        </w:tc>
        <w:tc>
          <w:tcPr>
            <w:tcW w:w="949" w:type="dxa"/>
            <w:shd w:val="clear" w:color="auto" w:fill="auto"/>
          </w:tcPr>
          <w:p w14:paraId="62D33D56" w14:textId="77777777" w:rsidR="0024488B" w:rsidRPr="0024488B" w:rsidRDefault="0024488B" w:rsidP="00F836D2">
            <w:pPr>
              <w:pStyle w:val="SingleTxtG"/>
              <w:spacing w:before="40" w:after="40" w:line="220" w:lineRule="exact"/>
              <w:ind w:left="0" w:right="57"/>
              <w:jc w:val="right"/>
              <w:rPr>
                <w:sz w:val="18"/>
              </w:rPr>
            </w:pPr>
            <w:r w:rsidRPr="0024488B">
              <w:rPr>
                <w:sz w:val="18"/>
              </w:rPr>
              <w:t>788</w:t>
            </w:r>
            <w:r w:rsidR="00F836D2">
              <w:rPr>
                <w:sz w:val="18"/>
              </w:rPr>
              <w:t xml:space="preserve"> </w:t>
            </w:r>
            <w:r w:rsidRPr="0024488B">
              <w:rPr>
                <w:sz w:val="18"/>
              </w:rPr>
              <w:t>452</w:t>
            </w:r>
          </w:p>
        </w:tc>
        <w:tc>
          <w:tcPr>
            <w:tcW w:w="949" w:type="dxa"/>
            <w:shd w:val="clear" w:color="auto" w:fill="auto"/>
          </w:tcPr>
          <w:p w14:paraId="5CE4F404"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439</w:t>
            </w:r>
            <w:r w:rsidR="00F836D2">
              <w:rPr>
                <w:sz w:val="18"/>
              </w:rPr>
              <w:t xml:space="preserve"> </w:t>
            </w:r>
            <w:r w:rsidRPr="0024488B">
              <w:rPr>
                <w:sz w:val="18"/>
              </w:rPr>
              <w:t>746</w:t>
            </w:r>
          </w:p>
        </w:tc>
        <w:tc>
          <w:tcPr>
            <w:tcW w:w="949" w:type="dxa"/>
            <w:shd w:val="clear" w:color="auto" w:fill="auto"/>
          </w:tcPr>
          <w:p w14:paraId="56722D3F"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399</w:t>
            </w:r>
            <w:r w:rsidR="00F836D2">
              <w:rPr>
                <w:sz w:val="18"/>
              </w:rPr>
              <w:t xml:space="preserve"> </w:t>
            </w:r>
            <w:r w:rsidRPr="0024488B">
              <w:rPr>
                <w:sz w:val="18"/>
              </w:rPr>
              <w:t>853</w:t>
            </w:r>
          </w:p>
        </w:tc>
        <w:tc>
          <w:tcPr>
            <w:tcW w:w="949" w:type="dxa"/>
            <w:shd w:val="clear" w:color="auto" w:fill="auto"/>
          </w:tcPr>
          <w:p w14:paraId="753EA406"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839</w:t>
            </w:r>
            <w:r w:rsidR="00F836D2">
              <w:rPr>
                <w:sz w:val="18"/>
              </w:rPr>
              <w:t xml:space="preserve"> </w:t>
            </w:r>
            <w:r w:rsidRPr="0024488B">
              <w:rPr>
                <w:sz w:val="18"/>
              </w:rPr>
              <w:t>599</w:t>
            </w:r>
          </w:p>
        </w:tc>
      </w:tr>
      <w:tr w:rsidR="0024488B" w:rsidRPr="0024488B" w14:paraId="0FA66755" w14:textId="77777777" w:rsidTr="0024488B">
        <w:tc>
          <w:tcPr>
            <w:tcW w:w="1218" w:type="dxa"/>
            <w:shd w:val="clear" w:color="auto" w:fill="auto"/>
          </w:tcPr>
          <w:p w14:paraId="25C313A1"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30 a 34 años</w:t>
            </w:r>
          </w:p>
        </w:tc>
        <w:tc>
          <w:tcPr>
            <w:tcW w:w="948" w:type="dxa"/>
            <w:shd w:val="clear" w:color="auto" w:fill="auto"/>
          </w:tcPr>
          <w:p w14:paraId="47D4BEDC" w14:textId="77777777" w:rsidR="0024488B" w:rsidRPr="0024488B" w:rsidRDefault="0024488B" w:rsidP="0024488B">
            <w:pPr>
              <w:pStyle w:val="SingleTxtG"/>
              <w:spacing w:before="40" w:after="40" w:line="220" w:lineRule="exact"/>
              <w:ind w:left="0" w:right="0"/>
              <w:jc w:val="right"/>
              <w:rPr>
                <w:sz w:val="18"/>
              </w:rPr>
            </w:pPr>
            <w:r w:rsidRPr="0024488B">
              <w:rPr>
                <w:sz w:val="18"/>
              </w:rPr>
              <w:t>912</w:t>
            </w:r>
            <w:r w:rsidR="00F836D2">
              <w:rPr>
                <w:sz w:val="18"/>
              </w:rPr>
              <w:t xml:space="preserve"> </w:t>
            </w:r>
            <w:r w:rsidRPr="0024488B">
              <w:rPr>
                <w:sz w:val="18"/>
              </w:rPr>
              <w:t>672</w:t>
            </w:r>
          </w:p>
        </w:tc>
        <w:tc>
          <w:tcPr>
            <w:tcW w:w="949" w:type="dxa"/>
            <w:shd w:val="clear" w:color="auto" w:fill="auto"/>
          </w:tcPr>
          <w:p w14:paraId="47AAE0AD" w14:textId="77777777" w:rsidR="0024488B" w:rsidRPr="0024488B" w:rsidRDefault="0024488B" w:rsidP="0024488B">
            <w:pPr>
              <w:pStyle w:val="SingleTxtG"/>
              <w:spacing w:before="40" w:after="40" w:line="220" w:lineRule="exact"/>
              <w:ind w:left="0" w:right="0"/>
              <w:jc w:val="right"/>
              <w:rPr>
                <w:sz w:val="18"/>
              </w:rPr>
            </w:pPr>
            <w:r w:rsidRPr="0024488B">
              <w:rPr>
                <w:sz w:val="18"/>
              </w:rPr>
              <w:t>922</w:t>
            </w:r>
            <w:r w:rsidR="00F836D2">
              <w:rPr>
                <w:sz w:val="18"/>
              </w:rPr>
              <w:t xml:space="preserve"> </w:t>
            </w:r>
            <w:r w:rsidRPr="0024488B">
              <w:rPr>
                <w:sz w:val="18"/>
              </w:rPr>
              <w:t>260</w:t>
            </w:r>
          </w:p>
        </w:tc>
        <w:tc>
          <w:tcPr>
            <w:tcW w:w="949" w:type="dxa"/>
            <w:shd w:val="clear" w:color="auto" w:fill="auto"/>
          </w:tcPr>
          <w:p w14:paraId="017A3620"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834</w:t>
            </w:r>
            <w:r w:rsidR="00F836D2">
              <w:rPr>
                <w:sz w:val="18"/>
              </w:rPr>
              <w:t xml:space="preserve"> </w:t>
            </w:r>
            <w:r w:rsidRPr="0024488B">
              <w:rPr>
                <w:sz w:val="18"/>
              </w:rPr>
              <w:t>932</w:t>
            </w:r>
          </w:p>
        </w:tc>
        <w:tc>
          <w:tcPr>
            <w:tcW w:w="949" w:type="dxa"/>
            <w:shd w:val="clear" w:color="auto" w:fill="auto"/>
          </w:tcPr>
          <w:p w14:paraId="487B24F8" w14:textId="77777777" w:rsidR="0024488B" w:rsidRPr="0024488B" w:rsidRDefault="0024488B" w:rsidP="0024488B">
            <w:pPr>
              <w:pStyle w:val="SingleTxtG"/>
              <w:spacing w:before="40" w:after="40" w:line="220" w:lineRule="exact"/>
              <w:ind w:left="0" w:right="0"/>
              <w:jc w:val="right"/>
              <w:rPr>
                <w:sz w:val="18"/>
              </w:rPr>
            </w:pPr>
            <w:r w:rsidRPr="0024488B">
              <w:rPr>
                <w:sz w:val="18"/>
              </w:rPr>
              <w:t>347</w:t>
            </w:r>
            <w:r w:rsidR="00F836D2">
              <w:rPr>
                <w:sz w:val="18"/>
              </w:rPr>
              <w:t xml:space="preserve"> </w:t>
            </w:r>
            <w:r w:rsidRPr="0024488B">
              <w:rPr>
                <w:sz w:val="18"/>
              </w:rPr>
              <w:t>996</w:t>
            </w:r>
          </w:p>
        </w:tc>
        <w:tc>
          <w:tcPr>
            <w:tcW w:w="948" w:type="dxa"/>
            <w:shd w:val="clear" w:color="auto" w:fill="auto"/>
          </w:tcPr>
          <w:p w14:paraId="3746128A" w14:textId="77777777" w:rsidR="0024488B" w:rsidRPr="0024488B" w:rsidRDefault="0024488B" w:rsidP="0024488B">
            <w:pPr>
              <w:pStyle w:val="SingleTxtG"/>
              <w:spacing w:before="40" w:after="40" w:line="220" w:lineRule="exact"/>
              <w:ind w:left="0" w:right="0"/>
              <w:jc w:val="right"/>
              <w:rPr>
                <w:sz w:val="18"/>
              </w:rPr>
            </w:pPr>
            <w:r w:rsidRPr="0024488B">
              <w:rPr>
                <w:sz w:val="18"/>
              </w:rPr>
              <w:t>375</w:t>
            </w:r>
            <w:r w:rsidR="00F836D2">
              <w:rPr>
                <w:sz w:val="18"/>
              </w:rPr>
              <w:t xml:space="preserve"> </w:t>
            </w:r>
            <w:r w:rsidRPr="0024488B">
              <w:rPr>
                <w:sz w:val="18"/>
              </w:rPr>
              <w:t>076</w:t>
            </w:r>
          </w:p>
        </w:tc>
        <w:tc>
          <w:tcPr>
            <w:tcW w:w="949" w:type="dxa"/>
            <w:shd w:val="clear" w:color="auto" w:fill="auto"/>
          </w:tcPr>
          <w:p w14:paraId="16421246" w14:textId="77777777" w:rsidR="0024488B" w:rsidRPr="0024488B" w:rsidRDefault="0024488B" w:rsidP="00F836D2">
            <w:pPr>
              <w:pStyle w:val="SingleTxtG"/>
              <w:spacing w:before="40" w:after="40" w:line="220" w:lineRule="exact"/>
              <w:ind w:left="0" w:right="57"/>
              <w:jc w:val="right"/>
              <w:rPr>
                <w:sz w:val="18"/>
              </w:rPr>
            </w:pPr>
            <w:r w:rsidRPr="0024488B">
              <w:rPr>
                <w:sz w:val="18"/>
              </w:rPr>
              <w:t>723</w:t>
            </w:r>
            <w:r w:rsidR="00F836D2">
              <w:rPr>
                <w:sz w:val="18"/>
              </w:rPr>
              <w:t xml:space="preserve"> </w:t>
            </w:r>
            <w:r w:rsidRPr="0024488B">
              <w:rPr>
                <w:sz w:val="18"/>
              </w:rPr>
              <w:t>072</w:t>
            </w:r>
          </w:p>
        </w:tc>
        <w:tc>
          <w:tcPr>
            <w:tcW w:w="949" w:type="dxa"/>
            <w:shd w:val="clear" w:color="auto" w:fill="auto"/>
          </w:tcPr>
          <w:p w14:paraId="7FC3CE9C"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260</w:t>
            </w:r>
            <w:r w:rsidR="00F836D2">
              <w:rPr>
                <w:sz w:val="18"/>
              </w:rPr>
              <w:t xml:space="preserve"> </w:t>
            </w:r>
            <w:r w:rsidRPr="0024488B">
              <w:rPr>
                <w:sz w:val="18"/>
              </w:rPr>
              <w:t>668</w:t>
            </w:r>
          </w:p>
        </w:tc>
        <w:tc>
          <w:tcPr>
            <w:tcW w:w="949" w:type="dxa"/>
            <w:shd w:val="clear" w:color="auto" w:fill="auto"/>
          </w:tcPr>
          <w:p w14:paraId="15DA25F1"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297</w:t>
            </w:r>
            <w:r w:rsidR="00F836D2">
              <w:rPr>
                <w:sz w:val="18"/>
              </w:rPr>
              <w:t xml:space="preserve"> </w:t>
            </w:r>
            <w:r w:rsidRPr="0024488B">
              <w:rPr>
                <w:sz w:val="18"/>
              </w:rPr>
              <w:t>336</w:t>
            </w:r>
          </w:p>
        </w:tc>
        <w:tc>
          <w:tcPr>
            <w:tcW w:w="949" w:type="dxa"/>
            <w:shd w:val="clear" w:color="auto" w:fill="auto"/>
          </w:tcPr>
          <w:p w14:paraId="6CEE5E59"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558</w:t>
            </w:r>
            <w:r w:rsidR="00F836D2">
              <w:rPr>
                <w:sz w:val="18"/>
              </w:rPr>
              <w:t xml:space="preserve"> </w:t>
            </w:r>
            <w:r w:rsidRPr="0024488B">
              <w:rPr>
                <w:sz w:val="18"/>
              </w:rPr>
              <w:t>004</w:t>
            </w:r>
          </w:p>
        </w:tc>
      </w:tr>
      <w:tr w:rsidR="0024488B" w:rsidRPr="0024488B" w14:paraId="6B0C94F5" w14:textId="77777777" w:rsidTr="0024488B">
        <w:tc>
          <w:tcPr>
            <w:tcW w:w="1218" w:type="dxa"/>
            <w:shd w:val="clear" w:color="auto" w:fill="auto"/>
          </w:tcPr>
          <w:p w14:paraId="7DD6EA0A"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35 a 39 años</w:t>
            </w:r>
          </w:p>
        </w:tc>
        <w:tc>
          <w:tcPr>
            <w:tcW w:w="948" w:type="dxa"/>
            <w:shd w:val="clear" w:color="auto" w:fill="auto"/>
          </w:tcPr>
          <w:p w14:paraId="38DD6A62" w14:textId="77777777" w:rsidR="0024488B" w:rsidRPr="0024488B" w:rsidRDefault="0024488B" w:rsidP="0024488B">
            <w:pPr>
              <w:pStyle w:val="SingleTxtG"/>
              <w:spacing w:before="40" w:after="40" w:line="220" w:lineRule="exact"/>
              <w:ind w:left="0" w:right="0"/>
              <w:jc w:val="right"/>
              <w:rPr>
                <w:sz w:val="18"/>
              </w:rPr>
            </w:pPr>
            <w:r w:rsidRPr="0024488B">
              <w:rPr>
                <w:sz w:val="18"/>
              </w:rPr>
              <w:t>777</w:t>
            </w:r>
            <w:r w:rsidR="00F836D2">
              <w:rPr>
                <w:sz w:val="18"/>
              </w:rPr>
              <w:t xml:space="preserve"> </w:t>
            </w:r>
            <w:r w:rsidRPr="0024488B">
              <w:rPr>
                <w:sz w:val="18"/>
              </w:rPr>
              <w:t>809</w:t>
            </w:r>
          </w:p>
        </w:tc>
        <w:tc>
          <w:tcPr>
            <w:tcW w:w="949" w:type="dxa"/>
            <w:shd w:val="clear" w:color="auto" w:fill="auto"/>
          </w:tcPr>
          <w:p w14:paraId="2147090C" w14:textId="77777777" w:rsidR="0024488B" w:rsidRPr="0024488B" w:rsidRDefault="0024488B" w:rsidP="0024488B">
            <w:pPr>
              <w:pStyle w:val="SingleTxtG"/>
              <w:spacing w:before="40" w:after="40" w:line="220" w:lineRule="exact"/>
              <w:ind w:left="0" w:right="0"/>
              <w:jc w:val="right"/>
              <w:rPr>
                <w:sz w:val="18"/>
              </w:rPr>
            </w:pPr>
            <w:r w:rsidRPr="0024488B">
              <w:rPr>
                <w:sz w:val="18"/>
              </w:rPr>
              <w:t>812</w:t>
            </w:r>
            <w:r w:rsidR="00F836D2">
              <w:rPr>
                <w:sz w:val="18"/>
              </w:rPr>
              <w:t xml:space="preserve"> </w:t>
            </w:r>
            <w:r w:rsidRPr="0024488B">
              <w:rPr>
                <w:sz w:val="18"/>
              </w:rPr>
              <w:t>832</w:t>
            </w:r>
          </w:p>
        </w:tc>
        <w:tc>
          <w:tcPr>
            <w:tcW w:w="949" w:type="dxa"/>
            <w:shd w:val="clear" w:color="auto" w:fill="auto"/>
          </w:tcPr>
          <w:p w14:paraId="3D32C3DD"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590</w:t>
            </w:r>
            <w:r w:rsidR="00F836D2">
              <w:rPr>
                <w:sz w:val="18"/>
              </w:rPr>
              <w:t xml:space="preserve"> </w:t>
            </w:r>
            <w:r w:rsidRPr="0024488B">
              <w:rPr>
                <w:sz w:val="18"/>
              </w:rPr>
              <w:t>641</w:t>
            </w:r>
          </w:p>
        </w:tc>
        <w:tc>
          <w:tcPr>
            <w:tcW w:w="949" w:type="dxa"/>
            <w:shd w:val="clear" w:color="auto" w:fill="auto"/>
          </w:tcPr>
          <w:p w14:paraId="5F90B918" w14:textId="77777777" w:rsidR="0024488B" w:rsidRPr="0024488B" w:rsidRDefault="0024488B" w:rsidP="0024488B">
            <w:pPr>
              <w:pStyle w:val="SingleTxtG"/>
              <w:spacing w:before="40" w:after="40" w:line="220" w:lineRule="exact"/>
              <w:ind w:left="0" w:right="0"/>
              <w:jc w:val="right"/>
              <w:rPr>
                <w:sz w:val="18"/>
              </w:rPr>
            </w:pPr>
            <w:r w:rsidRPr="0024488B">
              <w:rPr>
                <w:sz w:val="18"/>
              </w:rPr>
              <w:t>296</w:t>
            </w:r>
            <w:r w:rsidR="00F836D2">
              <w:rPr>
                <w:sz w:val="18"/>
              </w:rPr>
              <w:t xml:space="preserve"> </w:t>
            </w:r>
            <w:r w:rsidRPr="0024488B">
              <w:rPr>
                <w:sz w:val="18"/>
              </w:rPr>
              <w:t>739</w:t>
            </w:r>
          </w:p>
        </w:tc>
        <w:tc>
          <w:tcPr>
            <w:tcW w:w="948" w:type="dxa"/>
            <w:shd w:val="clear" w:color="auto" w:fill="auto"/>
          </w:tcPr>
          <w:p w14:paraId="4E19B651" w14:textId="77777777" w:rsidR="0024488B" w:rsidRPr="0024488B" w:rsidRDefault="0024488B" w:rsidP="0024488B">
            <w:pPr>
              <w:pStyle w:val="SingleTxtG"/>
              <w:spacing w:before="40" w:after="40" w:line="220" w:lineRule="exact"/>
              <w:ind w:left="0" w:right="0"/>
              <w:jc w:val="right"/>
              <w:rPr>
                <w:sz w:val="18"/>
              </w:rPr>
            </w:pPr>
            <w:r w:rsidRPr="0024488B">
              <w:rPr>
                <w:sz w:val="18"/>
              </w:rPr>
              <w:t>320</w:t>
            </w:r>
            <w:r w:rsidR="00F836D2">
              <w:rPr>
                <w:sz w:val="18"/>
              </w:rPr>
              <w:t xml:space="preserve"> </w:t>
            </w:r>
            <w:r w:rsidRPr="0024488B">
              <w:rPr>
                <w:sz w:val="18"/>
              </w:rPr>
              <w:t>070</w:t>
            </w:r>
          </w:p>
        </w:tc>
        <w:tc>
          <w:tcPr>
            <w:tcW w:w="949" w:type="dxa"/>
            <w:shd w:val="clear" w:color="auto" w:fill="auto"/>
          </w:tcPr>
          <w:p w14:paraId="4B743125" w14:textId="77777777" w:rsidR="0024488B" w:rsidRPr="0024488B" w:rsidRDefault="0024488B" w:rsidP="00F836D2">
            <w:pPr>
              <w:pStyle w:val="SingleTxtG"/>
              <w:spacing w:before="40" w:after="40" w:line="220" w:lineRule="exact"/>
              <w:ind w:left="0" w:right="57"/>
              <w:jc w:val="right"/>
              <w:rPr>
                <w:sz w:val="18"/>
              </w:rPr>
            </w:pPr>
            <w:r w:rsidRPr="0024488B">
              <w:rPr>
                <w:sz w:val="18"/>
              </w:rPr>
              <w:t>616</w:t>
            </w:r>
            <w:r w:rsidR="00F836D2">
              <w:rPr>
                <w:sz w:val="18"/>
              </w:rPr>
              <w:t xml:space="preserve"> </w:t>
            </w:r>
            <w:r w:rsidRPr="0024488B">
              <w:rPr>
                <w:sz w:val="18"/>
              </w:rPr>
              <w:t>809</w:t>
            </w:r>
          </w:p>
        </w:tc>
        <w:tc>
          <w:tcPr>
            <w:tcW w:w="949" w:type="dxa"/>
            <w:shd w:val="clear" w:color="auto" w:fill="auto"/>
          </w:tcPr>
          <w:p w14:paraId="438E2B9D" w14:textId="77777777" w:rsidR="0024488B" w:rsidRPr="0024488B" w:rsidRDefault="0024488B" w:rsidP="0024488B">
            <w:pPr>
              <w:pStyle w:val="SingleTxtG"/>
              <w:spacing w:before="40" w:after="40" w:line="220" w:lineRule="exact"/>
              <w:ind w:left="0" w:right="0"/>
              <w:jc w:val="right"/>
              <w:rPr>
                <w:sz w:val="18"/>
              </w:rPr>
            </w:pPr>
            <w:r w:rsidRPr="0024488B">
              <w:rPr>
                <w:sz w:val="18"/>
              </w:rPr>
              <w:t>10</w:t>
            </w:r>
            <w:r w:rsidR="00F836D2">
              <w:rPr>
                <w:sz w:val="18"/>
              </w:rPr>
              <w:t xml:space="preserve"> </w:t>
            </w:r>
            <w:r w:rsidRPr="0024488B">
              <w:rPr>
                <w:sz w:val="18"/>
              </w:rPr>
              <w:t>774</w:t>
            </w:r>
            <w:r w:rsidR="00F836D2">
              <w:rPr>
                <w:sz w:val="18"/>
              </w:rPr>
              <w:t xml:space="preserve"> </w:t>
            </w:r>
            <w:r w:rsidRPr="0024488B">
              <w:rPr>
                <w:sz w:val="18"/>
              </w:rPr>
              <w:t>548</w:t>
            </w:r>
          </w:p>
        </w:tc>
        <w:tc>
          <w:tcPr>
            <w:tcW w:w="949" w:type="dxa"/>
            <w:shd w:val="clear" w:color="auto" w:fill="auto"/>
          </w:tcPr>
          <w:p w14:paraId="402BF157"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132</w:t>
            </w:r>
            <w:r w:rsidR="00F836D2">
              <w:rPr>
                <w:sz w:val="18"/>
              </w:rPr>
              <w:t xml:space="preserve"> </w:t>
            </w:r>
            <w:r w:rsidRPr="0024488B">
              <w:rPr>
                <w:sz w:val="18"/>
              </w:rPr>
              <w:t>902</w:t>
            </w:r>
          </w:p>
        </w:tc>
        <w:tc>
          <w:tcPr>
            <w:tcW w:w="949" w:type="dxa"/>
            <w:shd w:val="clear" w:color="auto" w:fill="auto"/>
          </w:tcPr>
          <w:p w14:paraId="70D65F22"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207</w:t>
            </w:r>
            <w:r w:rsidR="00F836D2">
              <w:rPr>
                <w:sz w:val="18"/>
              </w:rPr>
              <w:t xml:space="preserve"> </w:t>
            </w:r>
            <w:r w:rsidRPr="0024488B">
              <w:rPr>
                <w:sz w:val="18"/>
              </w:rPr>
              <w:t>450</w:t>
            </w:r>
          </w:p>
        </w:tc>
      </w:tr>
      <w:tr w:rsidR="0024488B" w:rsidRPr="0024488B" w14:paraId="1162BE86" w14:textId="77777777" w:rsidTr="0024488B">
        <w:tc>
          <w:tcPr>
            <w:tcW w:w="1218" w:type="dxa"/>
            <w:shd w:val="clear" w:color="auto" w:fill="auto"/>
          </w:tcPr>
          <w:p w14:paraId="5CBB73B6"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40 a 44 años</w:t>
            </w:r>
          </w:p>
        </w:tc>
        <w:tc>
          <w:tcPr>
            <w:tcW w:w="948" w:type="dxa"/>
            <w:shd w:val="clear" w:color="auto" w:fill="auto"/>
          </w:tcPr>
          <w:p w14:paraId="1E52FEF0" w14:textId="77777777" w:rsidR="0024488B" w:rsidRPr="0024488B" w:rsidRDefault="0024488B" w:rsidP="0024488B">
            <w:pPr>
              <w:pStyle w:val="SingleTxtG"/>
              <w:spacing w:before="40" w:after="40" w:line="220" w:lineRule="exact"/>
              <w:ind w:left="0" w:right="0"/>
              <w:jc w:val="right"/>
              <w:rPr>
                <w:sz w:val="18"/>
              </w:rPr>
            </w:pPr>
            <w:r w:rsidRPr="0024488B">
              <w:rPr>
                <w:sz w:val="18"/>
              </w:rPr>
              <w:t>728</w:t>
            </w:r>
            <w:r w:rsidR="00F836D2">
              <w:rPr>
                <w:sz w:val="18"/>
              </w:rPr>
              <w:t xml:space="preserve"> </w:t>
            </w:r>
            <w:r w:rsidRPr="0024488B">
              <w:rPr>
                <w:sz w:val="18"/>
              </w:rPr>
              <w:t>760</w:t>
            </w:r>
          </w:p>
        </w:tc>
        <w:tc>
          <w:tcPr>
            <w:tcW w:w="949" w:type="dxa"/>
            <w:shd w:val="clear" w:color="auto" w:fill="auto"/>
          </w:tcPr>
          <w:p w14:paraId="710AED4A" w14:textId="77777777" w:rsidR="0024488B" w:rsidRPr="0024488B" w:rsidRDefault="0024488B" w:rsidP="0024488B">
            <w:pPr>
              <w:pStyle w:val="SingleTxtG"/>
              <w:spacing w:before="40" w:after="40" w:line="220" w:lineRule="exact"/>
              <w:ind w:left="0" w:right="0"/>
              <w:jc w:val="right"/>
              <w:rPr>
                <w:sz w:val="18"/>
              </w:rPr>
            </w:pPr>
            <w:r w:rsidRPr="0024488B">
              <w:rPr>
                <w:sz w:val="18"/>
              </w:rPr>
              <w:t>744</w:t>
            </w:r>
            <w:r w:rsidR="00F836D2">
              <w:rPr>
                <w:sz w:val="18"/>
              </w:rPr>
              <w:t xml:space="preserve"> </w:t>
            </w:r>
            <w:r w:rsidRPr="0024488B">
              <w:rPr>
                <w:sz w:val="18"/>
              </w:rPr>
              <w:t>208</w:t>
            </w:r>
          </w:p>
        </w:tc>
        <w:tc>
          <w:tcPr>
            <w:tcW w:w="949" w:type="dxa"/>
            <w:shd w:val="clear" w:color="auto" w:fill="auto"/>
          </w:tcPr>
          <w:p w14:paraId="4B3E2140"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F836D2">
              <w:rPr>
                <w:sz w:val="18"/>
              </w:rPr>
              <w:t xml:space="preserve"> </w:t>
            </w:r>
            <w:r w:rsidRPr="0024488B">
              <w:rPr>
                <w:sz w:val="18"/>
              </w:rPr>
              <w:t>472</w:t>
            </w:r>
            <w:r w:rsidR="00F836D2">
              <w:rPr>
                <w:sz w:val="18"/>
              </w:rPr>
              <w:t xml:space="preserve"> </w:t>
            </w:r>
            <w:r w:rsidRPr="0024488B">
              <w:rPr>
                <w:sz w:val="18"/>
              </w:rPr>
              <w:t>968</w:t>
            </w:r>
          </w:p>
        </w:tc>
        <w:tc>
          <w:tcPr>
            <w:tcW w:w="949" w:type="dxa"/>
            <w:shd w:val="clear" w:color="auto" w:fill="auto"/>
          </w:tcPr>
          <w:p w14:paraId="298E6759" w14:textId="77777777" w:rsidR="0024488B" w:rsidRPr="0024488B" w:rsidRDefault="0024488B" w:rsidP="0024488B">
            <w:pPr>
              <w:pStyle w:val="SingleTxtG"/>
              <w:spacing w:before="40" w:after="40" w:line="220" w:lineRule="exact"/>
              <w:ind w:left="0" w:right="0"/>
              <w:jc w:val="right"/>
              <w:rPr>
                <w:sz w:val="18"/>
              </w:rPr>
            </w:pPr>
            <w:r w:rsidRPr="0024488B">
              <w:rPr>
                <w:sz w:val="18"/>
              </w:rPr>
              <w:t>284</w:t>
            </w:r>
            <w:r w:rsidR="00F836D2">
              <w:rPr>
                <w:sz w:val="18"/>
              </w:rPr>
              <w:t xml:space="preserve"> </w:t>
            </w:r>
            <w:r w:rsidRPr="0024488B">
              <w:rPr>
                <w:sz w:val="18"/>
              </w:rPr>
              <w:t>525</w:t>
            </w:r>
          </w:p>
        </w:tc>
        <w:tc>
          <w:tcPr>
            <w:tcW w:w="948" w:type="dxa"/>
            <w:shd w:val="clear" w:color="auto" w:fill="auto"/>
          </w:tcPr>
          <w:p w14:paraId="571F85AA" w14:textId="77777777" w:rsidR="0024488B" w:rsidRPr="0024488B" w:rsidRDefault="0024488B" w:rsidP="0024488B">
            <w:pPr>
              <w:pStyle w:val="SingleTxtG"/>
              <w:spacing w:before="40" w:after="40" w:line="220" w:lineRule="exact"/>
              <w:ind w:left="0" w:right="0"/>
              <w:jc w:val="right"/>
              <w:rPr>
                <w:sz w:val="18"/>
              </w:rPr>
            </w:pPr>
            <w:r w:rsidRPr="0024488B">
              <w:rPr>
                <w:sz w:val="18"/>
              </w:rPr>
              <w:t>282</w:t>
            </w:r>
            <w:r w:rsidR="00F836D2">
              <w:rPr>
                <w:sz w:val="18"/>
              </w:rPr>
              <w:t xml:space="preserve"> </w:t>
            </w:r>
            <w:r w:rsidRPr="0024488B">
              <w:rPr>
                <w:sz w:val="18"/>
              </w:rPr>
              <w:t>597</w:t>
            </w:r>
          </w:p>
        </w:tc>
        <w:tc>
          <w:tcPr>
            <w:tcW w:w="949" w:type="dxa"/>
            <w:shd w:val="clear" w:color="auto" w:fill="auto"/>
          </w:tcPr>
          <w:p w14:paraId="6F57BDC5" w14:textId="77777777" w:rsidR="0024488B" w:rsidRPr="0024488B" w:rsidRDefault="0024488B" w:rsidP="00F836D2">
            <w:pPr>
              <w:pStyle w:val="SingleTxtG"/>
              <w:spacing w:before="40" w:after="40" w:line="220" w:lineRule="exact"/>
              <w:ind w:left="0" w:right="57"/>
              <w:jc w:val="right"/>
              <w:rPr>
                <w:sz w:val="18"/>
              </w:rPr>
            </w:pPr>
            <w:r w:rsidRPr="0024488B">
              <w:rPr>
                <w:sz w:val="18"/>
              </w:rPr>
              <w:t>567</w:t>
            </w:r>
            <w:r w:rsidR="00F836D2">
              <w:rPr>
                <w:sz w:val="18"/>
              </w:rPr>
              <w:t xml:space="preserve"> </w:t>
            </w:r>
            <w:r w:rsidRPr="0024488B">
              <w:rPr>
                <w:sz w:val="18"/>
              </w:rPr>
              <w:t>122</w:t>
            </w:r>
          </w:p>
        </w:tc>
        <w:tc>
          <w:tcPr>
            <w:tcW w:w="949" w:type="dxa"/>
            <w:shd w:val="clear" w:color="auto" w:fill="auto"/>
          </w:tcPr>
          <w:p w14:paraId="141827CE"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013</w:t>
            </w:r>
            <w:r w:rsidR="00F836D2">
              <w:rPr>
                <w:sz w:val="18"/>
              </w:rPr>
              <w:t xml:space="preserve"> </w:t>
            </w:r>
            <w:r w:rsidRPr="0024488B">
              <w:rPr>
                <w:sz w:val="18"/>
              </w:rPr>
              <w:t>285</w:t>
            </w:r>
          </w:p>
        </w:tc>
        <w:tc>
          <w:tcPr>
            <w:tcW w:w="949" w:type="dxa"/>
            <w:shd w:val="clear" w:color="auto" w:fill="auto"/>
          </w:tcPr>
          <w:p w14:paraId="7DBBB969"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F836D2">
              <w:rPr>
                <w:sz w:val="18"/>
              </w:rPr>
              <w:t xml:space="preserve"> </w:t>
            </w:r>
            <w:r w:rsidRPr="0024488B">
              <w:rPr>
                <w:sz w:val="18"/>
              </w:rPr>
              <w:t>026</w:t>
            </w:r>
            <w:r w:rsidR="00F836D2">
              <w:rPr>
                <w:sz w:val="18"/>
              </w:rPr>
              <w:t xml:space="preserve"> </w:t>
            </w:r>
            <w:r w:rsidRPr="0024488B">
              <w:rPr>
                <w:sz w:val="18"/>
              </w:rPr>
              <w:t>805</w:t>
            </w:r>
          </w:p>
        </w:tc>
        <w:tc>
          <w:tcPr>
            <w:tcW w:w="949" w:type="dxa"/>
            <w:shd w:val="clear" w:color="auto" w:fill="auto"/>
          </w:tcPr>
          <w:p w14:paraId="25C4FE76" w14:textId="77777777" w:rsidR="0024488B" w:rsidRPr="0024488B" w:rsidRDefault="0024488B" w:rsidP="0024488B">
            <w:pPr>
              <w:pStyle w:val="SingleTxtG"/>
              <w:spacing w:before="40" w:after="40" w:line="220" w:lineRule="exact"/>
              <w:ind w:left="0" w:right="0"/>
              <w:jc w:val="right"/>
              <w:rPr>
                <w:sz w:val="18"/>
              </w:rPr>
            </w:pPr>
            <w:r w:rsidRPr="0024488B">
              <w:rPr>
                <w:sz w:val="18"/>
              </w:rPr>
              <w:t>2</w:t>
            </w:r>
            <w:r w:rsidR="00F836D2">
              <w:rPr>
                <w:sz w:val="18"/>
              </w:rPr>
              <w:t xml:space="preserve"> </w:t>
            </w:r>
            <w:r w:rsidRPr="0024488B">
              <w:rPr>
                <w:sz w:val="18"/>
              </w:rPr>
              <w:t>040</w:t>
            </w:r>
            <w:r w:rsidR="00F836D2">
              <w:rPr>
                <w:sz w:val="18"/>
              </w:rPr>
              <w:t xml:space="preserve"> </w:t>
            </w:r>
            <w:r w:rsidRPr="0024488B">
              <w:rPr>
                <w:sz w:val="18"/>
              </w:rPr>
              <w:t>090</w:t>
            </w:r>
          </w:p>
        </w:tc>
      </w:tr>
      <w:tr w:rsidR="0024488B" w:rsidRPr="0024488B" w14:paraId="26774657" w14:textId="77777777" w:rsidTr="0024488B">
        <w:tc>
          <w:tcPr>
            <w:tcW w:w="1218" w:type="dxa"/>
            <w:shd w:val="clear" w:color="auto" w:fill="auto"/>
          </w:tcPr>
          <w:p w14:paraId="1433E35D"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45 a 49 años</w:t>
            </w:r>
          </w:p>
        </w:tc>
        <w:tc>
          <w:tcPr>
            <w:tcW w:w="948" w:type="dxa"/>
            <w:shd w:val="clear" w:color="auto" w:fill="auto"/>
          </w:tcPr>
          <w:p w14:paraId="25A6219B" w14:textId="77777777" w:rsidR="0024488B" w:rsidRPr="0024488B" w:rsidRDefault="0024488B" w:rsidP="0024488B">
            <w:pPr>
              <w:pStyle w:val="SingleTxtG"/>
              <w:spacing w:before="40" w:after="40" w:line="220" w:lineRule="exact"/>
              <w:ind w:left="0" w:right="0"/>
              <w:jc w:val="right"/>
              <w:rPr>
                <w:sz w:val="18"/>
              </w:rPr>
            </w:pPr>
            <w:r w:rsidRPr="0024488B">
              <w:rPr>
                <w:sz w:val="18"/>
              </w:rPr>
              <w:t>560</w:t>
            </w:r>
            <w:r w:rsidR="00F836D2">
              <w:rPr>
                <w:sz w:val="18"/>
              </w:rPr>
              <w:t xml:space="preserve"> </w:t>
            </w:r>
            <w:r w:rsidRPr="0024488B">
              <w:rPr>
                <w:sz w:val="18"/>
              </w:rPr>
              <w:t>929</w:t>
            </w:r>
          </w:p>
        </w:tc>
        <w:tc>
          <w:tcPr>
            <w:tcW w:w="949" w:type="dxa"/>
            <w:shd w:val="clear" w:color="auto" w:fill="auto"/>
          </w:tcPr>
          <w:p w14:paraId="71640156" w14:textId="77777777" w:rsidR="0024488B" w:rsidRPr="0024488B" w:rsidRDefault="0024488B" w:rsidP="0024488B">
            <w:pPr>
              <w:pStyle w:val="SingleTxtG"/>
              <w:spacing w:before="40" w:after="40" w:line="220" w:lineRule="exact"/>
              <w:ind w:left="0" w:right="0"/>
              <w:jc w:val="right"/>
              <w:rPr>
                <w:sz w:val="18"/>
              </w:rPr>
            </w:pPr>
            <w:r w:rsidRPr="0024488B">
              <w:rPr>
                <w:sz w:val="18"/>
              </w:rPr>
              <w:t>573</w:t>
            </w:r>
            <w:r w:rsidR="00F836D2">
              <w:rPr>
                <w:sz w:val="18"/>
              </w:rPr>
              <w:t xml:space="preserve"> </w:t>
            </w:r>
            <w:r w:rsidRPr="0024488B">
              <w:rPr>
                <w:sz w:val="18"/>
              </w:rPr>
              <w:t>287</w:t>
            </w:r>
          </w:p>
        </w:tc>
        <w:tc>
          <w:tcPr>
            <w:tcW w:w="949" w:type="dxa"/>
            <w:shd w:val="clear" w:color="auto" w:fill="auto"/>
          </w:tcPr>
          <w:p w14:paraId="24942BC4" w14:textId="77777777" w:rsidR="0024488B" w:rsidRPr="0024488B" w:rsidRDefault="0024488B" w:rsidP="00F836D2">
            <w:pPr>
              <w:pStyle w:val="SingleTxtG"/>
              <w:spacing w:before="40" w:after="40" w:line="220" w:lineRule="exact"/>
              <w:ind w:left="0" w:right="57"/>
              <w:jc w:val="right"/>
              <w:rPr>
                <w:sz w:val="18"/>
              </w:rPr>
            </w:pPr>
            <w:r w:rsidRPr="0024488B">
              <w:rPr>
                <w:sz w:val="18"/>
              </w:rPr>
              <w:t>1</w:t>
            </w:r>
            <w:r w:rsidR="00895A8F">
              <w:rPr>
                <w:sz w:val="18"/>
              </w:rPr>
              <w:t xml:space="preserve"> </w:t>
            </w:r>
            <w:r w:rsidRPr="0024488B">
              <w:rPr>
                <w:sz w:val="18"/>
              </w:rPr>
              <w:t>134</w:t>
            </w:r>
            <w:r w:rsidR="00895A8F">
              <w:rPr>
                <w:sz w:val="18"/>
              </w:rPr>
              <w:t xml:space="preserve"> </w:t>
            </w:r>
            <w:r w:rsidRPr="0024488B">
              <w:rPr>
                <w:sz w:val="18"/>
              </w:rPr>
              <w:t>216</w:t>
            </w:r>
          </w:p>
        </w:tc>
        <w:tc>
          <w:tcPr>
            <w:tcW w:w="949" w:type="dxa"/>
            <w:shd w:val="clear" w:color="auto" w:fill="auto"/>
          </w:tcPr>
          <w:p w14:paraId="635FCADA" w14:textId="77777777" w:rsidR="0024488B" w:rsidRPr="0024488B" w:rsidRDefault="0024488B" w:rsidP="0024488B">
            <w:pPr>
              <w:pStyle w:val="SingleTxtG"/>
              <w:spacing w:before="40" w:after="40" w:line="220" w:lineRule="exact"/>
              <w:ind w:left="0" w:right="0"/>
              <w:jc w:val="right"/>
              <w:rPr>
                <w:sz w:val="18"/>
              </w:rPr>
            </w:pPr>
            <w:r w:rsidRPr="0024488B">
              <w:rPr>
                <w:sz w:val="18"/>
              </w:rPr>
              <w:t>187</w:t>
            </w:r>
            <w:r w:rsidR="00895A8F">
              <w:rPr>
                <w:sz w:val="18"/>
              </w:rPr>
              <w:t xml:space="preserve"> </w:t>
            </w:r>
            <w:r w:rsidRPr="0024488B">
              <w:rPr>
                <w:sz w:val="18"/>
              </w:rPr>
              <w:t>893</w:t>
            </w:r>
          </w:p>
        </w:tc>
        <w:tc>
          <w:tcPr>
            <w:tcW w:w="948" w:type="dxa"/>
            <w:shd w:val="clear" w:color="auto" w:fill="auto"/>
          </w:tcPr>
          <w:p w14:paraId="6CF6066D" w14:textId="77777777" w:rsidR="0024488B" w:rsidRPr="0024488B" w:rsidRDefault="0024488B" w:rsidP="0024488B">
            <w:pPr>
              <w:pStyle w:val="SingleTxtG"/>
              <w:spacing w:before="40" w:after="40" w:line="220" w:lineRule="exact"/>
              <w:ind w:left="0" w:right="0"/>
              <w:jc w:val="right"/>
              <w:rPr>
                <w:sz w:val="18"/>
              </w:rPr>
            </w:pPr>
            <w:r w:rsidRPr="0024488B">
              <w:rPr>
                <w:sz w:val="18"/>
              </w:rPr>
              <w:t>197</w:t>
            </w:r>
            <w:r w:rsidR="00895A8F">
              <w:rPr>
                <w:sz w:val="18"/>
              </w:rPr>
              <w:t xml:space="preserve"> </w:t>
            </w:r>
            <w:r w:rsidRPr="0024488B">
              <w:rPr>
                <w:sz w:val="18"/>
              </w:rPr>
              <w:t>753</w:t>
            </w:r>
          </w:p>
        </w:tc>
        <w:tc>
          <w:tcPr>
            <w:tcW w:w="949" w:type="dxa"/>
            <w:shd w:val="clear" w:color="auto" w:fill="auto"/>
          </w:tcPr>
          <w:p w14:paraId="35617FC1" w14:textId="77777777" w:rsidR="0024488B" w:rsidRPr="0024488B" w:rsidRDefault="0024488B" w:rsidP="00F836D2">
            <w:pPr>
              <w:pStyle w:val="SingleTxtG"/>
              <w:spacing w:before="40" w:after="40" w:line="220" w:lineRule="exact"/>
              <w:ind w:left="0" w:right="57"/>
              <w:jc w:val="right"/>
              <w:rPr>
                <w:sz w:val="18"/>
              </w:rPr>
            </w:pPr>
            <w:r w:rsidRPr="0024488B">
              <w:rPr>
                <w:sz w:val="18"/>
              </w:rPr>
              <w:t>385</w:t>
            </w:r>
            <w:r w:rsidR="00895A8F">
              <w:rPr>
                <w:sz w:val="18"/>
              </w:rPr>
              <w:t xml:space="preserve"> </w:t>
            </w:r>
            <w:r w:rsidRPr="0024488B">
              <w:rPr>
                <w:sz w:val="18"/>
              </w:rPr>
              <w:t>646</w:t>
            </w:r>
          </w:p>
        </w:tc>
        <w:tc>
          <w:tcPr>
            <w:tcW w:w="949" w:type="dxa"/>
            <w:shd w:val="clear" w:color="auto" w:fill="auto"/>
          </w:tcPr>
          <w:p w14:paraId="786EE833" w14:textId="77777777" w:rsidR="0024488B" w:rsidRPr="0024488B" w:rsidRDefault="0024488B" w:rsidP="0024488B">
            <w:pPr>
              <w:pStyle w:val="SingleTxtG"/>
              <w:spacing w:before="40" w:after="40" w:line="220" w:lineRule="exact"/>
              <w:ind w:left="0" w:right="0"/>
              <w:jc w:val="right"/>
              <w:rPr>
                <w:sz w:val="18"/>
              </w:rPr>
            </w:pPr>
            <w:r w:rsidRPr="0024488B">
              <w:rPr>
                <w:sz w:val="18"/>
              </w:rPr>
              <w:t>748</w:t>
            </w:r>
            <w:r w:rsidR="00895A8F">
              <w:rPr>
                <w:sz w:val="18"/>
              </w:rPr>
              <w:t xml:space="preserve"> </w:t>
            </w:r>
            <w:r w:rsidRPr="0024488B">
              <w:rPr>
                <w:sz w:val="18"/>
              </w:rPr>
              <w:t>822</w:t>
            </w:r>
          </w:p>
        </w:tc>
        <w:tc>
          <w:tcPr>
            <w:tcW w:w="949" w:type="dxa"/>
            <w:shd w:val="clear" w:color="auto" w:fill="auto"/>
          </w:tcPr>
          <w:p w14:paraId="51CEEB9B" w14:textId="77777777" w:rsidR="0024488B" w:rsidRPr="0024488B" w:rsidRDefault="0024488B" w:rsidP="0024488B">
            <w:pPr>
              <w:pStyle w:val="SingleTxtG"/>
              <w:spacing w:before="40" w:after="40" w:line="220" w:lineRule="exact"/>
              <w:ind w:left="0" w:right="0"/>
              <w:jc w:val="right"/>
              <w:rPr>
                <w:sz w:val="18"/>
              </w:rPr>
            </w:pPr>
            <w:r w:rsidRPr="0024488B">
              <w:rPr>
                <w:sz w:val="18"/>
              </w:rPr>
              <w:t>771</w:t>
            </w:r>
            <w:r w:rsidR="00895A8F">
              <w:rPr>
                <w:sz w:val="18"/>
              </w:rPr>
              <w:t xml:space="preserve"> </w:t>
            </w:r>
            <w:r w:rsidRPr="0024488B">
              <w:rPr>
                <w:sz w:val="18"/>
              </w:rPr>
              <w:t>040</w:t>
            </w:r>
          </w:p>
        </w:tc>
        <w:tc>
          <w:tcPr>
            <w:tcW w:w="949" w:type="dxa"/>
            <w:shd w:val="clear" w:color="auto" w:fill="auto"/>
          </w:tcPr>
          <w:p w14:paraId="0A31758D"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895A8F">
              <w:rPr>
                <w:sz w:val="18"/>
              </w:rPr>
              <w:t xml:space="preserve"> </w:t>
            </w:r>
            <w:r w:rsidRPr="0024488B">
              <w:rPr>
                <w:sz w:val="18"/>
              </w:rPr>
              <w:t>519</w:t>
            </w:r>
            <w:r w:rsidR="00895A8F">
              <w:rPr>
                <w:sz w:val="18"/>
              </w:rPr>
              <w:t xml:space="preserve"> </w:t>
            </w:r>
            <w:r w:rsidRPr="0024488B">
              <w:rPr>
                <w:sz w:val="18"/>
              </w:rPr>
              <w:t>862</w:t>
            </w:r>
          </w:p>
        </w:tc>
      </w:tr>
      <w:tr w:rsidR="0024488B" w:rsidRPr="0024488B" w14:paraId="03104163" w14:textId="77777777" w:rsidTr="0024488B">
        <w:tc>
          <w:tcPr>
            <w:tcW w:w="1218" w:type="dxa"/>
            <w:shd w:val="clear" w:color="auto" w:fill="auto"/>
          </w:tcPr>
          <w:p w14:paraId="48D24036"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50 a 54 años</w:t>
            </w:r>
          </w:p>
        </w:tc>
        <w:tc>
          <w:tcPr>
            <w:tcW w:w="948" w:type="dxa"/>
            <w:shd w:val="clear" w:color="auto" w:fill="auto"/>
          </w:tcPr>
          <w:p w14:paraId="44F631D5" w14:textId="77777777" w:rsidR="0024488B" w:rsidRPr="0024488B" w:rsidRDefault="0024488B" w:rsidP="0024488B">
            <w:pPr>
              <w:pStyle w:val="SingleTxtG"/>
              <w:spacing w:before="40" w:after="40" w:line="220" w:lineRule="exact"/>
              <w:ind w:left="0" w:right="0"/>
              <w:jc w:val="right"/>
              <w:rPr>
                <w:sz w:val="18"/>
              </w:rPr>
            </w:pPr>
            <w:r w:rsidRPr="0024488B">
              <w:rPr>
                <w:sz w:val="18"/>
              </w:rPr>
              <w:t>351</w:t>
            </w:r>
            <w:r w:rsidR="00895A8F">
              <w:rPr>
                <w:sz w:val="18"/>
              </w:rPr>
              <w:t xml:space="preserve"> </w:t>
            </w:r>
            <w:r w:rsidRPr="0024488B">
              <w:rPr>
                <w:sz w:val="18"/>
              </w:rPr>
              <w:t>256</w:t>
            </w:r>
          </w:p>
        </w:tc>
        <w:tc>
          <w:tcPr>
            <w:tcW w:w="949" w:type="dxa"/>
            <w:shd w:val="clear" w:color="auto" w:fill="auto"/>
          </w:tcPr>
          <w:p w14:paraId="33E28688" w14:textId="77777777" w:rsidR="0024488B" w:rsidRPr="0024488B" w:rsidRDefault="0024488B" w:rsidP="0024488B">
            <w:pPr>
              <w:pStyle w:val="SingleTxtG"/>
              <w:spacing w:before="40" w:after="40" w:line="220" w:lineRule="exact"/>
              <w:ind w:left="0" w:right="0"/>
              <w:jc w:val="right"/>
              <w:rPr>
                <w:sz w:val="18"/>
              </w:rPr>
            </w:pPr>
            <w:r w:rsidRPr="0024488B">
              <w:rPr>
                <w:sz w:val="18"/>
              </w:rPr>
              <w:t>422</w:t>
            </w:r>
            <w:r w:rsidR="00895A8F">
              <w:rPr>
                <w:sz w:val="18"/>
              </w:rPr>
              <w:t xml:space="preserve"> </w:t>
            </w:r>
            <w:r w:rsidRPr="0024488B">
              <w:rPr>
                <w:sz w:val="18"/>
              </w:rPr>
              <w:t>348</w:t>
            </w:r>
          </w:p>
        </w:tc>
        <w:tc>
          <w:tcPr>
            <w:tcW w:w="949" w:type="dxa"/>
            <w:shd w:val="clear" w:color="auto" w:fill="auto"/>
          </w:tcPr>
          <w:p w14:paraId="144FD432" w14:textId="77777777" w:rsidR="0024488B" w:rsidRPr="0024488B" w:rsidRDefault="0024488B" w:rsidP="00F836D2">
            <w:pPr>
              <w:pStyle w:val="SingleTxtG"/>
              <w:spacing w:before="40" w:after="40" w:line="220" w:lineRule="exact"/>
              <w:ind w:left="0" w:right="57"/>
              <w:jc w:val="right"/>
              <w:rPr>
                <w:sz w:val="18"/>
              </w:rPr>
            </w:pPr>
            <w:r w:rsidRPr="0024488B">
              <w:rPr>
                <w:sz w:val="18"/>
              </w:rPr>
              <w:t>773</w:t>
            </w:r>
            <w:r w:rsidR="00895A8F">
              <w:rPr>
                <w:sz w:val="18"/>
              </w:rPr>
              <w:t xml:space="preserve"> </w:t>
            </w:r>
            <w:r w:rsidRPr="0024488B">
              <w:rPr>
                <w:sz w:val="18"/>
              </w:rPr>
              <w:t>604</w:t>
            </w:r>
          </w:p>
        </w:tc>
        <w:tc>
          <w:tcPr>
            <w:tcW w:w="949" w:type="dxa"/>
            <w:shd w:val="clear" w:color="auto" w:fill="auto"/>
          </w:tcPr>
          <w:p w14:paraId="558C2BE6" w14:textId="77777777" w:rsidR="0024488B" w:rsidRPr="0024488B" w:rsidRDefault="0024488B" w:rsidP="0024488B">
            <w:pPr>
              <w:pStyle w:val="SingleTxtG"/>
              <w:spacing w:before="40" w:after="40" w:line="220" w:lineRule="exact"/>
              <w:ind w:left="0" w:right="0"/>
              <w:jc w:val="right"/>
              <w:rPr>
                <w:sz w:val="18"/>
              </w:rPr>
            </w:pPr>
            <w:r w:rsidRPr="0024488B">
              <w:rPr>
                <w:sz w:val="18"/>
              </w:rPr>
              <w:t>90</w:t>
            </w:r>
            <w:r w:rsidR="00895A8F">
              <w:rPr>
                <w:sz w:val="18"/>
              </w:rPr>
              <w:t xml:space="preserve"> </w:t>
            </w:r>
            <w:r w:rsidRPr="0024488B">
              <w:rPr>
                <w:sz w:val="18"/>
              </w:rPr>
              <w:t>254</w:t>
            </w:r>
          </w:p>
        </w:tc>
        <w:tc>
          <w:tcPr>
            <w:tcW w:w="948" w:type="dxa"/>
            <w:shd w:val="clear" w:color="auto" w:fill="auto"/>
          </w:tcPr>
          <w:p w14:paraId="7D7CF70F" w14:textId="77777777" w:rsidR="0024488B" w:rsidRPr="0024488B" w:rsidRDefault="0024488B" w:rsidP="0024488B">
            <w:pPr>
              <w:pStyle w:val="SingleTxtG"/>
              <w:spacing w:before="40" w:after="40" w:line="220" w:lineRule="exact"/>
              <w:ind w:left="0" w:right="0"/>
              <w:jc w:val="right"/>
              <w:rPr>
                <w:sz w:val="18"/>
              </w:rPr>
            </w:pPr>
            <w:r w:rsidRPr="0024488B">
              <w:rPr>
                <w:sz w:val="18"/>
              </w:rPr>
              <w:t>127</w:t>
            </w:r>
            <w:r w:rsidR="00895A8F">
              <w:rPr>
                <w:sz w:val="18"/>
              </w:rPr>
              <w:t xml:space="preserve"> </w:t>
            </w:r>
            <w:r w:rsidRPr="0024488B">
              <w:rPr>
                <w:sz w:val="18"/>
              </w:rPr>
              <w:t>474</w:t>
            </w:r>
          </w:p>
        </w:tc>
        <w:tc>
          <w:tcPr>
            <w:tcW w:w="949" w:type="dxa"/>
            <w:shd w:val="clear" w:color="auto" w:fill="auto"/>
          </w:tcPr>
          <w:p w14:paraId="3E1EF8DB" w14:textId="77777777" w:rsidR="0024488B" w:rsidRPr="0024488B" w:rsidRDefault="0024488B" w:rsidP="00F836D2">
            <w:pPr>
              <w:pStyle w:val="SingleTxtG"/>
              <w:spacing w:before="40" w:after="40" w:line="220" w:lineRule="exact"/>
              <w:ind w:left="0" w:right="57"/>
              <w:jc w:val="right"/>
              <w:rPr>
                <w:sz w:val="18"/>
              </w:rPr>
            </w:pPr>
            <w:r w:rsidRPr="0024488B">
              <w:rPr>
                <w:sz w:val="18"/>
              </w:rPr>
              <w:t>217</w:t>
            </w:r>
            <w:r w:rsidR="00895A8F">
              <w:rPr>
                <w:sz w:val="18"/>
              </w:rPr>
              <w:t xml:space="preserve"> </w:t>
            </w:r>
            <w:r w:rsidRPr="0024488B">
              <w:rPr>
                <w:sz w:val="18"/>
              </w:rPr>
              <w:t>728</w:t>
            </w:r>
          </w:p>
        </w:tc>
        <w:tc>
          <w:tcPr>
            <w:tcW w:w="949" w:type="dxa"/>
            <w:shd w:val="clear" w:color="auto" w:fill="auto"/>
          </w:tcPr>
          <w:p w14:paraId="453DAD85" w14:textId="77777777" w:rsidR="0024488B" w:rsidRPr="0024488B" w:rsidRDefault="0024488B" w:rsidP="0024488B">
            <w:pPr>
              <w:pStyle w:val="SingleTxtG"/>
              <w:spacing w:before="40" w:after="40" w:line="220" w:lineRule="exact"/>
              <w:ind w:left="0" w:right="0"/>
              <w:jc w:val="right"/>
              <w:rPr>
                <w:sz w:val="18"/>
              </w:rPr>
            </w:pPr>
            <w:r w:rsidRPr="0024488B">
              <w:rPr>
                <w:sz w:val="18"/>
              </w:rPr>
              <w:t>441</w:t>
            </w:r>
            <w:r w:rsidR="00895A8F">
              <w:rPr>
                <w:sz w:val="18"/>
              </w:rPr>
              <w:t xml:space="preserve"> </w:t>
            </w:r>
            <w:r w:rsidRPr="0024488B">
              <w:rPr>
                <w:sz w:val="18"/>
              </w:rPr>
              <w:t>510</w:t>
            </w:r>
          </w:p>
        </w:tc>
        <w:tc>
          <w:tcPr>
            <w:tcW w:w="949" w:type="dxa"/>
            <w:shd w:val="clear" w:color="auto" w:fill="auto"/>
          </w:tcPr>
          <w:p w14:paraId="6A36977D" w14:textId="77777777" w:rsidR="0024488B" w:rsidRPr="0024488B" w:rsidRDefault="0024488B" w:rsidP="0024488B">
            <w:pPr>
              <w:pStyle w:val="SingleTxtG"/>
              <w:spacing w:before="40" w:after="40" w:line="220" w:lineRule="exact"/>
              <w:ind w:left="0" w:right="0"/>
              <w:jc w:val="right"/>
              <w:rPr>
                <w:sz w:val="18"/>
              </w:rPr>
            </w:pPr>
            <w:r w:rsidRPr="0024488B">
              <w:rPr>
                <w:sz w:val="18"/>
              </w:rPr>
              <w:t>549</w:t>
            </w:r>
            <w:r w:rsidR="00895A8F">
              <w:rPr>
                <w:sz w:val="18"/>
              </w:rPr>
              <w:t xml:space="preserve"> </w:t>
            </w:r>
            <w:r w:rsidRPr="0024488B">
              <w:rPr>
                <w:sz w:val="18"/>
              </w:rPr>
              <w:t>822</w:t>
            </w:r>
          </w:p>
        </w:tc>
        <w:tc>
          <w:tcPr>
            <w:tcW w:w="949" w:type="dxa"/>
            <w:shd w:val="clear" w:color="auto" w:fill="auto"/>
          </w:tcPr>
          <w:p w14:paraId="4B5E7DE3" w14:textId="77777777" w:rsidR="0024488B" w:rsidRPr="0024488B" w:rsidRDefault="0024488B" w:rsidP="0024488B">
            <w:pPr>
              <w:pStyle w:val="SingleTxtG"/>
              <w:spacing w:before="40" w:after="40" w:line="220" w:lineRule="exact"/>
              <w:ind w:left="0" w:right="0"/>
              <w:jc w:val="right"/>
              <w:rPr>
                <w:sz w:val="18"/>
              </w:rPr>
            </w:pPr>
            <w:r w:rsidRPr="0024488B">
              <w:rPr>
                <w:sz w:val="18"/>
              </w:rPr>
              <w:t>991</w:t>
            </w:r>
            <w:r w:rsidR="00895A8F">
              <w:rPr>
                <w:sz w:val="18"/>
              </w:rPr>
              <w:t xml:space="preserve"> </w:t>
            </w:r>
            <w:r w:rsidRPr="0024488B">
              <w:rPr>
                <w:sz w:val="18"/>
              </w:rPr>
              <w:t>332</w:t>
            </w:r>
          </w:p>
        </w:tc>
      </w:tr>
      <w:tr w:rsidR="0024488B" w:rsidRPr="0024488B" w14:paraId="58EEC77E" w14:textId="77777777" w:rsidTr="0024488B">
        <w:tc>
          <w:tcPr>
            <w:tcW w:w="1218" w:type="dxa"/>
            <w:shd w:val="clear" w:color="auto" w:fill="auto"/>
          </w:tcPr>
          <w:p w14:paraId="21A9373A"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55 a 59 años</w:t>
            </w:r>
          </w:p>
        </w:tc>
        <w:tc>
          <w:tcPr>
            <w:tcW w:w="948" w:type="dxa"/>
            <w:shd w:val="clear" w:color="auto" w:fill="auto"/>
          </w:tcPr>
          <w:p w14:paraId="73B871C1" w14:textId="77777777" w:rsidR="0024488B" w:rsidRPr="0024488B" w:rsidRDefault="0024488B" w:rsidP="0024488B">
            <w:pPr>
              <w:pStyle w:val="SingleTxtG"/>
              <w:spacing w:before="40" w:after="40" w:line="220" w:lineRule="exact"/>
              <w:ind w:left="0" w:right="0"/>
              <w:jc w:val="right"/>
              <w:rPr>
                <w:sz w:val="18"/>
              </w:rPr>
            </w:pPr>
            <w:r w:rsidRPr="0024488B">
              <w:rPr>
                <w:sz w:val="18"/>
              </w:rPr>
              <w:t>382</w:t>
            </w:r>
            <w:r w:rsidR="00895A8F">
              <w:rPr>
                <w:sz w:val="18"/>
              </w:rPr>
              <w:t xml:space="preserve"> </w:t>
            </w:r>
            <w:r w:rsidRPr="0024488B">
              <w:rPr>
                <w:sz w:val="18"/>
              </w:rPr>
              <w:t>028</w:t>
            </w:r>
          </w:p>
        </w:tc>
        <w:tc>
          <w:tcPr>
            <w:tcW w:w="949" w:type="dxa"/>
            <w:shd w:val="clear" w:color="auto" w:fill="auto"/>
          </w:tcPr>
          <w:p w14:paraId="05F0E71D" w14:textId="77777777" w:rsidR="0024488B" w:rsidRPr="0024488B" w:rsidRDefault="0024488B" w:rsidP="0024488B">
            <w:pPr>
              <w:pStyle w:val="SingleTxtG"/>
              <w:spacing w:before="40" w:after="40" w:line="220" w:lineRule="exact"/>
              <w:ind w:left="0" w:right="0"/>
              <w:jc w:val="right"/>
              <w:rPr>
                <w:sz w:val="18"/>
              </w:rPr>
            </w:pPr>
            <w:r w:rsidRPr="0024488B">
              <w:rPr>
                <w:sz w:val="18"/>
              </w:rPr>
              <w:t>395</w:t>
            </w:r>
            <w:r w:rsidR="00895A8F">
              <w:rPr>
                <w:sz w:val="18"/>
              </w:rPr>
              <w:t xml:space="preserve"> </w:t>
            </w:r>
            <w:r w:rsidRPr="0024488B">
              <w:rPr>
                <w:sz w:val="18"/>
              </w:rPr>
              <w:t>735</w:t>
            </w:r>
          </w:p>
        </w:tc>
        <w:tc>
          <w:tcPr>
            <w:tcW w:w="949" w:type="dxa"/>
            <w:shd w:val="clear" w:color="auto" w:fill="auto"/>
          </w:tcPr>
          <w:p w14:paraId="05DEE987" w14:textId="77777777" w:rsidR="0024488B" w:rsidRPr="0024488B" w:rsidRDefault="0024488B" w:rsidP="00F836D2">
            <w:pPr>
              <w:pStyle w:val="SingleTxtG"/>
              <w:spacing w:before="40" w:after="40" w:line="220" w:lineRule="exact"/>
              <w:ind w:left="0" w:right="57"/>
              <w:jc w:val="right"/>
              <w:rPr>
                <w:sz w:val="18"/>
              </w:rPr>
            </w:pPr>
            <w:r w:rsidRPr="0024488B">
              <w:rPr>
                <w:sz w:val="18"/>
              </w:rPr>
              <w:t>777</w:t>
            </w:r>
            <w:r w:rsidR="00895A8F">
              <w:rPr>
                <w:sz w:val="18"/>
              </w:rPr>
              <w:t xml:space="preserve"> </w:t>
            </w:r>
            <w:r w:rsidRPr="0024488B">
              <w:rPr>
                <w:sz w:val="18"/>
              </w:rPr>
              <w:t>763</w:t>
            </w:r>
          </w:p>
        </w:tc>
        <w:tc>
          <w:tcPr>
            <w:tcW w:w="949" w:type="dxa"/>
            <w:shd w:val="clear" w:color="auto" w:fill="auto"/>
          </w:tcPr>
          <w:p w14:paraId="53B1970A" w14:textId="77777777" w:rsidR="0024488B" w:rsidRPr="0024488B" w:rsidRDefault="0024488B" w:rsidP="0024488B">
            <w:pPr>
              <w:pStyle w:val="SingleTxtG"/>
              <w:spacing w:before="40" w:after="40" w:line="220" w:lineRule="exact"/>
              <w:ind w:left="0" w:right="0"/>
              <w:jc w:val="right"/>
              <w:rPr>
                <w:sz w:val="18"/>
              </w:rPr>
            </w:pPr>
            <w:r w:rsidRPr="0024488B">
              <w:rPr>
                <w:sz w:val="18"/>
              </w:rPr>
              <w:t>119</w:t>
            </w:r>
            <w:r w:rsidR="00895A8F">
              <w:rPr>
                <w:sz w:val="18"/>
              </w:rPr>
              <w:t xml:space="preserve"> </w:t>
            </w:r>
            <w:r w:rsidRPr="0024488B">
              <w:rPr>
                <w:sz w:val="18"/>
              </w:rPr>
              <w:t>913</w:t>
            </w:r>
          </w:p>
        </w:tc>
        <w:tc>
          <w:tcPr>
            <w:tcW w:w="948" w:type="dxa"/>
            <w:shd w:val="clear" w:color="auto" w:fill="auto"/>
          </w:tcPr>
          <w:p w14:paraId="5EFC40E9" w14:textId="77777777" w:rsidR="0024488B" w:rsidRPr="0024488B" w:rsidRDefault="0024488B" w:rsidP="0024488B">
            <w:pPr>
              <w:pStyle w:val="SingleTxtG"/>
              <w:spacing w:before="40" w:after="40" w:line="220" w:lineRule="exact"/>
              <w:ind w:left="0" w:right="0"/>
              <w:jc w:val="right"/>
              <w:rPr>
                <w:sz w:val="18"/>
              </w:rPr>
            </w:pPr>
            <w:r w:rsidRPr="0024488B">
              <w:rPr>
                <w:sz w:val="18"/>
              </w:rPr>
              <w:t>129</w:t>
            </w:r>
            <w:r w:rsidR="00895A8F">
              <w:rPr>
                <w:sz w:val="18"/>
              </w:rPr>
              <w:t xml:space="preserve"> </w:t>
            </w:r>
            <w:r w:rsidRPr="0024488B">
              <w:rPr>
                <w:sz w:val="18"/>
              </w:rPr>
              <w:t>530</w:t>
            </w:r>
          </w:p>
        </w:tc>
        <w:tc>
          <w:tcPr>
            <w:tcW w:w="949" w:type="dxa"/>
            <w:shd w:val="clear" w:color="auto" w:fill="auto"/>
          </w:tcPr>
          <w:p w14:paraId="0E53022A" w14:textId="77777777" w:rsidR="0024488B" w:rsidRPr="0024488B" w:rsidRDefault="0024488B" w:rsidP="00F836D2">
            <w:pPr>
              <w:pStyle w:val="SingleTxtG"/>
              <w:spacing w:before="40" w:after="40" w:line="220" w:lineRule="exact"/>
              <w:ind w:left="0" w:right="57"/>
              <w:jc w:val="right"/>
              <w:rPr>
                <w:sz w:val="18"/>
              </w:rPr>
            </w:pPr>
            <w:r w:rsidRPr="0024488B">
              <w:rPr>
                <w:sz w:val="18"/>
              </w:rPr>
              <w:t>249</w:t>
            </w:r>
            <w:r w:rsidR="00895A8F">
              <w:rPr>
                <w:sz w:val="18"/>
              </w:rPr>
              <w:t xml:space="preserve"> </w:t>
            </w:r>
            <w:r w:rsidRPr="0024488B">
              <w:rPr>
                <w:sz w:val="18"/>
              </w:rPr>
              <w:t>443</w:t>
            </w:r>
          </w:p>
        </w:tc>
        <w:tc>
          <w:tcPr>
            <w:tcW w:w="949" w:type="dxa"/>
            <w:shd w:val="clear" w:color="auto" w:fill="auto"/>
          </w:tcPr>
          <w:p w14:paraId="2186BEBB" w14:textId="77777777" w:rsidR="0024488B" w:rsidRPr="0024488B" w:rsidRDefault="0024488B" w:rsidP="0024488B">
            <w:pPr>
              <w:pStyle w:val="SingleTxtG"/>
              <w:spacing w:before="40" w:after="40" w:line="220" w:lineRule="exact"/>
              <w:ind w:left="0" w:right="0"/>
              <w:jc w:val="right"/>
              <w:rPr>
                <w:sz w:val="18"/>
              </w:rPr>
            </w:pPr>
            <w:r w:rsidRPr="0024488B">
              <w:rPr>
                <w:sz w:val="18"/>
              </w:rPr>
              <w:t>501</w:t>
            </w:r>
            <w:r w:rsidR="00895A8F">
              <w:rPr>
                <w:sz w:val="18"/>
              </w:rPr>
              <w:t xml:space="preserve"> </w:t>
            </w:r>
            <w:r w:rsidRPr="0024488B">
              <w:rPr>
                <w:sz w:val="18"/>
              </w:rPr>
              <w:t>941</w:t>
            </w:r>
          </w:p>
        </w:tc>
        <w:tc>
          <w:tcPr>
            <w:tcW w:w="949" w:type="dxa"/>
            <w:shd w:val="clear" w:color="auto" w:fill="auto"/>
          </w:tcPr>
          <w:p w14:paraId="494FCB9F" w14:textId="77777777" w:rsidR="0024488B" w:rsidRPr="0024488B" w:rsidRDefault="0024488B" w:rsidP="0024488B">
            <w:pPr>
              <w:pStyle w:val="SingleTxtG"/>
              <w:spacing w:before="40" w:after="40" w:line="220" w:lineRule="exact"/>
              <w:ind w:left="0" w:right="0"/>
              <w:jc w:val="right"/>
              <w:rPr>
                <w:sz w:val="18"/>
              </w:rPr>
            </w:pPr>
            <w:r w:rsidRPr="0024488B">
              <w:rPr>
                <w:sz w:val="18"/>
              </w:rPr>
              <w:t>525</w:t>
            </w:r>
            <w:r w:rsidR="00895A8F">
              <w:rPr>
                <w:sz w:val="18"/>
              </w:rPr>
              <w:t xml:space="preserve"> </w:t>
            </w:r>
            <w:r w:rsidRPr="0024488B">
              <w:rPr>
                <w:sz w:val="18"/>
              </w:rPr>
              <w:t>265</w:t>
            </w:r>
          </w:p>
        </w:tc>
        <w:tc>
          <w:tcPr>
            <w:tcW w:w="949" w:type="dxa"/>
            <w:shd w:val="clear" w:color="auto" w:fill="auto"/>
          </w:tcPr>
          <w:p w14:paraId="15437BBD" w14:textId="77777777" w:rsidR="0024488B" w:rsidRPr="0024488B" w:rsidRDefault="0024488B" w:rsidP="0024488B">
            <w:pPr>
              <w:pStyle w:val="SingleTxtG"/>
              <w:spacing w:before="40" w:after="40" w:line="220" w:lineRule="exact"/>
              <w:ind w:left="0" w:right="0"/>
              <w:jc w:val="right"/>
              <w:rPr>
                <w:sz w:val="18"/>
              </w:rPr>
            </w:pPr>
            <w:r w:rsidRPr="0024488B">
              <w:rPr>
                <w:sz w:val="18"/>
              </w:rPr>
              <w:t>1</w:t>
            </w:r>
            <w:r w:rsidR="00895A8F">
              <w:rPr>
                <w:sz w:val="18"/>
              </w:rPr>
              <w:t xml:space="preserve"> </w:t>
            </w:r>
            <w:r w:rsidRPr="0024488B">
              <w:rPr>
                <w:sz w:val="18"/>
              </w:rPr>
              <w:t>027</w:t>
            </w:r>
            <w:r w:rsidR="00895A8F">
              <w:rPr>
                <w:sz w:val="18"/>
              </w:rPr>
              <w:t xml:space="preserve"> </w:t>
            </w:r>
            <w:r w:rsidRPr="0024488B">
              <w:rPr>
                <w:sz w:val="18"/>
              </w:rPr>
              <w:t>206</w:t>
            </w:r>
          </w:p>
        </w:tc>
      </w:tr>
      <w:tr w:rsidR="0024488B" w:rsidRPr="0024488B" w14:paraId="6A7C7D23" w14:textId="77777777" w:rsidTr="0024488B">
        <w:tc>
          <w:tcPr>
            <w:tcW w:w="1218" w:type="dxa"/>
            <w:shd w:val="clear" w:color="auto" w:fill="auto"/>
          </w:tcPr>
          <w:p w14:paraId="5B6811B3"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60 a 64 años</w:t>
            </w:r>
          </w:p>
        </w:tc>
        <w:tc>
          <w:tcPr>
            <w:tcW w:w="948" w:type="dxa"/>
            <w:shd w:val="clear" w:color="auto" w:fill="auto"/>
          </w:tcPr>
          <w:p w14:paraId="427BF391" w14:textId="77777777" w:rsidR="0024488B" w:rsidRPr="0024488B" w:rsidRDefault="0024488B" w:rsidP="0024488B">
            <w:pPr>
              <w:pStyle w:val="SingleTxtG"/>
              <w:spacing w:before="40" w:after="40" w:line="220" w:lineRule="exact"/>
              <w:ind w:left="0" w:right="0"/>
              <w:jc w:val="right"/>
              <w:rPr>
                <w:sz w:val="18"/>
              </w:rPr>
            </w:pPr>
            <w:r w:rsidRPr="0024488B">
              <w:rPr>
                <w:sz w:val="18"/>
              </w:rPr>
              <w:t>258</w:t>
            </w:r>
            <w:r w:rsidR="00895A8F">
              <w:rPr>
                <w:sz w:val="18"/>
              </w:rPr>
              <w:t xml:space="preserve"> </w:t>
            </w:r>
            <w:r w:rsidRPr="0024488B">
              <w:rPr>
                <w:sz w:val="18"/>
              </w:rPr>
              <w:t>758</w:t>
            </w:r>
          </w:p>
        </w:tc>
        <w:tc>
          <w:tcPr>
            <w:tcW w:w="949" w:type="dxa"/>
            <w:shd w:val="clear" w:color="auto" w:fill="auto"/>
          </w:tcPr>
          <w:p w14:paraId="283BDEF7" w14:textId="77777777" w:rsidR="0024488B" w:rsidRPr="0024488B" w:rsidRDefault="0024488B" w:rsidP="0024488B">
            <w:pPr>
              <w:pStyle w:val="SingleTxtG"/>
              <w:spacing w:before="40" w:after="40" w:line="220" w:lineRule="exact"/>
              <w:ind w:left="0" w:right="0"/>
              <w:jc w:val="right"/>
              <w:rPr>
                <w:sz w:val="18"/>
              </w:rPr>
            </w:pPr>
            <w:r w:rsidRPr="0024488B">
              <w:rPr>
                <w:sz w:val="18"/>
              </w:rPr>
              <w:t>283</w:t>
            </w:r>
            <w:r w:rsidR="00895A8F">
              <w:rPr>
                <w:sz w:val="18"/>
              </w:rPr>
              <w:t xml:space="preserve"> </w:t>
            </w:r>
            <w:r w:rsidRPr="0024488B">
              <w:rPr>
                <w:sz w:val="18"/>
              </w:rPr>
              <w:t>451</w:t>
            </w:r>
          </w:p>
        </w:tc>
        <w:tc>
          <w:tcPr>
            <w:tcW w:w="949" w:type="dxa"/>
            <w:shd w:val="clear" w:color="auto" w:fill="auto"/>
          </w:tcPr>
          <w:p w14:paraId="1BE562AE" w14:textId="77777777" w:rsidR="0024488B" w:rsidRPr="0024488B" w:rsidRDefault="0024488B" w:rsidP="00F836D2">
            <w:pPr>
              <w:pStyle w:val="SingleTxtG"/>
              <w:spacing w:before="40" w:after="40" w:line="220" w:lineRule="exact"/>
              <w:ind w:left="0" w:right="57"/>
              <w:jc w:val="right"/>
              <w:rPr>
                <w:sz w:val="18"/>
              </w:rPr>
            </w:pPr>
            <w:r w:rsidRPr="0024488B">
              <w:rPr>
                <w:sz w:val="18"/>
              </w:rPr>
              <w:t>542</w:t>
            </w:r>
            <w:r w:rsidR="00895A8F">
              <w:rPr>
                <w:sz w:val="18"/>
              </w:rPr>
              <w:t xml:space="preserve"> </w:t>
            </w:r>
            <w:r w:rsidRPr="0024488B">
              <w:rPr>
                <w:sz w:val="18"/>
              </w:rPr>
              <w:t>209</w:t>
            </w:r>
          </w:p>
        </w:tc>
        <w:tc>
          <w:tcPr>
            <w:tcW w:w="949" w:type="dxa"/>
            <w:shd w:val="clear" w:color="auto" w:fill="auto"/>
          </w:tcPr>
          <w:p w14:paraId="4A07627C" w14:textId="77777777" w:rsidR="0024488B" w:rsidRPr="0024488B" w:rsidRDefault="0024488B" w:rsidP="0024488B">
            <w:pPr>
              <w:pStyle w:val="SingleTxtG"/>
              <w:spacing w:before="40" w:after="40" w:line="220" w:lineRule="exact"/>
              <w:ind w:left="0" w:right="0"/>
              <w:jc w:val="right"/>
              <w:rPr>
                <w:sz w:val="18"/>
              </w:rPr>
            </w:pPr>
            <w:r w:rsidRPr="0024488B">
              <w:rPr>
                <w:sz w:val="18"/>
              </w:rPr>
              <w:t>86</w:t>
            </w:r>
            <w:r w:rsidR="00895A8F">
              <w:rPr>
                <w:sz w:val="18"/>
              </w:rPr>
              <w:t xml:space="preserve"> </w:t>
            </w:r>
            <w:r w:rsidRPr="0024488B">
              <w:rPr>
                <w:sz w:val="18"/>
              </w:rPr>
              <w:t>931</w:t>
            </w:r>
          </w:p>
        </w:tc>
        <w:tc>
          <w:tcPr>
            <w:tcW w:w="948" w:type="dxa"/>
            <w:shd w:val="clear" w:color="auto" w:fill="auto"/>
          </w:tcPr>
          <w:p w14:paraId="185A0E82" w14:textId="77777777" w:rsidR="0024488B" w:rsidRPr="0024488B" w:rsidRDefault="0024488B" w:rsidP="0024488B">
            <w:pPr>
              <w:pStyle w:val="SingleTxtG"/>
              <w:spacing w:before="40" w:after="40" w:line="220" w:lineRule="exact"/>
              <w:ind w:left="0" w:right="0"/>
              <w:jc w:val="right"/>
              <w:rPr>
                <w:sz w:val="18"/>
              </w:rPr>
            </w:pPr>
            <w:r w:rsidRPr="0024488B">
              <w:rPr>
                <w:sz w:val="18"/>
              </w:rPr>
              <w:t>94</w:t>
            </w:r>
            <w:r w:rsidR="00895A8F">
              <w:rPr>
                <w:sz w:val="18"/>
              </w:rPr>
              <w:t xml:space="preserve"> </w:t>
            </w:r>
            <w:r w:rsidRPr="0024488B">
              <w:rPr>
                <w:sz w:val="18"/>
              </w:rPr>
              <w:t>366</w:t>
            </w:r>
          </w:p>
        </w:tc>
        <w:tc>
          <w:tcPr>
            <w:tcW w:w="949" w:type="dxa"/>
            <w:shd w:val="clear" w:color="auto" w:fill="auto"/>
          </w:tcPr>
          <w:p w14:paraId="51EB5470" w14:textId="77777777" w:rsidR="0024488B" w:rsidRPr="0024488B" w:rsidRDefault="0024488B" w:rsidP="00F836D2">
            <w:pPr>
              <w:pStyle w:val="SingleTxtG"/>
              <w:spacing w:before="40" w:after="40" w:line="220" w:lineRule="exact"/>
              <w:ind w:left="0" w:right="57"/>
              <w:jc w:val="right"/>
              <w:rPr>
                <w:sz w:val="18"/>
              </w:rPr>
            </w:pPr>
            <w:r w:rsidRPr="0024488B">
              <w:rPr>
                <w:sz w:val="18"/>
              </w:rPr>
              <w:t>181</w:t>
            </w:r>
            <w:r w:rsidR="00895A8F">
              <w:rPr>
                <w:sz w:val="18"/>
              </w:rPr>
              <w:t xml:space="preserve"> </w:t>
            </w:r>
            <w:r w:rsidRPr="0024488B">
              <w:rPr>
                <w:sz w:val="18"/>
              </w:rPr>
              <w:t>297</w:t>
            </w:r>
          </w:p>
        </w:tc>
        <w:tc>
          <w:tcPr>
            <w:tcW w:w="949" w:type="dxa"/>
            <w:shd w:val="clear" w:color="auto" w:fill="auto"/>
          </w:tcPr>
          <w:p w14:paraId="4C1323E7" w14:textId="77777777" w:rsidR="0024488B" w:rsidRPr="0024488B" w:rsidRDefault="0024488B" w:rsidP="0024488B">
            <w:pPr>
              <w:pStyle w:val="SingleTxtG"/>
              <w:spacing w:before="40" w:after="40" w:line="220" w:lineRule="exact"/>
              <w:ind w:left="0" w:right="0"/>
              <w:jc w:val="right"/>
              <w:rPr>
                <w:sz w:val="18"/>
              </w:rPr>
            </w:pPr>
            <w:r w:rsidRPr="0024488B">
              <w:rPr>
                <w:sz w:val="18"/>
              </w:rPr>
              <w:t>345</w:t>
            </w:r>
            <w:r w:rsidR="00895A8F">
              <w:rPr>
                <w:sz w:val="18"/>
              </w:rPr>
              <w:t xml:space="preserve"> </w:t>
            </w:r>
            <w:r w:rsidRPr="0024488B">
              <w:rPr>
                <w:sz w:val="18"/>
              </w:rPr>
              <w:t>689</w:t>
            </w:r>
          </w:p>
        </w:tc>
        <w:tc>
          <w:tcPr>
            <w:tcW w:w="949" w:type="dxa"/>
            <w:shd w:val="clear" w:color="auto" w:fill="auto"/>
          </w:tcPr>
          <w:p w14:paraId="15553F3F" w14:textId="77777777" w:rsidR="0024488B" w:rsidRPr="0024488B" w:rsidRDefault="0024488B" w:rsidP="0024488B">
            <w:pPr>
              <w:pStyle w:val="SingleTxtG"/>
              <w:spacing w:before="40" w:after="40" w:line="220" w:lineRule="exact"/>
              <w:ind w:left="0" w:right="0"/>
              <w:jc w:val="right"/>
              <w:rPr>
                <w:sz w:val="18"/>
              </w:rPr>
            </w:pPr>
            <w:r w:rsidRPr="0024488B">
              <w:rPr>
                <w:sz w:val="18"/>
              </w:rPr>
              <w:t>377</w:t>
            </w:r>
            <w:r w:rsidR="00895A8F">
              <w:rPr>
                <w:sz w:val="18"/>
              </w:rPr>
              <w:t xml:space="preserve"> </w:t>
            </w:r>
            <w:r w:rsidRPr="0024488B">
              <w:rPr>
                <w:sz w:val="18"/>
              </w:rPr>
              <w:t>817</w:t>
            </w:r>
          </w:p>
        </w:tc>
        <w:tc>
          <w:tcPr>
            <w:tcW w:w="949" w:type="dxa"/>
            <w:shd w:val="clear" w:color="auto" w:fill="auto"/>
          </w:tcPr>
          <w:p w14:paraId="0267FDB3" w14:textId="77777777" w:rsidR="0024488B" w:rsidRPr="0024488B" w:rsidRDefault="0024488B" w:rsidP="0024488B">
            <w:pPr>
              <w:pStyle w:val="SingleTxtG"/>
              <w:spacing w:before="40" w:after="40" w:line="220" w:lineRule="exact"/>
              <w:ind w:left="0" w:right="0"/>
              <w:jc w:val="right"/>
              <w:rPr>
                <w:sz w:val="18"/>
              </w:rPr>
            </w:pPr>
            <w:r w:rsidRPr="0024488B">
              <w:rPr>
                <w:sz w:val="18"/>
              </w:rPr>
              <w:t>723</w:t>
            </w:r>
            <w:r w:rsidR="00895A8F">
              <w:rPr>
                <w:sz w:val="18"/>
              </w:rPr>
              <w:t xml:space="preserve"> </w:t>
            </w:r>
            <w:r w:rsidRPr="0024488B">
              <w:rPr>
                <w:sz w:val="18"/>
              </w:rPr>
              <w:t>506</w:t>
            </w:r>
          </w:p>
        </w:tc>
      </w:tr>
      <w:tr w:rsidR="0024488B" w:rsidRPr="0024488B" w14:paraId="12B766C5" w14:textId="77777777" w:rsidTr="0024488B">
        <w:tc>
          <w:tcPr>
            <w:tcW w:w="1218" w:type="dxa"/>
            <w:shd w:val="clear" w:color="auto" w:fill="auto"/>
          </w:tcPr>
          <w:p w14:paraId="44D9A200"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65 a 69 años</w:t>
            </w:r>
          </w:p>
        </w:tc>
        <w:tc>
          <w:tcPr>
            <w:tcW w:w="948" w:type="dxa"/>
            <w:shd w:val="clear" w:color="auto" w:fill="auto"/>
          </w:tcPr>
          <w:p w14:paraId="6C28B543" w14:textId="77777777" w:rsidR="0024488B" w:rsidRPr="0024488B" w:rsidRDefault="0024488B" w:rsidP="0024488B">
            <w:pPr>
              <w:pStyle w:val="SingleTxtG"/>
              <w:spacing w:before="40" w:after="40" w:line="220" w:lineRule="exact"/>
              <w:ind w:left="0" w:right="0"/>
              <w:jc w:val="right"/>
              <w:rPr>
                <w:sz w:val="18"/>
              </w:rPr>
            </w:pPr>
            <w:r w:rsidRPr="0024488B">
              <w:rPr>
                <w:sz w:val="18"/>
              </w:rPr>
              <w:t>175</w:t>
            </w:r>
            <w:r w:rsidR="00895A8F">
              <w:rPr>
                <w:sz w:val="18"/>
              </w:rPr>
              <w:t xml:space="preserve"> </w:t>
            </w:r>
            <w:r w:rsidRPr="0024488B">
              <w:rPr>
                <w:sz w:val="18"/>
              </w:rPr>
              <w:t>898</w:t>
            </w:r>
          </w:p>
        </w:tc>
        <w:tc>
          <w:tcPr>
            <w:tcW w:w="949" w:type="dxa"/>
            <w:shd w:val="clear" w:color="auto" w:fill="auto"/>
          </w:tcPr>
          <w:p w14:paraId="70BEAE51" w14:textId="77777777" w:rsidR="0024488B" w:rsidRPr="0024488B" w:rsidRDefault="0024488B" w:rsidP="0024488B">
            <w:pPr>
              <w:pStyle w:val="SingleTxtG"/>
              <w:spacing w:before="40" w:after="40" w:line="220" w:lineRule="exact"/>
              <w:ind w:left="0" w:right="0"/>
              <w:jc w:val="right"/>
              <w:rPr>
                <w:sz w:val="18"/>
              </w:rPr>
            </w:pPr>
            <w:r w:rsidRPr="0024488B">
              <w:rPr>
                <w:sz w:val="18"/>
              </w:rPr>
              <w:t>182</w:t>
            </w:r>
            <w:r w:rsidR="00895A8F">
              <w:rPr>
                <w:sz w:val="18"/>
              </w:rPr>
              <w:t xml:space="preserve"> </w:t>
            </w:r>
            <w:r w:rsidRPr="0024488B">
              <w:rPr>
                <w:sz w:val="18"/>
              </w:rPr>
              <w:t>843</w:t>
            </w:r>
          </w:p>
        </w:tc>
        <w:tc>
          <w:tcPr>
            <w:tcW w:w="949" w:type="dxa"/>
            <w:shd w:val="clear" w:color="auto" w:fill="auto"/>
          </w:tcPr>
          <w:p w14:paraId="5E3257AE" w14:textId="77777777" w:rsidR="0024488B" w:rsidRPr="0024488B" w:rsidRDefault="0024488B" w:rsidP="00F836D2">
            <w:pPr>
              <w:pStyle w:val="SingleTxtG"/>
              <w:spacing w:before="40" w:after="40" w:line="220" w:lineRule="exact"/>
              <w:ind w:left="0" w:right="57"/>
              <w:jc w:val="right"/>
              <w:rPr>
                <w:sz w:val="18"/>
              </w:rPr>
            </w:pPr>
            <w:r w:rsidRPr="0024488B">
              <w:rPr>
                <w:sz w:val="18"/>
              </w:rPr>
              <w:t>358</w:t>
            </w:r>
            <w:r w:rsidR="00895A8F">
              <w:rPr>
                <w:sz w:val="18"/>
              </w:rPr>
              <w:t xml:space="preserve"> </w:t>
            </w:r>
            <w:r w:rsidRPr="0024488B">
              <w:rPr>
                <w:sz w:val="18"/>
              </w:rPr>
              <w:t>741</w:t>
            </w:r>
          </w:p>
        </w:tc>
        <w:tc>
          <w:tcPr>
            <w:tcW w:w="949" w:type="dxa"/>
            <w:shd w:val="clear" w:color="auto" w:fill="auto"/>
          </w:tcPr>
          <w:p w14:paraId="4C5A8A99" w14:textId="77777777" w:rsidR="0024488B" w:rsidRPr="0024488B" w:rsidRDefault="0024488B" w:rsidP="0024488B">
            <w:pPr>
              <w:pStyle w:val="SingleTxtG"/>
              <w:spacing w:before="40" w:after="40" w:line="220" w:lineRule="exact"/>
              <w:ind w:left="0" w:right="0"/>
              <w:jc w:val="right"/>
              <w:rPr>
                <w:sz w:val="18"/>
              </w:rPr>
            </w:pPr>
            <w:r w:rsidRPr="0024488B">
              <w:rPr>
                <w:sz w:val="18"/>
              </w:rPr>
              <w:t>51</w:t>
            </w:r>
            <w:r w:rsidR="00895A8F">
              <w:rPr>
                <w:sz w:val="18"/>
              </w:rPr>
              <w:t xml:space="preserve"> </w:t>
            </w:r>
            <w:r w:rsidRPr="0024488B">
              <w:rPr>
                <w:sz w:val="18"/>
              </w:rPr>
              <w:t>646</w:t>
            </w:r>
          </w:p>
        </w:tc>
        <w:tc>
          <w:tcPr>
            <w:tcW w:w="948" w:type="dxa"/>
            <w:shd w:val="clear" w:color="auto" w:fill="auto"/>
          </w:tcPr>
          <w:p w14:paraId="4883E7FF" w14:textId="77777777" w:rsidR="0024488B" w:rsidRPr="0024488B" w:rsidRDefault="0024488B" w:rsidP="0024488B">
            <w:pPr>
              <w:pStyle w:val="SingleTxtG"/>
              <w:spacing w:before="40" w:after="40" w:line="220" w:lineRule="exact"/>
              <w:ind w:left="0" w:right="0"/>
              <w:jc w:val="right"/>
              <w:rPr>
                <w:sz w:val="18"/>
              </w:rPr>
            </w:pPr>
            <w:r w:rsidRPr="0024488B">
              <w:rPr>
                <w:sz w:val="18"/>
              </w:rPr>
              <w:t>54</w:t>
            </w:r>
            <w:r w:rsidR="00895A8F">
              <w:rPr>
                <w:sz w:val="18"/>
              </w:rPr>
              <w:t xml:space="preserve"> </w:t>
            </w:r>
            <w:r w:rsidRPr="0024488B">
              <w:rPr>
                <w:sz w:val="18"/>
              </w:rPr>
              <w:t>212</w:t>
            </w:r>
          </w:p>
        </w:tc>
        <w:tc>
          <w:tcPr>
            <w:tcW w:w="949" w:type="dxa"/>
            <w:shd w:val="clear" w:color="auto" w:fill="auto"/>
          </w:tcPr>
          <w:p w14:paraId="0768085E" w14:textId="77777777" w:rsidR="0024488B" w:rsidRPr="0024488B" w:rsidRDefault="0024488B" w:rsidP="00F836D2">
            <w:pPr>
              <w:pStyle w:val="SingleTxtG"/>
              <w:spacing w:before="40" w:after="40" w:line="220" w:lineRule="exact"/>
              <w:ind w:left="0" w:right="57"/>
              <w:jc w:val="right"/>
              <w:rPr>
                <w:sz w:val="18"/>
              </w:rPr>
            </w:pPr>
            <w:r w:rsidRPr="0024488B">
              <w:rPr>
                <w:sz w:val="18"/>
              </w:rPr>
              <w:t>105</w:t>
            </w:r>
            <w:r w:rsidR="00895A8F">
              <w:rPr>
                <w:sz w:val="18"/>
              </w:rPr>
              <w:t xml:space="preserve"> </w:t>
            </w:r>
            <w:r w:rsidRPr="0024488B">
              <w:rPr>
                <w:sz w:val="18"/>
              </w:rPr>
              <w:t>858</w:t>
            </w:r>
          </w:p>
        </w:tc>
        <w:tc>
          <w:tcPr>
            <w:tcW w:w="949" w:type="dxa"/>
            <w:shd w:val="clear" w:color="auto" w:fill="auto"/>
          </w:tcPr>
          <w:p w14:paraId="3D15B2C0" w14:textId="77777777" w:rsidR="0024488B" w:rsidRPr="0024488B" w:rsidRDefault="0024488B" w:rsidP="0024488B">
            <w:pPr>
              <w:pStyle w:val="SingleTxtG"/>
              <w:spacing w:before="40" w:after="40" w:line="220" w:lineRule="exact"/>
              <w:ind w:left="0" w:right="0"/>
              <w:jc w:val="right"/>
              <w:rPr>
                <w:sz w:val="18"/>
              </w:rPr>
            </w:pPr>
            <w:r w:rsidRPr="0024488B">
              <w:rPr>
                <w:sz w:val="18"/>
              </w:rPr>
              <w:t>227</w:t>
            </w:r>
            <w:r w:rsidR="00895A8F">
              <w:rPr>
                <w:sz w:val="18"/>
              </w:rPr>
              <w:t xml:space="preserve"> </w:t>
            </w:r>
            <w:r w:rsidRPr="0024488B">
              <w:rPr>
                <w:sz w:val="18"/>
              </w:rPr>
              <w:t>544</w:t>
            </w:r>
          </w:p>
        </w:tc>
        <w:tc>
          <w:tcPr>
            <w:tcW w:w="949" w:type="dxa"/>
            <w:shd w:val="clear" w:color="auto" w:fill="auto"/>
          </w:tcPr>
          <w:p w14:paraId="047736DC" w14:textId="77777777" w:rsidR="0024488B" w:rsidRPr="0024488B" w:rsidRDefault="0024488B" w:rsidP="0024488B">
            <w:pPr>
              <w:pStyle w:val="SingleTxtG"/>
              <w:spacing w:before="40" w:after="40" w:line="220" w:lineRule="exact"/>
              <w:ind w:left="0" w:right="0"/>
              <w:jc w:val="right"/>
              <w:rPr>
                <w:sz w:val="18"/>
              </w:rPr>
            </w:pPr>
            <w:r w:rsidRPr="0024488B">
              <w:rPr>
                <w:sz w:val="18"/>
              </w:rPr>
              <w:t>237</w:t>
            </w:r>
            <w:r w:rsidR="00895A8F">
              <w:rPr>
                <w:sz w:val="18"/>
              </w:rPr>
              <w:t xml:space="preserve"> </w:t>
            </w:r>
            <w:r w:rsidRPr="0024488B">
              <w:rPr>
                <w:sz w:val="18"/>
              </w:rPr>
              <w:t>055</w:t>
            </w:r>
          </w:p>
        </w:tc>
        <w:tc>
          <w:tcPr>
            <w:tcW w:w="949" w:type="dxa"/>
            <w:shd w:val="clear" w:color="auto" w:fill="auto"/>
          </w:tcPr>
          <w:p w14:paraId="6C8057DB" w14:textId="77777777" w:rsidR="0024488B" w:rsidRPr="0024488B" w:rsidRDefault="0024488B" w:rsidP="0024488B">
            <w:pPr>
              <w:pStyle w:val="SingleTxtG"/>
              <w:spacing w:before="40" w:after="40" w:line="220" w:lineRule="exact"/>
              <w:ind w:left="0" w:right="0"/>
              <w:jc w:val="right"/>
              <w:rPr>
                <w:sz w:val="18"/>
              </w:rPr>
            </w:pPr>
            <w:r w:rsidRPr="0024488B">
              <w:rPr>
                <w:sz w:val="18"/>
              </w:rPr>
              <w:t>464</w:t>
            </w:r>
            <w:r w:rsidR="00895A8F">
              <w:rPr>
                <w:sz w:val="18"/>
              </w:rPr>
              <w:t xml:space="preserve"> </w:t>
            </w:r>
            <w:r w:rsidRPr="0024488B">
              <w:rPr>
                <w:sz w:val="18"/>
              </w:rPr>
              <w:t>599</w:t>
            </w:r>
          </w:p>
        </w:tc>
      </w:tr>
      <w:tr w:rsidR="0024488B" w:rsidRPr="0024488B" w14:paraId="18DF7116" w14:textId="77777777" w:rsidTr="0024488B">
        <w:tc>
          <w:tcPr>
            <w:tcW w:w="1218" w:type="dxa"/>
            <w:shd w:val="clear" w:color="auto" w:fill="auto"/>
          </w:tcPr>
          <w:p w14:paraId="20EE50EF"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70 a 74 años</w:t>
            </w:r>
          </w:p>
        </w:tc>
        <w:tc>
          <w:tcPr>
            <w:tcW w:w="948" w:type="dxa"/>
            <w:shd w:val="clear" w:color="auto" w:fill="auto"/>
          </w:tcPr>
          <w:p w14:paraId="71A3B198" w14:textId="77777777" w:rsidR="0024488B" w:rsidRPr="0024488B" w:rsidRDefault="0024488B" w:rsidP="0024488B">
            <w:pPr>
              <w:pStyle w:val="SingleTxtG"/>
              <w:spacing w:before="40" w:after="40" w:line="220" w:lineRule="exact"/>
              <w:ind w:left="0" w:right="0"/>
              <w:jc w:val="right"/>
              <w:rPr>
                <w:sz w:val="18"/>
              </w:rPr>
            </w:pPr>
            <w:r w:rsidRPr="0024488B">
              <w:rPr>
                <w:sz w:val="18"/>
              </w:rPr>
              <w:t>115</w:t>
            </w:r>
            <w:r w:rsidR="00895A8F">
              <w:rPr>
                <w:sz w:val="18"/>
              </w:rPr>
              <w:t xml:space="preserve"> </w:t>
            </w:r>
            <w:r w:rsidRPr="0024488B">
              <w:rPr>
                <w:sz w:val="18"/>
              </w:rPr>
              <w:t>308</w:t>
            </w:r>
          </w:p>
        </w:tc>
        <w:tc>
          <w:tcPr>
            <w:tcW w:w="949" w:type="dxa"/>
            <w:shd w:val="clear" w:color="auto" w:fill="auto"/>
          </w:tcPr>
          <w:p w14:paraId="2FE10D14" w14:textId="77777777" w:rsidR="0024488B" w:rsidRPr="0024488B" w:rsidRDefault="0024488B" w:rsidP="0024488B">
            <w:pPr>
              <w:pStyle w:val="SingleTxtG"/>
              <w:spacing w:before="40" w:after="40" w:line="220" w:lineRule="exact"/>
              <w:ind w:left="0" w:right="0"/>
              <w:jc w:val="right"/>
              <w:rPr>
                <w:sz w:val="18"/>
              </w:rPr>
            </w:pPr>
            <w:r w:rsidRPr="0024488B">
              <w:rPr>
                <w:sz w:val="18"/>
              </w:rPr>
              <w:t>115</w:t>
            </w:r>
            <w:r w:rsidR="00895A8F">
              <w:rPr>
                <w:sz w:val="18"/>
              </w:rPr>
              <w:t xml:space="preserve"> </w:t>
            </w:r>
            <w:r w:rsidRPr="0024488B">
              <w:rPr>
                <w:sz w:val="18"/>
              </w:rPr>
              <w:t>847</w:t>
            </w:r>
          </w:p>
        </w:tc>
        <w:tc>
          <w:tcPr>
            <w:tcW w:w="949" w:type="dxa"/>
            <w:shd w:val="clear" w:color="auto" w:fill="auto"/>
          </w:tcPr>
          <w:p w14:paraId="67BF91A7" w14:textId="77777777" w:rsidR="0024488B" w:rsidRPr="0024488B" w:rsidRDefault="0024488B" w:rsidP="00F836D2">
            <w:pPr>
              <w:pStyle w:val="SingleTxtG"/>
              <w:spacing w:before="40" w:after="40" w:line="220" w:lineRule="exact"/>
              <w:ind w:left="0" w:right="57"/>
              <w:jc w:val="right"/>
              <w:rPr>
                <w:sz w:val="18"/>
              </w:rPr>
            </w:pPr>
            <w:r w:rsidRPr="0024488B">
              <w:rPr>
                <w:sz w:val="18"/>
              </w:rPr>
              <w:t>231</w:t>
            </w:r>
            <w:r w:rsidR="00895A8F">
              <w:rPr>
                <w:sz w:val="18"/>
              </w:rPr>
              <w:t xml:space="preserve"> </w:t>
            </w:r>
            <w:r w:rsidRPr="0024488B">
              <w:rPr>
                <w:sz w:val="18"/>
              </w:rPr>
              <w:t>155</w:t>
            </w:r>
          </w:p>
        </w:tc>
        <w:tc>
          <w:tcPr>
            <w:tcW w:w="949" w:type="dxa"/>
            <w:shd w:val="clear" w:color="auto" w:fill="auto"/>
          </w:tcPr>
          <w:p w14:paraId="3B43A842" w14:textId="77777777" w:rsidR="0024488B" w:rsidRPr="0024488B" w:rsidRDefault="0024488B" w:rsidP="0024488B">
            <w:pPr>
              <w:pStyle w:val="SingleTxtG"/>
              <w:spacing w:before="40" w:after="40" w:line="220" w:lineRule="exact"/>
              <w:ind w:left="0" w:right="0"/>
              <w:jc w:val="right"/>
              <w:rPr>
                <w:sz w:val="18"/>
              </w:rPr>
            </w:pPr>
            <w:r w:rsidRPr="0024488B">
              <w:rPr>
                <w:sz w:val="18"/>
              </w:rPr>
              <w:t>33</w:t>
            </w:r>
            <w:r w:rsidR="00895A8F">
              <w:rPr>
                <w:sz w:val="18"/>
              </w:rPr>
              <w:t xml:space="preserve"> </w:t>
            </w:r>
            <w:r w:rsidRPr="0024488B">
              <w:rPr>
                <w:sz w:val="18"/>
              </w:rPr>
              <w:t>150</w:t>
            </w:r>
          </w:p>
        </w:tc>
        <w:tc>
          <w:tcPr>
            <w:tcW w:w="948" w:type="dxa"/>
            <w:shd w:val="clear" w:color="auto" w:fill="auto"/>
          </w:tcPr>
          <w:p w14:paraId="2D9AB7BB" w14:textId="77777777" w:rsidR="0024488B" w:rsidRPr="0024488B" w:rsidRDefault="0024488B" w:rsidP="0024488B">
            <w:pPr>
              <w:pStyle w:val="SingleTxtG"/>
              <w:spacing w:before="40" w:after="40" w:line="220" w:lineRule="exact"/>
              <w:ind w:left="0" w:right="0"/>
              <w:jc w:val="right"/>
              <w:rPr>
                <w:sz w:val="18"/>
              </w:rPr>
            </w:pPr>
            <w:r w:rsidRPr="0024488B">
              <w:rPr>
                <w:sz w:val="18"/>
              </w:rPr>
              <w:t>33</w:t>
            </w:r>
            <w:r w:rsidR="00895A8F">
              <w:rPr>
                <w:sz w:val="18"/>
              </w:rPr>
              <w:t xml:space="preserve"> </w:t>
            </w:r>
            <w:r w:rsidRPr="0024488B">
              <w:rPr>
                <w:sz w:val="18"/>
              </w:rPr>
              <w:t>535</w:t>
            </w:r>
          </w:p>
        </w:tc>
        <w:tc>
          <w:tcPr>
            <w:tcW w:w="949" w:type="dxa"/>
            <w:shd w:val="clear" w:color="auto" w:fill="auto"/>
          </w:tcPr>
          <w:p w14:paraId="23874CEA" w14:textId="77777777" w:rsidR="0024488B" w:rsidRPr="0024488B" w:rsidRDefault="0024488B" w:rsidP="00F836D2">
            <w:pPr>
              <w:pStyle w:val="SingleTxtG"/>
              <w:spacing w:before="40" w:after="40" w:line="220" w:lineRule="exact"/>
              <w:ind w:left="0" w:right="57"/>
              <w:jc w:val="right"/>
              <w:rPr>
                <w:sz w:val="18"/>
              </w:rPr>
            </w:pPr>
            <w:r w:rsidRPr="0024488B">
              <w:rPr>
                <w:sz w:val="18"/>
              </w:rPr>
              <w:t>66</w:t>
            </w:r>
            <w:r w:rsidR="00895A8F">
              <w:rPr>
                <w:sz w:val="18"/>
              </w:rPr>
              <w:t xml:space="preserve"> </w:t>
            </w:r>
            <w:r w:rsidRPr="0024488B">
              <w:rPr>
                <w:sz w:val="18"/>
              </w:rPr>
              <w:t>685</w:t>
            </w:r>
          </w:p>
        </w:tc>
        <w:tc>
          <w:tcPr>
            <w:tcW w:w="949" w:type="dxa"/>
            <w:shd w:val="clear" w:color="auto" w:fill="auto"/>
          </w:tcPr>
          <w:p w14:paraId="189E6788" w14:textId="77777777" w:rsidR="0024488B" w:rsidRPr="0024488B" w:rsidRDefault="0024488B" w:rsidP="0024488B">
            <w:pPr>
              <w:pStyle w:val="SingleTxtG"/>
              <w:spacing w:before="40" w:after="40" w:line="220" w:lineRule="exact"/>
              <w:ind w:left="0" w:right="0"/>
              <w:jc w:val="right"/>
              <w:rPr>
                <w:sz w:val="18"/>
              </w:rPr>
            </w:pPr>
            <w:r w:rsidRPr="0024488B">
              <w:rPr>
                <w:sz w:val="18"/>
              </w:rPr>
              <w:t>148</w:t>
            </w:r>
            <w:r w:rsidR="00895A8F">
              <w:rPr>
                <w:sz w:val="18"/>
              </w:rPr>
              <w:t xml:space="preserve"> </w:t>
            </w:r>
            <w:r w:rsidRPr="0024488B">
              <w:rPr>
                <w:sz w:val="18"/>
              </w:rPr>
              <w:t>458</w:t>
            </w:r>
          </w:p>
        </w:tc>
        <w:tc>
          <w:tcPr>
            <w:tcW w:w="949" w:type="dxa"/>
            <w:shd w:val="clear" w:color="auto" w:fill="auto"/>
          </w:tcPr>
          <w:p w14:paraId="0FF67A91" w14:textId="77777777" w:rsidR="0024488B" w:rsidRPr="0024488B" w:rsidRDefault="0024488B" w:rsidP="0024488B">
            <w:pPr>
              <w:pStyle w:val="SingleTxtG"/>
              <w:spacing w:before="40" w:after="40" w:line="220" w:lineRule="exact"/>
              <w:ind w:left="0" w:right="0"/>
              <w:jc w:val="right"/>
              <w:rPr>
                <w:sz w:val="18"/>
              </w:rPr>
            </w:pPr>
            <w:r w:rsidRPr="0024488B">
              <w:rPr>
                <w:sz w:val="18"/>
              </w:rPr>
              <w:t>149</w:t>
            </w:r>
            <w:r w:rsidR="00895A8F">
              <w:rPr>
                <w:sz w:val="18"/>
              </w:rPr>
              <w:t xml:space="preserve"> </w:t>
            </w:r>
            <w:r w:rsidRPr="0024488B">
              <w:rPr>
                <w:sz w:val="18"/>
              </w:rPr>
              <w:t>382</w:t>
            </w:r>
          </w:p>
        </w:tc>
        <w:tc>
          <w:tcPr>
            <w:tcW w:w="949" w:type="dxa"/>
            <w:shd w:val="clear" w:color="auto" w:fill="auto"/>
          </w:tcPr>
          <w:p w14:paraId="7DC8BBF4" w14:textId="77777777" w:rsidR="0024488B" w:rsidRPr="0024488B" w:rsidRDefault="0024488B" w:rsidP="0024488B">
            <w:pPr>
              <w:pStyle w:val="SingleTxtG"/>
              <w:spacing w:before="40" w:after="40" w:line="220" w:lineRule="exact"/>
              <w:ind w:left="0" w:right="0"/>
              <w:jc w:val="right"/>
              <w:rPr>
                <w:sz w:val="18"/>
              </w:rPr>
            </w:pPr>
            <w:r w:rsidRPr="0024488B">
              <w:rPr>
                <w:sz w:val="18"/>
              </w:rPr>
              <w:t>297</w:t>
            </w:r>
            <w:r w:rsidR="00895A8F">
              <w:rPr>
                <w:sz w:val="18"/>
              </w:rPr>
              <w:t xml:space="preserve"> </w:t>
            </w:r>
            <w:r w:rsidRPr="0024488B">
              <w:rPr>
                <w:sz w:val="18"/>
              </w:rPr>
              <w:t>840</w:t>
            </w:r>
          </w:p>
        </w:tc>
      </w:tr>
      <w:tr w:rsidR="0024488B" w:rsidRPr="0024488B" w14:paraId="4AC3F6FC" w14:textId="77777777" w:rsidTr="0024488B">
        <w:tc>
          <w:tcPr>
            <w:tcW w:w="1218" w:type="dxa"/>
            <w:shd w:val="clear" w:color="auto" w:fill="auto"/>
          </w:tcPr>
          <w:p w14:paraId="4F020CC4" w14:textId="77777777" w:rsidR="0024488B" w:rsidRPr="0024488B" w:rsidRDefault="00AC7712" w:rsidP="0024488B">
            <w:pPr>
              <w:pStyle w:val="SingleTxtG"/>
              <w:spacing w:before="40" w:after="40" w:line="220" w:lineRule="exact"/>
              <w:ind w:left="0" w:right="0"/>
              <w:jc w:val="left"/>
              <w:rPr>
                <w:sz w:val="18"/>
              </w:rPr>
            </w:pPr>
            <w:r>
              <w:rPr>
                <w:sz w:val="18"/>
              </w:rPr>
              <w:t xml:space="preserve">De </w:t>
            </w:r>
            <w:r w:rsidR="0024488B" w:rsidRPr="0024488B">
              <w:rPr>
                <w:sz w:val="18"/>
              </w:rPr>
              <w:t>75 a 79 años</w:t>
            </w:r>
          </w:p>
        </w:tc>
        <w:tc>
          <w:tcPr>
            <w:tcW w:w="948" w:type="dxa"/>
            <w:shd w:val="clear" w:color="auto" w:fill="auto"/>
          </w:tcPr>
          <w:p w14:paraId="1CB0A8C0" w14:textId="77777777" w:rsidR="0024488B" w:rsidRPr="0024488B" w:rsidRDefault="0024488B" w:rsidP="0024488B">
            <w:pPr>
              <w:pStyle w:val="SingleTxtG"/>
              <w:spacing w:before="40" w:after="40" w:line="220" w:lineRule="exact"/>
              <w:ind w:left="0" w:right="0"/>
              <w:jc w:val="right"/>
              <w:rPr>
                <w:sz w:val="18"/>
              </w:rPr>
            </w:pPr>
            <w:r w:rsidRPr="0024488B">
              <w:rPr>
                <w:sz w:val="18"/>
              </w:rPr>
              <w:t>60</w:t>
            </w:r>
            <w:r w:rsidR="00895A8F">
              <w:rPr>
                <w:sz w:val="18"/>
              </w:rPr>
              <w:t xml:space="preserve"> </w:t>
            </w:r>
            <w:r w:rsidRPr="0024488B">
              <w:rPr>
                <w:sz w:val="18"/>
              </w:rPr>
              <w:t>227</w:t>
            </w:r>
          </w:p>
        </w:tc>
        <w:tc>
          <w:tcPr>
            <w:tcW w:w="949" w:type="dxa"/>
            <w:shd w:val="clear" w:color="auto" w:fill="auto"/>
          </w:tcPr>
          <w:p w14:paraId="404696A8" w14:textId="77777777" w:rsidR="0024488B" w:rsidRPr="0024488B" w:rsidRDefault="0024488B" w:rsidP="0024488B">
            <w:pPr>
              <w:pStyle w:val="SingleTxtG"/>
              <w:spacing w:before="40" w:after="40" w:line="220" w:lineRule="exact"/>
              <w:ind w:left="0" w:right="0"/>
              <w:jc w:val="right"/>
              <w:rPr>
                <w:sz w:val="18"/>
              </w:rPr>
            </w:pPr>
            <w:r w:rsidRPr="0024488B">
              <w:rPr>
                <w:sz w:val="18"/>
              </w:rPr>
              <w:t>71</w:t>
            </w:r>
            <w:r w:rsidR="00895A8F">
              <w:rPr>
                <w:sz w:val="18"/>
              </w:rPr>
              <w:t xml:space="preserve"> </w:t>
            </w:r>
            <w:r w:rsidRPr="0024488B">
              <w:rPr>
                <w:sz w:val="18"/>
              </w:rPr>
              <w:t>388</w:t>
            </w:r>
          </w:p>
        </w:tc>
        <w:tc>
          <w:tcPr>
            <w:tcW w:w="949" w:type="dxa"/>
            <w:shd w:val="clear" w:color="auto" w:fill="auto"/>
          </w:tcPr>
          <w:p w14:paraId="6F0E7AC1" w14:textId="77777777" w:rsidR="0024488B" w:rsidRPr="0024488B" w:rsidRDefault="0024488B" w:rsidP="00F836D2">
            <w:pPr>
              <w:pStyle w:val="SingleTxtG"/>
              <w:spacing w:before="40" w:after="40" w:line="220" w:lineRule="exact"/>
              <w:ind w:left="0" w:right="57"/>
              <w:jc w:val="right"/>
              <w:rPr>
                <w:sz w:val="18"/>
              </w:rPr>
            </w:pPr>
            <w:r w:rsidRPr="0024488B">
              <w:rPr>
                <w:sz w:val="18"/>
              </w:rPr>
              <w:t>131</w:t>
            </w:r>
            <w:r w:rsidR="00895A8F">
              <w:rPr>
                <w:sz w:val="18"/>
              </w:rPr>
              <w:t xml:space="preserve"> </w:t>
            </w:r>
            <w:r w:rsidRPr="0024488B">
              <w:rPr>
                <w:sz w:val="18"/>
              </w:rPr>
              <w:t>615</w:t>
            </w:r>
          </w:p>
        </w:tc>
        <w:tc>
          <w:tcPr>
            <w:tcW w:w="949" w:type="dxa"/>
            <w:shd w:val="clear" w:color="auto" w:fill="auto"/>
          </w:tcPr>
          <w:p w14:paraId="19882225" w14:textId="77777777" w:rsidR="0024488B" w:rsidRPr="0024488B" w:rsidRDefault="0024488B" w:rsidP="0024488B">
            <w:pPr>
              <w:pStyle w:val="SingleTxtG"/>
              <w:spacing w:before="40" w:after="40" w:line="220" w:lineRule="exact"/>
              <w:ind w:left="0" w:right="0"/>
              <w:jc w:val="right"/>
              <w:rPr>
                <w:sz w:val="18"/>
              </w:rPr>
            </w:pPr>
            <w:r w:rsidRPr="0024488B">
              <w:rPr>
                <w:sz w:val="18"/>
              </w:rPr>
              <w:t>17</w:t>
            </w:r>
            <w:r w:rsidR="00895A8F">
              <w:rPr>
                <w:sz w:val="18"/>
              </w:rPr>
              <w:t xml:space="preserve"> </w:t>
            </w:r>
            <w:r w:rsidRPr="0024488B">
              <w:rPr>
                <w:sz w:val="18"/>
              </w:rPr>
              <w:t>970</w:t>
            </w:r>
          </w:p>
        </w:tc>
        <w:tc>
          <w:tcPr>
            <w:tcW w:w="948" w:type="dxa"/>
            <w:shd w:val="clear" w:color="auto" w:fill="auto"/>
          </w:tcPr>
          <w:p w14:paraId="1692ABCD" w14:textId="77777777" w:rsidR="0024488B" w:rsidRPr="0024488B" w:rsidRDefault="0024488B" w:rsidP="0024488B">
            <w:pPr>
              <w:pStyle w:val="SingleTxtG"/>
              <w:spacing w:before="40" w:after="40" w:line="220" w:lineRule="exact"/>
              <w:ind w:left="0" w:right="0"/>
              <w:jc w:val="right"/>
              <w:rPr>
                <w:sz w:val="18"/>
              </w:rPr>
            </w:pPr>
            <w:r w:rsidRPr="0024488B">
              <w:rPr>
                <w:sz w:val="18"/>
              </w:rPr>
              <w:t>22</w:t>
            </w:r>
            <w:r w:rsidR="00895A8F">
              <w:rPr>
                <w:sz w:val="18"/>
              </w:rPr>
              <w:t xml:space="preserve"> </w:t>
            </w:r>
            <w:r w:rsidRPr="0024488B">
              <w:rPr>
                <w:sz w:val="18"/>
              </w:rPr>
              <w:t>838</w:t>
            </w:r>
          </w:p>
        </w:tc>
        <w:tc>
          <w:tcPr>
            <w:tcW w:w="949" w:type="dxa"/>
            <w:shd w:val="clear" w:color="auto" w:fill="auto"/>
          </w:tcPr>
          <w:p w14:paraId="13D5A075" w14:textId="77777777" w:rsidR="0024488B" w:rsidRPr="0024488B" w:rsidRDefault="0024488B" w:rsidP="00F836D2">
            <w:pPr>
              <w:pStyle w:val="SingleTxtG"/>
              <w:spacing w:before="40" w:after="40" w:line="220" w:lineRule="exact"/>
              <w:ind w:left="0" w:right="57"/>
              <w:jc w:val="right"/>
              <w:rPr>
                <w:sz w:val="18"/>
              </w:rPr>
            </w:pPr>
            <w:r w:rsidRPr="0024488B">
              <w:rPr>
                <w:sz w:val="18"/>
              </w:rPr>
              <w:t>40</w:t>
            </w:r>
            <w:r w:rsidR="00895A8F">
              <w:rPr>
                <w:sz w:val="18"/>
              </w:rPr>
              <w:t xml:space="preserve"> </w:t>
            </w:r>
            <w:r w:rsidRPr="0024488B">
              <w:rPr>
                <w:sz w:val="18"/>
              </w:rPr>
              <w:t>808</w:t>
            </w:r>
          </w:p>
        </w:tc>
        <w:tc>
          <w:tcPr>
            <w:tcW w:w="949" w:type="dxa"/>
            <w:shd w:val="clear" w:color="auto" w:fill="auto"/>
          </w:tcPr>
          <w:p w14:paraId="057958D6" w14:textId="77777777" w:rsidR="0024488B" w:rsidRPr="0024488B" w:rsidRDefault="0024488B" w:rsidP="0024488B">
            <w:pPr>
              <w:pStyle w:val="SingleTxtG"/>
              <w:spacing w:before="40" w:after="40" w:line="220" w:lineRule="exact"/>
              <w:ind w:left="0" w:right="0"/>
              <w:jc w:val="right"/>
              <w:rPr>
                <w:sz w:val="18"/>
              </w:rPr>
            </w:pPr>
            <w:r w:rsidRPr="0024488B">
              <w:rPr>
                <w:sz w:val="18"/>
              </w:rPr>
              <w:t>78</w:t>
            </w:r>
            <w:r w:rsidR="00895A8F">
              <w:rPr>
                <w:sz w:val="18"/>
              </w:rPr>
              <w:t xml:space="preserve"> </w:t>
            </w:r>
            <w:r w:rsidRPr="0024488B">
              <w:rPr>
                <w:sz w:val="18"/>
              </w:rPr>
              <w:t>197</w:t>
            </w:r>
          </w:p>
        </w:tc>
        <w:tc>
          <w:tcPr>
            <w:tcW w:w="949" w:type="dxa"/>
            <w:shd w:val="clear" w:color="auto" w:fill="auto"/>
          </w:tcPr>
          <w:p w14:paraId="1B51C34A" w14:textId="77777777" w:rsidR="0024488B" w:rsidRPr="0024488B" w:rsidRDefault="0024488B" w:rsidP="0024488B">
            <w:pPr>
              <w:pStyle w:val="SingleTxtG"/>
              <w:spacing w:before="40" w:after="40" w:line="220" w:lineRule="exact"/>
              <w:ind w:left="0" w:right="0"/>
              <w:jc w:val="right"/>
              <w:rPr>
                <w:sz w:val="18"/>
              </w:rPr>
            </w:pPr>
            <w:r w:rsidRPr="0024488B">
              <w:rPr>
                <w:sz w:val="18"/>
              </w:rPr>
              <w:t>94</w:t>
            </w:r>
            <w:r w:rsidR="00895A8F">
              <w:rPr>
                <w:sz w:val="18"/>
              </w:rPr>
              <w:t xml:space="preserve"> </w:t>
            </w:r>
            <w:r w:rsidRPr="0024488B">
              <w:rPr>
                <w:sz w:val="18"/>
              </w:rPr>
              <w:t>226</w:t>
            </w:r>
          </w:p>
        </w:tc>
        <w:tc>
          <w:tcPr>
            <w:tcW w:w="949" w:type="dxa"/>
            <w:shd w:val="clear" w:color="auto" w:fill="auto"/>
          </w:tcPr>
          <w:p w14:paraId="2ABDB48B" w14:textId="77777777" w:rsidR="0024488B" w:rsidRPr="0024488B" w:rsidRDefault="0024488B" w:rsidP="0024488B">
            <w:pPr>
              <w:pStyle w:val="SingleTxtG"/>
              <w:spacing w:before="40" w:after="40" w:line="220" w:lineRule="exact"/>
              <w:ind w:left="0" w:right="0"/>
              <w:jc w:val="right"/>
              <w:rPr>
                <w:sz w:val="18"/>
              </w:rPr>
            </w:pPr>
            <w:r w:rsidRPr="0024488B">
              <w:rPr>
                <w:sz w:val="18"/>
              </w:rPr>
              <w:t>172</w:t>
            </w:r>
            <w:r w:rsidR="00895A8F">
              <w:rPr>
                <w:sz w:val="18"/>
              </w:rPr>
              <w:t xml:space="preserve"> </w:t>
            </w:r>
            <w:r w:rsidRPr="0024488B">
              <w:rPr>
                <w:sz w:val="18"/>
              </w:rPr>
              <w:t>423</w:t>
            </w:r>
          </w:p>
        </w:tc>
      </w:tr>
      <w:tr w:rsidR="0024488B" w:rsidRPr="0024488B" w14:paraId="7C1397FF" w14:textId="77777777" w:rsidTr="0024488B">
        <w:tc>
          <w:tcPr>
            <w:tcW w:w="1218" w:type="dxa"/>
            <w:tcBorders>
              <w:bottom w:val="single" w:sz="4" w:space="0" w:color="auto"/>
            </w:tcBorders>
            <w:shd w:val="clear" w:color="auto" w:fill="auto"/>
          </w:tcPr>
          <w:p w14:paraId="5AE70E1E" w14:textId="77777777" w:rsidR="0024488B" w:rsidRPr="0024488B" w:rsidRDefault="0024488B" w:rsidP="0024488B">
            <w:pPr>
              <w:pStyle w:val="SingleTxtG"/>
              <w:spacing w:before="40" w:after="40" w:line="220" w:lineRule="exact"/>
              <w:ind w:left="0" w:right="0"/>
              <w:jc w:val="left"/>
              <w:rPr>
                <w:sz w:val="18"/>
              </w:rPr>
            </w:pPr>
            <w:r w:rsidRPr="0024488B">
              <w:rPr>
                <w:sz w:val="18"/>
              </w:rPr>
              <w:t>Más de 80 años</w:t>
            </w:r>
          </w:p>
        </w:tc>
        <w:tc>
          <w:tcPr>
            <w:tcW w:w="948" w:type="dxa"/>
            <w:tcBorders>
              <w:bottom w:val="single" w:sz="4" w:space="0" w:color="auto"/>
            </w:tcBorders>
            <w:shd w:val="clear" w:color="auto" w:fill="auto"/>
          </w:tcPr>
          <w:p w14:paraId="6D15764E" w14:textId="77777777" w:rsidR="0024488B" w:rsidRPr="0024488B" w:rsidRDefault="0024488B" w:rsidP="0024488B">
            <w:pPr>
              <w:pStyle w:val="SingleTxtG"/>
              <w:spacing w:before="40" w:after="40" w:line="220" w:lineRule="exact"/>
              <w:ind w:left="0" w:right="0"/>
              <w:jc w:val="right"/>
              <w:rPr>
                <w:sz w:val="18"/>
              </w:rPr>
            </w:pPr>
            <w:r w:rsidRPr="0024488B">
              <w:rPr>
                <w:sz w:val="18"/>
              </w:rPr>
              <w:t>66</w:t>
            </w:r>
            <w:r w:rsidR="00895A8F">
              <w:rPr>
                <w:sz w:val="18"/>
              </w:rPr>
              <w:t xml:space="preserve"> </w:t>
            </w:r>
            <w:r w:rsidRPr="0024488B">
              <w:rPr>
                <w:sz w:val="18"/>
              </w:rPr>
              <w:t>919</w:t>
            </w:r>
          </w:p>
        </w:tc>
        <w:tc>
          <w:tcPr>
            <w:tcW w:w="949" w:type="dxa"/>
            <w:tcBorders>
              <w:bottom w:val="single" w:sz="4" w:space="0" w:color="auto"/>
            </w:tcBorders>
            <w:shd w:val="clear" w:color="auto" w:fill="auto"/>
          </w:tcPr>
          <w:p w14:paraId="6B686D45" w14:textId="77777777" w:rsidR="0024488B" w:rsidRPr="0024488B" w:rsidRDefault="0024488B" w:rsidP="0024488B">
            <w:pPr>
              <w:pStyle w:val="SingleTxtG"/>
              <w:spacing w:before="40" w:after="40" w:line="220" w:lineRule="exact"/>
              <w:ind w:left="0" w:right="0"/>
              <w:jc w:val="right"/>
              <w:rPr>
                <w:sz w:val="18"/>
              </w:rPr>
            </w:pPr>
            <w:r w:rsidRPr="0024488B">
              <w:rPr>
                <w:sz w:val="18"/>
              </w:rPr>
              <w:t>99</w:t>
            </w:r>
            <w:r w:rsidR="00895A8F">
              <w:rPr>
                <w:sz w:val="18"/>
              </w:rPr>
              <w:t xml:space="preserve"> </w:t>
            </w:r>
            <w:r w:rsidRPr="0024488B">
              <w:rPr>
                <w:sz w:val="18"/>
              </w:rPr>
              <w:t>839</w:t>
            </w:r>
          </w:p>
        </w:tc>
        <w:tc>
          <w:tcPr>
            <w:tcW w:w="949" w:type="dxa"/>
            <w:tcBorders>
              <w:bottom w:val="single" w:sz="4" w:space="0" w:color="auto"/>
            </w:tcBorders>
            <w:shd w:val="clear" w:color="auto" w:fill="auto"/>
          </w:tcPr>
          <w:p w14:paraId="2034CF4D" w14:textId="77777777" w:rsidR="0024488B" w:rsidRPr="0024488B" w:rsidRDefault="0024488B" w:rsidP="00F836D2">
            <w:pPr>
              <w:pStyle w:val="SingleTxtG"/>
              <w:spacing w:before="40" w:after="40" w:line="220" w:lineRule="exact"/>
              <w:ind w:left="0" w:right="57"/>
              <w:jc w:val="right"/>
              <w:rPr>
                <w:sz w:val="18"/>
              </w:rPr>
            </w:pPr>
            <w:r w:rsidRPr="0024488B">
              <w:rPr>
                <w:sz w:val="18"/>
              </w:rPr>
              <w:t>166</w:t>
            </w:r>
            <w:r w:rsidR="00895A8F">
              <w:rPr>
                <w:sz w:val="18"/>
              </w:rPr>
              <w:t xml:space="preserve"> </w:t>
            </w:r>
            <w:r w:rsidRPr="0024488B">
              <w:rPr>
                <w:sz w:val="18"/>
              </w:rPr>
              <w:t>758</w:t>
            </w:r>
          </w:p>
        </w:tc>
        <w:tc>
          <w:tcPr>
            <w:tcW w:w="949" w:type="dxa"/>
            <w:tcBorders>
              <w:bottom w:val="single" w:sz="4" w:space="0" w:color="auto"/>
            </w:tcBorders>
            <w:shd w:val="clear" w:color="auto" w:fill="auto"/>
          </w:tcPr>
          <w:p w14:paraId="250191B8" w14:textId="77777777" w:rsidR="0024488B" w:rsidRPr="0024488B" w:rsidRDefault="0024488B" w:rsidP="0024488B">
            <w:pPr>
              <w:pStyle w:val="SingleTxtG"/>
              <w:spacing w:before="40" w:after="40" w:line="220" w:lineRule="exact"/>
              <w:ind w:left="0" w:right="0"/>
              <w:jc w:val="right"/>
              <w:rPr>
                <w:sz w:val="18"/>
              </w:rPr>
            </w:pPr>
            <w:r w:rsidRPr="0024488B">
              <w:rPr>
                <w:sz w:val="18"/>
              </w:rPr>
              <w:t>29</w:t>
            </w:r>
            <w:r w:rsidR="00895A8F">
              <w:rPr>
                <w:sz w:val="18"/>
              </w:rPr>
              <w:t xml:space="preserve"> </w:t>
            </w:r>
            <w:r w:rsidRPr="0024488B">
              <w:rPr>
                <w:sz w:val="18"/>
              </w:rPr>
              <w:t>900</w:t>
            </w:r>
          </w:p>
        </w:tc>
        <w:tc>
          <w:tcPr>
            <w:tcW w:w="948" w:type="dxa"/>
            <w:tcBorders>
              <w:bottom w:val="single" w:sz="4" w:space="0" w:color="auto"/>
            </w:tcBorders>
            <w:shd w:val="clear" w:color="auto" w:fill="auto"/>
          </w:tcPr>
          <w:p w14:paraId="48400407" w14:textId="77777777" w:rsidR="0024488B" w:rsidRPr="0024488B" w:rsidRDefault="0024488B" w:rsidP="0024488B">
            <w:pPr>
              <w:pStyle w:val="SingleTxtG"/>
              <w:spacing w:before="40" w:after="40" w:line="220" w:lineRule="exact"/>
              <w:ind w:left="0" w:right="0"/>
              <w:jc w:val="right"/>
              <w:rPr>
                <w:sz w:val="18"/>
              </w:rPr>
            </w:pPr>
            <w:r w:rsidRPr="0024488B">
              <w:rPr>
                <w:sz w:val="18"/>
              </w:rPr>
              <w:t>40</w:t>
            </w:r>
            <w:r w:rsidR="00895A8F">
              <w:rPr>
                <w:sz w:val="18"/>
              </w:rPr>
              <w:t xml:space="preserve"> </w:t>
            </w:r>
            <w:r w:rsidRPr="0024488B">
              <w:rPr>
                <w:sz w:val="18"/>
              </w:rPr>
              <w:t>871</w:t>
            </w:r>
          </w:p>
        </w:tc>
        <w:tc>
          <w:tcPr>
            <w:tcW w:w="949" w:type="dxa"/>
            <w:tcBorders>
              <w:bottom w:val="single" w:sz="4" w:space="0" w:color="auto"/>
            </w:tcBorders>
            <w:shd w:val="clear" w:color="auto" w:fill="auto"/>
          </w:tcPr>
          <w:p w14:paraId="5AE7659F" w14:textId="77777777" w:rsidR="0024488B" w:rsidRPr="0024488B" w:rsidRDefault="0024488B" w:rsidP="00F836D2">
            <w:pPr>
              <w:pStyle w:val="SingleTxtG"/>
              <w:spacing w:before="40" w:after="40" w:line="220" w:lineRule="exact"/>
              <w:ind w:left="0" w:right="57"/>
              <w:jc w:val="right"/>
              <w:rPr>
                <w:sz w:val="18"/>
              </w:rPr>
            </w:pPr>
            <w:r w:rsidRPr="0024488B">
              <w:rPr>
                <w:sz w:val="18"/>
              </w:rPr>
              <w:t>70</w:t>
            </w:r>
            <w:r w:rsidR="00895A8F">
              <w:rPr>
                <w:sz w:val="18"/>
              </w:rPr>
              <w:t xml:space="preserve"> </w:t>
            </w:r>
            <w:r w:rsidRPr="0024488B">
              <w:rPr>
                <w:sz w:val="18"/>
              </w:rPr>
              <w:t>771</w:t>
            </w:r>
          </w:p>
        </w:tc>
        <w:tc>
          <w:tcPr>
            <w:tcW w:w="949" w:type="dxa"/>
            <w:tcBorders>
              <w:bottom w:val="single" w:sz="4" w:space="0" w:color="auto"/>
            </w:tcBorders>
            <w:shd w:val="clear" w:color="auto" w:fill="auto"/>
          </w:tcPr>
          <w:p w14:paraId="7A325FDF" w14:textId="77777777" w:rsidR="0024488B" w:rsidRPr="0024488B" w:rsidRDefault="0024488B" w:rsidP="0024488B">
            <w:pPr>
              <w:pStyle w:val="SingleTxtG"/>
              <w:spacing w:before="40" w:after="40" w:line="220" w:lineRule="exact"/>
              <w:ind w:left="0" w:right="0"/>
              <w:jc w:val="right"/>
              <w:rPr>
                <w:sz w:val="18"/>
              </w:rPr>
            </w:pPr>
            <w:r w:rsidRPr="0024488B">
              <w:rPr>
                <w:sz w:val="18"/>
              </w:rPr>
              <w:t>96</w:t>
            </w:r>
            <w:r w:rsidR="00895A8F">
              <w:rPr>
                <w:sz w:val="18"/>
              </w:rPr>
              <w:t xml:space="preserve"> </w:t>
            </w:r>
            <w:r w:rsidRPr="0024488B">
              <w:rPr>
                <w:sz w:val="18"/>
              </w:rPr>
              <w:t>819</w:t>
            </w:r>
          </w:p>
        </w:tc>
        <w:tc>
          <w:tcPr>
            <w:tcW w:w="949" w:type="dxa"/>
            <w:tcBorders>
              <w:bottom w:val="single" w:sz="4" w:space="0" w:color="auto"/>
            </w:tcBorders>
            <w:shd w:val="clear" w:color="auto" w:fill="auto"/>
          </w:tcPr>
          <w:p w14:paraId="7994E96A" w14:textId="77777777" w:rsidR="0024488B" w:rsidRPr="0024488B" w:rsidRDefault="0024488B" w:rsidP="0024488B">
            <w:pPr>
              <w:pStyle w:val="SingleTxtG"/>
              <w:spacing w:before="40" w:after="40" w:line="220" w:lineRule="exact"/>
              <w:ind w:left="0" w:right="0"/>
              <w:jc w:val="right"/>
              <w:rPr>
                <w:sz w:val="18"/>
              </w:rPr>
            </w:pPr>
            <w:r w:rsidRPr="0024488B">
              <w:rPr>
                <w:sz w:val="18"/>
              </w:rPr>
              <w:t>140</w:t>
            </w:r>
            <w:r w:rsidR="00895A8F">
              <w:rPr>
                <w:sz w:val="18"/>
              </w:rPr>
              <w:t xml:space="preserve"> </w:t>
            </w:r>
            <w:r w:rsidRPr="0024488B">
              <w:rPr>
                <w:sz w:val="18"/>
              </w:rPr>
              <w:t>710</w:t>
            </w:r>
          </w:p>
        </w:tc>
        <w:tc>
          <w:tcPr>
            <w:tcW w:w="949" w:type="dxa"/>
            <w:tcBorders>
              <w:bottom w:val="single" w:sz="4" w:space="0" w:color="auto"/>
            </w:tcBorders>
            <w:shd w:val="clear" w:color="auto" w:fill="auto"/>
          </w:tcPr>
          <w:p w14:paraId="60CB8E01" w14:textId="77777777" w:rsidR="0024488B" w:rsidRPr="0024488B" w:rsidRDefault="0024488B" w:rsidP="0024488B">
            <w:pPr>
              <w:pStyle w:val="SingleTxtG"/>
              <w:spacing w:before="40" w:after="40" w:line="220" w:lineRule="exact"/>
              <w:ind w:left="0" w:right="0"/>
              <w:jc w:val="right"/>
              <w:rPr>
                <w:sz w:val="18"/>
              </w:rPr>
            </w:pPr>
            <w:r w:rsidRPr="0024488B">
              <w:rPr>
                <w:sz w:val="18"/>
              </w:rPr>
              <w:t>237</w:t>
            </w:r>
            <w:r w:rsidR="00895A8F">
              <w:rPr>
                <w:sz w:val="18"/>
              </w:rPr>
              <w:t xml:space="preserve"> </w:t>
            </w:r>
            <w:r w:rsidRPr="0024488B">
              <w:rPr>
                <w:sz w:val="18"/>
              </w:rPr>
              <w:t>529</w:t>
            </w:r>
          </w:p>
        </w:tc>
      </w:tr>
      <w:tr w:rsidR="0024488B" w:rsidRPr="0024488B" w14:paraId="4DB75D6E" w14:textId="77777777" w:rsidTr="0024488B">
        <w:tc>
          <w:tcPr>
            <w:tcW w:w="1218" w:type="dxa"/>
            <w:tcBorders>
              <w:top w:val="single" w:sz="4" w:space="0" w:color="auto"/>
              <w:bottom w:val="single" w:sz="12" w:space="0" w:color="auto"/>
            </w:tcBorders>
            <w:shd w:val="clear" w:color="auto" w:fill="auto"/>
          </w:tcPr>
          <w:p w14:paraId="16BB1776" w14:textId="77777777" w:rsidR="0024488B" w:rsidRPr="0024488B" w:rsidRDefault="0024488B" w:rsidP="0024488B">
            <w:pPr>
              <w:pStyle w:val="SingleTxtG"/>
              <w:spacing w:before="80" w:after="80" w:line="220" w:lineRule="exact"/>
              <w:ind w:left="284" w:right="0"/>
              <w:jc w:val="left"/>
              <w:rPr>
                <w:b/>
                <w:bCs/>
                <w:sz w:val="18"/>
              </w:rPr>
            </w:pPr>
            <w:r w:rsidRPr="0024488B">
              <w:rPr>
                <w:b/>
                <w:bCs/>
                <w:sz w:val="18"/>
              </w:rPr>
              <w:t>Total</w:t>
            </w:r>
          </w:p>
        </w:tc>
        <w:tc>
          <w:tcPr>
            <w:tcW w:w="948" w:type="dxa"/>
            <w:tcBorders>
              <w:top w:val="single" w:sz="4" w:space="0" w:color="auto"/>
              <w:bottom w:val="single" w:sz="12" w:space="0" w:color="auto"/>
            </w:tcBorders>
            <w:shd w:val="clear" w:color="auto" w:fill="auto"/>
          </w:tcPr>
          <w:p w14:paraId="227FCD3B"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13</w:t>
            </w:r>
            <w:r w:rsidR="00895A8F">
              <w:rPr>
                <w:b/>
                <w:bCs/>
                <w:sz w:val="18"/>
              </w:rPr>
              <w:t xml:space="preserve"> </w:t>
            </w:r>
            <w:r w:rsidRPr="0024488B">
              <w:rPr>
                <w:b/>
                <w:bCs/>
                <w:sz w:val="18"/>
              </w:rPr>
              <w:t>438</w:t>
            </w:r>
            <w:r w:rsidR="00895A8F">
              <w:rPr>
                <w:b/>
                <w:bCs/>
                <w:sz w:val="18"/>
              </w:rPr>
              <w:t xml:space="preserve"> </w:t>
            </w:r>
            <w:r w:rsidRPr="0024488B">
              <w:rPr>
                <w:b/>
                <w:bCs/>
                <w:sz w:val="18"/>
              </w:rPr>
              <w:t>654</w:t>
            </w:r>
          </w:p>
        </w:tc>
        <w:tc>
          <w:tcPr>
            <w:tcW w:w="949" w:type="dxa"/>
            <w:tcBorders>
              <w:top w:val="single" w:sz="4" w:space="0" w:color="auto"/>
              <w:bottom w:val="single" w:sz="12" w:space="0" w:color="auto"/>
            </w:tcBorders>
            <w:shd w:val="clear" w:color="auto" w:fill="auto"/>
          </w:tcPr>
          <w:p w14:paraId="1BF10F3A"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13</w:t>
            </w:r>
            <w:r w:rsidR="00895A8F">
              <w:rPr>
                <w:b/>
                <w:bCs/>
                <w:sz w:val="18"/>
              </w:rPr>
              <w:t xml:space="preserve"> </w:t>
            </w:r>
            <w:r w:rsidRPr="0024488B">
              <w:rPr>
                <w:b/>
                <w:bCs/>
                <w:sz w:val="18"/>
              </w:rPr>
              <w:t>189</w:t>
            </w:r>
            <w:r w:rsidR="00895A8F">
              <w:rPr>
                <w:b/>
                <w:bCs/>
                <w:sz w:val="18"/>
              </w:rPr>
              <w:t xml:space="preserve"> </w:t>
            </w:r>
            <w:r w:rsidRPr="0024488B">
              <w:rPr>
                <w:b/>
                <w:bCs/>
                <w:sz w:val="18"/>
              </w:rPr>
              <w:t>679</w:t>
            </w:r>
          </w:p>
        </w:tc>
        <w:tc>
          <w:tcPr>
            <w:tcW w:w="949" w:type="dxa"/>
            <w:tcBorders>
              <w:top w:val="single" w:sz="4" w:space="0" w:color="auto"/>
              <w:bottom w:val="single" w:sz="12" w:space="0" w:color="auto"/>
            </w:tcBorders>
            <w:shd w:val="clear" w:color="auto" w:fill="auto"/>
          </w:tcPr>
          <w:p w14:paraId="09E1DFCB" w14:textId="77777777" w:rsidR="0024488B" w:rsidRPr="0024488B" w:rsidRDefault="0024488B" w:rsidP="00F836D2">
            <w:pPr>
              <w:pStyle w:val="SingleTxtG"/>
              <w:spacing w:before="80" w:after="80" w:line="220" w:lineRule="exact"/>
              <w:ind w:left="0" w:right="57"/>
              <w:jc w:val="right"/>
              <w:rPr>
                <w:b/>
                <w:bCs/>
                <w:sz w:val="18"/>
              </w:rPr>
            </w:pPr>
            <w:r w:rsidRPr="0024488B">
              <w:rPr>
                <w:b/>
                <w:bCs/>
                <w:sz w:val="18"/>
              </w:rPr>
              <w:t>26</w:t>
            </w:r>
            <w:r w:rsidR="00895A8F">
              <w:rPr>
                <w:b/>
                <w:bCs/>
                <w:sz w:val="18"/>
              </w:rPr>
              <w:t xml:space="preserve"> </w:t>
            </w:r>
            <w:r w:rsidRPr="0024488B">
              <w:rPr>
                <w:b/>
                <w:bCs/>
                <w:sz w:val="18"/>
              </w:rPr>
              <w:t>628</w:t>
            </w:r>
            <w:r w:rsidR="00895A8F">
              <w:rPr>
                <w:b/>
                <w:bCs/>
                <w:sz w:val="18"/>
              </w:rPr>
              <w:t xml:space="preserve"> </w:t>
            </w:r>
            <w:r w:rsidRPr="0024488B">
              <w:rPr>
                <w:b/>
                <w:bCs/>
                <w:sz w:val="18"/>
              </w:rPr>
              <w:t>333</w:t>
            </w:r>
          </w:p>
        </w:tc>
        <w:tc>
          <w:tcPr>
            <w:tcW w:w="949" w:type="dxa"/>
            <w:tcBorders>
              <w:top w:val="single" w:sz="4" w:space="0" w:color="auto"/>
              <w:bottom w:val="single" w:sz="12" w:space="0" w:color="auto"/>
            </w:tcBorders>
            <w:shd w:val="clear" w:color="auto" w:fill="auto"/>
          </w:tcPr>
          <w:p w14:paraId="3953194E"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582</w:t>
            </w:r>
            <w:r w:rsidR="00895A8F">
              <w:rPr>
                <w:b/>
                <w:bCs/>
                <w:sz w:val="18"/>
              </w:rPr>
              <w:t xml:space="preserve"> </w:t>
            </w:r>
            <w:r w:rsidRPr="0024488B">
              <w:rPr>
                <w:b/>
                <w:bCs/>
                <w:sz w:val="18"/>
              </w:rPr>
              <w:t>299</w:t>
            </w:r>
          </w:p>
        </w:tc>
        <w:tc>
          <w:tcPr>
            <w:tcW w:w="948" w:type="dxa"/>
            <w:tcBorders>
              <w:top w:val="single" w:sz="4" w:space="0" w:color="auto"/>
              <w:bottom w:val="single" w:sz="12" w:space="0" w:color="auto"/>
            </w:tcBorders>
            <w:shd w:val="clear" w:color="auto" w:fill="auto"/>
          </w:tcPr>
          <w:p w14:paraId="43FEA5C5"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5</w:t>
            </w:r>
            <w:r w:rsidR="00895A8F">
              <w:rPr>
                <w:b/>
                <w:bCs/>
                <w:sz w:val="18"/>
              </w:rPr>
              <w:t xml:space="preserve"> </w:t>
            </w:r>
            <w:r w:rsidRPr="0024488B">
              <w:rPr>
                <w:b/>
                <w:bCs/>
                <w:sz w:val="18"/>
              </w:rPr>
              <w:t>673</w:t>
            </w:r>
            <w:r w:rsidR="00895A8F">
              <w:rPr>
                <w:b/>
                <w:bCs/>
                <w:sz w:val="18"/>
              </w:rPr>
              <w:t xml:space="preserve"> </w:t>
            </w:r>
            <w:r w:rsidRPr="0024488B">
              <w:rPr>
                <w:b/>
                <w:bCs/>
                <w:sz w:val="18"/>
              </w:rPr>
              <w:t>250</w:t>
            </w:r>
          </w:p>
        </w:tc>
        <w:tc>
          <w:tcPr>
            <w:tcW w:w="949" w:type="dxa"/>
            <w:tcBorders>
              <w:top w:val="single" w:sz="4" w:space="0" w:color="auto"/>
              <w:bottom w:val="single" w:sz="12" w:space="0" w:color="auto"/>
            </w:tcBorders>
            <w:shd w:val="clear" w:color="auto" w:fill="auto"/>
          </w:tcPr>
          <w:p w14:paraId="1B2A47A4" w14:textId="77777777" w:rsidR="0024488B" w:rsidRPr="0024488B" w:rsidRDefault="0024488B" w:rsidP="00F836D2">
            <w:pPr>
              <w:pStyle w:val="SingleTxtG"/>
              <w:spacing w:before="80" w:after="80" w:line="220" w:lineRule="exact"/>
              <w:ind w:left="0" w:right="57"/>
              <w:jc w:val="right"/>
              <w:rPr>
                <w:b/>
                <w:bCs/>
                <w:sz w:val="18"/>
              </w:rPr>
            </w:pPr>
            <w:r w:rsidRPr="0024488B">
              <w:rPr>
                <w:b/>
                <w:bCs/>
                <w:sz w:val="18"/>
              </w:rPr>
              <w:t>11</w:t>
            </w:r>
            <w:r w:rsidR="00895A8F">
              <w:rPr>
                <w:b/>
                <w:bCs/>
                <w:sz w:val="18"/>
              </w:rPr>
              <w:t xml:space="preserve"> </w:t>
            </w:r>
            <w:r w:rsidRPr="0024488B">
              <w:rPr>
                <w:b/>
                <w:bCs/>
                <w:sz w:val="18"/>
              </w:rPr>
              <w:t>495</w:t>
            </w:r>
            <w:r w:rsidR="00895A8F">
              <w:rPr>
                <w:b/>
                <w:bCs/>
                <w:sz w:val="18"/>
              </w:rPr>
              <w:t xml:space="preserve"> </w:t>
            </w:r>
            <w:r w:rsidRPr="0024488B">
              <w:rPr>
                <w:b/>
                <w:bCs/>
                <w:sz w:val="18"/>
              </w:rPr>
              <w:t>849</w:t>
            </w:r>
          </w:p>
        </w:tc>
        <w:tc>
          <w:tcPr>
            <w:tcW w:w="949" w:type="dxa"/>
            <w:tcBorders>
              <w:top w:val="single" w:sz="4" w:space="0" w:color="auto"/>
              <w:bottom w:val="single" w:sz="12" w:space="0" w:color="auto"/>
            </w:tcBorders>
            <w:shd w:val="clear" w:color="auto" w:fill="auto"/>
          </w:tcPr>
          <w:p w14:paraId="400B2696"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19</w:t>
            </w:r>
            <w:r w:rsidR="00895A8F">
              <w:rPr>
                <w:b/>
                <w:bCs/>
                <w:sz w:val="18"/>
              </w:rPr>
              <w:t xml:space="preserve"> </w:t>
            </w:r>
            <w:r w:rsidRPr="0024488B">
              <w:rPr>
                <w:b/>
                <w:bCs/>
                <w:sz w:val="18"/>
              </w:rPr>
              <w:t>261</w:t>
            </w:r>
            <w:r w:rsidR="00895A8F">
              <w:rPr>
                <w:b/>
                <w:bCs/>
                <w:sz w:val="18"/>
              </w:rPr>
              <w:t xml:space="preserve"> </w:t>
            </w:r>
            <w:r w:rsidRPr="0024488B">
              <w:rPr>
                <w:b/>
                <w:bCs/>
                <w:sz w:val="18"/>
              </w:rPr>
              <w:t>253</w:t>
            </w:r>
          </w:p>
        </w:tc>
        <w:tc>
          <w:tcPr>
            <w:tcW w:w="949" w:type="dxa"/>
            <w:tcBorders>
              <w:top w:val="single" w:sz="4" w:space="0" w:color="auto"/>
              <w:bottom w:val="single" w:sz="12" w:space="0" w:color="auto"/>
            </w:tcBorders>
            <w:shd w:val="clear" w:color="auto" w:fill="auto"/>
          </w:tcPr>
          <w:p w14:paraId="06D41154"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18</w:t>
            </w:r>
            <w:r w:rsidR="00895A8F">
              <w:rPr>
                <w:b/>
                <w:bCs/>
                <w:sz w:val="18"/>
              </w:rPr>
              <w:t xml:space="preserve"> </w:t>
            </w:r>
            <w:r w:rsidRPr="0024488B">
              <w:rPr>
                <w:b/>
                <w:bCs/>
                <w:sz w:val="18"/>
              </w:rPr>
              <w:t>862</w:t>
            </w:r>
            <w:r w:rsidR="00895A8F">
              <w:rPr>
                <w:b/>
                <w:bCs/>
                <w:sz w:val="18"/>
              </w:rPr>
              <w:t xml:space="preserve"> </w:t>
            </w:r>
            <w:r w:rsidRPr="0024488B">
              <w:rPr>
                <w:b/>
                <w:bCs/>
                <w:sz w:val="18"/>
              </w:rPr>
              <w:t>929</w:t>
            </w:r>
          </w:p>
        </w:tc>
        <w:tc>
          <w:tcPr>
            <w:tcW w:w="949" w:type="dxa"/>
            <w:tcBorders>
              <w:top w:val="single" w:sz="4" w:space="0" w:color="auto"/>
              <w:bottom w:val="single" w:sz="12" w:space="0" w:color="auto"/>
            </w:tcBorders>
            <w:shd w:val="clear" w:color="auto" w:fill="auto"/>
          </w:tcPr>
          <w:p w14:paraId="10A965E9" w14:textId="77777777" w:rsidR="0024488B" w:rsidRPr="0024488B" w:rsidRDefault="0024488B" w:rsidP="0024488B">
            <w:pPr>
              <w:pStyle w:val="SingleTxtG"/>
              <w:spacing w:before="80" w:after="80" w:line="220" w:lineRule="exact"/>
              <w:ind w:left="0" w:right="0"/>
              <w:jc w:val="right"/>
              <w:rPr>
                <w:b/>
                <w:bCs/>
                <w:sz w:val="18"/>
              </w:rPr>
            </w:pPr>
            <w:r w:rsidRPr="0024488B">
              <w:rPr>
                <w:b/>
                <w:bCs/>
                <w:sz w:val="18"/>
              </w:rPr>
              <w:t>38</w:t>
            </w:r>
            <w:r w:rsidR="00895A8F">
              <w:rPr>
                <w:b/>
                <w:bCs/>
                <w:sz w:val="18"/>
              </w:rPr>
              <w:t xml:space="preserve"> </w:t>
            </w:r>
            <w:r w:rsidRPr="0024488B">
              <w:rPr>
                <w:b/>
                <w:bCs/>
                <w:sz w:val="18"/>
              </w:rPr>
              <w:t>124</w:t>
            </w:r>
            <w:r w:rsidR="00895A8F">
              <w:rPr>
                <w:b/>
                <w:bCs/>
                <w:sz w:val="18"/>
              </w:rPr>
              <w:t xml:space="preserve"> </w:t>
            </w:r>
            <w:r w:rsidRPr="0024488B">
              <w:rPr>
                <w:b/>
                <w:bCs/>
                <w:sz w:val="18"/>
              </w:rPr>
              <w:t>182</w:t>
            </w:r>
          </w:p>
        </w:tc>
      </w:tr>
    </w:tbl>
    <w:p w14:paraId="0E88313C" w14:textId="77777777" w:rsidR="008A38B9" w:rsidRPr="001F4EC7" w:rsidRDefault="008A38B9" w:rsidP="001F4EC7">
      <w:pPr>
        <w:spacing w:before="120" w:after="240" w:line="240" w:lineRule="auto"/>
        <w:rPr>
          <w:sz w:val="18"/>
          <w:szCs w:val="18"/>
        </w:rPr>
      </w:pPr>
      <w:r w:rsidRPr="001F4EC7">
        <w:rPr>
          <w:sz w:val="18"/>
          <w:szCs w:val="18"/>
        </w:rPr>
        <w:t>*</w:t>
      </w:r>
      <w:r w:rsidR="001F4EC7" w:rsidRPr="001F4EC7">
        <w:rPr>
          <w:sz w:val="18"/>
          <w:szCs w:val="18"/>
        </w:rPr>
        <w:t xml:space="preserve">  </w:t>
      </w:r>
      <w:r w:rsidRPr="001F4EC7">
        <w:rPr>
          <w:sz w:val="18"/>
          <w:szCs w:val="18"/>
        </w:rPr>
        <w:t>Ministerio de Planificación: Estimaciones de población del Iraq para 2018.</w:t>
      </w:r>
    </w:p>
    <w:p w14:paraId="19D59055" w14:textId="77777777" w:rsidR="008A38B9" w:rsidRPr="008A38B9" w:rsidRDefault="001F4EC7" w:rsidP="001F4EC7">
      <w:pPr>
        <w:pStyle w:val="HChG"/>
      </w:pPr>
      <w:r>
        <w:tab/>
      </w:r>
      <w:r w:rsidR="008A38B9" w:rsidRPr="008A38B9">
        <w:tab/>
        <w:t>Idiomas</w:t>
      </w:r>
    </w:p>
    <w:p w14:paraId="310ED5EF" w14:textId="77777777" w:rsidR="008A38B9" w:rsidRPr="008A38B9" w:rsidRDefault="008A38B9" w:rsidP="001F4EC7">
      <w:pPr>
        <w:pStyle w:val="SingleTxtG"/>
      </w:pPr>
      <w:r w:rsidRPr="008A38B9">
        <w:t>22.</w:t>
      </w:r>
      <w:r w:rsidRPr="008A38B9">
        <w:tab/>
        <w:t xml:space="preserve">La Constitución iraquí reconoce el árabe y el kurdo como idiomas oficiales del Iraq y ampara el derecho de los iraquíes a que sus hijos sean educados en su lengua materna (por ejemplo, en turcomano, siríaco o armenio) en las instituciones públicas de enseñanza con sujeción a las directrices emanadas del Ministerio de Educación, así como en cualesquiera otras lenguas en los establecimientos educativos privados. </w:t>
      </w:r>
    </w:p>
    <w:p w14:paraId="21320F7D" w14:textId="77777777" w:rsidR="008A38B9" w:rsidRPr="008A38B9" w:rsidRDefault="008A38B9" w:rsidP="001F4EC7">
      <w:pPr>
        <w:pStyle w:val="SingleTxtG"/>
      </w:pPr>
      <w:r w:rsidRPr="008A38B9">
        <w:t>23.</w:t>
      </w:r>
      <w:r w:rsidRPr="008A38B9">
        <w:tab/>
        <w:t xml:space="preserve">La Región del Kurdistán promulgó la Ley núm. 6/2014 de las Lenguas Oficiales en la Región del Kurdistán, cuyo artículo 22 dispone lo siguiente: </w:t>
      </w:r>
      <w:r w:rsidR="001D4448">
        <w:t>“</w:t>
      </w:r>
      <w:r w:rsidRPr="008A38B9">
        <w:t>En las unidades administrativas con una alta densidad de población de otra comunidad étnica, la lengua de esa comunidad pasará a ser, junto con la kurda, idioma oficial para la enseñanza, la correspondencia oficial y los asuntos administrativos e internos</w:t>
      </w:r>
      <w:r w:rsidR="001D4448">
        <w:t>”</w:t>
      </w:r>
      <w:r w:rsidRPr="008A38B9">
        <w:t>.</w:t>
      </w:r>
    </w:p>
    <w:p w14:paraId="1888E3D6" w14:textId="77777777" w:rsidR="008A38B9" w:rsidRPr="008A38B9" w:rsidRDefault="008A38B9" w:rsidP="001F4EC7">
      <w:pPr>
        <w:pStyle w:val="SingleTxtG"/>
      </w:pPr>
      <w:r w:rsidRPr="008A38B9">
        <w:t>24.</w:t>
      </w:r>
      <w:r w:rsidRPr="008A38B9">
        <w:tab/>
        <w:t>La Ley núm. 7/2014 de las Lenguas Oficiales, de conformidad con la religión islámica, cuyos preceptos salvaguardan el respeto a todas las lenguas, ampara en la nueva era federal la diversidad étnica y lingüística del Iraq y la dimensión humanista de sus civilizaciones, de modo que las comunidades principales que conforman el Iraq puedan dar voz a sus necesidades y exigencias con libertad y en su lengua materna.</w:t>
      </w:r>
    </w:p>
    <w:p w14:paraId="56994FC6" w14:textId="77777777" w:rsidR="008A38B9" w:rsidRPr="008A38B9" w:rsidRDefault="001F4EC7" w:rsidP="001F4EC7">
      <w:pPr>
        <w:pStyle w:val="HChG"/>
        <w:rPr>
          <w:u w:val="single"/>
        </w:rPr>
      </w:pPr>
      <w:r>
        <w:lastRenderedPageBreak/>
        <w:tab/>
      </w:r>
      <w:r>
        <w:tab/>
      </w:r>
      <w:r w:rsidR="008A38B9" w:rsidRPr="008A38B9">
        <w:t>Diversidad étnica y religiosa</w:t>
      </w:r>
    </w:p>
    <w:p w14:paraId="52964043" w14:textId="77777777" w:rsidR="008A38B9" w:rsidRPr="008A38B9" w:rsidRDefault="008A38B9" w:rsidP="001F4EC7">
      <w:pPr>
        <w:pStyle w:val="SingleTxtG"/>
      </w:pPr>
      <w:r w:rsidRPr="008A38B9">
        <w:t>25.</w:t>
      </w:r>
      <w:r w:rsidRPr="008A38B9">
        <w:tab/>
        <w:t>El Iraq, como el resto del Mashreq, se caracteriza por la diversidad étnica y religiosa. La inmensa mayoría de sus habitantes son árabes. Les siguen los kurdos, los turcomanos y otros grupos étnicos y religiosos menos numerosos, como los caldeos, los siríacos y los asirios.</w:t>
      </w:r>
    </w:p>
    <w:p w14:paraId="692C224E" w14:textId="77777777" w:rsidR="008A38B9" w:rsidRDefault="008A38B9" w:rsidP="001F4EC7">
      <w:pPr>
        <w:pStyle w:val="SingleTxtG"/>
      </w:pPr>
      <w:r w:rsidRPr="008A38B9">
        <w:t>26.</w:t>
      </w:r>
      <w:r w:rsidRPr="008A38B9">
        <w:tab/>
        <w:t>En el cuadro siguiente figura información sobre la población del Iraq, sin incluir la Región del Kurdistán, con datos desglosados por comunidad étnica. La información procede del Órgano Central de Estadísticas y de Tecnología de la Información y corresponde al censo de población de 1997.</w:t>
      </w:r>
    </w:p>
    <w:tbl>
      <w:tblPr>
        <w:tblStyle w:val="Tablaconcuadrcula"/>
        <w:tblW w:w="950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
        <w:gridCol w:w="979"/>
        <w:gridCol w:w="897"/>
        <w:gridCol w:w="1063"/>
        <w:gridCol w:w="980"/>
        <w:gridCol w:w="980"/>
        <w:gridCol w:w="980"/>
        <w:gridCol w:w="882"/>
        <w:gridCol w:w="1078"/>
        <w:gridCol w:w="980"/>
      </w:tblGrid>
      <w:tr w:rsidR="001F4EC7" w:rsidRPr="001F4EC7" w14:paraId="07C40B6F" w14:textId="77777777" w:rsidTr="001F4EC7">
        <w:tc>
          <w:tcPr>
            <w:tcW w:w="686" w:type="dxa"/>
            <w:tcBorders>
              <w:top w:val="single" w:sz="4" w:space="0" w:color="auto"/>
            </w:tcBorders>
            <w:shd w:val="clear" w:color="auto" w:fill="auto"/>
            <w:vAlign w:val="bottom"/>
          </w:tcPr>
          <w:p w14:paraId="5D2CED9D" w14:textId="77777777" w:rsidR="001F4EC7" w:rsidRPr="001F4EC7" w:rsidRDefault="001F4EC7" w:rsidP="001F4EC7">
            <w:pPr>
              <w:pStyle w:val="SingleTxtG"/>
              <w:spacing w:before="80" w:after="80" w:line="200" w:lineRule="exact"/>
              <w:ind w:left="0" w:right="0"/>
              <w:jc w:val="left"/>
              <w:rPr>
                <w:i/>
                <w:sz w:val="16"/>
              </w:rPr>
            </w:pPr>
          </w:p>
        </w:tc>
        <w:tc>
          <w:tcPr>
            <w:tcW w:w="8819" w:type="dxa"/>
            <w:gridSpan w:val="9"/>
            <w:tcBorders>
              <w:top w:val="single" w:sz="4" w:space="0" w:color="auto"/>
              <w:bottom w:val="single" w:sz="4" w:space="0" w:color="auto"/>
            </w:tcBorders>
            <w:shd w:val="clear" w:color="auto" w:fill="auto"/>
            <w:vAlign w:val="center"/>
          </w:tcPr>
          <w:p w14:paraId="1FA493BA" w14:textId="77777777" w:rsidR="001F4EC7" w:rsidRPr="001F4EC7" w:rsidRDefault="001F4EC7" w:rsidP="001F4EC7">
            <w:pPr>
              <w:pStyle w:val="SingleTxtG"/>
              <w:spacing w:before="80" w:after="80" w:line="200" w:lineRule="exact"/>
              <w:ind w:left="0" w:right="0"/>
              <w:jc w:val="center"/>
              <w:rPr>
                <w:i/>
                <w:sz w:val="16"/>
              </w:rPr>
            </w:pPr>
            <w:r w:rsidRPr="001F4EC7">
              <w:rPr>
                <w:i/>
                <w:sz w:val="16"/>
              </w:rPr>
              <w:t>Distribución de la población iraquí por comunidades étnicas, con independencia de su religión</w:t>
            </w:r>
          </w:p>
        </w:tc>
      </w:tr>
      <w:tr w:rsidR="001F4EC7" w:rsidRPr="001F4EC7" w14:paraId="26263695" w14:textId="77777777" w:rsidTr="001F4EC7">
        <w:tc>
          <w:tcPr>
            <w:tcW w:w="686" w:type="dxa"/>
            <w:tcBorders>
              <w:bottom w:val="single" w:sz="12" w:space="0" w:color="auto"/>
            </w:tcBorders>
            <w:shd w:val="clear" w:color="auto" w:fill="auto"/>
            <w:vAlign w:val="bottom"/>
          </w:tcPr>
          <w:p w14:paraId="06F75208" w14:textId="77777777" w:rsidR="001F4EC7" w:rsidRPr="001F4EC7" w:rsidRDefault="001F4EC7" w:rsidP="001F4EC7">
            <w:pPr>
              <w:pStyle w:val="SingleTxtG"/>
              <w:spacing w:before="80" w:after="80" w:line="200" w:lineRule="exact"/>
              <w:ind w:left="0" w:right="0"/>
              <w:jc w:val="left"/>
              <w:rPr>
                <w:i/>
                <w:sz w:val="16"/>
              </w:rPr>
            </w:pPr>
            <w:r w:rsidRPr="001F4EC7">
              <w:rPr>
                <w:i/>
                <w:sz w:val="16"/>
              </w:rPr>
              <w:t>Año</w:t>
            </w:r>
          </w:p>
        </w:tc>
        <w:tc>
          <w:tcPr>
            <w:tcW w:w="979" w:type="dxa"/>
            <w:tcBorders>
              <w:top w:val="single" w:sz="4" w:space="0" w:color="auto"/>
              <w:bottom w:val="single" w:sz="12" w:space="0" w:color="auto"/>
            </w:tcBorders>
            <w:shd w:val="clear" w:color="auto" w:fill="auto"/>
            <w:vAlign w:val="center"/>
          </w:tcPr>
          <w:p w14:paraId="5912B2EE" w14:textId="77777777" w:rsidR="001F4EC7" w:rsidRPr="001F4EC7" w:rsidRDefault="001F4EC7" w:rsidP="001F4EC7">
            <w:pPr>
              <w:pStyle w:val="SingleTxtG"/>
              <w:spacing w:before="80" w:after="80" w:line="200" w:lineRule="exact"/>
              <w:ind w:left="0" w:right="0"/>
              <w:jc w:val="right"/>
              <w:rPr>
                <w:i/>
                <w:sz w:val="16"/>
              </w:rPr>
            </w:pPr>
            <w:r w:rsidRPr="001F4EC7">
              <w:rPr>
                <w:i/>
                <w:sz w:val="16"/>
              </w:rPr>
              <w:t>Árabes</w:t>
            </w:r>
          </w:p>
        </w:tc>
        <w:tc>
          <w:tcPr>
            <w:tcW w:w="897" w:type="dxa"/>
            <w:tcBorders>
              <w:top w:val="single" w:sz="4" w:space="0" w:color="auto"/>
              <w:bottom w:val="single" w:sz="12" w:space="0" w:color="auto"/>
            </w:tcBorders>
            <w:shd w:val="clear" w:color="auto" w:fill="auto"/>
            <w:vAlign w:val="center"/>
          </w:tcPr>
          <w:p w14:paraId="3D672CE0" w14:textId="77777777" w:rsidR="001F4EC7" w:rsidRPr="001F4EC7" w:rsidRDefault="001F4EC7" w:rsidP="001F4EC7">
            <w:pPr>
              <w:pStyle w:val="SingleTxtG"/>
              <w:spacing w:before="80" w:after="80" w:line="200" w:lineRule="exact"/>
              <w:ind w:left="0" w:right="0"/>
              <w:jc w:val="right"/>
              <w:rPr>
                <w:i/>
                <w:sz w:val="16"/>
              </w:rPr>
            </w:pPr>
            <w:r w:rsidRPr="001F4EC7">
              <w:rPr>
                <w:i/>
                <w:sz w:val="16"/>
              </w:rPr>
              <w:t>Kurdos</w:t>
            </w:r>
          </w:p>
        </w:tc>
        <w:tc>
          <w:tcPr>
            <w:tcW w:w="1063" w:type="dxa"/>
            <w:tcBorders>
              <w:top w:val="single" w:sz="4" w:space="0" w:color="auto"/>
              <w:bottom w:val="single" w:sz="12" w:space="0" w:color="auto"/>
            </w:tcBorders>
            <w:shd w:val="clear" w:color="auto" w:fill="auto"/>
            <w:vAlign w:val="center"/>
          </w:tcPr>
          <w:p w14:paraId="3A31741A" w14:textId="77777777" w:rsidR="001F4EC7" w:rsidRPr="001F4EC7" w:rsidRDefault="001F4EC7" w:rsidP="001F4EC7">
            <w:pPr>
              <w:pStyle w:val="SingleTxtG"/>
              <w:spacing w:before="80" w:after="80" w:line="200" w:lineRule="exact"/>
              <w:ind w:left="0" w:right="0"/>
              <w:jc w:val="right"/>
              <w:rPr>
                <w:i/>
                <w:sz w:val="16"/>
              </w:rPr>
            </w:pPr>
            <w:r w:rsidRPr="001F4EC7">
              <w:rPr>
                <w:i/>
                <w:sz w:val="16"/>
              </w:rPr>
              <w:t>Kurdos feilíes</w:t>
            </w:r>
          </w:p>
        </w:tc>
        <w:tc>
          <w:tcPr>
            <w:tcW w:w="980" w:type="dxa"/>
            <w:tcBorders>
              <w:top w:val="single" w:sz="4" w:space="0" w:color="auto"/>
              <w:bottom w:val="single" w:sz="12" w:space="0" w:color="auto"/>
            </w:tcBorders>
            <w:shd w:val="clear" w:color="auto" w:fill="auto"/>
            <w:vAlign w:val="center"/>
          </w:tcPr>
          <w:p w14:paraId="163FE469" w14:textId="77777777" w:rsidR="001F4EC7" w:rsidRPr="001F4EC7" w:rsidRDefault="001F4EC7" w:rsidP="001F4EC7">
            <w:pPr>
              <w:pStyle w:val="SingleTxtG"/>
              <w:spacing w:before="80" w:after="80" w:line="200" w:lineRule="exact"/>
              <w:ind w:left="0" w:right="0"/>
              <w:jc w:val="right"/>
              <w:rPr>
                <w:i/>
                <w:sz w:val="16"/>
              </w:rPr>
            </w:pPr>
            <w:r w:rsidRPr="001F4EC7">
              <w:rPr>
                <w:i/>
                <w:sz w:val="16"/>
              </w:rPr>
              <w:t>Turcomanos</w:t>
            </w:r>
          </w:p>
        </w:tc>
        <w:tc>
          <w:tcPr>
            <w:tcW w:w="980" w:type="dxa"/>
            <w:tcBorders>
              <w:top w:val="single" w:sz="4" w:space="0" w:color="auto"/>
              <w:bottom w:val="single" w:sz="12" w:space="0" w:color="auto"/>
            </w:tcBorders>
            <w:shd w:val="clear" w:color="auto" w:fill="auto"/>
            <w:vAlign w:val="center"/>
          </w:tcPr>
          <w:p w14:paraId="2C2A5741" w14:textId="77777777" w:rsidR="001F4EC7" w:rsidRPr="001F4EC7" w:rsidRDefault="001F4EC7" w:rsidP="001F4EC7">
            <w:pPr>
              <w:pStyle w:val="SingleTxtG"/>
              <w:spacing w:before="80" w:after="80" w:line="200" w:lineRule="exact"/>
              <w:ind w:left="0" w:right="0"/>
              <w:jc w:val="right"/>
              <w:rPr>
                <w:i/>
                <w:sz w:val="16"/>
              </w:rPr>
            </w:pPr>
            <w:r w:rsidRPr="001F4EC7">
              <w:rPr>
                <w:i/>
                <w:sz w:val="16"/>
              </w:rPr>
              <w:t>Armenios</w:t>
            </w:r>
          </w:p>
        </w:tc>
        <w:tc>
          <w:tcPr>
            <w:tcW w:w="980" w:type="dxa"/>
            <w:tcBorders>
              <w:top w:val="single" w:sz="4" w:space="0" w:color="auto"/>
              <w:bottom w:val="single" w:sz="12" w:space="0" w:color="auto"/>
            </w:tcBorders>
            <w:shd w:val="clear" w:color="auto" w:fill="auto"/>
            <w:vAlign w:val="center"/>
          </w:tcPr>
          <w:p w14:paraId="6F621A8C" w14:textId="77777777" w:rsidR="001F4EC7" w:rsidRPr="001F4EC7" w:rsidRDefault="001F4EC7" w:rsidP="001F4EC7">
            <w:pPr>
              <w:pStyle w:val="SingleTxtG"/>
              <w:spacing w:before="80" w:after="80" w:line="200" w:lineRule="exact"/>
              <w:ind w:left="0" w:right="0"/>
              <w:jc w:val="right"/>
              <w:rPr>
                <w:i/>
                <w:sz w:val="16"/>
              </w:rPr>
            </w:pPr>
            <w:r w:rsidRPr="001F4EC7">
              <w:rPr>
                <w:i/>
                <w:sz w:val="16"/>
              </w:rPr>
              <w:t>Asirios</w:t>
            </w:r>
          </w:p>
        </w:tc>
        <w:tc>
          <w:tcPr>
            <w:tcW w:w="882" w:type="dxa"/>
            <w:tcBorders>
              <w:top w:val="single" w:sz="4" w:space="0" w:color="auto"/>
              <w:bottom w:val="single" w:sz="12" w:space="0" w:color="auto"/>
            </w:tcBorders>
            <w:shd w:val="clear" w:color="auto" w:fill="auto"/>
            <w:vAlign w:val="center"/>
          </w:tcPr>
          <w:p w14:paraId="21A16712" w14:textId="77777777" w:rsidR="001F4EC7" w:rsidRPr="001F4EC7" w:rsidRDefault="001F4EC7" w:rsidP="001F4EC7">
            <w:pPr>
              <w:pStyle w:val="SingleTxtG"/>
              <w:spacing w:before="80" w:after="80" w:line="200" w:lineRule="exact"/>
              <w:ind w:left="0" w:right="0"/>
              <w:jc w:val="right"/>
              <w:rPr>
                <w:i/>
                <w:sz w:val="16"/>
              </w:rPr>
            </w:pPr>
            <w:r w:rsidRPr="001F4EC7">
              <w:rPr>
                <w:i/>
                <w:sz w:val="16"/>
              </w:rPr>
              <w:t>Otros</w:t>
            </w:r>
          </w:p>
        </w:tc>
        <w:tc>
          <w:tcPr>
            <w:tcW w:w="1078" w:type="dxa"/>
            <w:tcBorders>
              <w:top w:val="single" w:sz="4" w:space="0" w:color="auto"/>
              <w:bottom w:val="single" w:sz="12" w:space="0" w:color="auto"/>
            </w:tcBorders>
            <w:shd w:val="clear" w:color="auto" w:fill="auto"/>
            <w:vAlign w:val="center"/>
          </w:tcPr>
          <w:p w14:paraId="47FBDAE8" w14:textId="77777777" w:rsidR="001F4EC7" w:rsidRPr="001F4EC7" w:rsidRDefault="001F4EC7" w:rsidP="001F4EC7">
            <w:pPr>
              <w:pStyle w:val="SingleTxtG"/>
              <w:spacing w:before="80" w:after="80" w:line="200" w:lineRule="exact"/>
              <w:ind w:left="0" w:right="0"/>
              <w:jc w:val="right"/>
              <w:rPr>
                <w:i/>
                <w:sz w:val="16"/>
              </w:rPr>
            </w:pPr>
            <w:r w:rsidRPr="001F4EC7">
              <w:rPr>
                <w:i/>
                <w:sz w:val="16"/>
              </w:rPr>
              <w:t>Sin declarar</w:t>
            </w:r>
          </w:p>
        </w:tc>
        <w:tc>
          <w:tcPr>
            <w:tcW w:w="980" w:type="dxa"/>
            <w:tcBorders>
              <w:top w:val="single" w:sz="4" w:space="0" w:color="auto"/>
              <w:bottom w:val="single" w:sz="12" w:space="0" w:color="auto"/>
            </w:tcBorders>
            <w:shd w:val="clear" w:color="auto" w:fill="auto"/>
            <w:vAlign w:val="center"/>
          </w:tcPr>
          <w:p w14:paraId="2409C70E" w14:textId="77777777" w:rsidR="001F4EC7" w:rsidRPr="001F4EC7" w:rsidRDefault="001F4EC7" w:rsidP="001F4EC7">
            <w:pPr>
              <w:pStyle w:val="SingleTxtG"/>
              <w:spacing w:before="80" w:after="80" w:line="200" w:lineRule="exact"/>
              <w:ind w:left="0" w:right="0"/>
              <w:jc w:val="right"/>
              <w:rPr>
                <w:i/>
                <w:sz w:val="16"/>
              </w:rPr>
            </w:pPr>
            <w:r w:rsidRPr="001F4EC7">
              <w:rPr>
                <w:i/>
                <w:sz w:val="16"/>
              </w:rPr>
              <w:t>Total</w:t>
            </w:r>
          </w:p>
        </w:tc>
      </w:tr>
      <w:tr w:rsidR="001F4EC7" w:rsidRPr="001F4EC7" w14:paraId="53FA5667" w14:textId="77777777" w:rsidTr="001F4EC7">
        <w:tc>
          <w:tcPr>
            <w:tcW w:w="686" w:type="dxa"/>
            <w:tcBorders>
              <w:top w:val="single" w:sz="12" w:space="0" w:color="auto"/>
              <w:bottom w:val="single" w:sz="12" w:space="0" w:color="auto"/>
            </w:tcBorders>
            <w:shd w:val="clear" w:color="auto" w:fill="auto"/>
            <w:vAlign w:val="bottom"/>
          </w:tcPr>
          <w:p w14:paraId="2308CB72" w14:textId="77777777" w:rsidR="001F4EC7" w:rsidRPr="001F4EC7" w:rsidRDefault="001F4EC7" w:rsidP="001F4EC7">
            <w:pPr>
              <w:pStyle w:val="SingleTxtG"/>
              <w:spacing w:before="40" w:after="40" w:line="220" w:lineRule="exact"/>
              <w:ind w:left="0" w:right="0"/>
              <w:jc w:val="left"/>
              <w:rPr>
                <w:sz w:val="18"/>
              </w:rPr>
            </w:pPr>
            <w:r w:rsidRPr="001F4EC7">
              <w:rPr>
                <w:sz w:val="18"/>
              </w:rPr>
              <w:t>1997</w:t>
            </w:r>
          </w:p>
        </w:tc>
        <w:tc>
          <w:tcPr>
            <w:tcW w:w="979" w:type="dxa"/>
            <w:tcBorders>
              <w:top w:val="single" w:sz="12" w:space="0" w:color="auto"/>
              <w:bottom w:val="single" w:sz="12" w:space="0" w:color="auto"/>
            </w:tcBorders>
            <w:shd w:val="clear" w:color="auto" w:fill="auto"/>
            <w:vAlign w:val="center"/>
          </w:tcPr>
          <w:p w14:paraId="23719BAC" w14:textId="77777777" w:rsidR="001F4EC7" w:rsidRPr="001F4EC7" w:rsidRDefault="001F4EC7" w:rsidP="001F4EC7">
            <w:pPr>
              <w:pStyle w:val="SingleTxtG"/>
              <w:spacing w:before="40" w:after="40" w:line="220" w:lineRule="exact"/>
              <w:ind w:left="0" w:right="0"/>
              <w:jc w:val="right"/>
              <w:rPr>
                <w:sz w:val="18"/>
              </w:rPr>
            </w:pPr>
            <w:r w:rsidRPr="001F4EC7">
              <w:rPr>
                <w:sz w:val="18"/>
              </w:rPr>
              <w:t>18</w:t>
            </w:r>
            <w:r>
              <w:rPr>
                <w:sz w:val="18"/>
              </w:rPr>
              <w:t xml:space="preserve"> </w:t>
            </w:r>
            <w:r w:rsidRPr="001F4EC7">
              <w:rPr>
                <w:sz w:val="18"/>
              </w:rPr>
              <w:t>403</w:t>
            </w:r>
            <w:r>
              <w:rPr>
                <w:sz w:val="18"/>
              </w:rPr>
              <w:t xml:space="preserve"> </w:t>
            </w:r>
            <w:r w:rsidRPr="001F4EC7">
              <w:rPr>
                <w:sz w:val="18"/>
              </w:rPr>
              <w:t>660</w:t>
            </w:r>
          </w:p>
        </w:tc>
        <w:tc>
          <w:tcPr>
            <w:tcW w:w="897" w:type="dxa"/>
            <w:tcBorders>
              <w:top w:val="single" w:sz="12" w:space="0" w:color="auto"/>
              <w:bottom w:val="single" w:sz="12" w:space="0" w:color="auto"/>
            </w:tcBorders>
            <w:shd w:val="clear" w:color="auto" w:fill="auto"/>
            <w:vAlign w:val="center"/>
          </w:tcPr>
          <w:p w14:paraId="586DE55B" w14:textId="77777777" w:rsidR="001F4EC7" w:rsidRPr="001F4EC7" w:rsidRDefault="001F4EC7" w:rsidP="001F4EC7">
            <w:pPr>
              <w:pStyle w:val="SingleTxtG"/>
              <w:spacing w:before="40" w:after="40" w:line="220" w:lineRule="exact"/>
              <w:ind w:left="0" w:right="0"/>
              <w:jc w:val="right"/>
              <w:rPr>
                <w:sz w:val="18"/>
              </w:rPr>
            </w:pPr>
            <w:r w:rsidRPr="001F4EC7">
              <w:rPr>
                <w:sz w:val="18"/>
              </w:rPr>
              <w:t>578</w:t>
            </w:r>
            <w:r>
              <w:rPr>
                <w:sz w:val="18"/>
              </w:rPr>
              <w:t xml:space="preserve"> </w:t>
            </w:r>
            <w:r w:rsidRPr="001F4EC7">
              <w:rPr>
                <w:sz w:val="18"/>
              </w:rPr>
              <w:t>358</w:t>
            </w:r>
          </w:p>
        </w:tc>
        <w:tc>
          <w:tcPr>
            <w:tcW w:w="1063" w:type="dxa"/>
            <w:tcBorders>
              <w:top w:val="single" w:sz="12" w:space="0" w:color="auto"/>
              <w:bottom w:val="single" w:sz="12" w:space="0" w:color="auto"/>
            </w:tcBorders>
            <w:shd w:val="clear" w:color="auto" w:fill="auto"/>
            <w:vAlign w:val="center"/>
          </w:tcPr>
          <w:p w14:paraId="0B04C607" w14:textId="77777777" w:rsidR="001F4EC7" w:rsidRPr="001F4EC7" w:rsidRDefault="001F4EC7" w:rsidP="001F4EC7">
            <w:pPr>
              <w:pStyle w:val="SingleTxtG"/>
              <w:spacing w:before="40" w:after="40" w:line="220" w:lineRule="exact"/>
              <w:ind w:left="0" w:right="0"/>
              <w:jc w:val="right"/>
              <w:rPr>
                <w:sz w:val="18"/>
              </w:rPr>
            </w:pPr>
            <w:r w:rsidRPr="001F4EC7">
              <w:rPr>
                <w:sz w:val="18"/>
              </w:rPr>
              <w:t>2</w:t>
            </w:r>
            <w:r>
              <w:rPr>
                <w:sz w:val="18"/>
              </w:rPr>
              <w:t xml:space="preserve"> </w:t>
            </w:r>
            <w:r w:rsidRPr="001F4EC7">
              <w:rPr>
                <w:sz w:val="18"/>
              </w:rPr>
              <w:t>210</w:t>
            </w:r>
          </w:p>
        </w:tc>
        <w:tc>
          <w:tcPr>
            <w:tcW w:w="980" w:type="dxa"/>
            <w:tcBorders>
              <w:top w:val="single" w:sz="12" w:space="0" w:color="auto"/>
              <w:bottom w:val="single" w:sz="12" w:space="0" w:color="auto"/>
            </w:tcBorders>
            <w:shd w:val="clear" w:color="auto" w:fill="auto"/>
            <w:vAlign w:val="center"/>
          </w:tcPr>
          <w:p w14:paraId="512DB895" w14:textId="77777777" w:rsidR="001F4EC7" w:rsidRPr="001F4EC7" w:rsidRDefault="001F4EC7" w:rsidP="001F4EC7">
            <w:pPr>
              <w:pStyle w:val="SingleTxtG"/>
              <w:spacing w:before="40" w:after="40" w:line="220" w:lineRule="exact"/>
              <w:ind w:left="0" w:right="0"/>
              <w:jc w:val="right"/>
              <w:rPr>
                <w:sz w:val="18"/>
              </w:rPr>
            </w:pPr>
            <w:r w:rsidRPr="001F4EC7">
              <w:rPr>
                <w:sz w:val="18"/>
              </w:rPr>
              <w:t>72</w:t>
            </w:r>
            <w:r>
              <w:rPr>
                <w:sz w:val="18"/>
              </w:rPr>
              <w:t xml:space="preserve"> </w:t>
            </w:r>
            <w:r w:rsidRPr="001F4EC7">
              <w:rPr>
                <w:sz w:val="18"/>
              </w:rPr>
              <w:t>727</w:t>
            </w:r>
          </w:p>
        </w:tc>
        <w:tc>
          <w:tcPr>
            <w:tcW w:w="980" w:type="dxa"/>
            <w:tcBorders>
              <w:top w:val="single" w:sz="12" w:space="0" w:color="auto"/>
              <w:bottom w:val="single" w:sz="12" w:space="0" w:color="auto"/>
            </w:tcBorders>
            <w:shd w:val="clear" w:color="auto" w:fill="auto"/>
            <w:vAlign w:val="center"/>
          </w:tcPr>
          <w:p w14:paraId="620F1540" w14:textId="77777777" w:rsidR="001F4EC7" w:rsidRPr="001F4EC7" w:rsidRDefault="001F4EC7" w:rsidP="001F4EC7">
            <w:pPr>
              <w:pStyle w:val="SingleTxtG"/>
              <w:spacing w:before="40" w:after="40" w:line="220" w:lineRule="exact"/>
              <w:ind w:left="0" w:right="0"/>
              <w:jc w:val="right"/>
              <w:rPr>
                <w:sz w:val="18"/>
              </w:rPr>
            </w:pPr>
            <w:r w:rsidRPr="001F4EC7">
              <w:rPr>
                <w:sz w:val="18"/>
              </w:rPr>
              <w:t>8</w:t>
            </w:r>
            <w:r>
              <w:rPr>
                <w:sz w:val="18"/>
              </w:rPr>
              <w:t xml:space="preserve"> </w:t>
            </w:r>
            <w:r w:rsidRPr="001F4EC7">
              <w:rPr>
                <w:sz w:val="18"/>
              </w:rPr>
              <w:t>909</w:t>
            </w:r>
          </w:p>
        </w:tc>
        <w:tc>
          <w:tcPr>
            <w:tcW w:w="980" w:type="dxa"/>
            <w:tcBorders>
              <w:top w:val="single" w:sz="12" w:space="0" w:color="auto"/>
              <w:bottom w:val="single" w:sz="12" w:space="0" w:color="auto"/>
            </w:tcBorders>
            <w:shd w:val="clear" w:color="auto" w:fill="auto"/>
            <w:vAlign w:val="center"/>
          </w:tcPr>
          <w:p w14:paraId="77AF3261" w14:textId="77777777" w:rsidR="001F4EC7" w:rsidRPr="001F4EC7" w:rsidRDefault="001F4EC7" w:rsidP="001F4EC7">
            <w:pPr>
              <w:pStyle w:val="SingleTxtG"/>
              <w:spacing w:before="40" w:after="40" w:line="220" w:lineRule="exact"/>
              <w:ind w:left="0" w:right="0"/>
              <w:jc w:val="right"/>
              <w:rPr>
                <w:sz w:val="18"/>
              </w:rPr>
            </w:pPr>
            <w:r w:rsidRPr="001F4EC7">
              <w:rPr>
                <w:sz w:val="18"/>
              </w:rPr>
              <w:t>10</w:t>
            </w:r>
            <w:r>
              <w:rPr>
                <w:sz w:val="18"/>
              </w:rPr>
              <w:t xml:space="preserve"> </w:t>
            </w:r>
            <w:r w:rsidRPr="001F4EC7">
              <w:rPr>
                <w:sz w:val="18"/>
              </w:rPr>
              <w:t>919</w:t>
            </w:r>
          </w:p>
        </w:tc>
        <w:tc>
          <w:tcPr>
            <w:tcW w:w="882" w:type="dxa"/>
            <w:tcBorders>
              <w:top w:val="single" w:sz="12" w:space="0" w:color="auto"/>
              <w:bottom w:val="single" w:sz="12" w:space="0" w:color="auto"/>
            </w:tcBorders>
            <w:shd w:val="clear" w:color="auto" w:fill="auto"/>
            <w:vAlign w:val="center"/>
          </w:tcPr>
          <w:p w14:paraId="172CB64A" w14:textId="77777777" w:rsidR="001F4EC7" w:rsidRPr="001F4EC7" w:rsidRDefault="001F4EC7" w:rsidP="001F4EC7">
            <w:pPr>
              <w:pStyle w:val="SingleTxtG"/>
              <w:spacing w:before="40" w:after="40" w:line="220" w:lineRule="exact"/>
              <w:ind w:left="0" w:right="0"/>
              <w:jc w:val="right"/>
              <w:rPr>
                <w:sz w:val="18"/>
              </w:rPr>
            </w:pPr>
            <w:r w:rsidRPr="001F4EC7">
              <w:rPr>
                <w:sz w:val="18"/>
              </w:rPr>
              <w:t>5</w:t>
            </w:r>
            <w:r>
              <w:rPr>
                <w:sz w:val="18"/>
              </w:rPr>
              <w:t xml:space="preserve"> </w:t>
            </w:r>
            <w:r w:rsidRPr="001F4EC7">
              <w:rPr>
                <w:sz w:val="18"/>
              </w:rPr>
              <w:t>455</w:t>
            </w:r>
          </w:p>
        </w:tc>
        <w:tc>
          <w:tcPr>
            <w:tcW w:w="1078" w:type="dxa"/>
            <w:tcBorders>
              <w:top w:val="single" w:sz="12" w:space="0" w:color="auto"/>
              <w:bottom w:val="single" w:sz="12" w:space="0" w:color="auto"/>
            </w:tcBorders>
            <w:shd w:val="clear" w:color="auto" w:fill="auto"/>
            <w:vAlign w:val="center"/>
          </w:tcPr>
          <w:p w14:paraId="295A02E3" w14:textId="77777777" w:rsidR="001F4EC7" w:rsidRPr="001F4EC7" w:rsidRDefault="001F4EC7" w:rsidP="001F4EC7">
            <w:pPr>
              <w:pStyle w:val="SingleTxtG"/>
              <w:spacing w:before="40" w:after="40" w:line="220" w:lineRule="exact"/>
              <w:ind w:left="0" w:right="0"/>
              <w:jc w:val="right"/>
              <w:rPr>
                <w:sz w:val="18"/>
              </w:rPr>
            </w:pPr>
            <w:r w:rsidRPr="001F4EC7">
              <w:rPr>
                <w:sz w:val="18"/>
              </w:rPr>
              <w:t>564</w:t>
            </w:r>
          </w:p>
        </w:tc>
        <w:tc>
          <w:tcPr>
            <w:tcW w:w="980" w:type="dxa"/>
            <w:tcBorders>
              <w:top w:val="single" w:sz="12" w:space="0" w:color="auto"/>
              <w:bottom w:val="single" w:sz="12" w:space="0" w:color="auto"/>
            </w:tcBorders>
            <w:shd w:val="clear" w:color="auto" w:fill="auto"/>
            <w:vAlign w:val="center"/>
          </w:tcPr>
          <w:p w14:paraId="7D2D754F" w14:textId="77777777" w:rsidR="001F4EC7" w:rsidRPr="001F4EC7" w:rsidRDefault="001F4EC7" w:rsidP="001F4EC7">
            <w:pPr>
              <w:pStyle w:val="SingleTxtG"/>
              <w:spacing w:before="40" w:after="40" w:line="220" w:lineRule="exact"/>
              <w:ind w:left="0" w:right="0"/>
              <w:jc w:val="right"/>
              <w:rPr>
                <w:sz w:val="18"/>
              </w:rPr>
            </w:pPr>
            <w:r w:rsidRPr="001F4EC7">
              <w:rPr>
                <w:sz w:val="18"/>
              </w:rPr>
              <w:t>19</w:t>
            </w:r>
            <w:r>
              <w:rPr>
                <w:sz w:val="18"/>
              </w:rPr>
              <w:t xml:space="preserve"> </w:t>
            </w:r>
            <w:r w:rsidRPr="001F4EC7">
              <w:rPr>
                <w:sz w:val="18"/>
              </w:rPr>
              <w:t>082</w:t>
            </w:r>
            <w:r>
              <w:rPr>
                <w:sz w:val="18"/>
              </w:rPr>
              <w:t xml:space="preserve"> </w:t>
            </w:r>
            <w:r w:rsidRPr="001F4EC7">
              <w:rPr>
                <w:sz w:val="18"/>
              </w:rPr>
              <w:t>802</w:t>
            </w:r>
          </w:p>
        </w:tc>
      </w:tr>
    </w:tbl>
    <w:p w14:paraId="45D18D40" w14:textId="77777777" w:rsidR="008A38B9" w:rsidRPr="008A38B9" w:rsidRDefault="008A38B9" w:rsidP="001F4EC7">
      <w:pPr>
        <w:pStyle w:val="SingleTxtG"/>
        <w:spacing w:before="240"/>
      </w:pPr>
      <w:r w:rsidRPr="008A38B9">
        <w:t>27.</w:t>
      </w:r>
      <w:r w:rsidRPr="008A38B9">
        <w:tab/>
        <w:t>La Constitución asegura la preservación de la identidad islámica de la mayoría del pueblo iraquí y, al tiempo, el disfrute universal de los derechos religiosos y la libertad de creencia y práctica religiosa, en particular a los cristianos, los yazidíes y los sabeos mandeos.</w:t>
      </w:r>
    </w:p>
    <w:p w14:paraId="1324B64E" w14:textId="77777777" w:rsidR="008A38B9" w:rsidRPr="008A38B9" w:rsidRDefault="008A38B9" w:rsidP="001F4EC7">
      <w:pPr>
        <w:pStyle w:val="SingleTxtG"/>
      </w:pPr>
      <w:r w:rsidRPr="008A38B9">
        <w:t>28.</w:t>
      </w:r>
      <w:r w:rsidRPr="008A38B9">
        <w:tab/>
        <w:t>La Constitución iraquí ampara el ejercicio universal y sin discriminación de las libertades y proporciona salvaguardias adecuadas y efectivas a la libertad de pensamiento, conciencia, religión y creencias, entre otras cosas ofreciendo vías efectivas de reparación en caso de vulneración de esos derechos o del derecho a practicar libremente los ritos religiosos.</w:t>
      </w:r>
    </w:p>
    <w:p w14:paraId="027290F4" w14:textId="77777777" w:rsidR="008A38B9" w:rsidRPr="008A38B9" w:rsidRDefault="008A38B9" w:rsidP="001F4EC7">
      <w:pPr>
        <w:pStyle w:val="SingleTxtG"/>
      </w:pPr>
      <w:r w:rsidRPr="008A38B9">
        <w:t>29.</w:t>
      </w:r>
      <w:r w:rsidRPr="008A38B9">
        <w:tab/>
        <w:t>La Constitución iraquí protege los emplazamiento</w:t>
      </w:r>
      <w:r w:rsidR="00C83E0F">
        <w:t>s</w:t>
      </w:r>
      <w:r w:rsidRPr="008A38B9">
        <w:t xml:space="preserve"> sagrados y los lugares de culto, los define como </w:t>
      </w:r>
      <w:r w:rsidR="001D4448">
        <w:t>“</w:t>
      </w:r>
      <w:r w:rsidRPr="008A38B9">
        <w:t>entidades religiosas y culturales</w:t>
      </w:r>
      <w:r w:rsidR="001D4448">
        <w:t>”</w:t>
      </w:r>
      <w:r w:rsidRPr="008A38B9">
        <w:t xml:space="preserve"> y afirma que deben ser salvaguardados y que debe asegurarse la libertad para practicar en ellos los ritos religiosos. </w:t>
      </w:r>
    </w:p>
    <w:p w14:paraId="002F801D" w14:textId="77777777" w:rsidR="008A38B9" w:rsidRPr="008A38B9" w:rsidRDefault="008A38B9" w:rsidP="001F4EC7">
      <w:pPr>
        <w:pStyle w:val="SingleTxtG"/>
      </w:pPr>
      <w:r w:rsidRPr="008A38B9">
        <w:t>30.</w:t>
      </w:r>
      <w:r w:rsidRPr="008A38B9">
        <w:tab/>
        <w:t>Según el artículo 14 de la Constitución del Iraq de 2005, los iraquíes son iguales ante la ley sin distinción de sexo, raza, comunidad étnica, origen, color de piel, religión, tendencia doctrinal, credo, opinión o condición económica o social. La Constitución iraquí ampara la libertad del ciudadano para elegir el régimen regulador de su estatuto personal con arreglo a su religión, tendencia doctrinal, creencia o elección.</w:t>
      </w:r>
    </w:p>
    <w:p w14:paraId="3952971A" w14:textId="77777777" w:rsidR="008A38B9" w:rsidRPr="008A38B9" w:rsidRDefault="008A38B9" w:rsidP="001F4EC7">
      <w:pPr>
        <w:pStyle w:val="SingleTxtG"/>
      </w:pPr>
      <w:r w:rsidRPr="008A38B9">
        <w:t>31.</w:t>
      </w:r>
      <w:r w:rsidRPr="008A38B9">
        <w:tab/>
        <w:t>El Estado asegura a los fieles de todas las religiones y tendencias doctrinales la libertad para practicar los ritos religiosos, en particular los rituales por el Imam Husayn, así como la libertad de culto y la protección de los lugares sagrados.</w:t>
      </w:r>
    </w:p>
    <w:p w14:paraId="307BA49F" w14:textId="77777777" w:rsidR="008A38B9" w:rsidRPr="008A38B9" w:rsidRDefault="008A38B9" w:rsidP="001F4EC7">
      <w:pPr>
        <w:pStyle w:val="SingleTxtG"/>
      </w:pPr>
      <w:r w:rsidRPr="008A38B9">
        <w:t>32.</w:t>
      </w:r>
      <w:r w:rsidRPr="008A38B9">
        <w:tab/>
        <w:t>La Ley núm. 58/2012 de la Secretaría de los Legados Píos Cristianos, Yazidíes y Sabeos Mandeos busca estrechar los lazos religiosos con el mundo islámico y el resto del mundo y atender las cuestiones relativas al culto, los lugares sagrados y los líderes, institutos y establecimientos religiosos, de modo que se presten servicios excelentes a los fieles, se apoye a los responsables de gestionar y explotar los legados y se promueva la fundación de escuelas, orfanatos, centros para personas con discapacidad y hospitales. Se ha creado una biblioteca pública al servicio de quienes investiguen la regulación religiosa y los deberes, secciones y organigrama de la Secretaría de los Legados Píos.</w:t>
      </w:r>
    </w:p>
    <w:p w14:paraId="12672BBA" w14:textId="77777777" w:rsidR="008A38B9" w:rsidRPr="008A38B9" w:rsidRDefault="008A38B9" w:rsidP="001F4EC7">
      <w:pPr>
        <w:pStyle w:val="SingleTxtG"/>
      </w:pPr>
      <w:r w:rsidRPr="008A38B9">
        <w:t>33.</w:t>
      </w:r>
      <w:r w:rsidRPr="008A38B9">
        <w:tab/>
        <w:t>En aplicación de la Resolución núm. 11/2007 del Parlamento del Kurdistán, el Ministerio de Habices y Asuntos Islámicos pasó en la Región a denominarse Ministerio de Legados Píos y Asuntos Religiosos, ya que en el Kurdistán del Iraq no solo se profesa la religión islámica. El Ministerio de Legados Píos atiende a todas las confesiones, no a una sola o a la mayoritaria de los ciudadanos de la Región (con anterioridad disponía de tres direcciones generales para el islam, el cristianismo y el yazidismo). La Dirección de la Convivencia Interreligiosa se constituyó al amparo de la Orden núm. 1910/ 2017, de 9 de julio, del Ministerio de Legados Píos y Asuntos Religiosos del Gobierno de la Región del Kurdistán. El Ministerio dispone de direcciones generales y representaciones para todas las minorías religiosas (cristianos, judíos, yazidíes, kakaíes, zoroastrianos, sabeos mandeos y bahaíes) y vela por que se estrechen los lazos entre esas comunidades.</w:t>
      </w:r>
    </w:p>
    <w:p w14:paraId="1B052862" w14:textId="77777777" w:rsidR="008A38B9" w:rsidRPr="008A38B9" w:rsidRDefault="008A38B9" w:rsidP="001F4EC7">
      <w:pPr>
        <w:pStyle w:val="SingleTxtG"/>
        <w:rPr>
          <w:b/>
          <w:bCs/>
        </w:rPr>
      </w:pPr>
      <w:r w:rsidRPr="008A38B9">
        <w:lastRenderedPageBreak/>
        <w:t>34.</w:t>
      </w:r>
      <w:r w:rsidRPr="008A38B9">
        <w:tab/>
        <w:t>El Reglamento núm. 32/1981, adjunto al Reglamento para la Protección de las Confesiones Religiosas, reconoce de manera oficial las siguientes confesiones en el Iraq:</w:t>
      </w:r>
    </w:p>
    <w:p w14:paraId="2FEAF8B7" w14:textId="77777777" w:rsidR="008A38B9" w:rsidRPr="008A38B9" w:rsidRDefault="008A38B9" w:rsidP="001F4EC7">
      <w:pPr>
        <w:pStyle w:val="Bullet1G"/>
      </w:pPr>
      <w:r w:rsidRPr="008A38B9">
        <w:t>Caldeos</w:t>
      </w:r>
    </w:p>
    <w:p w14:paraId="64545866" w14:textId="77777777" w:rsidR="008A38B9" w:rsidRPr="008A38B9" w:rsidRDefault="008A38B9" w:rsidP="001F4EC7">
      <w:pPr>
        <w:pStyle w:val="Bullet1G"/>
      </w:pPr>
      <w:r w:rsidRPr="008A38B9">
        <w:t>Asirios</w:t>
      </w:r>
    </w:p>
    <w:p w14:paraId="12D02BAE" w14:textId="77777777" w:rsidR="008A38B9" w:rsidRPr="008A38B9" w:rsidRDefault="008A38B9" w:rsidP="001F4EC7">
      <w:pPr>
        <w:pStyle w:val="Bullet1G"/>
      </w:pPr>
      <w:r w:rsidRPr="008A38B9">
        <w:t>Asirios católicos</w:t>
      </w:r>
    </w:p>
    <w:p w14:paraId="572877E5" w14:textId="77777777" w:rsidR="008A38B9" w:rsidRPr="008A38B9" w:rsidRDefault="008A38B9" w:rsidP="001F4EC7">
      <w:pPr>
        <w:pStyle w:val="Bullet1G"/>
      </w:pPr>
      <w:r w:rsidRPr="008A38B9">
        <w:t>Siríacos ortodoxos</w:t>
      </w:r>
    </w:p>
    <w:p w14:paraId="468C632F" w14:textId="77777777" w:rsidR="008A38B9" w:rsidRPr="008A38B9" w:rsidRDefault="008A38B9" w:rsidP="001F4EC7">
      <w:pPr>
        <w:pStyle w:val="Bullet1G"/>
      </w:pPr>
      <w:r w:rsidRPr="008A38B9">
        <w:t>Siríacos católicos</w:t>
      </w:r>
    </w:p>
    <w:p w14:paraId="12C5D77F" w14:textId="77777777" w:rsidR="008A38B9" w:rsidRPr="008A38B9" w:rsidRDefault="008A38B9" w:rsidP="001F4EC7">
      <w:pPr>
        <w:pStyle w:val="Bullet1G"/>
      </w:pPr>
      <w:r w:rsidRPr="008A38B9">
        <w:t>Armenios ortodoxos</w:t>
      </w:r>
    </w:p>
    <w:p w14:paraId="4AE8D94F" w14:textId="77777777" w:rsidR="008A38B9" w:rsidRPr="008A38B9" w:rsidRDefault="008A38B9" w:rsidP="001F4EC7">
      <w:pPr>
        <w:pStyle w:val="Bullet1G"/>
      </w:pPr>
      <w:r w:rsidRPr="008A38B9">
        <w:t>Armenios católicos</w:t>
      </w:r>
    </w:p>
    <w:p w14:paraId="61E5920D" w14:textId="77777777" w:rsidR="008A38B9" w:rsidRPr="008A38B9" w:rsidRDefault="008A38B9" w:rsidP="001F4EC7">
      <w:pPr>
        <w:pStyle w:val="Bullet1G"/>
      </w:pPr>
      <w:r w:rsidRPr="008A38B9">
        <w:t>Griegos ortodoxos</w:t>
      </w:r>
    </w:p>
    <w:p w14:paraId="3F20DB35" w14:textId="77777777" w:rsidR="008A38B9" w:rsidRPr="008A38B9" w:rsidRDefault="008A38B9" w:rsidP="001F4EC7">
      <w:pPr>
        <w:pStyle w:val="Bullet1G"/>
      </w:pPr>
      <w:r w:rsidRPr="008A38B9">
        <w:t>Griegos católicos</w:t>
      </w:r>
    </w:p>
    <w:p w14:paraId="6A865BF7" w14:textId="77777777" w:rsidR="008A38B9" w:rsidRPr="008A38B9" w:rsidRDefault="008A38B9" w:rsidP="001F4EC7">
      <w:pPr>
        <w:pStyle w:val="Bullet1G"/>
      </w:pPr>
      <w:r w:rsidRPr="008A38B9">
        <w:t>Latinos</w:t>
      </w:r>
    </w:p>
    <w:p w14:paraId="3F82F928" w14:textId="77777777" w:rsidR="008A38B9" w:rsidRPr="008A38B9" w:rsidRDefault="008A38B9" w:rsidP="001F4EC7">
      <w:pPr>
        <w:pStyle w:val="Bullet1G"/>
      </w:pPr>
      <w:r w:rsidRPr="008A38B9">
        <w:t>Protestantes y anglicanos</w:t>
      </w:r>
    </w:p>
    <w:p w14:paraId="1E9D58FD" w14:textId="77777777" w:rsidR="008A38B9" w:rsidRPr="008A38B9" w:rsidRDefault="008A38B9" w:rsidP="001F4EC7">
      <w:pPr>
        <w:pStyle w:val="Bullet1G"/>
      </w:pPr>
      <w:r w:rsidRPr="008A38B9">
        <w:t>Anglicanos protestantes asirios</w:t>
      </w:r>
    </w:p>
    <w:p w14:paraId="156B9324" w14:textId="77777777" w:rsidR="008A38B9" w:rsidRPr="008A38B9" w:rsidRDefault="008A38B9" w:rsidP="001F4EC7">
      <w:pPr>
        <w:pStyle w:val="Bullet1G"/>
      </w:pPr>
      <w:r w:rsidRPr="008A38B9">
        <w:t>Adventistas del Séptimo Día</w:t>
      </w:r>
    </w:p>
    <w:p w14:paraId="5AF88C84" w14:textId="77777777" w:rsidR="008A38B9" w:rsidRPr="008A38B9" w:rsidRDefault="008A38B9" w:rsidP="001F4EC7">
      <w:pPr>
        <w:pStyle w:val="Bullet1G"/>
      </w:pPr>
      <w:r w:rsidRPr="008A38B9">
        <w:t>Coptos ortodoxos</w:t>
      </w:r>
    </w:p>
    <w:p w14:paraId="0C3385E3" w14:textId="77777777" w:rsidR="008A38B9" w:rsidRPr="008A38B9" w:rsidRDefault="008A38B9" w:rsidP="001F4EC7">
      <w:pPr>
        <w:pStyle w:val="Bullet1G"/>
      </w:pPr>
      <w:r w:rsidRPr="008A38B9">
        <w:t>Omeyas yazidíes</w:t>
      </w:r>
    </w:p>
    <w:p w14:paraId="2FA41874" w14:textId="77777777" w:rsidR="008A38B9" w:rsidRPr="008A38B9" w:rsidRDefault="008A38B9" w:rsidP="001F4EC7">
      <w:pPr>
        <w:pStyle w:val="Bullet1G"/>
      </w:pPr>
      <w:r w:rsidRPr="008A38B9">
        <w:t>Sabeos</w:t>
      </w:r>
    </w:p>
    <w:p w14:paraId="454ADC74" w14:textId="77777777" w:rsidR="008A38B9" w:rsidRPr="008A38B9" w:rsidRDefault="008A38B9" w:rsidP="001F4EC7">
      <w:pPr>
        <w:pStyle w:val="SingleTxtG"/>
      </w:pPr>
      <w:r w:rsidRPr="008A38B9">
        <w:t>35.</w:t>
      </w:r>
      <w:r w:rsidRPr="008A38B9">
        <w:tab/>
        <w:t>La República del Iraq prohíbe las leyes que inciten al odio religioso, la discriminación, la hostilidad o la violencia. El Estado vela por que los lugares sagrados y de peregrinación y los símbolos religiosos gocen de total respeto y protección y toma medidas adicionales en caso de profanación o ultraje. El ordenamiento iraquí consagra el derecho universal a practicar el culto, a celebrar reuniones en el marco de una religión o creencia, a erigir y administrar los emplazamientos exigidos para esos fines y a redactar, editar y distribuir las publicaciones pertinentes. De conformidad con el derecho internacional humanitario, el Estado asegura la observancia y la salvaguardia plenas de la libertad de todas las personas y los colectivos para constituir y administrar instituciones religiosas, benéficas o humanitarias.</w:t>
      </w:r>
    </w:p>
    <w:p w14:paraId="63F81E76" w14:textId="77777777" w:rsidR="008A38B9" w:rsidRPr="008A38B9" w:rsidRDefault="008A38B9" w:rsidP="001F4EC7">
      <w:pPr>
        <w:pStyle w:val="SingleTxtG"/>
      </w:pPr>
      <w:r w:rsidRPr="008A38B9">
        <w:t>36.</w:t>
      </w:r>
      <w:r w:rsidRPr="008A38B9">
        <w:tab/>
        <w:t>El Gobierno iraquí condena todas las formas de intolerancia y discriminación motivadas por la religión o la creencia, así como toda vulneración de la libertad de pensamiento, conciencia o religión.</w:t>
      </w:r>
    </w:p>
    <w:p w14:paraId="40B58A48" w14:textId="77777777" w:rsidR="008A38B9" w:rsidRPr="008A38B9" w:rsidRDefault="008A38B9" w:rsidP="001F4EC7">
      <w:pPr>
        <w:pStyle w:val="SingleTxtG"/>
      </w:pPr>
      <w:r w:rsidRPr="008A38B9">
        <w:t>37.</w:t>
      </w:r>
      <w:r w:rsidRPr="008A38B9">
        <w:tab/>
        <w:t>El Gobierno, de conformidad con las normas internacionales de derechos humanos, adopta las medidas necesarias y apropiadas para combatir el odio, la intolerancia, los actos de violencia, intimidación y coerción por motivo de religión o convicción y la incitación a la hostilidad y la violencia. Esas medidas, de las que se benefician en particular las minorías religiosas, prestan especial atención a los actos que violen los derechos de las mujeres o las discriminen, inclusive en el ejercicio del derecho a la libertad de pensamiento, conciencia, religión y creencia.</w:t>
      </w:r>
    </w:p>
    <w:p w14:paraId="0F86B7D6" w14:textId="77777777" w:rsidR="008A38B9" w:rsidRPr="008A38B9" w:rsidRDefault="008A38B9" w:rsidP="001F4EC7">
      <w:pPr>
        <w:pStyle w:val="SingleTxtG"/>
      </w:pPr>
      <w:r w:rsidRPr="008A38B9">
        <w:t>38.</w:t>
      </w:r>
      <w:r w:rsidRPr="008A38B9">
        <w:tab/>
        <w:t>Todas las comunidades que conforman el pueblo iraquí sin distinción sufrieron asesinatos, torturas, secuestros, violaciones, esclavitud sexual y reclutamiento de niños después de que las bandas terroristas de Dáesh tomaran el control parcial de las provincias del Estado.</w:t>
      </w:r>
    </w:p>
    <w:p w14:paraId="3E4751C0" w14:textId="77777777" w:rsidR="008A38B9" w:rsidRPr="008A38B9" w:rsidRDefault="001F4EC7" w:rsidP="001F4EC7">
      <w:pPr>
        <w:pStyle w:val="HChG"/>
      </w:pPr>
      <w:r>
        <w:tab/>
      </w:r>
      <w:r w:rsidR="008A38B9" w:rsidRPr="008A38B9">
        <w:tab/>
        <w:t>Indicadores económicos</w:t>
      </w:r>
    </w:p>
    <w:p w14:paraId="511817C1" w14:textId="77777777" w:rsidR="008A38B9" w:rsidRPr="008A38B9" w:rsidRDefault="008A38B9" w:rsidP="001F4EC7">
      <w:pPr>
        <w:pStyle w:val="SingleTxtG"/>
      </w:pPr>
      <w:r w:rsidRPr="008A38B9">
        <w:t>39.</w:t>
      </w:r>
      <w:r w:rsidRPr="008A38B9">
        <w:tab/>
        <w:t>Entre 2010 y 2012, el producto interno bruto del Iraq pasó de 146</w:t>
      </w:r>
      <w:r w:rsidR="00F42752">
        <w:t>.</w:t>
      </w:r>
      <w:r w:rsidRPr="008A38B9">
        <w:t xml:space="preserve">453.468,5 a </w:t>
      </w:r>
      <w:r w:rsidR="00326687" w:rsidRPr="007E649F">
        <w:t>227</w:t>
      </w:r>
      <w:r w:rsidR="00326687">
        <w:t>.</w:t>
      </w:r>
      <w:r w:rsidR="00326687" w:rsidRPr="007E649F">
        <w:t>221</w:t>
      </w:r>
      <w:r w:rsidR="00326687">
        <w:t>.</w:t>
      </w:r>
      <w:r w:rsidR="00326687" w:rsidRPr="007E649F">
        <w:t>851</w:t>
      </w:r>
      <w:r w:rsidR="00326687">
        <w:t>,</w:t>
      </w:r>
      <w:r w:rsidR="00326687" w:rsidRPr="007E649F">
        <w:t>2</w:t>
      </w:r>
      <w:r w:rsidRPr="008A38B9">
        <w:t xml:space="preserve"> millones de dinares iraquíes, y entre 2014 y 2016, de 236.708.036 a 186.397.293 millones de dinares iraquíes. Entre 2010 y 2016, la tasa de crecimiento fue </w:t>
      </w:r>
      <w:r w:rsidRPr="008A38B9">
        <w:lastRenderedPageBreak/>
        <w:t>4,1 %. En 2017, el tipo de cambio oficial promedio fue de 1.182 dinares por dólar de los Estados Unidos.</w:t>
      </w:r>
    </w:p>
    <w:p w14:paraId="24541B43" w14:textId="77777777" w:rsidR="008A38B9" w:rsidRPr="008A38B9" w:rsidRDefault="008A38B9" w:rsidP="001F4EC7">
      <w:pPr>
        <w:pStyle w:val="SingleTxtG"/>
      </w:pPr>
      <w:r w:rsidRPr="008A38B9">
        <w:t>40.</w:t>
      </w:r>
      <w:r w:rsidRPr="008A38B9">
        <w:tab/>
        <w:t xml:space="preserve">El nivel de pobreza en el país en 2012 era acusado (6,4 millones de pobres). El análisis actual, sin embargo, se caracteriza por una pobreza generalizada pero no profunda, lo que es alentador. Así pues, el número </w:t>
      </w:r>
      <w:r w:rsidR="00326687">
        <w:t xml:space="preserve">de </w:t>
      </w:r>
      <w:r w:rsidRPr="008A38B9">
        <w:t>personas que viven bajo el umbral de la pobreza no es tan grande si se consideran los recursos disponibles en el país. En 2007, el índice de recuento de la pobreza era 22,9. En 2012, tras mejorar la renta per cápita, bajó a 18,9. Entre 2007 y 2012, la brecha de pobreza se redujo en el Iraq del 4,5 al 4,1. Pese a ello, los sucesos acaecidos en junio de 2014 incrementaron el porcentaje de población bajo el umbral de la pobreza hasta el 22,5.</w:t>
      </w:r>
    </w:p>
    <w:p w14:paraId="49A68C24" w14:textId="77777777" w:rsidR="008A38B9" w:rsidRPr="008A38B9" w:rsidRDefault="008A38B9" w:rsidP="001F4EC7">
      <w:pPr>
        <w:pStyle w:val="SingleTxtG"/>
      </w:pPr>
      <w:r w:rsidRPr="008A38B9">
        <w:t>41.</w:t>
      </w:r>
      <w:r w:rsidRPr="008A38B9">
        <w:tab/>
        <w:t>El Iraq, a pesar de su riqueza petrolera, tiene unos ingresos per cápita bajos en comparación con los países de su entorno. El 23 % de la población del Iraq se encuentra bajo el umbral de la pobreza, situación que se agrava en las zonas rurales, y la coyuntura social actual presagia un agravamiento del problema. La medición del umbral de pobreza en base al criterio de 2,5 dólares de ingresos diarios conduce a conclusiones engañosas sobre el fenómeno y el modo en que la desigualdad de ingresos se deja sentir en los planos interfamiliar, interprovincial, urbano y rural. Para determinar el umbral de pobreza en una sociedad es necesario considerar el índice del costo de vida.</w:t>
      </w:r>
    </w:p>
    <w:p w14:paraId="155B20C4" w14:textId="77777777" w:rsidR="008A38B9" w:rsidRPr="008A38B9" w:rsidRDefault="008A38B9" w:rsidP="001F4EC7">
      <w:pPr>
        <w:pStyle w:val="SingleTxtG"/>
      </w:pPr>
      <w:r w:rsidRPr="008A38B9">
        <w:t>42.</w:t>
      </w:r>
      <w:r w:rsidRPr="008A38B9">
        <w:tab/>
        <w:t>En 2015, el ingreso familiar en la Región del Kurdistán fue 500.000 dinares (menos de 750.000 dinares). El 4,32 % de la población trabajaba en el sector privado y el 3,34 % en el público. Ese bajo nivel de ingresos se explica por la crisis financiera que afronta la Región y la guerra contra Dáesh*. En 2016, el Gobierno de la Región del Kurdistán, en el marco del programa estratégico desarrollado en colaboración con el Grupo Banco Mundial, puso en marcha el Programa de Atención Social del Gobierno de la Región del Kurdistán hasta 2020, cuyo objetivo es elevar el nivel de vida, económico, social y político con miras a superar la crisis económica.</w:t>
      </w:r>
    </w:p>
    <w:p w14:paraId="6404B0F4" w14:textId="77777777" w:rsidR="008A38B9" w:rsidRDefault="008A38B9" w:rsidP="001F4EC7">
      <w:pPr>
        <w:pStyle w:val="SingleTxtG"/>
      </w:pPr>
      <w:r w:rsidRPr="008A38B9">
        <w:t>43.</w:t>
      </w:r>
      <w:r w:rsidRPr="008A38B9">
        <w:tab/>
        <w:t>En el cuadro siguiente figuran las tasas de desempleo en el conjunto de la población entre 2011 y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4"/>
        <w:gridCol w:w="830"/>
        <w:gridCol w:w="831"/>
        <w:gridCol w:w="831"/>
        <w:gridCol w:w="831"/>
        <w:gridCol w:w="831"/>
        <w:gridCol w:w="831"/>
        <w:gridCol w:w="831"/>
      </w:tblGrid>
      <w:tr w:rsidR="00DC2905" w:rsidRPr="001F4EC7" w14:paraId="03BB84B5" w14:textId="77777777" w:rsidTr="00DC2905">
        <w:tc>
          <w:tcPr>
            <w:tcW w:w="1554" w:type="dxa"/>
            <w:tcBorders>
              <w:top w:val="single" w:sz="4" w:space="0" w:color="auto"/>
              <w:bottom w:val="single" w:sz="12" w:space="0" w:color="auto"/>
            </w:tcBorders>
            <w:shd w:val="clear" w:color="auto" w:fill="auto"/>
            <w:vAlign w:val="bottom"/>
          </w:tcPr>
          <w:p w14:paraId="230571DC" w14:textId="77777777" w:rsidR="001F4EC7" w:rsidRPr="001F4EC7" w:rsidRDefault="001F4EC7" w:rsidP="001F4EC7">
            <w:pPr>
              <w:pStyle w:val="SingleTxtG"/>
              <w:spacing w:before="80" w:after="80" w:line="200" w:lineRule="exact"/>
              <w:ind w:left="0" w:right="0"/>
              <w:jc w:val="left"/>
              <w:rPr>
                <w:i/>
                <w:sz w:val="16"/>
              </w:rPr>
            </w:pPr>
          </w:p>
        </w:tc>
        <w:tc>
          <w:tcPr>
            <w:tcW w:w="830" w:type="dxa"/>
            <w:tcBorders>
              <w:top w:val="single" w:sz="4" w:space="0" w:color="auto"/>
              <w:bottom w:val="single" w:sz="12" w:space="0" w:color="auto"/>
            </w:tcBorders>
            <w:shd w:val="clear" w:color="auto" w:fill="auto"/>
            <w:vAlign w:val="bottom"/>
          </w:tcPr>
          <w:p w14:paraId="22EDCA02"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2011</w:t>
            </w:r>
          </w:p>
        </w:tc>
        <w:tc>
          <w:tcPr>
            <w:tcW w:w="831" w:type="dxa"/>
            <w:tcBorders>
              <w:top w:val="single" w:sz="4" w:space="0" w:color="auto"/>
              <w:bottom w:val="single" w:sz="12" w:space="0" w:color="auto"/>
            </w:tcBorders>
            <w:shd w:val="clear" w:color="auto" w:fill="auto"/>
            <w:vAlign w:val="bottom"/>
          </w:tcPr>
          <w:p w14:paraId="176B7456"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2012</w:t>
            </w:r>
          </w:p>
        </w:tc>
        <w:tc>
          <w:tcPr>
            <w:tcW w:w="831" w:type="dxa"/>
            <w:tcBorders>
              <w:top w:val="single" w:sz="4" w:space="0" w:color="auto"/>
              <w:bottom w:val="single" w:sz="12" w:space="0" w:color="auto"/>
            </w:tcBorders>
            <w:shd w:val="clear" w:color="auto" w:fill="auto"/>
            <w:vAlign w:val="bottom"/>
          </w:tcPr>
          <w:p w14:paraId="105AD745"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2013</w:t>
            </w:r>
          </w:p>
        </w:tc>
        <w:tc>
          <w:tcPr>
            <w:tcW w:w="831" w:type="dxa"/>
            <w:tcBorders>
              <w:top w:val="single" w:sz="4" w:space="0" w:color="auto"/>
              <w:bottom w:val="single" w:sz="12" w:space="0" w:color="auto"/>
            </w:tcBorders>
            <w:shd w:val="clear" w:color="auto" w:fill="auto"/>
            <w:vAlign w:val="bottom"/>
          </w:tcPr>
          <w:p w14:paraId="0801253F"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2014</w:t>
            </w:r>
          </w:p>
        </w:tc>
        <w:tc>
          <w:tcPr>
            <w:tcW w:w="831" w:type="dxa"/>
            <w:tcBorders>
              <w:top w:val="single" w:sz="4" w:space="0" w:color="auto"/>
              <w:bottom w:val="single" w:sz="12" w:space="0" w:color="auto"/>
            </w:tcBorders>
            <w:shd w:val="clear" w:color="auto" w:fill="auto"/>
            <w:vAlign w:val="bottom"/>
          </w:tcPr>
          <w:p w14:paraId="2EFE97B0"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2015</w:t>
            </w:r>
          </w:p>
        </w:tc>
        <w:tc>
          <w:tcPr>
            <w:tcW w:w="831" w:type="dxa"/>
            <w:tcBorders>
              <w:top w:val="single" w:sz="4" w:space="0" w:color="auto"/>
              <w:bottom w:val="single" w:sz="12" w:space="0" w:color="auto"/>
            </w:tcBorders>
            <w:shd w:val="clear" w:color="auto" w:fill="auto"/>
            <w:vAlign w:val="bottom"/>
          </w:tcPr>
          <w:p w14:paraId="780DFE72" w14:textId="77777777" w:rsidR="001F4EC7" w:rsidRPr="001F4EC7" w:rsidRDefault="001F4EC7" w:rsidP="00DC2905">
            <w:pPr>
              <w:pStyle w:val="SingleTxtG"/>
              <w:spacing w:before="80" w:after="80" w:line="200" w:lineRule="exact"/>
              <w:ind w:left="0" w:right="0"/>
              <w:jc w:val="right"/>
              <w:rPr>
                <w:i/>
                <w:sz w:val="16"/>
              </w:rPr>
            </w:pPr>
            <w:r w:rsidRPr="001F4EC7">
              <w:rPr>
                <w:i/>
                <w:sz w:val="16"/>
              </w:rPr>
              <w:t>2016**</w:t>
            </w:r>
          </w:p>
        </w:tc>
        <w:tc>
          <w:tcPr>
            <w:tcW w:w="831" w:type="dxa"/>
            <w:tcBorders>
              <w:top w:val="single" w:sz="4" w:space="0" w:color="auto"/>
              <w:bottom w:val="single" w:sz="12" w:space="0" w:color="auto"/>
            </w:tcBorders>
            <w:shd w:val="clear" w:color="auto" w:fill="auto"/>
            <w:vAlign w:val="bottom"/>
          </w:tcPr>
          <w:p w14:paraId="4BE74E81" w14:textId="77777777" w:rsidR="001F4EC7" w:rsidRPr="001F4EC7" w:rsidRDefault="001F4EC7" w:rsidP="00DC2905">
            <w:pPr>
              <w:pStyle w:val="SingleTxtG"/>
              <w:spacing w:before="80" w:after="80" w:line="200" w:lineRule="exact"/>
              <w:ind w:left="0" w:right="0"/>
              <w:jc w:val="right"/>
              <w:rPr>
                <w:i/>
                <w:sz w:val="16"/>
              </w:rPr>
            </w:pPr>
            <w:r w:rsidRPr="001F4EC7">
              <w:rPr>
                <w:i/>
                <w:sz w:val="16"/>
              </w:rPr>
              <w:t>Índice de variación</w:t>
            </w:r>
          </w:p>
        </w:tc>
      </w:tr>
      <w:tr w:rsidR="00DC2905" w:rsidRPr="001F4EC7" w14:paraId="1B140ADD" w14:textId="77777777" w:rsidTr="00DC2905">
        <w:tc>
          <w:tcPr>
            <w:tcW w:w="1554" w:type="dxa"/>
            <w:tcBorders>
              <w:top w:val="single" w:sz="12" w:space="0" w:color="auto"/>
              <w:bottom w:val="single" w:sz="12" w:space="0" w:color="auto"/>
            </w:tcBorders>
            <w:shd w:val="clear" w:color="auto" w:fill="auto"/>
            <w:vAlign w:val="bottom"/>
          </w:tcPr>
          <w:p w14:paraId="4BDEBF10" w14:textId="77777777" w:rsidR="001F4EC7" w:rsidRPr="001F4EC7" w:rsidRDefault="001F4EC7" w:rsidP="001F4EC7">
            <w:pPr>
              <w:pStyle w:val="SingleTxtG"/>
              <w:spacing w:before="40" w:after="40" w:line="220" w:lineRule="exact"/>
              <w:ind w:left="0" w:right="0"/>
              <w:jc w:val="left"/>
              <w:rPr>
                <w:sz w:val="18"/>
              </w:rPr>
            </w:pPr>
            <w:r w:rsidRPr="001F4EC7">
              <w:rPr>
                <w:sz w:val="18"/>
              </w:rPr>
              <w:t>Tasa de desempleo</w:t>
            </w:r>
          </w:p>
        </w:tc>
        <w:tc>
          <w:tcPr>
            <w:tcW w:w="830" w:type="dxa"/>
            <w:tcBorders>
              <w:top w:val="single" w:sz="12" w:space="0" w:color="auto"/>
              <w:bottom w:val="single" w:sz="12" w:space="0" w:color="auto"/>
            </w:tcBorders>
            <w:shd w:val="clear" w:color="auto" w:fill="auto"/>
            <w:vAlign w:val="bottom"/>
          </w:tcPr>
          <w:p w14:paraId="3B54A234" w14:textId="77777777" w:rsidR="001F4EC7" w:rsidRPr="001F4EC7" w:rsidRDefault="001F4EC7" w:rsidP="001F4EC7">
            <w:pPr>
              <w:pStyle w:val="SingleTxtG"/>
              <w:spacing w:before="40" w:after="40" w:line="220" w:lineRule="exact"/>
              <w:ind w:left="0" w:right="0"/>
              <w:jc w:val="right"/>
              <w:rPr>
                <w:sz w:val="18"/>
              </w:rPr>
            </w:pPr>
            <w:r w:rsidRPr="001F4EC7">
              <w:rPr>
                <w:sz w:val="18"/>
              </w:rPr>
              <w:t>8,3</w:t>
            </w:r>
          </w:p>
        </w:tc>
        <w:tc>
          <w:tcPr>
            <w:tcW w:w="831" w:type="dxa"/>
            <w:tcBorders>
              <w:top w:val="single" w:sz="12" w:space="0" w:color="auto"/>
              <w:bottom w:val="single" w:sz="12" w:space="0" w:color="auto"/>
            </w:tcBorders>
            <w:shd w:val="clear" w:color="auto" w:fill="auto"/>
            <w:vAlign w:val="bottom"/>
          </w:tcPr>
          <w:p w14:paraId="38DF731E" w14:textId="77777777" w:rsidR="001F4EC7" w:rsidRPr="001F4EC7" w:rsidRDefault="001F4EC7" w:rsidP="001F4EC7">
            <w:pPr>
              <w:pStyle w:val="SingleTxtG"/>
              <w:spacing w:before="40" w:after="40" w:line="220" w:lineRule="exact"/>
              <w:ind w:left="0" w:right="0"/>
              <w:jc w:val="right"/>
              <w:rPr>
                <w:sz w:val="18"/>
              </w:rPr>
            </w:pPr>
            <w:r w:rsidRPr="001F4EC7">
              <w:rPr>
                <w:sz w:val="18"/>
              </w:rPr>
              <w:t>11,9</w:t>
            </w:r>
          </w:p>
        </w:tc>
        <w:tc>
          <w:tcPr>
            <w:tcW w:w="831" w:type="dxa"/>
            <w:tcBorders>
              <w:top w:val="single" w:sz="12" w:space="0" w:color="auto"/>
              <w:bottom w:val="single" w:sz="12" w:space="0" w:color="auto"/>
            </w:tcBorders>
            <w:shd w:val="clear" w:color="auto" w:fill="auto"/>
            <w:vAlign w:val="bottom"/>
          </w:tcPr>
          <w:p w14:paraId="6F5011A6" w14:textId="77777777" w:rsidR="001F4EC7" w:rsidRPr="001F4EC7" w:rsidRDefault="001F4EC7" w:rsidP="001F4EC7">
            <w:pPr>
              <w:pStyle w:val="SingleTxtG"/>
              <w:spacing w:before="40" w:after="40" w:line="220" w:lineRule="exact"/>
              <w:ind w:left="0" w:right="0"/>
              <w:jc w:val="right"/>
              <w:rPr>
                <w:sz w:val="18"/>
              </w:rPr>
            </w:pPr>
            <w:r w:rsidRPr="001F4EC7">
              <w:rPr>
                <w:sz w:val="18"/>
              </w:rPr>
              <w:t>-</w:t>
            </w:r>
          </w:p>
        </w:tc>
        <w:tc>
          <w:tcPr>
            <w:tcW w:w="831" w:type="dxa"/>
            <w:tcBorders>
              <w:top w:val="single" w:sz="12" w:space="0" w:color="auto"/>
              <w:bottom w:val="single" w:sz="12" w:space="0" w:color="auto"/>
            </w:tcBorders>
            <w:shd w:val="clear" w:color="auto" w:fill="auto"/>
            <w:vAlign w:val="bottom"/>
          </w:tcPr>
          <w:p w14:paraId="6DC1FFA5" w14:textId="77777777" w:rsidR="001F4EC7" w:rsidRPr="001F4EC7" w:rsidRDefault="001F4EC7" w:rsidP="001F4EC7">
            <w:pPr>
              <w:pStyle w:val="SingleTxtG"/>
              <w:spacing w:before="40" w:after="40" w:line="220" w:lineRule="exact"/>
              <w:ind w:left="0" w:right="0"/>
              <w:jc w:val="right"/>
              <w:rPr>
                <w:sz w:val="18"/>
              </w:rPr>
            </w:pPr>
            <w:r w:rsidRPr="001F4EC7">
              <w:rPr>
                <w:sz w:val="18"/>
              </w:rPr>
              <w:t>10,6</w:t>
            </w:r>
          </w:p>
        </w:tc>
        <w:tc>
          <w:tcPr>
            <w:tcW w:w="831" w:type="dxa"/>
            <w:tcBorders>
              <w:top w:val="single" w:sz="12" w:space="0" w:color="auto"/>
              <w:bottom w:val="single" w:sz="12" w:space="0" w:color="auto"/>
            </w:tcBorders>
            <w:shd w:val="clear" w:color="auto" w:fill="auto"/>
            <w:vAlign w:val="bottom"/>
          </w:tcPr>
          <w:p w14:paraId="46793DF9" w14:textId="77777777" w:rsidR="001F4EC7" w:rsidRPr="001F4EC7" w:rsidRDefault="001F4EC7" w:rsidP="001F4EC7">
            <w:pPr>
              <w:pStyle w:val="SingleTxtG"/>
              <w:spacing w:before="40" w:after="40" w:line="220" w:lineRule="exact"/>
              <w:ind w:left="0" w:right="0"/>
              <w:jc w:val="right"/>
              <w:rPr>
                <w:sz w:val="18"/>
              </w:rPr>
            </w:pPr>
            <w:r w:rsidRPr="001F4EC7">
              <w:rPr>
                <w:sz w:val="18"/>
              </w:rPr>
              <w:t>-</w:t>
            </w:r>
          </w:p>
        </w:tc>
        <w:tc>
          <w:tcPr>
            <w:tcW w:w="831" w:type="dxa"/>
            <w:tcBorders>
              <w:top w:val="single" w:sz="12" w:space="0" w:color="auto"/>
              <w:bottom w:val="single" w:sz="12" w:space="0" w:color="auto"/>
            </w:tcBorders>
            <w:shd w:val="clear" w:color="auto" w:fill="auto"/>
            <w:vAlign w:val="bottom"/>
          </w:tcPr>
          <w:p w14:paraId="344B5BFD" w14:textId="77777777" w:rsidR="001F4EC7" w:rsidRPr="001F4EC7" w:rsidRDefault="001F4EC7" w:rsidP="001F4EC7">
            <w:pPr>
              <w:pStyle w:val="SingleTxtG"/>
              <w:spacing w:before="40" w:after="40" w:line="220" w:lineRule="exact"/>
              <w:ind w:left="0" w:right="0"/>
              <w:jc w:val="right"/>
              <w:rPr>
                <w:sz w:val="18"/>
              </w:rPr>
            </w:pPr>
            <w:r w:rsidRPr="001F4EC7">
              <w:rPr>
                <w:sz w:val="18"/>
              </w:rPr>
              <w:t>10,8</w:t>
            </w:r>
          </w:p>
        </w:tc>
        <w:tc>
          <w:tcPr>
            <w:tcW w:w="831" w:type="dxa"/>
            <w:tcBorders>
              <w:top w:val="single" w:sz="12" w:space="0" w:color="auto"/>
              <w:bottom w:val="single" w:sz="12" w:space="0" w:color="auto"/>
            </w:tcBorders>
            <w:shd w:val="clear" w:color="auto" w:fill="auto"/>
            <w:vAlign w:val="bottom"/>
          </w:tcPr>
          <w:p w14:paraId="4A14CD47" w14:textId="77777777" w:rsidR="001F4EC7" w:rsidRPr="001F4EC7" w:rsidRDefault="001F4EC7" w:rsidP="001F4EC7">
            <w:pPr>
              <w:pStyle w:val="SingleTxtG"/>
              <w:spacing w:before="40" w:after="40" w:line="220" w:lineRule="exact"/>
              <w:ind w:left="0" w:right="0"/>
              <w:jc w:val="right"/>
              <w:rPr>
                <w:sz w:val="18"/>
              </w:rPr>
            </w:pPr>
            <w:r w:rsidRPr="001F4EC7">
              <w:rPr>
                <w:sz w:val="18"/>
              </w:rPr>
              <w:t>- 10,9</w:t>
            </w:r>
          </w:p>
        </w:tc>
      </w:tr>
    </w:tbl>
    <w:p w14:paraId="6AF1939A" w14:textId="77777777" w:rsidR="008A38B9" w:rsidRPr="00DC2905" w:rsidRDefault="008A38B9" w:rsidP="00DC2905">
      <w:pPr>
        <w:pStyle w:val="SingleTxtG"/>
        <w:spacing w:before="120" w:after="0"/>
        <w:ind w:firstLine="170"/>
        <w:jc w:val="left"/>
        <w:rPr>
          <w:sz w:val="18"/>
          <w:szCs w:val="18"/>
        </w:rPr>
      </w:pPr>
      <w:r w:rsidRPr="00DC2905">
        <w:rPr>
          <w:i/>
          <w:iCs/>
          <w:sz w:val="18"/>
          <w:szCs w:val="18"/>
        </w:rPr>
        <w:t>Fuente</w:t>
      </w:r>
      <w:r w:rsidRPr="00DC2905">
        <w:rPr>
          <w:i/>
          <w:sz w:val="18"/>
          <w:szCs w:val="18"/>
        </w:rPr>
        <w:t>:</w:t>
      </w:r>
      <w:r w:rsidRPr="00DC2905">
        <w:rPr>
          <w:sz w:val="18"/>
          <w:szCs w:val="18"/>
        </w:rPr>
        <w:t xml:space="preserve"> Indicadores estadísticos sobre la situación económica y social en el Iraq entre 2012 y 2014. </w:t>
      </w:r>
    </w:p>
    <w:p w14:paraId="50B87A8C" w14:textId="77777777" w:rsidR="008A38B9" w:rsidRPr="00DC2905" w:rsidRDefault="00DC2905" w:rsidP="00DC2905">
      <w:pPr>
        <w:pStyle w:val="Bullet1G"/>
        <w:numPr>
          <w:ilvl w:val="0"/>
          <w:numId w:val="0"/>
        </w:numPr>
        <w:spacing w:after="0"/>
        <w:ind w:left="1134" w:firstLine="170"/>
        <w:jc w:val="left"/>
        <w:rPr>
          <w:sz w:val="18"/>
          <w:szCs w:val="18"/>
        </w:rPr>
      </w:pPr>
      <w:r>
        <w:rPr>
          <w:sz w:val="18"/>
          <w:szCs w:val="18"/>
        </w:rPr>
        <w:t xml:space="preserve">•  </w:t>
      </w:r>
      <w:r w:rsidR="008A38B9" w:rsidRPr="00DC2905">
        <w:rPr>
          <w:sz w:val="18"/>
          <w:szCs w:val="18"/>
        </w:rPr>
        <w:t>Entre 2012 y 2014, la tasa de desempleo descendió el 10,9 % y el gasto medio por hogar a precios de mercado se incrementó el 17,8 %.</w:t>
      </w:r>
    </w:p>
    <w:p w14:paraId="50423396" w14:textId="77777777" w:rsidR="008A38B9" w:rsidRPr="00DC2905" w:rsidRDefault="00DC2905" w:rsidP="00DC2905">
      <w:pPr>
        <w:pStyle w:val="Bullet1G"/>
        <w:numPr>
          <w:ilvl w:val="0"/>
          <w:numId w:val="0"/>
        </w:numPr>
        <w:spacing w:after="0"/>
        <w:ind w:left="1134" w:firstLine="170"/>
        <w:jc w:val="left"/>
        <w:rPr>
          <w:sz w:val="18"/>
          <w:szCs w:val="18"/>
        </w:rPr>
      </w:pPr>
      <w:r>
        <w:rPr>
          <w:sz w:val="18"/>
          <w:szCs w:val="18"/>
        </w:rPr>
        <w:t xml:space="preserve">•  </w:t>
      </w:r>
      <w:r w:rsidR="008A38B9" w:rsidRPr="00DC2905">
        <w:rPr>
          <w:sz w:val="18"/>
          <w:szCs w:val="18"/>
        </w:rPr>
        <w:t>En 2017, la tasa de desempleo en la Región del Kurdistán era 10,2 %.</w:t>
      </w:r>
    </w:p>
    <w:p w14:paraId="16C1DC75" w14:textId="77777777" w:rsidR="008A38B9" w:rsidRPr="00DC2905" w:rsidRDefault="008A38B9" w:rsidP="00DC2905">
      <w:pPr>
        <w:pStyle w:val="SingleTxtG"/>
        <w:spacing w:after="0"/>
        <w:ind w:firstLine="170"/>
        <w:jc w:val="left"/>
        <w:rPr>
          <w:sz w:val="18"/>
          <w:szCs w:val="18"/>
        </w:rPr>
      </w:pPr>
      <w:r w:rsidRPr="00DC2905">
        <w:rPr>
          <w:sz w:val="18"/>
          <w:szCs w:val="18"/>
        </w:rPr>
        <w:t>*</w:t>
      </w:r>
      <w:r w:rsidR="00DC2905">
        <w:rPr>
          <w:sz w:val="18"/>
          <w:szCs w:val="18"/>
        </w:rPr>
        <w:t xml:space="preserve">  </w:t>
      </w:r>
      <w:r w:rsidRPr="00DC2905">
        <w:rPr>
          <w:sz w:val="18"/>
          <w:szCs w:val="18"/>
        </w:rPr>
        <w:t>Datos relativos a la Región</w:t>
      </w:r>
      <w:r w:rsidR="00DC2905">
        <w:rPr>
          <w:sz w:val="18"/>
          <w:szCs w:val="18"/>
        </w:rPr>
        <w:t>.</w:t>
      </w:r>
    </w:p>
    <w:p w14:paraId="26333B9D" w14:textId="77777777" w:rsidR="008A38B9" w:rsidRPr="00DC2905" w:rsidRDefault="008A38B9" w:rsidP="00DC2905">
      <w:pPr>
        <w:pStyle w:val="SingleTxtG"/>
        <w:spacing w:after="240"/>
        <w:ind w:firstLine="170"/>
        <w:jc w:val="left"/>
        <w:rPr>
          <w:sz w:val="18"/>
          <w:szCs w:val="18"/>
        </w:rPr>
      </w:pPr>
      <w:r w:rsidRPr="00DC2905">
        <w:rPr>
          <w:sz w:val="18"/>
          <w:szCs w:val="18"/>
        </w:rPr>
        <w:t>**</w:t>
      </w:r>
      <w:r w:rsidR="00DC2905">
        <w:rPr>
          <w:sz w:val="18"/>
          <w:szCs w:val="18"/>
        </w:rPr>
        <w:t xml:space="preserve">  </w:t>
      </w:r>
      <w:r w:rsidRPr="00DC2905">
        <w:rPr>
          <w:sz w:val="18"/>
          <w:szCs w:val="18"/>
        </w:rPr>
        <w:t>Exceptuando Nínive y Al-Anbar</w:t>
      </w:r>
      <w:r w:rsidR="00DC2905">
        <w:rPr>
          <w:sz w:val="18"/>
          <w:szCs w:val="18"/>
        </w:rPr>
        <w:t>.</w:t>
      </w:r>
    </w:p>
    <w:p w14:paraId="1682B7FA" w14:textId="77777777" w:rsidR="008A38B9" w:rsidRDefault="008A38B9" w:rsidP="00DC2905">
      <w:pPr>
        <w:pStyle w:val="SingleTxtG"/>
      </w:pPr>
      <w:r w:rsidRPr="008A38B9">
        <w:t>44.</w:t>
      </w:r>
      <w:r w:rsidRPr="008A38B9">
        <w:tab/>
        <w:t>En el cuadro siguiente figura el índice de recuento de la pobreza, la brecha de pobreza y la profundidad de la pobreza en el Iraq en 2014.</w:t>
      </w:r>
    </w:p>
    <w:tbl>
      <w:tblPr>
        <w:tblStyle w:val="Tablaconcuadrcula"/>
        <w:tblW w:w="848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808"/>
        <w:gridCol w:w="809"/>
        <w:gridCol w:w="809"/>
        <w:gridCol w:w="809"/>
        <w:gridCol w:w="808"/>
        <w:gridCol w:w="809"/>
        <w:gridCol w:w="809"/>
        <w:gridCol w:w="809"/>
        <w:gridCol w:w="809"/>
      </w:tblGrid>
      <w:tr w:rsidR="005632A0" w:rsidRPr="00DC2905" w14:paraId="37F1883A" w14:textId="77777777" w:rsidTr="005632A0">
        <w:trPr>
          <w:tblHeader/>
        </w:trPr>
        <w:tc>
          <w:tcPr>
            <w:tcW w:w="1204" w:type="dxa"/>
            <w:tcBorders>
              <w:top w:val="single" w:sz="4" w:space="0" w:color="auto"/>
            </w:tcBorders>
            <w:shd w:val="clear" w:color="auto" w:fill="auto"/>
            <w:vAlign w:val="bottom"/>
          </w:tcPr>
          <w:p w14:paraId="2FD89F4E" w14:textId="77777777" w:rsidR="005632A0" w:rsidRPr="00DC2905" w:rsidRDefault="005632A0" w:rsidP="005632A0">
            <w:pPr>
              <w:pStyle w:val="SingleTxtG"/>
              <w:spacing w:before="80" w:after="80" w:line="200" w:lineRule="exact"/>
              <w:ind w:left="0" w:right="0"/>
              <w:jc w:val="left"/>
              <w:rPr>
                <w:i/>
                <w:sz w:val="16"/>
              </w:rPr>
            </w:pPr>
          </w:p>
        </w:tc>
        <w:tc>
          <w:tcPr>
            <w:tcW w:w="2426" w:type="dxa"/>
            <w:gridSpan w:val="3"/>
            <w:tcBorders>
              <w:top w:val="single" w:sz="4" w:space="0" w:color="auto"/>
              <w:bottom w:val="single" w:sz="4" w:space="0" w:color="auto"/>
              <w:right w:val="single" w:sz="24" w:space="0" w:color="FFFFFF" w:themeColor="background1"/>
            </w:tcBorders>
            <w:shd w:val="clear" w:color="auto" w:fill="auto"/>
            <w:vAlign w:val="bottom"/>
          </w:tcPr>
          <w:p w14:paraId="246430A1" w14:textId="77777777" w:rsidR="005632A0" w:rsidRPr="005632A0" w:rsidRDefault="005632A0" w:rsidP="005632A0">
            <w:pPr>
              <w:pStyle w:val="SingleTxtG"/>
              <w:spacing w:before="80" w:after="80" w:line="200" w:lineRule="exact"/>
              <w:ind w:left="0" w:right="0"/>
              <w:jc w:val="center"/>
              <w:rPr>
                <w:i/>
                <w:sz w:val="16"/>
              </w:rPr>
            </w:pPr>
            <w:r w:rsidRPr="005632A0">
              <w:rPr>
                <w:i/>
                <w:sz w:val="16"/>
              </w:rPr>
              <w:t>Índice de recuento de la pobreza</w:t>
            </w:r>
          </w:p>
        </w:tc>
        <w:tc>
          <w:tcPr>
            <w:tcW w:w="242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2AA5A4B" w14:textId="77777777" w:rsidR="005632A0" w:rsidRPr="005632A0" w:rsidRDefault="005632A0" w:rsidP="005632A0">
            <w:pPr>
              <w:pStyle w:val="SingleTxtG"/>
              <w:spacing w:before="80" w:after="80" w:line="200" w:lineRule="exact"/>
              <w:ind w:left="0" w:right="0"/>
              <w:jc w:val="center"/>
              <w:rPr>
                <w:i/>
                <w:sz w:val="16"/>
              </w:rPr>
            </w:pPr>
            <w:r w:rsidRPr="005632A0">
              <w:rPr>
                <w:i/>
                <w:sz w:val="16"/>
              </w:rPr>
              <w:t>Brecha de pobreza</w:t>
            </w:r>
          </w:p>
        </w:tc>
        <w:tc>
          <w:tcPr>
            <w:tcW w:w="2427" w:type="dxa"/>
            <w:gridSpan w:val="3"/>
            <w:tcBorders>
              <w:top w:val="single" w:sz="4" w:space="0" w:color="auto"/>
              <w:left w:val="single" w:sz="24" w:space="0" w:color="FFFFFF" w:themeColor="background1"/>
              <w:bottom w:val="single" w:sz="4" w:space="0" w:color="auto"/>
            </w:tcBorders>
            <w:shd w:val="clear" w:color="auto" w:fill="auto"/>
            <w:vAlign w:val="bottom"/>
          </w:tcPr>
          <w:p w14:paraId="4C56C5DD" w14:textId="77777777" w:rsidR="005632A0" w:rsidRPr="005632A0" w:rsidRDefault="005632A0" w:rsidP="005632A0">
            <w:pPr>
              <w:pStyle w:val="SingleTxtG"/>
              <w:spacing w:before="80" w:after="80" w:line="200" w:lineRule="exact"/>
              <w:ind w:left="0" w:right="0"/>
              <w:jc w:val="center"/>
              <w:rPr>
                <w:i/>
                <w:sz w:val="16"/>
              </w:rPr>
            </w:pPr>
            <w:r w:rsidRPr="005632A0">
              <w:rPr>
                <w:i/>
                <w:sz w:val="16"/>
              </w:rPr>
              <w:t>Profundidad de la pobreza</w:t>
            </w:r>
          </w:p>
        </w:tc>
      </w:tr>
      <w:tr w:rsidR="005632A0" w:rsidRPr="00DC2905" w14:paraId="53BC4BEB" w14:textId="77777777" w:rsidTr="005632A0">
        <w:trPr>
          <w:tblHeader/>
        </w:trPr>
        <w:tc>
          <w:tcPr>
            <w:tcW w:w="1204" w:type="dxa"/>
            <w:shd w:val="clear" w:color="auto" w:fill="auto"/>
            <w:vAlign w:val="bottom"/>
          </w:tcPr>
          <w:p w14:paraId="4803E3D9" w14:textId="77777777" w:rsidR="005632A0" w:rsidRPr="00DC2905" w:rsidRDefault="005632A0" w:rsidP="005632A0">
            <w:pPr>
              <w:pStyle w:val="SingleTxtG"/>
              <w:spacing w:before="80" w:after="80" w:line="200" w:lineRule="exact"/>
              <w:ind w:left="0" w:right="0"/>
              <w:jc w:val="left"/>
              <w:rPr>
                <w:i/>
                <w:sz w:val="16"/>
              </w:rPr>
            </w:pPr>
          </w:p>
        </w:tc>
        <w:tc>
          <w:tcPr>
            <w:tcW w:w="808" w:type="dxa"/>
            <w:tcBorders>
              <w:top w:val="single" w:sz="4" w:space="0" w:color="auto"/>
            </w:tcBorders>
            <w:shd w:val="clear" w:color="auto" w:fill="auto"/>
            <w:vAlign w:val="bottom"/>
          </w:tcPr>
          <w:p w14:paraId="5848E04F" w14:textId="77777777" w:rsidR="005632A0" w:rsidRPr="00DC2905" w:rsidRDefault="005632A0" w:rsidP="005632A0">
            <w:pPr>
              <w:pStyle w:val="SingleTxtG"/>
              <w:spacing w:before="80" w:after="80" w:line="200" w:lineRule="exact"/>
              <w:ind w:left="0" w:right="0"/>
              <w:jc w:val="right"/>
              <w:rPr>
                <w:i/>
                <w:sz w:val="16"/>
              </w:rPr>
            </w:pPr>
          </w:p>
        </w:tc>
        <w:tc>
          <w:tcPr>
            <w:tcW w:w="1618" w:type="dxa"/>
            <w:gridSpan w:val="2"/>
            <w:tcBorders>
              <w:top w:val="single" w:sz="4" w:space="0" w:color="auto"/>
              <w:bottom w:val="single" w:sz="4" w:space="0" w:color="auto"/>
              <w:right w:val="single" w:sz="24" w:space="0" w:color="FFFFFF" w:themeColor="background1"/>
            </w:tcBorders>
            <w:shd w:val="clear" w:color="auto" w:fill="auto"/>
            <w:vAlign w:val="bottom"/>
          </w:tcPr>
          <w:p w14:paraId="7ED226CA" w14:textId="77777777" w:rsidR="005632A0" w:rsidRPr="00DC2905" w:rsidRDefault="005632A0" w:rsidP="005632A0">
            <w:pPr>
              <w:pStyle w:val="SingleTxtG"/>
              <w:spacing w:before="80" w:after="80" w:line="200" w:lineRule="exact"/>
              <w:ind w:left="0" w:right="0"/>
              <w:jc w:val="center"/>
              <w:rPr>
                <w:i/>
                <w:sz w:val="16"/>
              </w:rPr>
            </w:pPr>
            <w:r>
              <w:rPr>
                <w:i/>
                <w:sz w:val="16"/>
              </w:rPr>
              <w:t>2014</w:t>
            </w:r>
          </w:p>
        </w:tc>
        <w:tc>
          <w:tcPr>
            <w:tcW w:w="809" w:type="dxa"/>
            <w:tcBorders>
              <w:top w:val="single" w:sz="4" w:space="0" w:color="auto"/>
              <w:left w:val="single" w:sz="24" w:space="0" w:color="FFFFFF" w:themeColor="background1"/>
            </w:tcBorders>
            <w:shd w:val="clear" w:color="auto" w:fill="auto"/>
            <w:vAlign w:val="bottom"/>
          </w:tcPr>
          <w:p w14:paraId="5F270965" w14:textId="77777777" w:rsidR="005632A0" w:rsidRPr="00DC2905" w:rsidRDefault="005632A0" w:rsidP="005632A0">
            <w:pPr>
              <w:pStyle w:val="SingleTxtG"/>
              <w:spacing w:before="80" w:after="80" w:line="200" w:lineRule="exact"/>
              <w:ind w:left="0" w:right="0"/>
              <w:jc w:val="center"/>
              <w:rPr>
                <w:i/>
                <w:sz w:val="16"/>
              </w:rPr>
            </w:pPr>
          </w:p>
        </w:tc>
        <w:tc>
          <w:tcPr>
            <w:tcW w:w="1617" w:type="dxa"/>
            <w:gridSpan w:val="2"/>
            <w:tcBorders>
              <w:top w:val="single" w:sz="4" w:space="0" w:color="auto"/>
              <w:bottom w:val="single" w:sz="4" w:space="0" w:color="auto"/>
              <w:right w:val="single" w:sz="24" w:space="0" w:color="FFFFFF" w:themeColor="background1"/>
            </w:tcBorders>
            <w:shd w:val="clear" w:color="auto" w:fill="auto"/>
            <w:vAlign w:val="bottom"/>
          </w:tcPr>
          <w:p w14:paraId="77A044D3" w14:textId="77777777" w:rsidR="005632A0" w:rsidRPr="00DC2905" w:rsidRDefault="005632A0" w:rsidP="005632A0">
            <w:pPr>
              <w:pStyle w:val="SingleTxtG"/>
              <w:spacing w:before="80" w:after="80" w:line="200" w:lineRule="exact"/>
              <w:ind w:left="0" w:right="0"/>
              <w:jc w:val="center"/>
              <w:rPr>
                <w:i/>
                <w:sz w:val="16"/>
              </w:rPr>
            </w:pPr>
            <w:r>
              <w:rPr>
                <w:i/>
                <w:sz w:val="16"/>
              </w:rPr>
              <w:t>2014</w:t>
            </w:r>
          </w:p>
        </w:tc>
        <w:tc>
          <w:tcPr>
            <w:tcW w:w="809" w:type="dxa"/>
            <w:tcBorders>
              <w:top w:val="single" w:sz="4" w:space="0" w:color="auto"/>
              <w:left w:val="single" w:sz="24" w:space="0" w:color="FFFFFF" w:themeColor="background1"/>
            </w:tcBorders>
            <w:shd w:val="clear" w:color="auto" w:fill="auto"/>
            <w:vAlign w:val="bottom"/>
          </w:tcPr>
          <w:p w14:paraId="5A7D4A63" w14:textId="77777777" w:rsidR="005632A0" w:rsidRPr="00DC2905" w:rsidRDefault="005632A0" w:rsidP="005632A0">
            <w:pPr>
              <w:pStyle w:val="SingleTxtG"/>
              <w:spacing w:before="80" w:after="80" w:line="200" w:lineRule="exact"/>
              <w:ind w:left="0" w:right="0"/>
              <w:jc w:val="center"/>
              <w:rPr>
                <w:i/>
                <w:sz w:val="16"/>
              </w:rPr>
            </w:pPr>
          </w:p>
        </w:tc>
        <w:tc>
          <w:tcPr>
            <w:tcW w:w="1618" w:type="dxa"/>
            <w:gridSpan w:val="2"/>
            <w:tcBorders>
              <w:top w:val="single" w:sz="4" w:space="0" w:color="auto"/>
              <w:bottom w:val="single" w:sz="4" w:space="0" w:color="auto"/>
            </w:tcBorders>
            <w:shd w:val="clear" w:color="auto" w:fill="auto"/>
            <w:vAlign w:val="bottom"/>
          </w:tcPr>
          <w:p w14:paraId="139B9BFF" w14:textId="77777777" w:rsidR="005632A0" w:rsidRPr="00DC2905" w:rsidRDefault="005632A0" w:rsidP="005632A0">
            <w:pPr>
              <w:pStyle w:val="SingleTxtG"/>
              <w:spacing w:before="80" w:after="80" w:line="200" w:lineRule="exact"/>
              <w:ind w:left="0" w:right="0"/>
              <w:jc w:val="center"/>
              <w:rPr>
                <w:i/>
                <w:sz w:val="16"/>
              </w:rPr>
            </w:pPr>
            <w:r>
              <w:rPr>
                <w:i/>
                <w:sz w:val="16"/>
              </w:rPr>
              <w:t>2014</w:t>
            </w:r>
          </w:p>
        </w:tc>
      </w:tr>
      <w:tr w:rsidR="005632A0" w:rsidRPr="00DC2905" w14:paraId="1FC1E62E" w14:textId="77777777" w:rsidTr="005632A0">
        <w:trPr>
          <w:tblHeader/>
        </w:trPr>
        <w:tc>
          <w:tcPr>
            <w:tcW w:w="1204" w:type="dxa"/>
            <w:tcBorders>
              <w:bottom w:val="single" w:sz="12" w:space="0" w:color="auto"/>
            </w:tcBorders>
            <w:shd w:val="clear" w:color="auto" w:fill="auto"/>
            <w:vAlign w:val="bottom"/>
          </w:tcPr>
          <w:p w14:paraId="79B95EBE" w14:textId="77777777" w:rsidR="005632A0" w:rsidRPr="00DC2905" w:rsidRDefault="005632A0" w:rsidP="005632A0">
            <w:pPr>
              <w:pStyle w:val="SingleTxtG"/>
              <w:spacing w:before="80" w:after="80" w:line="200" w:lineRule="exact"/>
              <w:ind w:left="0" w:right="0"/>
              <w:jc w:val="left"/>
              <w:rPr>
                <w:i/>
                <w:sz w:val="16"/>
              </w:rPr>
            </w:pPr>
          </w:p>
        </w:tc>
        <w:tc>
          <w:tcPr>
            <w:tcW w:w="808" w:type="dxa"/>
            <w:tcBorders>
              <w:bottom w:val="single" w:sz="12" w:space="0" w:color="auto"/>
            </w:tcBorders>
            <w:shd w:val="clear" w:color="auto" w:fill="auto"/>
            <w:vAlign w:val="bottom"/>
          </w:tcPr>
          <w:p w14:paraId="5774A033"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2012</w:t>
            </w:r>
          </w:p>
        </w:tc>
        <w:tc>
          <w:tcPr>
            <w:tcW w:w="809" w:type="dxa"/>
            <w:tcBorders>
              <w:top w:val="single" w:sz="4" w:space="0" w:color="auto"/>
              <w:bottom w:val="single" w:sz="12" w:space="0" w:color="auto"/>
            </w:tcBorders>
            <w:shd w:val="clear" w:color="auto" w:fill="auto"/>
            <w:vAlign w:val="bottom"/>
          </w:tcPr>
          <w:p w14:paraId="3032A410" w14:textId="77777777" w:rsidR="005632A0" w:rsidRPr="005632A0" w:rsidRDefault="005632A0" w:rsidP="005632A0">
            <w:pPr>
              <w:pStyle w:val="SingleTxtG"/>
              <w:spacing w:before="80" w:after="80" w:line="200" w:lineRule="exact"/>
              <w:ind w:left="0" w:right="0"/>
              <w:jc w:val="right"/>
              <w:rPr>
                <w:i/>
                <w:sz w:val="16"/>
              </w:rPr>
            </w:pPr>
            <w:r w:rsidRPr="005632A0">
              <w:rPr>
                <w:i/>
                <w:sz w:val="16"/>
              </w:rPr>
              <w:t>Sin crisis</w:t>
            </w:r>
          </w:p>
        </w:tc>
        <w:tc>
          <w:tcPr>
            <w:tcW w:w="809" w:type="dxa"/>
            <w:tcBorders>
              <w:top w:val="single" w:sz="4" w:space="0" w:color="auto"/>
              <w:bottom w:val="single" w:sz="12" w:space="0" w:color="auto"/>
              <w:right w:val="single" w:sz="24" w:space="0" w:color="FFFFFF" w:themeColor="background1"/>
            </w:tcBorders>
            <w:shd w:val="clear" w:color="auto" w:fill="auto"/>
            <w:vAlign w:val="bottom"/>
          </w:tcPr>
          <w:p w14:paraId="21CCC3FE" w14:textId="77777777" w:rsidR="005632A0" w:rsidRPr="005632A0" w:rsidRDefault="005632A0" w:rsidP="005632A0">
            <w:pPr>
              <w:pStyle w:val="SingleTxtG"/>
              <w:spacing w:before="80" w:after="80" w:line="200" w:lineRule="exact"/>
              <w:ind w:left="0" w:right="57"/>
              <w:jc w:val="right"/>
              <w:rPr>
                <w:i/>
                <w:sz w:val="16"/>
              </w:rPr>
            </w:pPr>
            <w:r w:rsidRPr="005632A0">
              <w:rPr>
                <w:i/>
                <w:sz w:val="16"/>
              </w:rPr>
              <w:t>Con crisis</w:t>
            </w:r>
          </w:p>
        </w:tc>
        <w:tc>
          <w:tcPr>
            <w:tcW w:w="809" w:type="dxa"/>
            <w:tcBorders>
              <w:left w:val="single" w:sz="24" w:space="0" w:color="FFFFFF" w:themeColor="background1"/>
              <w:bottom w:val="single" w:sz="12" w:space="0" w:color="auto"/>
            </w:tcBorders>
            <w:shd w:val="clear" w:color="auto" w:fill="auto"/>
            <w:vAlign w:val="bottom"/>
          </w:tcPr>
          <w:p w14:paraId="4787BA5E"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2012</w:t>
            </w:r>
          </w:p>
        </w:tc>
        <w:tc>
          <w:tcPr>
            <w:tcW w:w="808" w:type="dxa"/>
            <w:tcBorders>
              <w:bottom w:val="single" w:sz="12" w:space="0" w:color="auto"/>
            </w:tcBorders>
            <w:shd w:val="clear" w:color="auto" w:fill="auto"/>
            <w:vAlign w:val="bottom"/>
          </w:tcPr>
          <w:p w14:paraId="3D0592D9" w14:textId="77777777" w:rsidR="005632A0" w:rsidRPr="005632A0" w:rsidRDefault="005632A0" w:rsidP="005632A0">
            <w:pPr>
              <w:pStyle w:val="SingleTxtG"/>
              <w:spacing w:before="80" w:after="80" w:line="200" w:lineRule="exact"/>
              <w:ind w:left="0" w:right="0"/>
              <w:jc w:val="right"/>
              <w:rPr>
                <w:i/>
                <w:sz w:val="16"/>
              </w:rPr>
            </w:pPr>
            <w:r w:rsidRPr="005632A0">
              <w:rPr>
                <w:i/>
                <w:sz w:val="16"/>
              </w:rPr>
              <w:t>Sin crisis</w:t>
            </w:r>
          </w:p>
        </w:tc>
        <w:tc>
          <w:tcPr>
            <w:tcW w:w="809" w:type="dxa"/>
            <w:tcBorders>
              <w:bottom w:val="single" w:sz="12" w:space="0" w:color="auto"/>
              <w:right w:val="single" w:sz="24" w:space="0" w:color="FFFFFF" w:themeColor="background1"/>
            </w:tcBorders>
            <w:shd w:val="clear" w:color="auto" w:fill="auto"/>
            <w:vAlign w:val="bottom"/>
          </w:tcPr>
          <w:p w14:paraId="19DF5B7D" w14:textId="77777777" w:rsidR="005632A0" w:rsidRPr="005632A0" w:rsidRDefault="005632A0" w:rsidP="005632A0">
            <w:pPr>
              <w:pStyle w:val="SingleTxtG"/>
              <w:spacing w:before="80" w:after="80" w:line="200" w:lineRule="exact"/>
              <w:ind w:left="0" w:right="57"/>
              <w:jc w:val="right"/>
              <w:rPr>
                <w:i/>
                <w:sz w:val="16"/>
              </w:rPr>
            </w:pPr>
            <w:r w:rsidRPr="005632A0">
              <w:rPr>
                <w:i/>
                <w:sz w:val="16"/>
              </w:rPr>
              <w:t>Con crisis</w:t>
            </w:r>
          </w:p>
        </w:tc>
        <w:tc>
          <w:tcPr>
            <w:tcW w:w="809" w:type="dxa"/>
            <w:tcBorders>
              <w:left w:val="single" w:sz="24" w:space="0" w:color="FFFFFF" w:themeColor="background1"/>
              <w:bottom w:val="single" w:sz="12" w:space="0" w:color="auto"/>
            </w:tcBorders>
            <w:shd w:val="clear" w:color="auto" w:fill="auto"/>
            <w:vAlign w:val="bottom"/>
          </w:tcPr>
          <w:p w14:paraId="28C576EB"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2012</w:t>
            </w:r>
          </w:p>
        </w:tc>
        <w:tc>
          <w:tcPr>
            <w:tcW w:w="809" w:type="dxa"/>
            <w:tcBorders>
              <w:bottom w:val="single" w:sz="12" w:space="0" w:color="auto"/>
            </w:tcBorders>
            <w:shd w:val="clear" w:color="auto" w:fill="auto"/>
            <w:vAlign w:val="bottom"/>
          </w:tcPr>
          <w:p w14:paraId="3A6FEB2A" w14:textId="77777777" w:rsidR="005632A0" w:rsidRPr="005632A0" w:rsidRDefault="005632A0" w:rsidP="005632A0">
            <w:pPr>
              <w:pStyle w:val="SingleTxtG"/>
              <w:spacing w:before="80" w:after="80" w:line="200" w:lineRule="exact"/>
              <w:ind w:left="0" w:right="0"/>
              <w:jc w:val="right"/>
              <w:rPr>
                <w:i/>
                <w:sz w:val="16"/>
              </w:rPr>
            </w:pPr>
            <w:r w:rsidRPr="005632A0">
              <w:rPr>
                <w:i/>
                <w:sz w:val="16"/>
              </w:rPr>
              <w:t>Sin crisis</w:t>
            </w:r>
          </w:p>
        </w:tc>
        <w:tc>
          <w:tcPr>
            <w:tcW w:w="809" w:type="dxa"/>
            <w:tcBorders>
              <w:bottom w:val="single" w:sz="12" w:space="0" w:color="auto"/>
            </w:tcBorders>
            <w:shd w:val="clear" w:color="auto" w:fill="auto"/>
            <w:vAlign w:val="bottom"/>
          </w:tcPr>
          <w:p w14:paraId="729D8345" w14:textId="77777777" w:rsidR="005632A0" w:rsidRPr="005632A0" w:rsidRDefault="005632A0" w:rsidP="005632A0">
            <w:pPr>
              <w:pStyle w:val="SingleTxtG"/>
              <w:spacing w:before="80" w:after="80" w:line="200" w:lineRule="exact"/>
              <w:ind w:left="0" w:right="0"/>
              <w:jc w:val="right"/>
              <w:rPr>
                <w:i/>
                <w:sz w:val="16"/>
              </w:rPr>
            </w:pPr>
            <w:r w:rsidRPr="005632A0">
              <w:rPr>
                <w:i/>
                <w:sz w:val="16"/>
              </w:rPr>
              <w:t>Con crisis</w:t>
            </w:r>
          </w:p>
        </w:tc>
      </w:tr>
      <w:tr w:rsidR="005632A0" w:rsidRPr="00DC2905" w14:paraId="340738DD" w14:textId="77777777" w:rsidTr="005632A0">
        <w:tc>
          <w:tcPr>
            <w:tcW w:w="1204" w:type="dxa"/>
            <w:tcBorders>
              <w:top w:val="single" w:sz="12" w:space="0" w:color="auto"/>
            </w:tcBorders>
            <w:shd w:val="clear" w:color="auto" w:fill="auto"/>
            <w:vAlign w:val="center"/>
          </w:tcPr>
          <w:p w14:paraId="6CA82CC7" w14:textId="77777777" w:rsidR="005632A0" w:rsidRPr="005632A0" w:rsidRDefault="005632A0" w:rsidP="005632A0">
            <w:pPr>
              <w:pStyle w:val="SingleTxtG"/>
              <w:spacing w:before="40" w:after="40" w:line="220" w:lineRule="exact"/>
              <w:ind w:left="0" w:right="0"/>
              <w:jc w:val="left"/>
              <w:rPr>
                <w:sz w:val="18"/>
              </w:rPr>
            </w:pPr>
            <w:r w:rsidRPr="005632A0">
              <w:rPr>
                <w:sz w:val="18"/>
              </w:rPr>
              <w:t>Iraq</w:t>
            </w:r>
          </w:p>
        </w:tc>
        <w:tc>
          <w:tcPr>
            <w:tcW w:w="808" w:type="dxa"/>
            <w:tcBorders>
              <w:top w:val="single" w:sz="12" w:space="0" w:color="auto"/>
            </w:tcBorders>
            <w:shd w:val="clear" w:color="auto" w:fill="auto"/>
            <w:vAlign w:val="bottom"/>
          </w:tcPr>
          <w:p w14:paraId="0ACAC5BB" w14:textId="77777777" w:rsidR="005632A0" w:rsidRPr="005632A0" w:rsidRDefault="005632A0" w:rsidP="005632A0">
            <w:pPr>
              <w:pStyle w:val="SingleTxtG"/>
              <w:spacing w:before="40" w:after="40" w:line="220" w:lineRule="exact"/>
              <w:ind w:left="0" w:right="0"/>
              <w:jc w:val="right"/>
              <w:rPr>
                <w:sz w:val="18"/>
              </w:rPr>
            </w:pPr>
            <w:r w:rsidRPr="005632A0">
              <w:rPr>
                <w:sz w:val="18"/>
              </w:rPr>
              <w:t>18,9</w:t>
            </w:r>
          </w:p>
        </w:tc>
        <w:tc>
          <w:tcPr>
            <w:tcW w:w="809" w:type="dxa"/>
            <w:tcBorders>
              <w:top w:val="single" w:sz="12" w:space="0" w:color="auto"/>
            </w:tcBorders>
            <w:shd w:val="clear" w:color="auto" w:fill="auto"/>
            <w:vAlign w:val="bottom"/>
          </w:tcPr>
          <w:p w14:paraId="20105F18" w14:textId="77777777" w:rsidR="005632A0" w:rsidRPr="005632A0" w:rsidRDefault="005632A0" w:rsidP="005632A0">
            <w:pPr>
              <w:pStyle w:val="SingleTxtG"/>
              <w:spacing w:before="40" w:after="40" w:line="220" w:lineRule="exact"/>
              <w:ind w:left="0" w:right="0"/>
              <w:jc w:val="right"/>
              <w:rPr>
                <w:sz w:val="18"/>
              </w:rPr>
            </w:pPr>
            <w:r w:rsidRPr="005632A0">
              <w:rPr>
                <w:sz w:val="18"/>
              </w:rPr>
              <w:t>15</w:t>
            </w:r>
          </w:p>
        </w:tc>
        <w:tc>
          <w:tcPr>
            <w:tcW w:w="809" w:type="dxa"/>
            <w:tcBorders>
              <w:top w:val="single" w:sz="12" w:space="0" w:color="auto"/>
            </w:tcBorders>
            <w:shd w:val="clear" w:color="auto" w:fill="auto"/>
            <w:vAlign w:val="bottom"/>
          </w:tcPr>
          <w:p w14:paraId="2F1CCC20" w14:textId="77777777" w:rsidR="005632A0" w:rsidRPr="005632A0" w:rsidRDefault="005632A0" w:rsidP="005632A0">
            <w:pPr>
              <w:pStyle w:val="SingleTxtG"/>
              <w:spacing w:before="40" w:after="40" w:line="220" w:lineRule="exact"/>
              <w:ind w:left="0" w:right="57"/>
              <w:jc w:val="right"/>
              <w:rPr>
                <w:sz w:val="18"/>
              </w:rPr>
            </w:pPr>
            <w:r w:rsidRPr="005632A0">
              <w:rPr>
                <w:sz w:val="18"/>
              </w:rPr>
              <w:t>22,5</w:t>
            </w:r>
          </w:p>
        </w:tc>
        <w:tc>
          <w:tcPr>
            <w:tcW w:w="809" w:type="dxa"/>
            <w:tcBorders>
              <w:top w:val="single" w:sz="12" w:space="0" w:color="auto"/>
            </w:tcBorders>
            <w:shd w:val="clear" w:color="auto" w:fill="auto"/>
            <w:vAlign w:val="bottom"/>
          </w:tcPr>
          <w:p w14:paraId="7ECFA822" w14:textId="77777777" w:rsidR="005632A0" w:rsidRPr="005632A0" w:rsidRDefault="005632A0" w:rsidP="005632A0">
            <w:pPr>
              <w:pStyle w:val="SingleTxtG"/>
              <w:spacing w:before="40" w:after="40" w:line="220" w:lineRule="exact"/>
              <w:ind w:left="0" w:right="0"/>
              <w:jc w:val="right"/>
              <w:rPr>
                <w:sz w:val="18"/>
              </w:rPr>
            </w:pPr>
            <w:r w:rsidRPr="005632A0">
              <w:rPr>
                <w:sz w:val="18"/>
              </w:rPr>
              <w:t>4,1</w:t>
            </w:r>
          </w:p>
        </w:tc>
        <w:tc>
          <w:tcPr>
            <w:tcW w:w="808" w:type="dxa"/>
            <w:tcBorders>
              <w:top w:val="single" w:sz="12" w:space="0" w:color="auto"/>
            </w:tcBorders>
            <w:shd w:val="clear" w:color="auto" w:fill="auto"/>
            <w:vAlign w:val="bottom"/>
          </w:tcPr>
          <w:p w14:paraId="7F722F9C" w14:textId="77777777" w:rsidR="005632A0" w:rsidRPr="005632A0" w:rsidRDefault="005632A0" w:rsidP="005632A0">
            <w:pPr>
              <w:pStyle w:val="SingleTxtG"/>
              <w:spacing w:before="40" w:after="40" w:line="220" w:lineRule="exact"/>
              <w:ind w:left="0" w:right="0"/>
              <w:jc w:val="right"/>
              <w:rPr>
                <w:sz w:val="18"/>
              </w:rPr>
            </w:pPr>
            <w:r w:rsidRPr="005632A0">
              <w:rPr>
                <w:sz w:val="18"/>
              </w:rPr>
              <w:t>3,9</w:t>
            </w:r>
          </w:p>
        </w:tc>
        <w:tc>
          <w:tcPr>
            <w:tcW w:w="809" w:type="dxa"/>
            <w:tcBorders>
              <w:top w:val="single" w:sz="12" w:space="0" w:color="auto"/>
            </w:tcBorders>
            <w:shd w:val="clear" w:color="auto" w:fill="auto"/>
            <w:vAlign w:val="bottom"/>
          </w:tcPr>
          <w:p w14:paraId="5A997F43" w14:textId="77777777" w:rsidR="005632A0" w:rsidRPr="005632A0" w:rsidRDefault="005632A0" w:rsidP="005632A0">
            <w:pPr>
              <w:pStyle w:val="SingleTxtG"/>
              <w:spacing w:before="40" w:after="40" w:line="220" w:lineRule="exact"/>
              <w:ind w:left="0" w:right="57"/>
              <w:jc w:val="right"/>
              <w:rPr>
                <w:sz w:val="18"/>
              </w:rPr>
            </w:pPr>
            <w:r w:rsidRPr="005632A0">
              <w:rPr>
                <w:sz w:val="18"/>
              </w:rPr>
              <w:t>6,6</w:t>
            </w:r>
          </w:p>
        </w:tc>
        <w:tc>
          <w:tcPr>
            <w:tcW w:w="809" w:type="dxa"/>
            <w:tcBorders>
              <w:top w:val="single" w:sz="12" w:space="0" w:color="auto"/>
            </w:tcBorders>
            <w:shd w:val="clear" w:color="auto" w:fill="auto"/>
            <w:vAlign w:val="bottom"/>
          </w:tcPr>
          <w:p w14:paraId="4DB41677" w14:textId="77777777" w:rsidR="005632A0" w:rsidRPr="005632A0" w:rsidRDefault="005632A0" w:rsidP="005632A0">
            <w:pPr>
              <w:pStyle w:val="SingleTxtG"/>
              <w:spacing w:before="40" w:after="40" w:line="220" w:lineRule="exact"/>
              <w:ind w:left="0" w:right="0"/>
              <w:jc w:val="right"/>
              <w:rPr>
                <w:sz w:val="18"/>
              </w:rPr>
            </w:pPr>
            <w:r w:rsidRPr="005632A0">
              <w:rPr>
                <w:sz w:val="18"/>
              </w:rPr>
              <w:t>1,4</w:t>
            </w:r>
          </w:p>
        </w:tc>
        <w:tc>
          <w:tcPr>
            <w:tcW w:w="809" w:type="dxa"/>
            <w:tcBorders>
              <w:top w:val="single" w:sz="12" w:space="0" w:color="auto"/>
            </w:tcBorders>
            <w:shd w:val="clear" w:color="auto" w:fill="auto"/>
            <w:vAlign w:val="bottom"/>
          </w:tcPr>
          <w:p w14:paraId="10CEA701" w14:textId="77777777" w:rsidR="005632A0" w:rsidRPr="005632A0" w:rsidRDefault="005632A0" w:rsidP="005632A0">
            <w:pPr>
              <w:pStyle w:val="SingleTxtG"/>
              <w:spacing w:before="40" w:after="40" w:line="220" w:lineRule="exact"/>
              <w:ind w:left="0" w:right="0"/>
              <w:jc w:val="right"/>
              <w:rPr>
                <w:sz w:val="18"/>
              </w:rPr>
            </w:pPr>
            <w:r w:rsidRPr="005632A0">
              <w:rPr>
                <w:sz w:val="18"/>
              </w:rPr>
              <w:t>1,7</w:t>
            </w:r>
          </w:p>
        </w:tc>
        <w:tc>
          <w:tcPr>
            <w:tcW w:w="809" w:type="dxa"/>
            <w:tcBorders>
              <w:top w:val="single" w:sz="12" w:space="0" w:color="auto"/>
            </w:tcBorders>
            <w:shd w:val="clear" w:color="auto" w:fill="auto"/>
            <w:vAlign w:val="bottom"/>
          </w:tcPr>
          <w:p w14:paraId="62E987AF" w14:textId="77777777" w:rsidR="005632A0" w:rsidRPr="005632A0" w:rsidRDefault="005632A0" w:rsidP="005632A0">
            <w:pPr>
              <w:pStyle w:val="SingleTxtG"/>
              <w:spacing w:before="40" w:after="40" w:line="220" w:lineRule="exact"/>
              <w:ind w:left="0" w:right="0"/>
              <w:jc w:val="right"/>
              <w:rPr>
                <w:sz w:val="18"/>
              </w:rPr>
            </w:pPr>
            <w:r w:rsidRPr="005632A0">
              <w:rPr>
                <w:sz w:val="18"/>
              </w:rPr>
              <w:t>3</w:t>
            </w:r>
          </w:p>
        </w:tc>
      </w:tr>
      <w:tr w:rsidR="005632A0" w:rsidRPr="00DC2905" w14:paraId="0AD013DB" w14:textId="77777777" w:rsidTr="005632A0">
        <w:tc>
          <w:tcPr>
            <w:tcW w:w="1204" w:type="dxa"/>
            <w:shd w:val="clear" w:color="auto" w:fill="auto"/>
            <w:vAlign w:val="center"/>
          </w:tcPr>
          <w:p w14:paraId="141D4C88" w14:textId="77777777" w:rsidR="005632A0" w:rsidRPr="005632A0" w:rsidRDefault="005632A0" w:rsidP="005632A0">
            <w:pPr>
              <w:pStyle w:val="SingleTxtG"/>
              <w:spacing w:before="40" w:after="40" w:line="220" w:lineRule="exact"/>
              <w:ind w:left="0" w:right="0"/>
              <w:jc w:val="left"/>
              <w:rPr>
                <w:sz w:val="18"/>
              </w:rPr>
            </w:pPr>
            <w:r w:rsidRPr="005632A0">
              <w:rPr>
                <w:sz w:val="18"/>
              </w:rPr>
              <w:t>Provincias de la Región del Kurdistán</w:t>
            </w:r>
          </w:p>
        </w:tc>
        <w:tc>
          <w:tcPr>
            <w:tcW w:w="808" w:type="dxa"/>
            <w:shd w:val="clear" w:color="auto" w:fill="auto"/>
            <w:vAlign w:val="bottom"/>
          </w:tcPr>
          <w:p w14:paraId="430DB381" w14:textId="77777777" w:rsidR="005632A0" w:rsidRPr="005632A0" w:rsidRDefault="005632A0" w:rsidP="005632A0">
            <w:pPr>
              <w:pStyle w:val="SingleTxtG"/>
              <w:spacing w:before="40" w:after="40" w:line="220" w:lineRule="exact"/>
              <w:ind w:left="0" w:right="0"/>
              <w:jc w:val="right"/>
              <w:rPr>
                <w:sz w:val="18"/>
              </w:rPr>
            </w:pPr>
            <w:r w:rsidRPr="005632A0">
              <w:rPr>
                <w:sz w:val="18"/>
              </w:rPr>
              <w:t>3,5</w:t>
            </w:r>
          </w:p>
        </w:tc>
        <w:tc>
          <w:tcPr>
            <w:tcW w:w="809" w:type="dxa"/>
            <w:shd w:val="clear" w:color="auto" w:fill="auto"/>
            <w:vAlign w:val="bottom"/>
          </w:tcPr>
          <w:p w14:paraId="7FAC3B3E" w14:textId="77777777" w:rsidR="005632A0" w:rsidRPr="005632A0" w:rsidRDefault="005632A0" w:rsidP="005632A0">
            <w:pPr>
              <w:pStyle w:val="SingleTxtG"/>
              <w:spacing w:before="40" w:after="40" w:line="220" w:lineRule="exact"/>
              <w:ind w:left="0" w:right="0"/>
              <w:jc w:val="right"/>
              <w:rPr>
                <w:sz w:val="18"/>
              </w:rPr>
            </w:pPr>
            <w:r w:rsidRPr="005632A0">
              <w:rPr>
                <w:sz w:val="18"/>
              </w:rPr>
              <w:t>3,5</w:t>
            </w:r>
          </w:p>
        </w:tc>
        <w:tc>
          <w:tcPr>
            <w:tcW w:w="809" w:type="dxa"/>
            <w:shd w:val="clear" w:color="auto" w:fill="auto"/>
            <w:vAlign w:val="bottom"/>
          </w:tcPr>
          <w:p w14:paraId="0D69C27F" w14:textId="77777777" w:rsidR="005632A0" w:rsidRPr="005632A0" w:rsidRDefault="005632A0" w:rsidP="005632A0">
            <w:pPr>
              <w:pStyle w:val="SingleTxtG"/>
              <w:spacing w:before="40" w:after="40" w:line="220" w:lineRule="exact"/>
              <w:ind w:left="0" w:right="57"/>
              <w:jc w:val="right"/>
              <w:rPr>
                <w:sz w:val="18"/>
              </w:rPr>
            </w:pPr>
            <w:r w:rsidRPr="005632A0">
              <w:rPr>
                <w:sz w:val="18"/>
              </w:rPr>
              <w:t>12,5</w:t>
            </w:r>
          </w:p>
        </w:tc>
        <w:tc>
          <w:tcPr>
            <w:tcW w:w="809" w:type="dxa"/>
            <w:shd w:val="clear" w:color="auto" w:fill="auto"/>
            <w:vAlign w:val="bottom"/>
          </w:tcPr>
          <w:p w14:paraId="2D57371D" w14:textId="77777777" w:rsidR="005632A0" w:rsidRPr="005632A0" w:rsidRDefault="005632A0" w:rsidP="005632A0">
            <w:pPr>
              <w:pStyle w:val="SingleTxtG"/>
              <w:spacing w:before="40" w:after="40" w:line="220" w:lineRule="exact"/>
              <w:ind w:left="0" w:right="0"/>
              <w:jc w:val="right"/>
              <w:rPr>
                <w:sz w:val="18"/>
              </w:rPr>
            </w:pPr>
            <w:r w:rsidRPr="005632A0">
              <w:rPr>
                <w:sz w:val="18"/>
              </w:rPr>
              <w:t>0,6</w:t>
            </w:r>
          </w:p>
        </w:tc>
        <w:tc>
          <w:tcPr>
            <w:tcW w:w="808" w:type="dxa"/>
            <w:shd w:val="clear" w:color="auto" w:fill="auto"/>
            <w:vAlign w:val="bottom"/>
          </w:tcPr>
          <w:p w14:paraId="05EA1720" w14:textId="77777777" w:rsidR="005632A0" w:rsidRPr="005632A0" w:rsidRDefault="005632A0" w:rsidP="005632A0">
            <w:pPr>
              <w:pStyle w:val="SingleTxtG"/>
              <w:spacing w:before="40" w:after="40" w:line="220" w:lineRule="exact"/>
              <w:ind w:left="0" w:right="0"/>
              <w:jc w:val="right"/>
              <w:rPr>
                <w:sz w:val="18"/>
              </w:rPr>
            </w:pPr>
            <w:r w:rsidRPr="005632A0">
              <w:rPr>
                <w:sz w:val="18"/>
              </w:rPr>
              <w:t>0,6</w:t>
            </w:r>
          </w:p>
        </w:tc>
        <w:tc>
          <w:tcPr>
            <w:tcW w:w="809" w:type="dxa"/>
            <w:shd w:val="clear" w:color="auto" w:fill="auto"/>
            <w:vAlign w:val="bottom"/>
          </w:tcPr>
          <w:p w14:paraId="0085D3F6" w14:textId="77777777" w:rsidR="005632A0" w:rsidRPr="005632A0" w:rsidRDefault="005632A0" w:rsidP="005632A0">
            <w:pPr>
              <w:pStyle w:val="SingleTxtG"/>
              <w:spacing w:before="40" w:after="40" w:line="220" w:lineRule="exact"/>
              <w:ind w:left="0" w:right="57"/>
              <w:jc w:val="right"/>
              <w:rPr>
                <w:sz w:val="18"/>
              </w:rPr>
            </w:pPr>
            <w:r w:rsidRPr="005632A0">
              <w:rPr>
                <w:sz w:val="18"/>
              </w:rPr>
              <w:t>3,7</w:t>
            </w:r>
          </w:p>
        </w:tc>
        <w:tc>
          <w:tcPr>
            <w:tcW w:w="809" w:type="dxa"/>
            <w:shd w:val="clear" w:color="auto" w:fill="auto"/>
            <w:vAlign w:val="bottom"/>
          </w:tcPr>
          <w:p w14:paraId="292133B9" w14:textId="77777777" w:rsidR="005632A0" w:rsidRPr="005632A0" w:rsidRDefault="005632A0" w:rsidP="005632A0">
            <w:pPr>
              <w:pStyle w:val="SingleTxtG"/>
              <w:spacing w:before="40" w:after="40" w:line="220" w:lineRule="exact"/>
              <w:ind w:left="0" w:right="0"/>
              <w:jc w:val="right"/>
              <w:rPr>
                <w:sz w:val="18"/>
              </w:rPr>
            </w:pPr>
            <w:r w:rsidRPr="005632A0">
              <w:rPr>
                <w:sz w:val="18"/>
              </w:rPr>
              <w:t>0,2</w:t>
            </w:r>
          </w:p>
        </w:tc>
        <w:tc>
          <w:tcPr>
            <w:tcW w:w="809" w:type="dxa"/>
            <w:shd w:val="clear" w:color="auto" w:fill="auto"/>
            <w:vAlign w:val="bottom"/>
          </w:tcPr>
          <w:p w14:paraId="79CA1240" w14:textId="77777777" w:rsidR="005632A0" w:rsidRPr="005632A0" w:rsidRDefault="005632A0" w:rsidP="005632A0">
            <w:pPr>
              <w:pStyle w:val="SingleTxtG"/>
              <w:spacing w:before="40" w:after="40" w:line="220" w:lineRule="exact"/>
              <w:ind w:left="0" w:right="0"/>
              <w:jc w:val="right"/>
              <w:rPr>
                <w:sz w:val="18"/>
              </w:rPr>
            </w:pPr>
            <w:r w:rsidRPr="005632A0">
              <w:rPr>
                <w:sz w:val="18"/>
              </w:rPr>
              <w:t>0,2</w:t>
            </w:r>
          </w:p>
        </w:tc>
        <w:tc>
          <w:tcPr>
            <w:tcW w:w="809" w:type="dxa"/>
            <w:shd w:val="clear" w:color="auto" w:fill="auto"/>
            <w:vAlign w:val="bottom"/>
          </w:tcPr>
          <w:p w14:paraId="582B28FB" w14:textId="77777777" w:rsidR="005632A0" w:rsidRPr="005632A0" w:rsidRDefault="005632A0" w:rsidP="005632A0">
            <w:pPr>
              <w:pStyle w:val="SingleTxtG"/>
              <w:spacing w:before="40" w:after="40" w:line="220" w:lineRule="exact"/>
              <w:ind w:left="0" w:right="0"/>
              <w:jc w:val="right"/>
              <w:rPr>
                <w:sz w:val="18"/>
              </w:rPr>
            </w:pPr>
            <w:r w:rsidRPr="005632A0">
              <w:rPr>
                <w:sz w:val="18"/>
              </w:rPr>
              <w:t>1,7</w:t>
            </w:r>
          </w:p>
        </w:tc>
      </w:tr>
      <w:tr w:rsidR="005632A0" w:rsidRPr="00DC2905" w14:paraId="03394927" w14:textId="77777777" w:rsidTr="005632A0">
        <w:tc>
          <w:tcPr>
            <w:tcW w:w="1204" w:type="dxa"/>
            <w:shd w:val="clear" w:color="auto" w:fill="auto"/>
            <w:vAlign w:val="center"/>
          </w:tcPr>
          <w:p w14:paraId="6B9676E6" w14:textId="77777777" w:rsidR="005632A0" w:rsidRPr="005632A0" w:rsidRDefault="005632A0" w:rsidP="005632A0">
            <w:pPr>
              <w:pStyle w:val="SingleTxtG"/>
              <w:spacing w:before="40" w:after="40" w:line="220" w:lineRule="exact"/>
              <w:ind w:left="0" w:right="0"/>
              <w:jc w:val="left"/>
              <w:rPr>
                <w:sz w:val="18"/>
              </w:rPr>
            </w:pPr>
            <w:r w:rsidRPr="005632A0">
              <w:rPr>
                <w:sz w:val="18"/>
              </w:rPr>
              <w:t>Bagdad</w:t>
            </w:r>
          </w:p>
        </w:tc>
        <w:tc>
          <w:tcPr>
            <w:tcW w:w="808" w:type="dxa"/>
            <w:shd w:val="clear" w:color="auto" w:fill="auto"/>
            <w:vAlign w:val="bottom"/>
          </w:tcPr>
          <w:p w14:paraId="065C3431" w14:textId="77777777" w:rsidR="005632A0" w:rsidRPr="005632A0" w:rsidRDefault="005632A0" w:rsidP="005632A0">
            <w:pPr>
              <w:pStyle w:val="SingleTxtG"/>
              <w:spacing w:before="40" w:after="40" w:line="220" w:lineRule="exact"/>
              <w:ind w:left="0" w:right="0"/>
              <w:jc w:val="right"/>
              <w:rPr>
                <w:sz w:val="18"/>
              </w:rPr>
            </w:pPr>
            <w:r w:rsidRPr="005632A0">
              <w:rPr>
                <w:sz w:val="18"/>
              </w:rPr>
              <w:t>12</w:t>
            </w:r>
          </w:p>
        </w:tc>
        <w:tc>
          <w:tcPr>
            <w:tcW w:w="809" w:type="dxa"/>
            <w:shd w:val="clear" w:color="auto" w:fill="auto"/>
            <w:vAlign w:val="bottom"/>
          </w:tcPr>
          <w:p w14:paraId="1A4AFF2A" w14:textId="77777777" w:rsidR="005632A0" w:rsidRPr="005632A0" w:rsidRDefault="005632A0" w:rsidP="005632A0">
            <w:pPr>
              <w:pStyle w:val="SingleTxtG"/>
              <w:spacing w:before="40" w:after="40" w:line="220" w:lineRule="exact"/>
              <w:ind w:left="0" w:right="0"/>
              <w:jc w:val="right"/>
              <w:rPr>
                <w:sz w:val="18"/>
              </w:rPr>
            </w:pPr>
            <w:r w:rsidRPr="005632A0">
              <w:rPr>
                <w:sz w:val="18"/>
              </w:rPr>
              <w:t>8,9</w:t>
            </w:r>
          </w:p>
        </w:tc>
        <w:tc>
          <w:tcPr>
            <w:tcW w:w="809" w:type="dxa"/>
            <w:shd w:val="clear" w:color="auto" w:fill="auto"/>
            <w:vAlign w:val="bottom"/>
          </w:tcPr>
          <w:p w14:paraId="4A2BAD0C" w14:textId="77777777" w:rsidR="005632A0" w:rsidRPr="005632A0" w:rsidRDefault="005632A0" w:rsidP="005632A0">
            <w:pPr>
              <w:pStyle w:val="SingleTxtG"/>
              <w:spacing w:before="40" w:after="40" w:line="220" w:lineRule="exact"/>
              <w:ind w:left="0" w:right="57"/>
              <w:jc w:val="right"/>
              <w:rPr>
                <w:sz w:val="18"/>
              </w:rPr>
            </w:pPr>
            <w:r w:rsidRPr="005632A0">
              <w:rPr>
                <w:sz w:val="18"/>
              </w:rPr>
              <w:t>12,8</w:t>
            </w:r>
          </w:p>
        </w:tc>
        <w:tc>
          <w:tcPr>
            <w:tcW w:w="809" w:type="dxa"/>
            <w:shd w:val="clear" w:color="auto" w:fill="auto"/>
            <w:vAlign w:val="bottom"/>
          </w:tcPr>
          <w:p w14:paraId="089A8772" w14:textId="77777777" w:rsidR="005632A0" w:rsidRPr="005632A0" w:rsidRDefault="005632A0" w:rsidP="005632A0">
            <w:pPr>
              <w:pStyle w:val="SingleTxtG"/>
              <w:spacing w:before="40" w:after="40" w:line="220" w:lineRule="exact"/>
              <w:ind w:left="0" w:right="0"/>
              <w:jc w:val="right"/>
              <w:rPr>
                <w:sz w:val="18"/>
              </w:rPr>
            </w:pPr>
            <w:r w:rsidRPr="005632A0">
              <w:rPr>
                <w:sz w:val="18"/>
              </w:rPr>
              <w:t>2</w:t>
            </w:r>
          </w:p>
        </w:tc>
        <w:tc>
          <w:tcPr>
            <w:tcW w:w="808" w:type="dxa"/>
            <w:shd w:val="clear" w:color="auto" w:fill="auto"/>
            <w:vAlign w:val="bottom"/>
          </w:tcPr>
          <w:p w14:paraId="2B4ACAFA" w14:textId="77777777" w:rsidR="005632A0" w:rsidRPr="005632A0" w:rsidRDefault="005632A0" w:rsidP="005632A0">
            <w:pPr>
              <w:pStyle w:val="SingleTxtG"/>
              <w:spacing w:before="40" w:after="40" w:line="220" w:lineRule="exact"/>
              <w:ind w:left="0" w:right="0"/>
              <w:jc w:val="right"/>
              <w:rPr>
                <w:sz w:val="18"/>
              </w:rPr>
            </w:pPr>
            <w:r w:rsidRPr="005632A0">
              <w:rPr>
                <w:sz w:val="18"/>
              </w:rPr>
              <w:t>2,3</w:t>
            </w:r>
          </w:p>
        </w:tc>
        <w:tc>
          <w:tcPr>
            <w:tcW w:w="809" w:type="dxa"/>
            <w:shd w:val="clear" w:color="auto" w:fill="auto"/>
            <w:vAlign w:val="bottom"/>
          </w:tcPr>
          <w:p w14:paraId="6F5992E3" w14:textId="77777777" w:rsidR="005632A0" w:rsidRPr="005632A0" w:rsidRDefault="005632A0" w:rsidP="005632A0">
            <w:pPr>
              <w:pStyle w:val="SingleTxtG"/>
              <w:spacing w:before="40" w:after="40" w:line="220" w:lineRule="exact"/>
              <w:ind w:left="0" w:right="57"/>
              <w:jc w:val="right"/>
              <w:rPr>
                <w:sz w:val="18"/>
              </w:rPr>
            </w:pPr>
            <w:r w:rsidRPr="005632A0">
              <w:rPr>
                <w:sz w:val="18"/>
              </w:rPr>
              <w:t>3,4</w:t>
            </w:r>
          </w:p>
        </w:tc>
        <w:tc>
          <w:tcPr>
            <w:tcW w:w="809" w:type="dxa"/>
            <w:shd w:val="clear" w:color="auto" w:fill="auto"/>
            <w:vAlign w:val="bottom"/>
          </w:tcPr>
          <w:p w14:paraId="5A6505E6" w14:textId="77777777" w:rsidR="005632A0" w:rsidRPr="005632A0" w:rsidRDefault="005632A0" w:rsidP="005632A0">
            <w:pPr>
              <w:pStyle w:val="SingleTxtG"/>
              <w:spacing w:before="40" w:after="40" w:line="220" w:lineRule="exact"/>
              <w:ind w:left="0" w:right="0"/>
              <w:jc w:val="right"/>
              <w:rPr>
                <w:sz w:val="18"/>
              </w:rPr>
            </w:pPr>
            <w:r w:rsidRPr="005632A0">
              <w:rPr>
                <w:sz w:val="18"/>
              </w:rPr>
              <w:t>0,5</w:t>
            </w:r>
          </w:p>
        </w:tc>
        <w:tc>
          <w:tcPr>
            <w:tcW w:w="809" w:type="dxa"/>
            <w:shd w:val="clear" w:color="auto" w:fill="auto"/>
            <w:vAlign w:val="bottom"/>
          </w:tcPr>
          <w:p w14:paraId="70A03712" w14:textId="77777777" w:rsidR="005632A0" w:rsidRPr="005632A0" w:rsidRDefault="005632A0" w:rsidP="005632A0">
            <w:pPr>
              <w:pStyle w:val="SingleTxtG"/>
              <w:spacing w:before="40" w:after="40" w:line="220" w:lineRule="exact"/>
              <w:ind w:left="0" w:right="0"/>
              <w:jc w:val="right"/>
              <w:rPr>
                <w:sz w:val="18"/>
              </w:rPr>
            </w:pPr>
            <w:r w:rsidRPr="005632A0">
              <w:rPr>
                <w:sz w:val="18"/>
              </w:rPr>
              <w:t>1,2</w:t>
            </w:r>
          </w:p>
        </w:tc>
        <w:tc>
          <w:tcPr>
            <w:tcW w:w="809" w:type="dxa"/>
            <w:shd w:val="clear" w:color="auto" w:fill="auto"/>
            <w:vAlign w:val="bottom"/>
          </w:tcPr>
          <w:p w14:paraId="4D6DAAAB" w14:textId="77777777" w:rsidR="005632A0" w:rsidRPr="005632A0" w:rsidRDefault="005632A0" w:rsidP="005632A0">
            <w:pPr>
              <w:pStyle w:val="SingleTxtG"/>
              <w:spacing w:before="40" w:after="40" w:line="220" w:lineRule="exact"/>
              <w:ind w:left="0" w:right="0"/>
              <w:jc w:val="right"/>
              <w:rPr>
                <w:sz w:val="18"/>
              </w:rPr>
            </w:pPr>
            <w:r w:rsidRPr="005632A0">
              <w:rPr>
                <w:sz w:val="18"/>
              </w:rPr>
              <w:t>1,6</w:t>
            </w:r>
          </w:p>
        </w:tc>
      </w:tr>
      <w:tr w:rsidR="005632A0" w:rsidRPr="00DC2905" w14:paraId="32514858" w14:textId="77777777" w:rsidTr="005632A0">
        <w:tc>
          <w:tcPr>
            <w:tcW w:w="1204" w:type="dxa"/>
            <w:shd w:val="clear" w:color="auto" w:fill="auto"/>
            <w:vAlign w:val="center"/>
          </w:tcPr>
          <w:p w14:paraId="47B80747" w14:textId="77777777" w:rsidR="005632A0" w:rsidRPr="005632A0" w:rsidRDefault="005632A0" w:rsidP="005632A0">
            <w:pPr>
              <w:pStyle w:val="SingleTxtG"/>
              <w:spacing w:before="40" w:after="40" w:line="220" w:lineRule="exact"/>
              <w:ind w:left="0" w:right="0"/>
              <w:jc w:val="left"/>
              <w:rPr>
                <w:sz w:val="18"/>
              </w:rPr>
            </w:pPr>
            <w:r w:rsidRPr="005632A0">
              <w:rPr>
                <w:sz w:val="18"/>
              </w:rPr>
              <w:t>Zonas ocupadas por las bandas de Dáesh</w:t>
            </w:r>
          </w:p>
        </w:tc>
        <w:tc>
          <w:tcPr>
            <w:tcW w:w="808" w:type="dxa"/>
            <w:shd w:val="clear" w:color="auto" w:fill="auto"/>
            <w:vAlign w:val="bottom"/>
          </w:tcPr>
          <w:p w14:paraId="79FC0BC7" w14:textId="77777777" w:rsidR="005632A0" w:rsidRPr="005632A0" w:rsidRDefault="005632A0" w:rsidP="005632A0">
            <w:pPr>
              <w:pStyle w:val="SingleTxtG"/>
              <w:spacing w:before="40" w:after="40" w:line="220" w:lineRule="exact"/>
              <w:ind w:left="0" w:right="0"/>
              <w:jc w:val="right"/>
              <w:rPr>
                <w:sz w:val="18"/>
              </w:rPr>
            </w:pPr>
            <w:r w:rsidRPr="005632A0">
              <w:rPr>
                <w:sz w:val="18"/>
              </w:rPr>
              <w:t>25,7</w:t>
            </w:r>
          </w:p>
        </w:tc>
        <w:tc>
          <w:tcPr>
            <w:tcW w:w="809" w:type="dxa"/>
            <w:shd w:val="clear" w:color="auto" w:fill="auto"/>
            <w:vAlign w:val="bottom"/>
          </w:tcPr>
          <w:p w14:paraId="555CD218" w14:textId="77777777" w:rsidR="005632A0" w:rsidRPr="005632A0" w:rsidRDefault="005632A0" w:rsidP="005632A0">
            <w:pPr>
              <w:pStyle w:val="SingleTxtG"/>
              <w:spacing w:before="40" w:after="40" w:line="220" w:lineRule="exact"/>
              <w:ind w:left="0" w:right="0"/>
              <w:jc w:val="right"/>
              <w:rPr>
                <w:sz w:val="18"/>
              </w:rPr>
            </w:pPr>
            <w:r w:rsidRPr="005632A0">
              <w:rPr>
                <w:sz w:val="18"/>
              </w:rPr>
              <w:t>20,5</w:t>
            </w:r>
          </w:p>
        </w:tc>
        <w:tc>
          <w:tcPr>
            <w:tcW w:w="809" w:type="dxa"/>
            <w:shd w:val="clear" w:color="auto" w:fill="auto"/>
            <w:vAlign w:val="bottom"/>
          </w:tcPr>
          <w:p w14:paraId="64F4C5D9" w14:textId="77777777" w:rsidR="005632A0" w:rsidRPr="005632A0" w:rsidRDefault="005632A0" w:rsidP="005632A0">
            <w:pPr>
              <w:pStyle w:val="SingleTxtG"/>
              <w:spacing w:before="40" w:after="40" w:line="220" w:lineRule="exact"/>
              <w:ind w:left="0" w:right="57"/>
              <w:jc w:val="right"/>
              <w:rPr>
                <w:sz w:val="18"/>
              </w:rPr>
            </w:pPr>
            <w:r w:rsidRPr="005632A0">
              <w:rPr>
                <w:sz w:val="18"/>
              </w:rPr>
              <w:t>41,2</w:t>
            </w:r>
          </w:p>
        </w:tc>
        <w:tc>
          <w:tcPr>
            <w:tcW w:w="809" w:type="dxa"/>
            <w:shd w:val="clear" w:color="auto" w:fill="auto"/>
            <w:vAlign w:val="bottom"/>
          </w:tcPr>
          <w:p w14:paraId="1D56FB96" w14:textId="77777777" w:rsidR="005632A0" w:rsidRPr="005632A0" w:rsidRDefault="005632A0" w:rsidP="005632A0">
            <w:pPr>
              <w:pStyle w:val="SingleTxtG"/>
              <w:spacing w:before="40" w:after="40" w:line="220" w:lineRule="exact"/>
              <w:ind w:left="0" w:right="0"/>
              <w:jc w:val="right"/>
              <w:rPr>
                <w:sz w:val="18"/>
              </w:rPr>
            </w:pPr>
            <w:r w:rsidRPr="005632A0">
              <w:rPr>
                <w:sz w:val="18"/>
              </w:rPr>
              <w:t>5,6</w:t>
            </w:r>
          </w:p>
        </w:tc>
        <w:tc>
          <w:tcPr>
            <w:tcW w:w="808" w:type="dxa"/>
            <w:shd w:val="clear" w:color="auto" w:fill="auto"/>
            <w:vAlign w:val="bottom"/>
          </w:tcPr>
          <w:p w14:paraId="2CFE7698" w14:textId="77777777" w:rsidR="005632A0" w:rsidRPr="005632A0" w:rsidRDefault="005632A0" w:rsidP="005632A0">
            <w:pPr>
              <w:pStyle w:val="SingleTxtG"/>
              <w:spacing w:before="40" w:after="40" w:line="220" w:lineRule="exact"/>
              <w:ind w:left="0" w:right="0"/>
              <w:jc w:val="right"/>
              <w:rPr>
                <w:sz w:val="18"/>
              </w:rPr>
            </w:pPr>
            <w:r w:rsidRPr="005632A0">
              <w:rPr>
                <w:sz w:val="18"/>
              </w:rPr>
              <w:t>5,3</w:t>
            </w:r>
          </w:p>
        </w:tc>
        <w:tc>
          <w:tcPr>
            <w:tcW w:w="809" w:type="dxa"/>
            <w:shd w:val="clear" w:color="auto" w:fill="auto"/>
            <w:vAlign w:val="bottom"/>
          </w:tcPr>
          <w:p w14:paraId="39187B89" w14:textId="77777777" w:rsidR="005632A0" w:rsidRPr="005632A0" w:rsidRDefault="005632A0" w:rsidP="005632A0">
            <w:pPr>
              <w:pStyle w:val="SingleTxtG"/>
              <w:spacing w:before="40" w:after="40" w:line="220" w:lineRule="exact"/>
              <w:ind w:left="0" w:right="57"/>
              <w:jc w:val="right"/>
              <w:rPr>
                <w:sz w:val="18"/>
              </w:rPr>
            </w:pPr>
            <w:r w:rsidRPr="005632A0">
              <w:rPr>
                <w:sz w:val="18"/>
              </w:rPr>
              <w:t>14,2</w:t>
            </w:r>
          </w:p>
        </w:tc>
        <w:tc>
          <w:tcPr>
            <w:tcW w:w="809" w:type="dxa"/>
            <w:shd w:val="clear" w:color="auto" w:fill="auto"/>
            <w:vAlign w:val="bottom"/>
          </w:tcPr>
          <w:p w14:paraId="7B481A32" w14:textId="77777777" w:rsidR="005632A0" w:rsidRPr="005632A0" w:rsidRDefault="005632A0" w:rsidP="005632A0">
            <w:pPr>
              <w:pStyle w:val="SingleTxtG"/>
              <w:spacing w:before="40" w:after="40" w:line="220" w:lineRule="exact"/>
              <w:ind w:left="0" w:right="0"/>
              <w:jc w:val="right"/>
              <w:rPr>
                <w:sz w:val="18"/>
              </w:rPr>
            </w:pPr>
            <w:r w:rsidRPr="005632A0">
              <w:rPr>
                <w:sz w:val="18"/>
              </w:rPr>
              <w:t>1,8</w:t>
            </w:r>
          </w:p>
        </w:tc>
        <w:tc>
          <w:tcPr>
            <w:tcW w:w="809" w:type="dxa"/>
            <w:shd w:val="clear" w:color="auto" w:fill="auto"/>
            <w:vAlign w:val="bottom"/>
          </w:tcPr>
          <w:p w14:paraId="1821F1CB" w14:textId="77777777" w:rsidR="005632A0" w:rsidRPr="005632A0" w:rsidRDefault="005632A0" w:rsidP="005632A0">
            <w:pPr>
              <w:pStyle w:val="SingleTxtG"/>
              <w:spacing w:before="40" w:after="40" w:line="220" w:lineRule="exact"/>
              <w:ind w:left="0" w:right="0"/>
              <w:jc w:val="right"/>
              <w:rPr>
                <w:sz w:val="18"/>
              </w:rPr>
            </w:pPr>
            <w:r w:rsidRPr="005632A0">
              <w:rPr>
                <w:sz w:val="18"/>
              </w:rPr>
              <w:t>2,2</w:t>
            </w:r>
          </w:p>
        </w:tc>
        <w:tc>
          <w:tcPr>
            <w:tcW w:w="809" w:type="dxa"/>
            <w:shd w:val="clear" w:color="auto" w:fill="auto"/>
            <w:vAlign w:val="bottom"/>
          </w:tcPr>
          <w:p w14:paraId="6945B583" w14:textId="77777777" w:rsidR="005632A0" w:rsidRPr="005632A0" w:rsidRDefault="005632A0" w:rsidP="005632A0">
            <w:pPr>
              <w:pStyle w:val="SingleTxtG"/>
              <w:spacing w:before="40" w:after="40" w:line="220" w:lineRule="exact"/>
              <w:ind w:left="0" w:right="0"/>
              <w:jc w:val="right"/>
              <w:rPr>
                <w:sz w:val="18"/>
              </w:rPr>
            </w:pPr>
            <w:r w:rsidRPr="005632A0">
              <w:rPr>
                <w:sz w:val="18"/>
              </w:rPr>
              <w:t>7,3</w:t>
            </w:r>
          </w:p>
        </w:tc>
      </w:tr>
      <w:tr w:rsidR="005632A0" w:rsidRPr="00DC2905" w14:paraId="1B93EE7B" w14:textId="77777777" w:rsidTr="005632A0">
        <w:tc>
          <w:tcPr>
            <w:tcW w:w="1204" w:type="dxa"/>
            <w:shd w:val="clear" w:color="auto" w:fill="auto"/>
            <w:vAlign w:val="center"/>
          </w:tcPr>
          <w:p w14:paraId="73512511" w14:textId="77777777" w:rsidR="005632A0" w:rsidRPr="005632A0" w:rsidRDefault="005632A0" w:rsidP="005632A0">
            <w:pPr>
              <w:pStyle w:val="SingleTxtG"/>
              <w:spacing w:before="40" w:after="40" w:line="220" w:lineRule="exact"/>
              <w:ind w:left="0" w:right="0"/>
              <w:jc w:val="left"/>
              <w:rPr>
                <w:sz w:val="18"/>
              </w:rPr>
            </w:pPr>
            <w:r w:rsidRPr="005632A0">
              <w:rPr>
                <w:sz w:val="18"/>
              </w:rPr>
              <w:t>Kirkuk y Diyala</w:t>
            </w:r>
          </w:p>
        </w:tc>
        <w:tc>
          <w:tcPr>
            <w:tcW w:w="808" w:type="dxa"/>
            <w:shd w:val="clear" w:color="auto" w:fill="auto"/>
            <w:vAlign w:val="bottom"/>
          </w:tcPr>
          <w:p w14:paraId="0B07F9DC" w14:textId="77777777" w:rsidR="005632A0" w:rsidRPr="005632A0" w:rsidRDefault="005632A0" w:rsidP="005632A0">
            <w:pPr>
              <w:pStyle w:val="SingleTxtG"/>
              <w:spacing w:before="40" w:after="40" w:line="220" w:lineRule="exact"/>
              <w:ind w:left="0" w:right="0"/>
              <w:jc w:val="right"/>
              <w:rPr>
                <w:sz w:val="18"/>
              </w:rPr>
            </w:pPr>
            <w:r w:rsidRPr="005632A0">
              <w:rPr>
                <w:sz w:val="18"/>
              </w:rPr>
              <w:t>14,9</w:t>
            </w:r>
          </w:p>
        </w:tc>
        <w:tc>
          <w:tcPr>
            <w:tcW w:w="809" w:type="dxa"/>
            <w:shd w:val="clear" w:color="auto" w:fill="auto"/>
            <w:vAlign w:val="bottom"/>
          </w:tcPr>
          <w:p w14:paraId="4C0929FD" w14:textId="77777777" w:rsidR="005632A0" w:rsidRPr="005632A0" w:rsidRDefault="005632A0" w:rsidP="005632A0">
            <w:pPr>
              <w:pStyle w:val="SingleTxtG"/>
              <w:spacing w:before="40" w:after="40" w:line="220" w:lineRule="exact"/>
              <w:ind w:left="0" w:right="0"/>
              <w:jc w:val="right"/>
              <w:rPr>
                <w:sz w:val="18"/>
              </w:rPr>
            </w:pPr>
            <w:r w:rsidRPr="005632A0">
              <w:rPr>
                <w:sz w:val="18"/>
              </w:rPr>
              <w:t>12,1</w:t>
            </w:r>
          </w:p>
        </w:tc>
        <w:tc>
          <w:tcPr>
            <w:tcW w:w="809" w:type="dxa"/>
            <w:shd w:val="clear" w:color="auto" w:fill="auto"/>
            <w:vAlign w:val="bottom"/>
          </w:tcPr>
          <w:p w14:paraId="169CAA2D" w14:textId="77777777" w:rsidR="005632A0" w:rsidRPr="005632A0" w:rsidRDefault="005632A0" w:rsidP="005632A0">
            <w:pPr>
              <w:pStyle w:val="SingleTxtG"/>
              <w:spacing w:before="40" w:after="40" w:line="220" w:lineRule="exact"/>
              <w:ind w:left="0" w:right="57"/>
              <w:jc w:val="right"/>
              <w:rPr>
                <w:sz w:val="18"/>
              </w:rPr>
            </w:pPr>
            <w:r w:rsidRPr="005632A0">
              <w:rPr>
                <w:sz w:val="18"/>
              </w:rPr>
              <w:t>17,7</w:t>
            </w:r>
          </w:p>
        </w:tc>
        <w:tc>
          <w:tcPr>
            <w:tcW w:w="809" w:type="dxa"/>
            <w:shd w:val="clear" w:color="auto" w:fill="auto"/>
            <w:vAlign w:val="bottom"/>
          </w:tcPr>
          <w:p w14:paraId="13393CF8" w14:textId="77777777" w:rsidR="005632A0" w:rsidRPr="005632A0" w:rsidRDefault="005632A0" w:rsidP="005632A0">
            <w:pPr>
              <w:pStyle w:val="SingleTxtG"/>
              <w:spacing w:before="40" w:after="40" w:line="220" w:lineRule="exact"/>
              <w:ind w:left="0" w:right="0"/>
              <w:jc w:val="right"/>
              <w:rPr>
                <w:sz w:val="18"/>
              </w:rPr>
            </w:pPr>
            <w:r w:rsidRPr="005632A0">
              <w:rPr>
                <w:sz w:val="18"/>
              </w:rPr>
              <w:t>2,8</w:t>
            </w:r>
          </w:p>
        </w:tc>
        <w:tc>
          <w:tcPr>
            <w:tcW w:w="808" w:type="dxa"/>
            <w:shd w:val="clear" w:color="auto" w:fill="auto"/>
            <w:vAlign w:val="bottom"/>
          </w:tcPr>
          <w:p w14:paraId="15E4A78D" w14:textId="77777777" w:rsidR="005632A0" w:rsidRPr="005632A0" w:rsidRDefault="005632A0" w:rsidP="005632A0">
            <w:pPr>
              <w:pStyle w:val="SingleTxtG"/>
              <w:spacing w:before="40" w:after="40" w:line="220" w:lineRule="exact"/>
              <w:ind w:left="0" w:right="0"/>
              <w:jc w:val="right"/>
              <w:rPr>
                <w:sz w:val="18"/>
              </w:rPr>
            </w:pPr>
            <w:r w:rsidRPr="005632A0">
              <w:rPr>
                <w:sz w:val="18"/>
              </w:rPr>
              <w:t>2,9</w:t>
            </w:r>
          </w:p>
        </w:tc>
        <w:tc>
          <w:tcPr>
            <w:tcW w:w="809" w:type="dxa"/>
            <w:shd w:val="clear" w:color="auto" w:fill="auto"/>
            <w:vAlign w:val="bottom"/>
          </w:tcPr>
          <w:p w14:paraId="7FFC7B33" w14:textId="77777777" w:rsidR="005632A0" w:rsidRPr="005632A0" w:rsidRDefault="005632A0" w:rsidP="005632A0">
            <w:pPr>
              <w:pStyle w:val="SingleTxtG"/>
              <w:spacing w:before="40" w:after="40" w:line="220" w:lineRule="exact"/>
              <w:ind w:left="0" w:right="57"/>
              <w:jc w:val="right"/>
              <w:rPr>
                <w:sz w:val="18"/>
              </w:rPr>
            </w:pPr>
            <w:r w:rsidRPr="005632A0">
              <w:rPr>
                <w:sz w:val="18"/>
              </w:rPr>
              <w:t>4,4</w:t>
            </w:r>
          </w:p>
        </w:tc>
        <w:tc>
          <w:tcPr>
            <w:tcW w:w="809" w:type="dxa"/>
            <w:shd w:val="clear" w:color="auto" w:fill="auto"/>
            <w:vAlign w:val="bottom"/>
          </w:tcPr>
          <w:p w14:paraId="140F4F76" w14:textId="77777777" w:rsidR="005632A0" w:rsidRPr="005632A0" w:rsidRDefault="005632A0" w:rsidP="005632A0">
            <w:pPr>
              <w:pStyle w:val="SingleTxtG"/>
              <w:spacing w:before="40" w:after="40" w:line="220" w:lineRule="exact"/>
              <w:ind w:left="0" w:right="0"/>
              <w:jc w:val="right"/>
              <w:rPr>
                <w:sz w:val="18"/>
              </w:rPr>
            </w:pPr>
            <w:r w:rsidRPr="005632A0">
              <w:rPr>
                <w:sz w:val="18"/>
              </w:rPr>
              <w:t>0,8</w:t>
            </w:r>
          </w:p>
        </w:tc>
        <w:tc>
          <w:tcPr>
            <w:tcW w:w="809" w:type="dxa"/>
            <w:shd w:val="clear" w:color="auto" w:fill="auto"/>
            <w:vAlign w:val="bottom"/>
          </w:tcPr>
          <w:p w14:paraId="2A682621" w14:textId="77777777" w:rsidR="005632A0" w:rsidRPr="005632A0" w:rsidRDefault="005632A0" w:rsidP="005632A0">
            <w:pPr>
              <w:pStyle w:val="SingleTxtG"/>
              <w:spacing w:before="40" w:after="40" w:line="220" w:lineRule="exact"/>
              <w:ind w:left="0" w:right="0"/>
              <w:jc w:val="right"/>
              <w:rPr>
                <w:sz w:val="18"/>
              </w:rPr>
            </w:pPr>
            <w:r w:rsidRPr="005632A0">
              <w:rPr>
                <w:sz w:val="18"/>
              </w:rPr>
              <w:t>1,2</w:t>
            </w:r>
          </w:p>
        </w:tc>
        <w:tc>
          <w:tcPr>
            <w:tcW w:w="809" w:type="dxa"/>
            <w:shd w:val="clear" w:color="auto" w:fill="auto"/>
            <w:vAlign w:val="bottom"/>
          </w:tcPr>
          <w:p w14:paraId="788B85AB" w14:textId="77777777" w:rsidR="005632A0" w:rsidRPr="005632A0" w:rsidRDefault="005632A0" w:rsidP="005632A0">
            <w:pPr>
              <w:pStyle w:val="SingleTxtG"/>
              <w:spacing w:before="40" w:after="40" w:line="220" w:lineRule="exact"/>
              <w:ind w:left="0" w:right="0"/>
              <w:jc w:val="right"/>
              <w:rPr>
                <w:sz w:val="18"/>
              </w:rPr>
            </w:pPr>
            <w:r w:rsidRPr="005632A0">
              <w:rPr>
                <w:sz w:val="18"/>
              </w:rPr>
              <w:t>1,8</w:t>
            </w:r>
          </w:p>
        </w:tc>
      </w:tr>
      <w:tr w:rsidR="005632A0" w:rsidRPr="00DC2905" w14:paraId="73B6744B" w14:textId="77777777" w:rsidTr="005632A0">
        <w:tc>
          <w:tcPr>
            <w:tcW w:w="1204" w:type="dxa"/>
            <w:shd w:val="clear" w:color="auto" w:fill="auto"/>
            <w:vAlign w:val="center"/>
          </w:tcPr>
          <w:p w14:paraId="153093D1" w14:textId="77777777" w:rsidR="005632A0" w:rsidRPr="005632A0" w:rsidRDefault="005632A0" w:rsidP="005632A0">
            <w:pPr>
              <w:pStyle w:val="SingleTxtG"/>
              <w:spacing w:before="40" w:after="40" w:line="220" w:lineRule="exact"/>
              <w:ind w:left="0" w:right="0"/>
              <w:jc w:val="left"/>
              <w:rPr>
                <w:sz w:val="18"/>
              </w:rPr>
            </w:pPr>
            <w:r w:rsidRPr="005632A0">
              <w:rPr>
                <w:sz w:val="18"/>
              </w:rPr>
              <w:lastRenderedPageBreak/>
              <w:t>Provincias centrales</w:t>
            </w:r>
          </w:p>
        </w:tc>
        <w:tc>
          <w:tcPr>
            <w:tcW w:w="808" w:type="dxa"/>
            <w:shd w:val="clear" w:color="auto" w:fill="auto"/>
            <w:vAlign w:val="bottom"/>
          </w:tcPr>
          <w:p w14:paraId="03A37612" w14:textId="77777777" w:rsidR="005632A0" w:rsidRPr="005632A0" w:rsidRDefault="005632A0" w:rsidP="005632A0">
            <w:pPr>
              <w:pStyle w:val="SingleTxtG"/>
              <w:spacing w:before="40" w:after="40" w:line="220" w:lineRule="exact"/>
              <w:ind w:left="0" w:right="0"/>
              <w:jc w:val="right"/>
              <w:rPr>
                <w:sz w:val="18"/>
              </w:rPr>
            </w:pPr>
            <w:r w:rsidRPr="005632A0">
              <w:rPr>
                <w:sz w:val="18"/>
              </w:rPr>
              <w:t>15,8</w:t>
            </w:r>
          </w:p>
        </w:tc>
        <w:tc>
          <w:tcPr>
            <w:tcW w:w="809" w:type="dxa"/>
            <w:shd w:val="clear" w:color="auto" w:fill="auto"/>
            <w:vAlign w:val="bottom"/>
          </w:tcPr>
          <w:p w14:paraId="30F54C68" w14:textId="77777777" w:rsidR="005632A0" w:rsidRPr="005632A0" w:rsidRDefault="005632A0" w:rsidP="005632A0">
            <w:pPr>
              <w:pStyle w:val="SingleTxtG"/>
              <w:spacing w:before="40" w:after="40" w:line="220" w:lineRule="exact"/>
              <w:ind w:left="0" w:right="0"/>
              <w:jc w:val="right"/>
              <w:rPr>
                <w:sz w:val="18"/>
              </w:rPr>
            </w:pPr>
            <w:r w:rsidRPr="005632A0">
              <w:rPr>
                <w:sz w:val="18"/>
              </w:rPr>
              <w:t>12,7</w:t>
            </w:r>
          </w:p>
        </w:tc>
        <w:tc>
          <w:tcPr>
            <w:tcW w:w="809" w:type="dxa"/>
            <w:shd w:val="clear" w:color="auto" w:fill="auto"/>
            <w:vAlign w:val="bottom"/>
          </w:tcPr>
          <w:p w14:paraId="4D8110A4" w14:textId="77777777" w:rsidR="005632A0" w:rsidRPr="005632A0" w:rsidRDefault="005632A0" w:rsidP="005632A0">
            <w:pPr>
              <w:pStyle w:val="SingleTxtG"/>
              <w:spacing w:before="40" w:after="40" w:line="220" w:lineRule="exact"/>
              <w:ind w:left="0" w:right="57"/>
              <w:jc w:val="right"/>
              <w:rPr>
                <w:sz w:val="18"/>
              </w:rPr>
            </w:pPr>
            <w:r w:rsidRPr="005632A0">
              <w:rPr>
                <w:sz w:val="18"/>
              </w:rPr>
              <w:t>18,6</w:t>
            </w:r>
          </w:p>
        </w:tc>
        <w:tc>
          <w:tcPr>
            <w:tcW w:w="809" w:type="dxa"/>
            <w:shd w:val="clear" w:color="auto" w:fill="auto"/>
            <w:vAlign w:val="bottom"/>
          </w:tcPr>
          <w:p w14:paraId="6B683BC4" w14:textId="77777777" w:rsidR="005632A0" w:rsidRPr="005632A0" w:rsidRDefault="005632A0" w:rsidP="005632A0">
            <w:pPr>
              <w:pStyle w:val="SingleTxtG"/>
              <w:spacing w:before="40" w:after="40" w:line="220" w:lineRule="exact"/>
              <w:ind w:left="0" w:right="0"/>
              <w:jc w:val="right"/>
              <w:rPr>
                <w:sz w:val="18"/>
              </w:rPr>
            </w:pPr>
            <w:r w:rsidRPr="005632A0">
              <w:rPr>
                <w:sz w:val="18"/>
              </w:rPr>
              <w:t>3,1</w:t>
            </w:r>
          </w:p>
        </w:tc>
        <w:tc>
          <w:tcPr>
            <w:tcW w:w="808" w:type="dxa"/>
            <w:shd w:val="clear" w:color="auto" w:fill="auto"/>
            <w:vAlign w:val="bottom"/>
          </w:tcPr>
          <w:p w14:paraId="18C9C664" w14:textId="77777777" w:rsidR="005632A0" w:rsidRPr="005632A0" w:rsidRDefault="005632A0" w:rsidP="005632A0">
            <w:pPr>
              <w:pStyle w:val="SingleTxtG"/>
              <w:spacing w:before="40" w:after="40" w:line="220" w:lineRule="exact"/>
              <w:ind w:left="0" w:right="0"/>
              <w:jc w:val="right"/>
              <w:rPr>
                <w:sz w:val="18"/>
              </w:rPr>
            </w:pPr>
            <w:r w:rsidRPr="005632A0">
              <w:rPr>
                <w:sz w:val="18"/>
              </w:rPr>
              <w:t>2,9</w:t>
            </w:r>
          </w:p>
        </w:tc>
        <w:tc>
          <w:tcPr>
            <w:tcW w:w="809" w:type="dxa"/>
            <w:shd w:val="clear" w:color="auto" w:fill="auto"/>
            <w:vAlign w:val="bottom"/>
          </w:tcPr>
          <w:p w14:paraId="0FCCAB4B" w14:textId="77777777" w:rsidR="005632A0" w:rsidRPr="005632A0" w:rsidRDefault="005632A0" w:rsidP="005632A0">
            <w:pPr>
              <w:pStyle w:val="SingleTxtG"/>
              <w:spacing w:before="40" w:after="40" w:line="220" w:lineRule="exact"/>
              <w:ind w:left="0" w:right="57"/>
              <w:jc w:val="right"/>
              <w:rPr>
                <w:sz w:val="18"/>
              </w:rPr>
            </w:pPr>
            <w:r w:rsidRPr="005632A0">
              <w:rPr>
                <w:sz w:val="18"/>
              </w:rPr>
              <w:t>4,6</w:t>
            </w:r>
          </w:p>
        </w:tc>
        <w:tc>
          <w:tcPr>
            <w:tcW w:w="809" w:type="dxa"/>
            <w:shd w:val="clear" w:color="auto" w:fill="auto"/>
            <w:vAlign w:val="bottom"/>
          </w:tcPr>
          <w:p w14:paraId="39D4223B" w14:textId="77777777" w:rsidR="005632A0" w:rsidRPr="005632A0" w:rsidRDefault="005632A0" w:rsidP="005632A0">
            <w:pPr>
              <w:pStyle w:val="SingleTxtG"/>
              <w:spacing w:before="40" w:after="40" w:line="220" w:lineRule="exact"/>
              <w:ind w:left="0" w:right="0"/>
              <w:jc w:val="right"/>
              <w:rPr>
                <w:sz w:val="18"/>
              </w:rPr>
            </w:pPr>
            <w:r w:rsidRPr="005632A0">
              <w:rPr>
                <w:sz w:val="18"/>
              </w:rPr>
              <w:t>1</w:t>
            </w:r>
          </w:p>
        </w:tc>
        <w:tc>
          <w:tcPr>
            <w:tcW w:w="809" w:type="dxa"/>
            <w:shd w:val="clear" w:color="auto" w:fill="auto"/>
            <w:vAlign w:val="bottom"/>
          </w:tcPr>
          <w:p w14:paraId="1A31FDF0" w14:textId="77777777" w:rsidR="005632A0" w:rsidRPr="005632A0" w:rsidRDefault="005632A0" w:rsidP="005632A0">
            <w:pPr>
              <w:pStyle w:val="SingleTxtG"/>
              <w:spacing w:before="40" w:after="40" w:line="220" w:lineRule="exact"/>
              <w:ind w:left="0" w:right="0"/>
              <w:jc w:val="right"/>
              <w:rPr>
                <w:sz w:val="18"/>
              </w:rPr>
            </w:pPr>
            <w:r w:rsidRPr="005632A0">
              <w:rPr>
                <w:sz w:val="18"/>
              </w:rPr>
              <w:t>1,1</w:t>
            </w:r>
          </w:p>
        </w:tc>
        <w:tc>
          <w:tcPr>
            <w:tcW w:w="809" w:type="dxa"/>
            <w:shd w:val="clear" w:color="auto" w:fill="auto"/>
            <w:vAlign w:val="bottom"/>
          </w:tcPr>
          <w:p w14:paraId="0AE7A520" w14:textId="77777777" w:rsidR="005632A0" w:rsidRPr="005632A0" w:rsidRDefault="005632A0" w:rsidP="005632A0">
            <w:pPr>
              <w:pStyle w:val="SingleTxtG"/>
              <w:spacing w:before="40" w:after="40" w:line="220" w:lineRule="exact"/>
              <w:ind w:left="0" w:right="0"/>
              <w:jc w:val="right"/>
              <w:rPr>
                <w:sz w:val="18"/>
              </w:rPr>
            </w:pPr>
            <w:r w:rsidRPr="005632A0">
              <w:rPr>
                <w:sz w:val="18"/>
              </w:rPr>
              <w:t>1,8</w:t>
            </w:r>
          </w:p>
        </w:tc>
      </w:tr>
      <w:tr w:rsidR="005632A0" w:rsidRPr="00DC2905" w14:paraId="3D8177FB" w14:textId="77777777" w:rsidTr="005632A0">
        <w:tc>
          <w:tcPr>
            <w:tcW w:w="1204" w:type="dxa"/>
            <w:tcBorders>
              <w:bottom w:val="single" w:sz="12" w:space="0" w:color="auto"/>
            </w:tcBorders>
            <w:shd w:val="clear" w:color="auto" w:fill="auto"/>
            <w:vAlign w:val="center"/>
          </w:tcPr>
          <w:p w14:paraId="39985FE0" w14:textId="77777777" w:rsidR="005632A0" w:rsidRPr="005632A0" w:rsidRDefault="005632A0" w:rsidP="005632A0">
            <w:pPr>
              <w:pStyle w:val="SingleTxtG"/>
              <w:spacing w:before="40" w:after="40" w:line="220" w:lineRule="exact"/>
              <w:ind w:left="0" w:right="0"/>
              <w:jc w:val="left"/>
              <w:rPr>
                <w:sz w:val="18"/>
              </w:rPr>
            </w:pPr>
            <w:r w:rsidRPr="005632A0">
              <w:rPr>
                <w:sz w:val="18"/>
              </w:rPr>
              <w:t>Provincias meridionales</w:t>
            </w:r>
          </w:p>
        </w:tc>
        <w:tc>
          <w:tcPr>
            <w:tcW w:w="808" w:type="dxa"/>
            <w:tcBorders>
              <w:bottom w:val="single" w:sz="12" w:space="0" w:color="auto"/>
            </w:tcBorders>
            <w:shd w:val="clear" w:color="auto" w:fill="auto"/>
            <w:vAlign w:val="bottom"/>
          </w:tcPr>
          <w:p w14:paraId="25A2ED51" w14:textId="77777777" w:rsidR="005632A0" w:rsidRPr="005632A0" w:rsidRDefault="005632A0" w:rsidP="005632A0">
            <w:pPr>
              <w:pStyle w:val="SingleTxtG"/>
              <w:spacing w:before="40" w:after="40" w:line="220" w:lineRule="exact"/>
              <w:ind w:left="0" w:right="0"/>
              <w:jc w:val="right"/>
              <w:rPr>
                <w:sz w:val="18"/>
              </w:rPr>
            </w:pPr>
            <w:r w:rsidRPr="005632A0">
              <w:rPr>
                <w:sz w:val="18"/>
              </w:rPr>
              <w:t>33,6</w:t>
            </w:r>
          </w:p>
        </w:tc>
        <w:tc>
          <w:tcPr>
            <w:tcW w:w="809" w:type="dxa"/>
            <w:tcBorders>
              <w:bottom w:val="single" w:sz="12" w:space="0" w:color="auto"/>
            </w:tcBorders>
            <w:shd w:val="clear" w:color="auto" w:fill="auto"/>
            <w:vAlign w:val="bottom"/>
          </w:tcPr>
          <w:p w14:paraId="76770734" w14:textId="77777777" w:rsidR="005632A0" w:rsidRPr="005632A0" w:rsidRDefault="005632A0" w:rsidP="005632A0">
            <w:pPr>
              <w:pStyle w:val="SingleTxtG"/>
              <w:spacing w:before="40" w:after="40" w:line="220" w:lineRule="exact"/>
              <w:ind w:left="0" w:right="0"/>
              <w:jc w:val="right"/>
              <w:rPr>
                <w:sz w:val="18"/>
              </w:rPr>
            </w:pPr>
            <w:r w:rsidRPr="005632A0">
              <w:rPr>
                <w:sz w:val="18"/>
              </w:rPr>
              <w:t>26,1</w:t>
            </w:r>
          </w:p>
        </w:tc>
        <w:tc>
          <w:tcPr>
            <w:tcW w:w="809" w:type="dxa"/>
            <w:tcBorders>
              <w:bottom w:val="single" w:sz="12" w:space="0" w:color="auto"/>
            </w:tcBorders>
            <w:shd w:val="clear" w:color="auto" w:fill="auto"/>
            <w:vAlign w:val="bottom"/>
          </w:tcPr>
          <w:p w14:paraId="4F5C3A5E" w14:textId="77777777" w:rsidR="005632A0" w:rsidRPr="005632A0" w:rsidRDefault="005632A0" w:rsidP="005632A0">
            <w:pPr>
              <w:pStyle w:val="SingleTxtG"/>
              <w:spacing w:before="40" w:after="40" w:line="220" w:lineRule="exact"/>
              <w:ind w:left="0" w:right="57"/>
              <w:jc w:val="right"/>
              <w:rPr>
                <w:sz w:val="18"/>
              </w:rPr>
            </w:pPr>
            <w:r w:rsidRPr="005632A0">
              <w:rPr>
                <w:sz w:val="18"/>
              </w:rPr>
              <w:t>31,5</w:t>
            </w:r>
          </w:p>
        </w:tc>
        <w:tc>
          <w:tcPr>
            <w:tcW w:w="809" w:type="dxa"/>
            <w:tcBorders>
              <w:bottom w:val="single" w:sz="12" w:space="0" w:color="auto"/>
            </w:tcBorders>
            <w:shd w:val="clear" w:color="auto" w:fill="auto"/>
            <w:vAlign w:val="bottom"/>
          </w:tcPr>
          <w:p w14:paraId="20381851" w14:textId="77777777" w:rsidR="005632A0" w:rsidRPr="005632A0" w:rsidRDefault="005632A0" w:rsidP="005632A0">
            <w:pPr>
              <w:pStyle w:val="SingleTxtG"/>
              <w:spacing w:before="40" w:after="40" w:line="220" w:lineRule="exact"/>
              <w:ind w:left="0" w:right="0"/>
              <w:jc w:val="right"/>
              <w:rPr>
                <w:sz w:val="18"/>
              </w:rPr>
            </w:pPr>
            <w:r w:rsidRPr="005632A0">
              <w:rPr>
                <w:sz w:val="18"/>
              </w:rPr>
              <w:t>8,6</w:t>
            </w:r>
          </w:p>
        </w:tc>
        <w:tc>
          <w:tcPr>
            <w:tcW w:w="808" w:type="dxa"/>
            <w:tcBorders>
              <w:bottom w:val="single" w:sz="12" w:space="0" w:color="auto"/>
            </w:tcBorders>
            <w:shd w:val="clear" w:color="auto" w:fill="auto"/>
            <w:vAlign w:val="bottom"/>
          </w:tcPr>
          <w:p w14:paraId="2309B20C" w14:textId="77777777" w:rsidR="005632A0" w:rsidRPr="005632A0" w:rsidRDefault="005632A0" w:rsidP="005632A0">
            <w:pPr>
              <w:pStyle w:val="SingleTxtG"/>
              <w:spacing w:before="40" w:after="40" w:line="220" w:lineRule="exact"/>
              <w:ind w:left="0" w:right="0"/>
              <w:jc w:val="right"/>
              <w:rPr>
                <w:sz w:val="18"/>
              </w:rPr>
            </w:pPr>
            <w:r w:rsidRPr="005632A0">
              <w:rPr>
                <w:sz w:val="18"/>
              </w:rPr>
              <w:t>6,8</w:t>
            </w:r>
          </w:p>
        </w:tc>
        <w:tc>
          <w:tcPr>
            <w:tcW w:w="809" w:type="dxa"/>
            <w:tcBorders>
              <w:bottom w:val="single" w:sz="12" w:space="0" w:color="auto"/>
            </w:tcBorders>
            <w:shd w:val="clear" w:color="auto" w:fill="auto"/>
            <w:vAlign w:val="bottom"/>
          </w:tcPr>
          <w:p w14:paraId="460028F0" w14:textId="77777777" w:rsidR="005632A0" w:rsidRPr="005632A0" w:rsidRDefault="005632A0" w:rsidP="005632A0">
            <w:pPr>
              <w:pStyle w:val="SingleTxtG"/>
              <w:spacing w:before="40" w:after="40" w:line="220" w:lineRule="exact"/>
              <w:ind w:left="0" w:right="57"/>
              <w:jc w:val="right"/>
              <w:rPr>
                <w:sz w:val="18"/>
              </w:rPr>
            </w:pPr>
            <w:r w:rsidRPr="005632A0">
              <w:rPr>
                <w:sz w:val="18"/>
              </w:rPr>
              <w:t>8,9</w:t>
            </w:r>
          </w:p>
        </w:tc>
        <w:tc>
          <w:tcPr>
            <w:tcW w:w="809" w:type="dxa"/>
            <w:tcBorders>
              <w:bottom w:val="single" w:sz="12" w:space="0" w:color="auto"/>
            </w:tcBorders>
            <w:shd w:val="clear" w:color="auto" w:fill="auto"/>
            <w:vAlign w:val="bottom"/>
          </w:tcPr>
          <w:p w14:paraId="0F2F49F8" w14:textId="77777777" w:rsidR="005632A0" w:rsidRPr="005632A0" w:rsidRDefault="005632A0" w:rsidP="005632A0">
            <w:pPr>
              <w:pStyle w:val="SingleTxtG"/>
              <w:spacing w:before="40" w:after="40" w:line="220" w:lineRule="exact"/>
              <w:ind w:left="0" w:right="0"/>
              <w:jc w:val="right"/>
              <w:rPr>
                <w:sz w:val="18"/>
              </w:rPr>
            </w:pPr>
            <w:r w:rsidRPr="005632A0">
              <w:rPr>
                <w:sz w:val="18"/>
              </w:rPr>
              <w:t>3,2</w:t>
            </w:r>
          </w:p>
        </w:tc>
        <w:tc>
          <w:tcPr>
            <w:tcW w:w="809" w:type="dxa"/>
            <w:tcBorders>
              <w:bottom w:val="single" w:sz="12" w:space="0" w:color="auto"/>
            </w:tcBorders>
            <w:shd w:val="clear" w:color="auto" w:fill="auto"/>
            <w:vAlign w:val="bottom"/>
          </w:tcPr>
          <w:p w14:paraId="24356D36" w14:textId="77777777" w:rsidR="005632A0" w:rsidRPr="005632A0" w:rsidRDefault="005632A0" w:rsidP="005632A0">
            <w:pPr>
              <w:pStyle w:val="SingleTxtG"/>
              <w:spacing w:before="40" w:after="40" w:line="220" w:lineRule="exact"/>
              <w:ind w:left="0" w:right="0"/>
              <w:jc w:val="right"/>
              <w:rPr>
                <w:sz w:val="18"/>
              </w:rPr>
            </w:pPr>
            <w:r w:rsidRPr="005632A0">
              <w:rPr>
                <w:sz w:val="18"/>
              </w:rPr>
              <w:t>2,7</w:t>
            </w:r>
          </w:p>
        </w:tc>
        <w:tc>
          <w:tcPr>
            <w:tcW w:w="809" w:type="dxa"/>
            <w:tcBorders>
              <w:bottom w:val="single" w:sz="12" w:space="0" w:color="auto"/>
            </w:tcBorders>
            <w:shd w:val="clear" w:color="auto" w:fill="auto"/>
            <w:vAlign w:val="bottom"/>
          </w:tcPr>
          <w:p w14:paraId="30AB7A59" w14:textId="77777777" w:rsidR="005632A0" w:rsidRPr="005632A0" w:rsidRDefault="005632A0" w:rsidP="005632A0">
            <w:pPr>
              <w:pStyle w:val="SingleTxtG"/>
              <w:spacing w:before="40" w:after="40" w:line="220" w:lineRule="exact"/>
              <w:ind w:left="0" w:right="0"/>
              <w:jc w:val="right"/>
              <w:rPr>
                <w:sz w:val="18"/>
              </w:rPr>
            </w:pPr>
            <w:r w:rsidRPr="005632A0">
              <w:rPr>
                <w:sz w:val="18"/>
              </w:rPr>
              <w:t>3,7</w:t>
            </w:r>
          </w:p>
        </w:tc>
      </w:tr>
    </w:tbl>
    <w:p w14:paraId="2AE4B53F" w14:textId="77777777" w:rsidR="008A38B9" w:rsidRPr="005632A0" w:rsidRDefault="008A38B9" w:rsidP="005632A0">
      <w:pPr>
        <w:pStyle w:val="SingleTxtG"/>
        <w:spacing w:before="120" w:after="240"/>
        <w:ind w:right="567" w:firstLine="170"/>
        <w:jc w:val="left"/>
        <w:rPr>
          <w:sz w:val="18"/>
          <w:szCs w:val="18"/>
        </w:rPr>
      </w:pPr>
      <w:r w:rsidRPr="00370FAF">
        <w:rPr>
          <w:i/>
          <w:sz w:val="18"/>
          <w:szCs w:val="18"/>
        </w:rPr>
        <w:t>Fuente:</w:t>
      </w:r>
      <w:r w:rsidRPr="005632A0">
        <w:rPr>
          <w:sz w:val="18"/>
          <w:szCs w:val="18"/>
        </w:rPr>
        <w:t xml:space="preserve"> Grupo Banco Mundial y Comisión Técnica para la Estrategia de Reducción de la Pobreza: Efectos de la crisis combinada que los desplazamientos motivados por los crímenes de las bandas de Dáesh y la caída de los precios del petróleo han causado en la coyuntura económica y la pobreza en el Iraq (2014).</w:t>
      </w:r>
    </w:p>
    <w:p w14:paraId="2309FC4B" w14:textId="77777777" w:rsidR="008A38B9" w:rsidRPr="008A38B9" w:rsidRDefault="008A38B9" w:rsidP="005632A0">
      <w:pPr>
        <w:pStyle w:val="SingleTxtG"/>
      </w:pPr>
      <w:r w:rsidRPr="008A38B9">
        <w:t>45.</w:t>
      </w:r>
      <w:r w:rsidRPr="008A38B9">
        <w:tab/>
        <w:t>El Estado ha emprendido las iniciativas siguientes con miras a aliviar la pobreza:</w:t>
      </w:r>
    </w:p>
    <w:p w14:paraId="51208AE2" w14:textId="77777777" w:rsidR="008A38B9" w:rsidRPr="008A38B9" w:rsidRDefault="008A38B9" w:rsidP="005632A0">
      <w:pPr>
        <w:pStyle w:val="Bullet1G"/>
      </w:pPr>
      <w:r w:rsidRPr="008A38B9">
        <w:t>A principios de 2010 puso en marcha la Estrategia para la Reducción de la Pobreza, que comprende políticas multisectoriales de crecimiento y programas de reforma legislativa en favor de las personas pobres. La Estrategia, que se articuló en torno a 6 objetivos, 27 resultados y 89 actuaciones, tenía como objetivo reducir del 23 % al 16 % el índice de recuento de la pobreza entre 2010 y 2014</w:t>
      </w:r>
      <w:r w:rsidR="00F52F24">
        <w:t>.</w:t>
      </w:r>
    </w:p>
    <w:p w14:paraId="687CDE6F" w14:textId="77777777" w:rsidR="008A38B9" w:rsidRPr="008A38B9" w:rsidRDefault="008A38B9" w:rsidP="005632A0">
      <w:pPr>
        <w:pStyle w:val="Bullet1G"/>
      </w:pPr>
      <w:r w:rsidRPr="008A38B9">
        <w:t>En 2012, según los resultados de la Encuesta Socioeconómica de la Familia en el Iraq, el índice de recuento de la pobreza descendió al 18,9 %. En 2014, sin embargo, repuntó al 22,5 % debido a las crisis económicas y al control ejercido por las bandas terroristas de Dáesh</w:t>
      </w:r>
      <w:r w:rsidR="00F52F24">
        <w:t>.</w:t>
      </w:r>
    </w:p>
    <w:p w14:paraId="196E3C77" w14:textId="77777777" w:rsidR="008A38B9" w:rsidRPr="008A38B9" w:rsidRDefault="008A38B9" w:rsidP="005632A0">
      <w:pPr>
        <w:pStyle w:val="Bullet1G"/>
      </w:pPr>
      <w:r w:rsidRPr="008A38B9">
        <w:t>La Estrategia, tan pronto quedó aprobada, entró en vigor mediante la Resolución núm. 409/2009 del Consejo de Ministros. En 2012, los Ministerios y autoridades provinciales la integraron en sus planes de acción anuales y se asignaron partidas en los presupuestos anuales de inversión a los Ministerios proveedores de servicios y a las provincias más pobres</w:t>
      </w:r>
      <w:r w:rsidR="00F52F24">
        <w:t>.</w:t>
      </w:r>
    </w:p>
    <w:p w14:paraId="3512698A" w14:textId="77777777" w:rsidR="008A38B9" w:rsidRPr="008A38B9" w:rsidRDefault="008A38B9" w:rsidP="005632A0">
      <w:pPr>
        <w:pStyle w:val="Bullet1G"/>
      </w:pPr>
      <w:r w:rsidRPr="008A38B9">
        <w:t>En 2013 se ampliaron las asignaciones para invertir en el empoderamiento y el fomento de la capacidad de las personas pobres en todas las provincias.</w:t>
      </w:r>
    </w:p>
    <w:p w14:paraId="1E67917A" w14:textId="77777777" w:rsidR="008A38B9" w:rsidRPr="00F52F24" w:rsidRDefault="008A38B9" w:rsidP="00F52F24">
      <w:pPr>
        <w:pStyle w:val="SingleTxtG"/>
        <w:ind w:left="1304"/>
        <w:rPr>
          <w:sz w:val="18"/>
          <w:szCs w:val="18"/>
        </w:rPr>
      </w:pPr>
      <w:r w:rsidRPr="00F52F24">
        <w:rPr>
          <w:i/>
          <w:iCs/>
          <w:sz w:val="18"/>
          <w:szCs w:val="18"/>
        </w:rPr>
        <w:t>Fuente</w:t>
      </w:r>
      <w:r w:rsidRPr="00F52F24">
        <w:rPr>
          <w:i/>
          <w:sz w:val="18"/>
          <w:szCs w:val="18"/>
        </w:rPr>
        <w:t>:</w:t>
      </w:r>
      <w:r w:rsidRPr="00F52F24">
        <w:rPr>
          <w:sz w:val="18"/>
          <w:szCs w:val="18"/>
        </w:rPr>
        <w:t xml:space="preserve"> Informe nacional del desarrollo humano (2014).</w:t>
      </w:r>
    </w:p>
    <w:p w14:paraId="0644AD98" w14:textId="77777777" w:rsidR="008A38B9" w:rsidRPr="008A38B9" w:rsidRDefault="008A38B9" w:rsidP="005632A0">
      <w:pPr>
        <w:pStyle w:val="SingleTxtG"/>
        <w:rPr>
          <w:b/>
          <w:bCs/>
        </w:rPr>
      </w:pPr>
      <w:r w:rsidRPr="008A38B9">
        <w:t>46.</w:t>
      </w:r>
      <w:r w:rsidRPr="008A38B9">
        <w:tab/>
        <w:t xml:space="preserve">La economía iraquí es muy dependiente del petróleo. Aunque este no sea su único recurso, es fundamentalmente una economía </w:t>
      </w:r>
      <w:bookmarkStart w:id="1" w:name="_Hlk33597739"/>
      <w:r w:rsidRPr="008A38B9">
        <w:t>petrolera</w:t>
      </w:r>
      <w:bookmarkEnd w:id="1"/>
      <w:r w:rsidRPr="008A38B9">
        <w:t xml:space="preserve">. El Iraq fue uno de los Estados fundadores de la Organización de Países Exportadores de Petróleo. La industria petrolera comenzó su andadura en el país en 1925. En 2015, la producción de crudo registró un incremento notable del 12 %. Entre 2014 y 2015, la producción anual de crudo pasó de 1.135 a 1.270,9 millones de barriles y la producción diaria de 3,1 a 3,5 millones de barriles. En el mismo período, las exportaciones de petróleo se incrementaron el 19,5 %, el crudo procesado para refinerías disminuyó el 21,5 % y el crudo destinado a la generación de electricidad aumentó el 20,2 %. </w:t>
      </w:r>
    </w:p>
    <w:p w14:paraId="13C46382" w14:textId="77777777" w:rsidR="008A38B9" w:rsidRDefault="008A38B9" w:rsidP="005632A0">
      <w:pPr>
        <w:pStyle w:val="SingleTxtG"/>
      </w:pPr>
      <w:r w:rsidRPr="008A38B9">
        <w:t>47.</w:t>
      </w:r>
      <w:r w:rsidRPr="008A38B9">
        <w:tab/>
        <w:t>En el cuadro siguiente figuran datos relativos a la producción y las exportaciones de crudo en el Iraq entre 2014 y 2017.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38"/>
        <w:gridCol w:w="866"/>
        <w:gridCol w:w="866"/>
        <w:gridCol w:w="867"/>
        <w:gridCol w:w="866"/>
        <w:gridCol w:w="867"/>
      </w:tblGrid>
      <w:tr w:rsidR="005632A0" w:rsidRPr="005632A0" w14:paraId="47CA7FC8" w14:textId="77777777" w:rsidTr="005632A0">
        <w:trPr>
          <w:tblHeader/>
        </w:trPr>
        <w:tc>
          <w:tcPr>
            <w:tcW w:w="3038" w:type="dxa"/>
            <w:tcBorders>
              <w:top w:val="single" w:sz="4" w:space="0" w:color="auto"/>
              <w:bottom w:val="single" w:sz="12" w:space="0" w:color="auto"/>
            </w:tcBorders>
            <w:shd w:val="clear" w:color="auto" w:fill="auto"/>
            <w:vAlign w:val="bottom"/>
          </w:tcPr>
          <w:p w14:paraId="702A2A0C" w14:textId="77777777" w:rsidR="005632A0" w:rsidRPr="005632A0" w:rsidRDefault="005632A0" w:rsidP="005632A0">
            <w:pPr>
              <w:pStyle w:val="SingleTxtG"/>
              <w:spacing w:before="80" w:after="80" w:line="200" w:lineRule="exact"/>
              <w:ind w:left="0" w:right="0"/>
              <w:jc w:val="left"/>
              <w:rPr>
                <w:i/>
                <w:sz w:val="16"/>
              </w:rPr>
            </w:pPr>
            <w:r w:rsidRPr="005632A0">
              <w:rPr>
                <w:i/>
                <w:sz w:val="16"/>
              </w:rPr>
              <w:t>Índice</w:t>
            </w:r>
          </w:p>
        </w:tc>
        <w:tc>
          <w:tcPr>
            <w:tcW w:w="866" w:type="dxa"/>
            <w:tcBorders>
              <w:top w:val="single" w:sz="4" w:space="0" w:color="auto"/>
              <w:bottom w:val="single" w:sz="12" w:space="0" w:color="auto"/>
            </w:tcBorders>
            <w:shd w:val="clear" w:color="auto" w:fill="auto"/>
            <w:vAlign w:val="bottom"/>
          </w:tcPr>
          <w:p w14:paraId="1C9BF490"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2014</w:t>
            </w:r>
          </w:p>
        </w:tc>
        <w:tc>
          <w:tcPr>
            <w:tcW w:w="866" w:type="dxa"/>
            <w:tcBorders>
              <w:top w:val="single" w:sz="4" w:space="0" w:color="auto"/>
              <w:bottom w:val="single" w:sz="12" w:space="0" w:color="auto"/>
            </w:tcBorders>
            <w:shd w:val="clear" w:color="auto" w:fill="auto"/>
            <w:vAlign w:val="bottom"/>
          </w:tcPr>
          <w:p w14:paraId="260208DD"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2015</w:t>
            </w:r>
          </w:p>
        </w:tc>
        <w:tc>
          <w:tcPr>
            <w:tcW w:w="867" w:type="dxa"/>
            <w:tcBorders>
              <w:top w:val="single" w:sz="4" w:space="0" w:color="auto"/>
              <w:bottom w:val="single" w:sz="12" w:space="0" w:color="auto"/>
            </w:tcBorders>
            <w:shd w:val="clear" w:color="auto" w:fill="auto"/>
            <w:vAlign w:val="bottom"/>
          </w:tcPr>
          <w:p w14:paraId="371AC3E1"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2016</w:t>
            </w:r>
          </w:p>
        </w:tc>
        <w:tc>
          <w:tcPr>
            <w:tcW w:w="866" w:type="dxa"/>
            <w:tcBorders>
              <w:top w:val="single" w:sz="4" w:space="0" w:color="auto"/>
              <w:bottom w:val="single" w:sz="12" w:space="0" w:color="auto"/>
            </w:tcBorders>
            <w:shd w:val="clear" w:color="auto" w:fill="auto"/>
            <w:vAlign w:val="bottom"/>
          </w:tcPr>
          <w:p w14:paraId="18D94E0E" w14:textId="77777777" w:rsidR="005632A0" w:rsidRPr="005632A0" w:rsidRDefault="005632A0" w:rsidP="005632A0">
            <w:pPr>
              <w:pStyle w:val="SingleTxtG"/>
              <w:spacing w:before="80" w:after="80" w:line="200" w:lineRule="exact"/>
              <w:ind w:left="0" w:right="0"/>
              <w:jc w:val="right"/>
              <w:rPr>
                <w:i/>
                <w:sz w:val="16"/>
              </w:rPr>
            </w:pPr>
            <w:r w:rsidRPr="005632A0">
              <w:rPr>
                <w:i/>
                <w:sz w:val="16"/>
              </w:rPr>
              <w:t>2017</w:t>
            </w:r>
          </w:p>
        </w:tc>
        <w:tc>
          <w:tcPr>
            <w:tcW w:w="867" w:type="dxa"/>
            <w:tcBorders>
              <w:top w:val="single" w:sz="4" w:space="0" w:color="auto"/>
              <w:bottom w:val="single" w:sz="12" w:space="0" w:color="auto"/>
            </w:tcBorders>
            <w:shd w:val="clear" w:color="auto" w:fill="auto"/>
            <w:vAlign w:val="bottom"/>
          </w:tcPr>
          <w:p w14:paraId="63943538" w14:textId="77777777" w:rsidR="005632A0" w:rsidRPr="005632A0" w:rsidRDefault="005632A0" w:rsidP="005632A0">
            <w:pPr>
              <w:pStyle w:val="SingleTxtG"/>
              <w:spacing w:before="80" w:after="80" w:line="200" w:lineRule="exact"/>
              <w:ind w:left="0" w:right="0"/>
              <w:jc w:val="right"/>
              <w:rPr>
                <w:i/>
                <w:sz w:val="16"/>
              </w:rPr>
            </w:pPr>
            <w:r w:rsidRPr="005632A0">
              <w:rPr>
                <w:i/>
                <w:sz w:val="16"/>
              </w:rPr>
              <w:t>Índice de variación %</w:t>
            </w:r>
          </w:p>
        </w:tc>
      </w:tr>
      <w:tr w:rsidR="005632A0" w:rsidRPr="005632A0" w14:paraId="31C984A6" w14:textId="77777777" w:rsidTr="005632A0">
        <w:tc>
          <w:tcPr>
            <w:tcW w:w="3038" w:type="dxa"/>
            <w:tcBorders>
              <w:top w:val="single" w:sz="12" w:space="0" w:color="auto"/>
            </w:tcBorders>
            <w:shd w:val="clear" w:color="auto" w:fill="auto"/>
          </w:tcPr>
          <w:p w14:paraId="3E94FEB6" w14:textId="77777777" w:rsidR="005632A0" w:rsidRPr="005632A0" w:rsidRDefault="005632A0" w:rsidP="005632A0">
            <w:pPr>
              <w:pStyle w:val="SingleTxtG"/>
              <w:spacing w:before="40" w:after="40" w:line="220" w:lineRule="exact"/>
              <w:ind w:left="0" w:right="0"/>
              <w:jc w:val="left"/>
              <w:rPr>
                <w:sz w:val="18"/>
              </w:rPr>
            </w:pPr>
            <w:r w:rsidRPr="005632A0">
              <w:rPr>
                <w:sz w:val="18"/>
              </w:rPr>
              <w:t>Crudo producido a nivel federal, incluida la Región (en millones de barriles)</w:t>
            </w:r>
          </w:p>
        </w:tc>
        <w:tc>
          <w:tcPr>
            <w:tcW w:w="866" w:type="dxa"/>
            <w:tcBorders>
              <w:top w:val="single" w:sz="12" w:space="0" w:color="auto"/>
            </w:tcBorders>
            <w:shd w:val="clear" w:color="auto" w:fill="auto"/>
            <w:vAlign w:val="bottom"/>
          </w:tcPr>
          <w:p w14:paraId="74FC6AE6" w14:textId="77777777" w:rsidR="005632A0" w:rsidRPr="005632A0" w:rsidRDefault="005632A0" w:rsidP="005632A0">
            <w:pPr>
              <w:pStyle w:val="SingleTxtG"/>
              <w:spacing w:before="40" w:after="40" w:line="220" w:lineRule="exact"/>
              <w:ind w:left="0" w:right="0"/>
              <w:jc w:val="right"/>
              <w:rPr>
                <w:sz w:val="18"/>
              </w:rPr>
            </w:pPr>
            <w:r w:rsidRPr="005632A0">
              <w:rPr>
                <w:sz w:val="18"/>
              </w:rPr>
              <w:t>1.180,8</w:t>
            </w:r>
          </w:p>
        </w:tc>
        <w:tc>
          <w:tcPr>
            <w:tcW w:w="866" w:type="dxa"/>
            <w:tcBorders>
              <w:top w:val="single" w:sz="12" w:space="0" w:color="auto"/>
            </w:tcBorders>
            <w:shd w:val="clear" w:color="auto" w:fill="auto"/>
            <w:vAlign w:val="bottom"/>
          </w:tcPr>
          <w:p w14:paraId="129DF125" w14:textId="77777777" w:rsidR="005632A0" w:rsidRPr="005632A0" w:rsidRDefault="005632A0" w:rsidP="005632A0">
            <w:pPr>
              <w:pStyle w:val="SingleTxtG"/>
              <w:spacing w:before="40" w:after="40" w:line="220" w:lineRule="exact"/>
              <w:ind w:left="0" w:right="0"/>
              <w:jc w:val="right"/>
              <w:rPr>
                <w:sz w:val="18"/>
              </w:rPr>
            </w:pPr>
            <w:r w:rsidRPr="005632A0">
              <w:rPr>
                <w:sz w:val="18"/>
              </w:rPr>
              <w:t>1.367,3</w:t>
            </w:r>
          </w:p>
        </w:tc>
        <w:tc>
          <w:tcPr>
            <w:tcW w:w="867" w:type="dxa"/>
            <w:tcBorders>
              <w:top w:val="single" w:sz="12" w:space="0" w:color="auto"/>
            </w:tcBorders>
            <w:shd w:val="clear" w:color="auto" w:fill="auto"/>
            <w:vAlign w:val="bottom"/>
          </w:tcPr>
          <w:p w14:paraId="5038C805" w14:textId="77777777" w:rsidR="005632A0" w:rsidRPr="005632A0" w:rsidRDefault="005632A0" w:rsidP="005632A0">
            <w:pPr>
              <w:pStyle w:val="SingleTxtG"/>
              <w:spacing w:before="40" w:after="40" w:line="220" w:lineRule="exact"/>
              <w:ind w:left="0" w:right="0"/>
              <w:jc w:val="right"/>
              <w:rPr>
                <w:sz w:val="18"/>
              </w:rPr>
            </w:pPr>
            <w:r w:rsidRPr="005632A0">
              <w:rPr>
                <w:sz w:val="18"/>
              </w:rPr>
              <w:t>1.701,1</w:t>
            </w:r>
          </w:p>
        </w:tc>
        <w:tc>
          <w:tcPr>
            <w:tcW w:w="866" w:type="dxa"/>
            <w:tcBorders>
              <w:top w:val="single" w:sz="12" w:space="0" w:color="auto"/>
            </w:tcBorders>
            <w:shd w:val="clear" w:color="auto" w:fill="auto"/>
            <w:vAlign w:val="bottom"/>
          </w:tcPr>
          <w:p w14:paraId="2D5E4EC5" w14:textId="77777777" w:rsidR="005632A0" w:rsidRPr="005632A0" w:rsidRDefault="005632A0" w:rsidP="005632A0">
            <w:pPr>
              <w:pStyle w:val="SingleTxtG"/>
              <w:spacing w:before="40" w:after="40" w:line="220" w:lineRule="exact"/>
              <w:ind w:left="0" w:right="0"/>
              <w:jc w:val="right"/>
              <w:rPr>
                <w:sz w:val="18"/>
              </w:rPr>
            </w:pPr>
            <w:r w:rsidRPr="005632A0">
              <w:rPr>
                <w:sz w:val="18"/>
              </w:rPr>
              <w:t>1.631,2</w:t>
            </w:r>
          </w:p>
        </w:tc>
        <w:tc>
          <w:tcPr>
            <w:tcW w:w="867" w:type="dxa"/>
            <w:tcBorders>
              <w:top w:val="single" w:sz="12" w:space="0" w:color="auto"/>
            </w:tcBorders>
            <w:shd w:val="clear" w:color="auto" w:fill="auto"/>
            <w:vAlign w:val="bottom"/>
          </w:tcPr>
          <w:p w14:paraId="1600A513" w14:textId="77777777" w:rsidR="005632A0" w:rsidRPr="005632A0" w:rsidRDefault="005632A0" w:rsidP="005632A0">
            <w:pPr>
              <w:pStyle w:val="SingleTxtG"/>
              <w:spacing w:before="40" w:after="40" w:line="220" w:lineRule="exact"/>
              <w:ind w:left="0" w:right="0"/>
              <w:jc w:val="right"/>
              <w:rPr>
                <w:sz w:val="18"/>
              </w:rPr>
            </w:pPr>
            <w:r w:rsidRPr="005632A0">
              <w:rPr>
                <w:sz w:val="18"/>
              </w:rPr>
              <w:t>- 4,11.</w:t>
            </w:r>
          </w:p>
        </w:tc>
      </w:tr>
      <w:tr w:rsidR="005632A0" w:rsidRPr="005632A0" w14:paraId="4798EAE7" w14:textId="77777777" w:rsidTr="005632A0">
        <w:tc>
          <w:tcPr>
            <w:tcW w:w="3038" w:type="dxa"/>
            <w:shd w:val="clear" w:color="auto" w:fill="auto"/>
          </w:tcPr>
          <w:p w14:paraId="1AF2975E" w14:textId="77777777" w:rsidR="005632A0" w:rsidRPr="005632A0" w:rsidRDefault="005632A0" w:rsidP="005632A0">
            <w:pPr>
              <w:pStyle w:val="SingleTxtG"/>
              <w:spacing w:before="40" w:after="40" w:line="220" w:lineRule="exact"/>
              <w:ind w:left="0" w:right="0"/>
              <w:jc w:val="left"/>
              <w:rPr>
                <w:sz w:val="18"/>
              </w:rPr>
            </w:pPr>
            <w:r w:rsidRPr="005632A0">
              <w:rPr>
                <w:sz w:val="18"/>
              </w:rPr>
              <w:t>Crudo exportado a nivel federal (en millones de barriles)</w:t>
            </w:r>
          </w:p>
        </w:tc>
        <w:tc>
          <w:tcPr>
            <w:tcW w:w="866" w:type="dxa"/>
            <w:shd w:val="clear" w:color="auto" w:fill="auto"/>
            <w:vAlign w:val="bottom"/>
          </w:tcPr>
          <w:p w14:paraId="67A5BA6D" w14:textId="77777777" w:rsidR="005632A0" w:rsidRPr="005632A0" w:rsidRDefault="005632A0" w:rsidP="005632A0">
            <w:pPr>
              <w:pStyle w:val="SingleTxtG"/>
              <w:spacing w:before="40" w:after="40" w:line="220" w:lineRule="exact"/>
              <w:ind w:left="0" w:right="0"/>
              <w:jc w:val="right"/>
              <w:rPr>
                <w:sz w:val="18"/>
              </w:rPr>
            </w:pPr>
            <w:r w:rsidRPr="005632A0">
              <w:rPr>
                <w:sz w:val="18"/>
              </w:rPr>
              <w:t>918,2</w:t>
            </w:r>
          </w:p>
        </w:tc>
        <w:tc>
          <w:tcPr>
            <w:tcW w:w="866" w:type="dxa"/>
            <w:shd w:val="clear" w:color="auto" w:fill="auto"/>
            <w:vAlign w:val="bottom"/>
          </w:tcPr>
          <w:p w14:paraId="5BEDDA29" w14:textId="77777777" w:rsidR="005632A0" w:rsidRPr="005632A0" w:rsidRDefault="005632A0" w:rsidP="005632A0">
            <w:pPr>
              <w:pStyle w:val="SingleTxtG"/>
              <w:spacing w:before="40" w:after="40" w:line="220" w:lineRule="exact"/>
              <w:ind w:left="0" w:right="0"/>
              <w:jc w:val="right"/>
              <w:rPr>
                <w:sz w:val="18"/>
              </w:rPr>
            </w:pPr>
            <w:r w:rsidRPr="005632A0">
              <w:rPr>
                <w:sz w:val="18"/>
              </w:rPr>
              <w:t>1</w:t>
            </w:r>
            <w:r w:rsidR="00F52F24">
              <w:rPr>
                <w:sz w:val="18"/>
              </w:rPr>
              <w:t xml:space="preserve"> </w:t>
            </w:r>
            <w:r w:rsidRPr="005632A0">
              <w:rPr>
                <w:sz w:val="18"/>
              </w:rPr>
              <w:t>096,8</w:t>
            </w:r>
          </w:p>
        </w:tc>
        <w:tc>
          <w:tcPr>
            <w:tcW w:w="867" w:type="dxa"/>
            <w:shd w:val="clear" w:color="auto" w:fill="auto"/>
            <w:vAlign w:val="bottom"/>
          </w:tcPr>
          <w:p w14:paraId="4ED74CAE" w14:textId="77777777" w:rsidR="005632A0" w:rsidRPr="005632A0" w:rsidRDefault="005632A0" w:rsidP="005632A0">
            <w:pPr>
              <w:pStyle w:val="SingleTxtG"/>
              <w:spacing w:before="40" w:after="40" w:line="220" w:lineRule="exact"/>
              <w:ind w:left="0" w:right="0"/>
              <w:jc w:val="right"/>
              <w:rPr>
                <w:sz w:val="18"/>
              </w:rPr>
            </w:pPr>
            <w:r w:rsidRPr="005632A0">
              <w:rPr>
                <w:sz w:val="18"/>
              </w:rPr>
              <w:t>1</w:t>
            </w:r>
            <w:r w:rsidR="00F52F24">
              <w:rPr>
                <w:sz w:val="18"/>
              </w:rPr>
              <w:t xml:space="preserve"> </w:t>
            </w:r>
            <w:r w:rsidRPr="005632A0">
              <w:rPr>
                <w:sz w:val="18"/>
              </w:rPr>
              <w:t>208,4</w:t>
            </w:r>
          </w:p>
        </w:tc>
        <w:tc>
          <w:tcPr>
            <w:tcW w:w="866" w:type="dxa"/>
            <w:shd w:val="clear" w:color="auto" w:fill="auto"/>
            <w:vAlign w:val="bottom"/>
          </w:tcPr>
          <w:p w14:paraId="34A59DBB" w14:textId="77777777" w:rsidR="005632A0" w:rsidRPr="005632A0" w:rsidRDefault="005632A0" w:rsidP="005632A0">
            <w:pPr>
              <w:pStyle w:val="SingleTxtG"/>
              <w:spacing w:before="40" w:after="40" w:line="220" w:lineRule="exact"/>
              <w:ind w:left="0" w:right="0"/>
              <w:jc w:val="right"/>
              <w:rPr>
                <w:sz w:val="18"/>
              </w:rPr>
            </w:pPr>
            <w:r w:rsidRPr="005632A0">
              <w:rPr>
                <w:sz w:val="18"/>
              </w:rPr>
              <w:t>1</w:t>
            </w:r>
            <w:r w:rsidR="00F52F24">
              <w:rPr>
                <w:sz w:val="18"/>
              </w:rPr>
              <w:t xml:space="preserve"> </w:t>
            </w:r>
            <w:r w:rsidRPr="005632A0">
              <w:rPr>
                <w:sz w:val="18"/>
              </w:rPr>
              <w:t>207,8</w:t>
            </w:r>
          </w:p>
        </w:tc>
        <w:tc>
          <w:tcPr>
            <w:tcW w:w="867" w:type="dxa"/>
            <w:shd w:val="clear" w:color="auto" w:fill="auto"/>
            <w:vAlign w:val="bottom"/>
          </w:tcPr>
          <w:p w14:paraId="50A0E5B3" w14:textId="77777777" w:rsidR="005632A0" w:rsidRPr="005632A0" w:rsidRDefault="005632A0" w:rsidP="005632A0">
            <w:pPr>
              <w:pStyle w:val="SingleTxtG"/>
              <w:spacing w:before="40" w:after="40" w:line="220" w:lineRule="exact"/>
              <w:ind w:left="0" w:right="0"/>
              <w:jc w:val="right"/>
              <w:rPr>
                <w:sz w:val="18"/>
              </w:rPr>
            </w:pPr>
            <w:r w:rsidRPr="005632A0">
              <w:rPr>
                <w:sz w:val="18"/>
              </w:rPr>
              <w:t>- 0,05</w:t>
            </w:r>
          </w:p>
        </w:tc>
      </w:tr>
      <w:tr w:rsidR="005632A0" w:rsidRPr="005632A0" w14:paraId="67996B3C" w14:textId="77777777" w:rsidTr="005632A0">
        <w:tc>
          <w:tcPr>
            <w:tcW w:w="3038" w:type="dxa"/>
            <w:shd w:val="clear" w:color="auto" w:fill="auto"/>
          </w:tcPr>
          <w:p w14:paraId="507888D1" w14:textId="77777777" w:rsidR="005632A0" w:rsidRPr="005632A0" w:rsidRDefault="005632A0" w:rsidP="005632A0">
            <w:pPr>
              <w:pStyle w:val="SingleTxtG"/>
              <w:spacing w:before="40" w:after="40" w:line="220" w:lineRule="exact"/>
              <w:ind w:left="0" w:right="0"/>
              <w:jc w:val="left"/>
              <w:rPr>
                <w:sz w:val="18"/>
              </w:rPr>
            </w:pPr>
            <w:r w:rsidRPr="005632A0">
              <w:rPr>
                <w:sz w:val="18"/>
              </w:rPr>
              <w:t>Valor del petróleo exportado a nivel federal (en miles de millones de dólares)</w:t>
            </w:r>
          </w:p>
        </w:tc>
        <w:tc>
          <w:tcPr>
            <w:tcW w:w="866" w:type="dxa"/>
            <w:shd w:val="clear" w:color="auto" w:fill="auto"/>
            <w:vAlign w:val="bottom"/>
          </w:tcPr>
          <w:p w14:paraId="3B259F28" w14:textId="77777777" w:rsidR="005632A0" w:rsidRPr="005632A0" w:rsidRDefault="005632A0" w:rsidP="005632A0">
            <w:pPr>
              <w:pStyle w:val="SingleTxtG"/>
              <w:spacing w:before="40" w:after="40" w:line="220" w:lineRule="exact"/>
              <w:ind w:left="0" w:right="0"/>
              <w:jc w:val="right"/>
              <w:rPr>
                <w:sz w:val="18"/>
              </w:rPr>
            </w:pPr>
            <w:r w:rsidRPr="005632A0">
              <w:rPr>
                <w:sz w:val="18"/>
              </w:rPr>
              <w:t>84,13</w:t>
            </w:r>
          </w:p>
        </w:tc>
        <w:tc>
          <w:tcPr>
            <w:tcW w:w="866" w:type="dxa"/>
            <w:shd w:val="clear" w:color="auto" w:fill="auto"/>
            <w:vAlign w:val="bottom"/>
          </w:tcPr>
          <w:p w14:paraId="2D578438" w14:textId="77777777" w:rsidR="005632A0" w:rsidRPr="005632A0" w:rsidRDefault="005632A0" w:rsidP="005632A0">
            <w:pPr>
              <w:pStyle w:val="SingleTxtG"/>
              <w:spacing w:before="40" w:after="40" w:line="220" w:lineRule="exact"/>
              <w:ind w:left="0" w:right="0"/>
              <w:jc w:val="right"/>
              <w:rPr>
                <w:sz w:val="18"/>
              </w:rPr>
            </w:pPr>
            <w:r w:rsidRPr="005632A0">
              <w:rPr>
                <w:sz w:val="18"/>
              </w:rPr>
              <w:t>49,06</w:t>
            </w:r>
          </w:p>
        </w:tc>
        <w:tc>
          <w:tcPr>
            <w:tcW w:w="867" w:type="dxa"/>
            <w:shd w:val="clear" w:color="auto" w:fill="auto"/>
            <w:vAlign w:val="bottom"/>
          </w:tcPr>
          <w:p w14:paraId="11782526" w14:textId="77777777" w:rsidR="005632A0" w:rsidRPr="005632A0" w:rsidRDefault="005632A0" w:rsidP="005632A0">
            <w:pPr>
              <w:pStyle w:val="SingleTxtG"/>
              <w:spacing w:before="40" w:after="40" w:line="220" w:lineRule="exact"/>
              <w:ind w:left="0" w:right="0"/>
              <w:jc w:val="right"/>
              <w:rPr>
                <w:sz w:val="18"/>
              </w:rPr>
            </w:pPr>
            <w:r w:rsidRPr="005632A0">
              <w:rPr>
                <w:sz w:val="18"/>
              </w:rPr>
              <w:t>43,62</w:t>
            </w:r>
          </w:p>
        </w:tc>
        <w:tc>
          <w:tcPr>
            <w:tcW w:w="866" w:type="dxa"/>
            <w:shd w:val="clear" w:color="auto" w:fill="auto"/>
            <w:vAlign w:val="bottom"/>
          </w:tcPr>
          <w:p w14:paraId="4935DD40" w14:textId="77777777" w:rsidR="005632A0" w:rsidRPr="005632A0" w:rsidRDefault="005632A0" w:rsidP="005632A0">
            <w:pPr>
              <w:pStyle w:val="SingleTxtG"/>
              <w:spacing w:before="40" w:after="40" w:line="220" w:lineRule="exact"/>
              <w:ind w:left="0" w:right="0"/>
              <w:jc w:val="right"/>
              <w:rPr>
                <w:sz w:val="18"/>
              </w:rPr>
            </w:pPr>
            <w:r w:rsidRPr="005632A0">
              <w:rPr>
                <w:sz w:val="18"/>
              </w:rPr>
              <w:t>59,56</w:t>
            </w:r>
          </w:p>
        </w:tc>
        <w:tc>
          <w:tcPr>
            <w:tcW w:w="867" w:type="dxa"/>
            <w:shd w:val="clear" w:color="auto" w:fill="auto"/>
            <w:vAlign w:val="bottom"/>
          </w:tcPr>
          <w:p w14:paraId="3275ADCD" w14:textId="77777777" w:rsidR="005632A0" w:rsidRPr="005632A0" w:rsidRDefault="005632A0" w:rsidP="005632A0">
            <w:pPr>
              <w:pStyle w:val="SingleTxtG"/>
              <w:spacing w:before="40" w:after="40" w:line="220" w:lineRule="exact"/>
              <w:ind w:left="0" w:right="0"/>
              <w:jc w:val="right"/>
              <w:rPr>
                <w:sz w:val="18"/>
              </w:rPr>
            </w:pPr>
            <w:r w:rsidRPr="005632A0">
              <w:rPr>
                <w:sz w:val="18"/>
              </w:rPr>
              <w:t>36,65</w:t>
            </w:r>
          </w:p>
        </w:tc>
      </w:tr>
      <w:tr w:rsidR="005632A0" w:rsidRPr="005632A0" w14:paraId="5E96DDEA" w14:textId="77777777" w:rsidTr="005632A0">
        <w:tc>
          <w:tcPr>
            <w:tcW w:w="3038" w:type="dxa"/>
            <w:shd w:val="clear" w:color="auto" w:fill="auto"/>
          </w:tcPr>
          <w:p w14:paraId="03B3CDDE" w14:textId="77777777" w:rsidR="005632A0" w:rsidRPr="005632A0" w:rsidRDefault="005632A0" w:rsidP="005632A0">
            <w:pPr>
              <w:pStyle w:val="SingleTxtG"/>
              <w:keepNext/>
              <w:keepLines/>
              <w:spacing w:before="40" w:after="40" w:line="220" w:lineRule="exact"/>
              <w:ind w:left="0" w:right="0"/>
              <w:jc w:val="left"/>
              <w:rPr>
                <w:sz w:val="18"/>
              </w:rPr>
            </w:pPr>
            <w:r w:rsidRPr="005632A0">
              <w:rPr>
                <w:sz w:val="18"/>
              </w:rPr>
              <w:lastRenderedPageBreak/>
              <w:t>Precio del barril a nivel federal (en</w:t>
            </w:r>
            <w:r w:rsidR="00F52F24">
              <w:rPr>
                <w:sz w:val="18"/>
              </w:rPr>
              <w:t> </w:t>
            </w:r>
            <w:r w:rsidRPr="005632A0">
              <w:rPr>
                <w:sz w:val="18"/>
              </w:rPr>
              <w:t>dólares)</w:t>
            </w:r>
          </w:p>
        </w:tc>
        <w:tc>
          <w:tcPr>
            <w:tcW w:w="866" w:type="dxa"/>
            <w:shd w:val="clear" w:color="auto" w:fill="auto"/>
            <w:vAlign w:val="bottom"/>
          </w:tcPr>
          <w:p w14:paraId="23ED74CC"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91,63</w:t>
            </w:r>
          </w:p>
        </w:tc>
        <w:tc>
          <w:tcPr>
            <w:tcW w:w="866" w:type="dxa"/>
            <w:shd w:val="clear" w:color="auto" w:fill="auto"/>
            <w:vAlign w:val="bottom"/>
          </w:tcPr>
          <w:p w14:paraId="67A683F5"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44,73</w:t>
            </w:r>
          </w:p>
        </w:tc>
        <w:tc>
          <w:tcPr>
            <w:tcW w:w="867" w:type="dxa"/>
            <w:shd w:val="clear" w:color="auto" w:fill="auto"/>
            <w:vAlign w:val="bottom"/>
          </w:tcPr>
          <w:p w14:paraId="7A2143A3"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36,10</w:t>
            </w:r>
          </w:p>
        </w:tc>
        <w:tc>
          <w:tcPr>
            <w:tcW w:w="866" w:type="dxa"/>
            <w:shd w:val="clear" w:color="auto" w:fill="auto"/>
            <w:vAlign w:val="bottom"/>
          </w:tcPr>
          <w:p w14:paraId="692CCB29"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49,35</w:t>
            </w:r>
          </w:p>
        </w:tc>
        <w:tc>
          <w:tcPr>
            <w:tcW w:w="867" w:type="dxa"/>
            <w:shd w:val="clear" w:color="auto" w:fill="auto"/>
            <w:vAlign w:val="bottom"/>
          </w:tcPr>
          <w:p w14:paraId="767AC2FA"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36,72</w:t>
            </w:r>
          </w:p>
        </w:tc>
      </w:tr>
      <w:tr w:rsidR="005632A0" w:rsidRPr="005632A0" w14:paraId="65158D82" w14:textId="77777777" w:rsidTr="005632A0">
        <w:tc>
          <w:tcPr>
            <w:tcW w:w="3038" w:type="dxa"/>
            <w:tcBorders>
              <w:bottom w:val="single" w:sz="12" w:space="0" w:color="auto"/>
            </w:tcBorders>
            <w:shd w:val="clear" w:color="auto" w:fill="auto"/>
          </w:tcPr>
          <w:p w14:paraId="5CCC45D4" w14:textId="77777777" w:rsidR="005632A0" w:rsidRPr="005632A0" w:rsidRDefault="005632A0" w:rsidP="005632A0">
            <w:pPr>
              <w:pStyle w:val="SingleTxtG"/>
              <w:keepNext/>
              <w:keepLines/>
              <w:spacing w:before="40" w:after="40" w:line="220" w:lineRule="exact"/>
              <w:ind w:left="0" w:right="0"/>
              <w:jc w:val="left"/>
              <w:rPr>
                <w:sz w:val="18"/>
              </w:rPr>
            </w:pPr>
            <w:r w:rsidRPr="005632A0">
              <w:rPr>
                <w:sz w:val="18"/>
              </w:rPr>
              <w:t>Crudo procesado para refinerías a nivel federal (en millones de barriles)</w:t>
            </w:r>
          </w:p>
        </w:tc>
        <w:tc>
          <w:tcPr>
            <w:tcW w:w="866" w:type="dxa"/>
            <w:tcBorders>
              <w:bottom w:val="single" w:sz="12" w:space="0" w:color="auto"/>
            </w:tcBorders>
            <w:shd w:val="clear" w:color="auto" w:fill="auto"/>
            <w:vAlign w:val="bottom"/>
          </w:tcPr>
          <w:p w14:paraId="239FBE78"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179,9</w:t>
            </w:r>
          </w:p>
        </w:tc>
        <w:tc>
          <w:tcPr>
            <w:tcW w:w="866" w:type="dxa"/>
            <w:tcBorders>
              <w:bottom w:val="single" w:sz="12" w:space="0" w:color="auto"/>
            </w:tcBorders>
            <w:shd w:val="clear" w:color="auto" w:fill="auto"/>
            <w:vAlign w:val="bottom"/>
          </w:tcPr>
          <w:p w14:paraId="425ABD03"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151,2</w:t>
            </w:r>
          </w:p>
        </w:tc>
        <w:tc>
          <w:tcPr>
            <w:tcW w:w="867" w:type="dxa"/>
            <w:tcBorders>
              <w:bottom w:val="single" w:sz="12" w:space="0" w:color="auto"/>
            </w:tcBorders>
            <w:shd w:val="clear" w:color="auto" w:fill="auto"/>
            <w:vAlign w:val="bottom"/>
          </w:tcPr>
          <w:p w14:paraId="2E11F781"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229</w:t>
            </w:r>
          </w:p>
        </w:tc>
        <w:tc>
          <w:tcPr>
            <w:tcW w:w="866" w:type="dxa"/>
            <w:tcBorders>
              <w:bottom w:val="single" w:sz="12" w:space="0" w:color="auto"/>
            </w:tcBorders>
            <w:shd w:val="clear" w:color="auto" w:fill="auto"/>
            <w:vAlign w:val="bottom"/>
          </w:tcPr>
          <w:p w14:paraId="0250DA6C"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194,9</w:t>
            </w:r>
          </w:p>
        </w:tc>
        <w:tc>
          <w:tcPr>
            <w:tcW w:w="867" w:type="dxa"/>
            <w:tcBorders>
              <w:bottom w:val="single" w:sz="12" w:space="0" w:color="auto"/>
            </w:tcBorders>
            <w:shd w:val="clear" w:color="auto" w:fill="auto"/>
            <w:vAlign w:val="bottom"/>
          </w:tcPr>
          <w:p w14:paraId="72D80A71" w14:textId="77777777" w:rsidR="005632A0" w:rsidRPr="005632A0" w:rsidRDefault="005632A0" w:rsidP="005632A0">
            <w:pPr>
              <w:pStyle w:val="SingleTxtG"/>
              <w:keepNext/>
              <w:keepLines/>
              <w:spacing w:before="40" w:after="40" w:line="220" w:lineRule="exact"/>
              <w:ind w:left="0" w:right="0"/>
              <w:jc w:val="right"/>
              <w:rPr>
                <w:sz w:val="18"/>
              </w:rPr>
            </w:pPr>
            <w:r w:rsidRPr="005632A0">
              <w:rPr>
                <w:sz w:val="18"/>
              </w:rPr>
              <w:t>- 14,89</w:t>
            </w:r>
          </w:p>
        </w:tc>
      </w:tr>
    </w:tbl>
    <w:p w14:paraId="06E299C2" w14:textId="77777777" w:rsidR="008A38B9" w:rsidRPr="005632A0" w:rsidRDefault="008A38B9" w:rsidP="005632A0">
      <w:pPr>
        <w:pStyle w:val="SingleTxtG"/>
        <w:spacing w:before="120" w:after="240"/>
        <w:ind w:left="1304"/>
        <w:rPr>
          <w:sz w:val="18"/>
          <w:szCs w:val="18"/>
        </w:rPr>
      </w:pPr>
      <w:r w:rsidRPr="005632A0">
        <w:rPr>
          <w:i/>
          <w:sz w:val="18"/>
          <w:szCs w:val="18"/>
        </w:rPr>
        <w:t>Fuente:</w:t>
      </w:r>
      <w:r w:rsidRPr="005632A0">
        <w:rPr>
          <w:sz w:val="18"/>
          <w:szCs w:val="18"/>
        </w:rPr>
        <w:t xml:space="preserve"> Boletín estadístico (2017).</w:t>
      </w:r>
    </w:p>
    <w:p w14:paraId="3E315FAC" w14:textId="77777777" w:rsidR="008A38B9" w:rsidRDefault="008A38B9" w:rsidP="005632A0">
      <w:pPr>
        <w:pStyle w:val="SingleTxtG"/>
      </w:pPr>
      <w:r w:rsidRPr="008A38B9">
        <w:t>48.</w:t>
      </w:r>
      <w:r w:rsidRPr="008A38B9">
        <w:tab/>
        <w:t>En el cuadro siguiente figuran datos sobre las importaciones totales al Estado entre 2015 y 2016.</w:t>
      </w:r>
    </w:p>
    <w:tbl>
      <w:tblPr>
        <w:tblStyle w:val="Tablaconcuadrcula"/>
        <w:tblW w:w="84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4"/>
        <w:gridCol w:w="1582"/>
        <w:gridCol w:w="1651"/>
        <w:gridCol w:w="1603"/>
        <w:gridCol w:w="1575"/>
      </w:tblGrid>
      <w:tr w:rsidR="007F2378" w:rsidRPr="007F2378" w14:paraId="1C4CBC26" w14:textId="77777777" w:rsidTr="007F2378">
        <w:tc>
          <w:tcPr>
            <w:tcW w:w="2044" w:type="dxa"/>
            <w:tcBorders>
              <w:top w:val="single" w:sz="4" w:space="0" w:color="auto"/>
            </w:tcBorders>
            <w:shd w:val="clear" w:color="auto" w:fill="auto"/>
            <w:vAlign w:val="bottom"/>
          </w:tcPr>
          <w:p w14:paraId="07302C2B" w14:textId="77777777" w:rsidR="007F2378" w:rsidRPr="007F2378" w:rsidRDefault="007F2378" w:rsidP="007F2378">
            <w:pPr>
              <w:pStyle w:val="SingleTxtG"/>
              <w:spacing w:before="80" w:after="80" w:line="200" w:lineRule="exact"/>
              <w:ind w:left="0" w:right="0"/>
              <w:jc w:val="left"/>
              <w:rPr>
                <w:i/>
                <w:sz w:val="16"/>
              </w:rPr>
            </w:pPr>
          </w:p>
        </w:tc>
        <w:tc>
          <w:tcPr>
            <w:tcW w:w="3233" w:type="dxa"/>
            <w:gridSpan w:val="2"/>
            <w:tcBorders>
              <w:top w:val="single" w:sz="4" w:space="0" w:color="auto"/>
              <w:bottom w:val="single" w:sz="4" w:space="0" w:color="auto"/>
              <w:right w:val="single" w:sz="24" w:space="0" w:color="FFFFFF" w:themeColor="background1"/>
            </w:tcBorders>
            <w:shd w:val="clear" w:color="auto" w:fill="auto"/>
            <w:vAlign w:val="bottom"/>
          </w:tcPr>
          <w:p w14:paraId="5E1B2990" w14:textId="77777777" w:rsidR="007F2378" w:rsidRPr="007F2378" w:rsidRDefault="007F2378" w:rsidP="007F2378">
            <w:pPr>
              <w:pStyle w:val="SingleTxtG"/>
              <w:spacing w:before="80" w:after="80" w:line="200" w:lineRule="exact"/>
              <w:ind w:left="0" w:right="0"/>
              <w:jc w:val="center"/>
              <w:rPr>
                <w:i/>
                <w:sz w:val="16"/>
              </w:rPr>
            </w:pPr>
            <w:r>
              <w:rPr>
                <w:i/>
                <w:sz w:val="16"/>
              </w:rPr>
              <w:t>2015</w:t>
            </w:r>
          </w:p>
        </w:tc>
        <w:tc>
          <w:tcPr>
            <w:tcW w:w="3178" w:type="dxa"/>
            <w:gridSpan w:val="2"/>
            <w:tcBorders>
              <w:top w:val="single" w:sz="4" w:space="0" w:color="auto"/>
              <w:left w:val="single" w:sz="24" w:space="0" w:color="FFFFFF" w:themeColor="background1"/>
              <w:bottom w:val="single" w:sz="4" w:space="0" w:color="auto"/>
            </w:tcBorders>
            <w:shd w:val="clear" w:color="auto" w:fill="auto"/>
            <w:vAlign w:val="bottom"/>
          </w:tcPr>
          <w:p w14:paraId="53165F24" w14:textId="77777777" w:rsidR="007F2378" w:rsidRPr="007F2378" w:rsidRDefault="007F2378" w:rsidP="007F2378">
            <w:pPr>
              <w:pStyle w:val="SingleTxtG"/>
              <w:spacing w:before="80" w:after="80" w:line="200" w:lineRule="exact"/>
              <w:ind w:left="0" w:right="0"/>
              <w:jc w:val="center"/>
              <w:rPr>
                <w:i/>
                <w:sz w:val="16"/>
              </w:rPr>
            </w:pPr>
            <w:r>
              <w:rPr>
                <w:i/>
                <w:sz w:val="16"/>
              </w:rPr>
              <w:t>2016</w:t>
            </w:r>
          </w:p>
        </w:tc>
      </w:tr>
      <w:tr w:rsidR="007F2378" w:rsidRPr="007F2378" w14:paraId="4ABA1C4D" w14:textId="77777777" w:rsidTr="007F2378">
        <w:tc>
          <w:tcPr>
            <w:tcW w:w="2044" w:type="dxa"/>
            <w:tcBorders>
              <w:bottom w:val="single" w:sz="12" w:space="0" w:color="auto"/>
            </w:tcBorders>
            <w:shd w:val="clear" w:color="auto" w:fill="auto"/>
            <w:vAlign w:val="bottom"/>
          </w:tcPr>
          <w:p w14:paraId="46DAD000" w14:textId="77777777" w:rsidR="007F2378" w:rsidRPr="007F2378" w:rsidRDefault="007F2378" w:rsidP="007F2378">
            <w:pPr>
              <w:pStyle w:val="SingleTxtG"/>
              <w:spacing w:before="80" w:after="80" w:line="200" w:lineRule="exact"/>
              <w:ind w:left="0" w:right="0"/>
              <w:jc w:val="left"/>
              <w:rPr>
                <w:i/>
                <w:sz w:val="16"/>
              </w:rPr>
            </w:pPr>
            <w:r w:rsidRPr="007F2378">
              <w:rPr>
                <w:i/>
                <w:sz w:val="16"/>
              </w:rPr>
              <w:t>Mercancía</w:t>
            </w:r>
          </w:p>
        </w:tc>
        <w:tc>
          <w:tcPr>
            <w:tcW w:w="1582" w:type="dxa"/>
            <w:tcBorders>
              <w:top w:val="single" w:sz="4" w:space="0" w:color="auto"/>
              <w:bottom w:val="single" w:sz="12" w:space="0" w:color="auto"/>
            </w:tcBorders>
            <w:shd w:val="clear" w:color="auto" w:fill="auto"/>
            <w:vAlign w:val="bottom"/>
          </w:tcPr>
          <w:p w14:paraId="536A73CE" w14:textId="77777777" w:rsidR="007F2378" w:rsidRPr="007F2378" w:rsidRDefault="007F2378" w:rsidP="007F2378">
            <w:pPr>
              <w:pStyle w:val="SingleTxtG"/>
              <w:spacing w:before="80" w:after="80" w:line="200" w:lineRule="exact"/>
              <w:ind w:left="0" w:right="0"/>
              <w:jc w:val="right"/>
              <w:rPr>
                <w:i/>
                <w:sz w:val="16"/>
              </w:rPr>
            </w:pPr>
            <w:r w:rsidRPr="007F2378">
              <w:rPr>
                <w:i/>
                <w:sz w:val="16"/>
              </w:rPr>
              <w:t>Valor (en millones de dinares iraquíes)</w:t>
            </w:r>
          </w:p>
        </w:tc>
        <w:tc>
          <w:tcPr>
            <w:tcW w:w="1651" w:type="dxa"/>
            <w:tcBorders>
              <w:top w:val="single" w:sz="4" w:space="0" w:color="auto"/>
              <w:bottom w:val="single" w:sz="12" w:space="0" w:color="auto"/>
              <w:right w:val="single" w:sz="24" w:space="0" w:color="FFFFFF" w:themeColor="background1"/>
            </w:tcBorders>
            <w:shd w:val="clear" w:color="auto" w:fill="auto"/>
            <w:vAlign w:val="bottom"/>
          </w:tcPr>
          <w:p w14:paraId="35E97D94" w14:textId="77777777" w:rsidR="007F2378" w:rsidRPr="007F2378" w:rsidRDefault="007F2378" w:rsidP="007F2378">
            <w:pPr>
              <w:pStyle w:val="SingleTxtG"/>
              <w:spacing w:before="80" w:after="80" w:line="200" w:lineRule="exact"/>
              <w:ind w:left="0" w:right="57"/>
              <w:jc w:val="right"/>
              <w:rPr>
                <w:i/>
                <w:sz w:val="16"/>
              </w:rPr>
            </w:pPr>
            <w:r w:rsidRPr="007F2378">
              <w:rPr>
                <w:i/>
                <w:sz w:val="16"/>
              </w:rPr>
              <w:t>Valor (en millones de dólares)</w:t>
            </w:r>
          </w:p>
        </w:tc>
        <w:tc>
          <w:tcPr>
            <w:tcW w:w="1603" w:type="dxa"/>
            <w:tcBorders>
              <w:top w:val="single" w:sz="4" w:space="0" w:color="auto"/>
              <w:left w:val="single" w:sz="24" w:space="0" w:color="FFFFFF" w:themeColor="background1"/>
              <w:bottom w:val="single" w:sz="12" w:space="0" w:color="auto"/>
            </w:tcBorders>
            <w:shd w:val="clear" w:color="auto" w:fill="auto"/>
            <w:vAlign w:val="bottom"/>
          </w:tcPr>
          <w:p w14:paraId="59836524" w14:textId="77777777" w:rsidR="007F2378" w:rsidRPr="007F2378" w:rsidRDefault="007F2378" w:rsidP="007F2378">
            <w:pPr>
              <w:pStyle w:val="SingleTxtG"/>
              <w:spacing w:before="80" w:after="80" w:line="200" w:lineRule="exact"/>
              <w:ind w:left="0" w:right="0"/>
              <w:jc w:val="right"/>
              <w:rPr>
                <w:i/>
                <w:sz w:val="16"/>
              </w:rPr>
            </w:pPr>
            <w:r w:rsidRPr="007F2378">
              <w:rPr>
                <w:i/>
                <w:sz w:val="16"/>
              </w:rPr>
              <w:t>Valor (en millones de dinares iraquíes)</w:t>
            </w:r>
          </w:p>
        </w:tc>
        <w:tc>
          <w:tcPr>
            <w:tcW w:w="1575" w:type="dxa"/>
            <w:tcBorders>
              <w:top w:val="single" w:sz="4" w:space="0" w:color="auto"/>
              <w:bottom w:val="single" w:sz="12" w:space="0" w:color="auto"/>
            </w:tcBorders>
            <w:shd w:val="clear" w:color="auto" w:fill="auto"/>
            <w:vAlign w:val="bottom"/>
          </w:tcPr>
          <w:p w14:paraId="20CBEFC5" w14:textId="77777777" w:rsidR="007F2378" w:rsidRPr="007F2378" w:rsidRDefault="007F2378" w:rsidP="007F2378">
            <w:pPr>
              <w:pStyle w:val="SingleTxtG"/>
              <w:spacing w:before="80" w:after="80" w:line="200" w:lineRule="exact"/>
              <w:ind w:left="0" w:right="0"/>
              <w:jc w:val="right"/>
              <w:rPr>
                <w:i/>
                <w:sz w:val="16"/>
              </w:rPr>
            </w:pPr>
            <w:r w:rsidRPr="007F2378">
              <w:rPr>
                <w:i/>
                <w:sz w:val="16"/>
              </w:rPr>
              <w:t>Valor (en millones de dólares)</w:t>
            </w:r>
          </w:p>
        </w:tc>
      </w:tr>
      <w:tr w:rsidR="007F2378" w:rsidRPr="007F2378" w14:paraId="7C1506D5" w14:textId="77777777" w:rsidTr="007F2378">
        <w:tc>
          <w:tcPr>
            <w:tcW w:w="2044" w:type="dxa"/>
            <w:tcBorders>
              <w:top w:val="single" w:sz="12" w:space="0" w:color="auto"/>
            </w:tcBorders>
            <w:shd w:val="clear" w:color="auto" w:fill="auto"/>
          </w:tcPr>
          <w:p w14:paraId="60DC979A" w14:textId="77777777" w:rsidR="007F2378" w:rsidRPr="007F2378" w:rsidRDefault="007F2378" w:rsidP="007F2378">
            <w:pPr>
              <w:pStyle w:val="SingleTxtG"/>
              <w:spacing w:before="40" w:after="40" w:line="220" w:lineRule="exact"/>
              <w:ind w:left="0" w:right="0"/>
              <w:jc w:val="left"/>
              <w:rPr>
                <w:sz w:val="18"/>
              </w:rPr>
            </w:pPr>
            <w:r w:rsidRPr="007F2378">
              <w:rPr>
                <w:sz w:val="18"/>
              </w:rPr>
              <w:t>Importaciones totales (salvo las petroleras)</w:t>
            </w:r>
          </w:p>
        </w:tc>
        <w:tc>
          <w:tcPr>
            <w:tcW w:w="1582" w:type="dxa"/>
            <w:tcBorders>
              <w:top w:val="single" w:sz="12" w:space="0" w:color="auto"/>
            </w:tcBorders>
            <w:shd w:val="clear" w:color="auto" w:fill="auto"/>
            <w:vAlign w:val="bottom"/>
          </w:tcPr>
          <w:p w14:paraId="09B0E2CA" w14:textId="77777777" w:rsidR="007F2378" w:rsidRPr="007F2378" w:rsidRDefault="007F2378" w:rsidP="007F2378">
            <w:pPr>
              <w:pStyle w:val="SingleTxtG"/>
              <w:spacing w:before="40" w:after="40" w:line="220" w:lineRule="exact"/>
              <w:ind w:left="0" w:right="0"/>
              <w:jc w:val="right"/>
              <w:rPr>
                <w:sz w:val="18"/>
              </w:rPr>
            </w:pPr>
            <w:r w:rsidRPr="007F2378">
              <w:rPr>
                <w:sz w:val="18"/>
              </w:rPr>
              <w:t>45</w:t>
            </w:r>
            <w:r>
              <w:rPr>
                <w:sz w:val="18"/>
              </w:rPr>
              <w:t xml:space="preserve"> </w:t>
            </w:r>
            <w:r w:rsidRPr="007F2378">
              <w:rPr>
                <w:sz w:val="18"/>
              </w:rPr>
              <w:t>905</w:t>
            </w:r>
            <w:r>
              <w:rPr>
                <w:sz w:val="18"/>
              </w:rPr>
              <w:t xml:space="preserve"> </w:t>
            </w:r>
            <w:r w:rsidRPr="007F2378">
              <w:rPr>
                <w:sz w:val="18"/>
              </w:rPr>
              <w:t>017,4</w:t>
            </w:r>
          </w:p>
        </w:tc>
        <w:tc>
          <w:tcPr>
            <w:tcW w:w="1651" w:type="dxa"/>
            <w:tcBorders>
              <w:top w:val="single" w:sz="12" w:space="0" w:color="auto"/>
            </w:tcBorders>
            <w:shd w:val="clear" w:color="auto" w:fill="auto"/>
            <w:vAlign w:val="bottom"/>
          </w:tcPr>
          <w:p w14:paraId="61F90BD0" w14:textId="77777777" w:rsidR="007F2378" w:rsidRPr="007F2378" w:rsidRDefault="007F2378" w:rsidP="007F2378">
            <w:pPr>
              <w:pStyle w:val="SingleTxtG"/>
              <w:spacing w:before="40" w:after="40" w:line="220" w:lineRule="exact"/>
              <w:ind w:left="0" w:right="57"/>
              <w:jc w:val="right"/>
              <w:rPr>
                <w:sz w:val="18"/>
              </w:rPr>
            </w:pPr>
            <w:r w:rsidRPr="007F2378">
              <w:rPr>
                <w:sz w:val="18"/>
              </w:rPr>
              <w:t>39</w:t>
            </w:r>
            <w:r>
              <w:rPr>
                <w:sz w:val="18"/>
              </w:rPr>
              <w:t xml:space="preserve"> </w:t>
            </w:r>
            <w:r w:rsidRPr="007F2378">
              <w:rPr>
                <w:sz w:val="18"/>
              </w:rPr>
              <w:t>351,4</w:t>
            </w:r>
          </w:p>
        </w:tc>
        <w:tc>
          <w:tcPr>
            <w:tcW w:w="1603" w:type="dxa"/>
            <w:tcBorders>
              <w:top w:val="single" w:sz="12" w:space="0" w:color="auto"/>
            </w:tcBorders>
            <w:shd w:val="clear" w:color="auto" w:fill="auto"/>
            <w:vAlign w:val="bottom"/>
          </w:tcPr>
          <w:p w14:paraId="2A471FC1" w14:textId="77777777" w:rsidR="007F2378" w:rsidRPr="007F2378" w:rsidRDefault="007F2378" w:rsidP="007F2378">
            <w:pPr>
              <w:pStyle w:val="SingleTxtG"/>
              <w:spacing w:before="40" w:after="40" w:line="220" w:lineRule="exact"/>
              <w:ind w:left="0" w:right="0"/>
              <w:jc w:val="right"/>
              <w:rPr>
                <w:sz w:val="18"/>
              </w:rPr>
            </w:pPr>
            <w:r w:rsidRPr="007F2378">
              <w:rPr>
                <w:sz w:val="18"/>
              </w:rPr>
              <w:t>550</w:t>
            </w:r>
            <w:r>
              <w:rPr>
                <w:sz w:val="18"/>
              </w:rPr>
              <w:t xml:space="preserve"> </w:t>
            </w:r>
            <w:r w:rsidRPr="007F2378">
              <w:rPr>
                <w:sz w:val="18"/>
              </w:rPr>
              <w:t>017</w:t>
            </w:r>
            <w:r>
              <w:rPr>
                <w:sz w:val="18"/>
              </w:rPr>
              <w:t xml:space="preserve"> </w:t>
            </w:r>
            <w:r w:rsidRPr="007F2378">
              <w:rPr>
                <w:sz w:val="18"/>
              </w:rPr>
              <w:t>118</w:t>
            </w:r>
          </w:p>
        </w:tc>
        <w:tc>
          <w:tcPr>
            <w:tcW w:w="1575" w:type="dxa"/>
            <w:tcBorders>
              <w:top w:val="single" w:sz="12" w:space="0" w:color="auto"/>
            </w:tcBorders>
            <w:shd w:val="clear" w:color="auto" w:fill="auto"/>
            <w:vAlign w:val="bottom"/>
          </w:tcPr>
          <w:p w14:paraId="0599E5E4" w14:textId="77777777" w:rsidR="007F2378" w:rsidRPr="007F2378" w:rsidRDefault="007F2378" w:rsidP="007F2378">
            <w:pPr>
              <w:pStyle w:val="SingleTxtG"/>
              <w:spacing w:before="40" w:after="40" w:line="220" w:lineRule="exact"/>
              <w:ind w:left="0" w:right="0"/>
              <w:jc w:val="right"/>
              <w:rPr>
                <w:sz w:val="18"/>
              </w:rPr>
            </w:pPr>
            <w:r w:rsidRPr="007F2378">
              <w:rPr>
                <w:sz w:val="18"/>
              </w:rPr>
              <w:t>46</w:t>
            </w:r>
            <w:r>
              <w:rPr>
                <w:sz w:val="18"/>
              </w:rPr>
              <w:t xml:space="preserve"> </w:t>
            </w:r>
            <w:r w:rsidRPr="007F2378">
              <w:rPr>
                <w:sz w:val="18"/>
              </w:rPr>
              <w:t>605,4</w:t>
            </w:r>
          </w:p>
        </w:tc>
      </w:tr>
      <w:tr w:rsidR="007F2378" w:rsidRPr="007F2378" w14:paraId="344EECC7" w14:textId="77777777" w:rsidTr="007F2378">
        <w:tc>
          <w:tcPr>
            <w:tcW w:w="2044" w:type="dxa"/>
            <w:shd w:val="clear" w:color="auto" w:fill="auto"/>
          </w:tcPr>
          <w:p w14:paraId="4DB4239F" w14:textId="77777777" w:rsidR="007F2378" w:rsidRPr="007F2378" w:rsidRDefault="007F2378" w:rsidP="007F2378">
            <w:pPr>
              <w:pStyle w:val="SingleTxtG"/>
              <w:spacing w:before="40" w:after="40" w:line="220" w:lineRule="exact"/>
              <w:ind w:left="0" w:right="0"/>
              <w:jc w:val="left"/>
              <w:rPr>
                <w:sz w:val="18"/>
              </w:rPr>
            </w:pPr>
            <w:r w:rsidRPr="007F2378">
              <w:rPr>
                <w:sz w:val="18"/>
              </w:rPr>
              <w:t>Gas licuado</w:t>
            </w:r>
          </w:p>
        </w:tc>
        <w:tc>
          <w:tcPr>
            <w:tcW w:w="1582" w:type="dxa"/>
            <w:shd w:val="clear" w:color="auto" w:fill="auto"/>
            <w:vAlign w:val="bottom"/>
          </w:tcPr>
          <w:p w14:paraId="12C7698D" w14:textId="77777777" w:rsidR="007F2378" w:rsidRPr="007F2378" w:rsidRDefault="007F2378" w:rsidP="007F2378">
            <w:pPr>
              <w:pStyle w:val="SingleTxtG"/>
              <w:spacing w:before="40" w:after="40" w:line="220" w:lineRule="exact"/>
              <w:ind w:left="0" w:right="0"/>
              <w:jc w:val="right"/>
              <w:rPr>
                <w:sz w:val="18"/>
              </w:rPr>
            </w:pPr>
            <w:r w:rsidRPr="007F2378">
              <w:rPr>
                <w:sz w:val="18"/>
              </w:rPr>
              <w:t>164</w:t>
            </w:r>
            <w:r>
              <w:rPr>
                <w:sz w:val="18"/>
              </w:rPr>
              <w:t xml:space="preserve"> </w:t>
            </w:r>
            <w:r w:rsidRPr="007F2378">
              <w:rPr>
                <w:sz w:val="18"/>
              </w:rPr>
              <w:t>473,6</w:t>
            </w:r>
          </w:p>
        </w:tc>
        <w:tc>
          <w:tcPr>
            <w:tcW w:w="1651" w:type="dxa"/>
            <w:shd w:val="clear" w:color="auto" w:fill="auto"/>
            <w:vAlign w:val="bottom"/>
          </w:tcPr>
          <w:p w14:paraId="0728F116" w14:textId="77777777" w:rsidR="007F2378" w:rsidRPr="007F2378" w:rsidRDefault="007F2378" w:rsidP="007F2378">
            <w:pPr>
              <w:pStyle w:val="SingleTxtG"/>
              <w:spacing w:before="40" w:after="40" w:line="220" w:lineRule="exact"/>
              <w:ind w:left="0" w:right="57"/>
              <w:jc w:val="right"/>
              <w:rPr>
                <w:sz w:val="18"/>
              </w:rPr>
            </w:pPr>
            <w:r w:rsidRPr="007F2378">
              <w:rPr>
                <w:sz w:val="18"/>
              </w:rPr>
              <w:t>141</w:t>
            </w:r>
          </w:p>
        </w:tc>
        <w:tc>
          <w:tcPr>
            <w:tcW w:w="1603" w:type="dxa"/>
            <w:shd w:val="clear" w:color="auto" w:fill="auto"/>
            <w:vAlign w:val="bottom"/>
          </w:tcPr>
          <w:p w14:paraId="48B58892" w14:textId="77777777" w:rsidR="007F2378" w:rsidRPr="007F2378" w:rsidRDefault="007F2378" w:rsidP="007F2378">
            <w:pPr>
              <w:pStyle w:val="SingleTxtG"/>
              <w:spacing w:before="40" w:after="40" w:line="220" w:lineRule="exact"/>
              <w:ind w:left="0" w:right="0"/>
              <w:jc w:val="right"/>
              <w:rPr>
                <w:sz w:val="18"/>
              </w:rPr>
            </w:pPr>
            <w:r w:rsidRPr="007F2378">
              <w:rPr>
                <w:sz w:val="18"/>
              </w:rPr>
              <w:t>5</w:t>
            </w:r>
            <w:r>
              <w:rPr>
                <w:sz w:val="18"/>
              </w:rPr>
              <w:t xml:space="preserve"> </w:t>
            </w:r>
            <w:r w:rsidRPr="007F2378">
              <w:rPr>
                <w:sz w:val="18"/>
              </w:rPr>
              <w:t>010,2</w:t>
            </w:r>
          </w:p>
        </w:tc>
        <w:tc>
          <w:tcPr>
            <w:tcW w:w="1575" w:type="dxa"/>
            <w:shd w:val="clear" w:color="auto" w:fill="auto"/>
            <w:vAlign w:val="bottom"/>
          </w:tcPr>
          <w:p w14:paraId="77452FFD" w14:textId="77777777" w:rsidR="007F2378" w:rsidRPr="007F2378" w:rsidRDefault="007F2378" w:rsidP="007F2378">
            <w:pPr>
              <w:pStyle w:val="SingleTxtG"/>
              <w:spacing w:before="40" w:after="40" w:line="220" w:lineRule="exact"/>
              <w:ind w:left="0" w:right="0"/>
              <w:jc w:val="right"/>
              <w:rPr>
                <w:sz w:val="18"/>
              </w:rPr>
            </w:pPr>
            <w:r w:rsidRPr="007F2378">
              <w:rPr>
                <w:sz w:val="18"/>
              </w:rPr>
              <w:t>4,2</w:t>
            </w:r>
          </w:p>
        </w:tc>
      </w:tr>
      <w:tr w:rsidR="007F2378" w:rsidRPr="007F2378" w14:paraId="09FCF151" w14:textId="77777777" w:rsidTr="007F2378">
        <w:tc>
          <w:tcPr>
            <w:tcW w:w="2044" w:type="dxa"/>
            <w:shd w:val="clear" w:color="auto" w:fill="auto"/>
          </w:tcPr>
          <w:p w14:paraId="52DE6F79" w14:textId="77777777" w:rsidR="007F2378" w:rsidRPr="007F2378" w:rsidRDefault="007F2378" w:rsidP="007F2378">
            <w:pPr>
              <w:pStyle w:val="SingleTxtG"/>
              <w:spacing w:before="40" w:after="40" w:line="220" w:lineRule="exact"/>
              <w:ind w:left="0" w:right="0"/>
              <w:jc w:val="left"/>
              <w:rPr>
                <w:sz w:val="18"/>
              </w:rPr>
            </w:pPr>
            <w:r w:rsidRPr="007F2378">
              <w:rPr>
                <w:sz w:val="18"/>
              </w:rPr>
              <w:t>Gasolina</w:t>
            </w:r>
          </w:p>
        </w:tc>
        <w:tc>
          <w:tcPr>
            <w:tcW w:w="1582" w:type="dxa"/>
            <w:shd w:val="clear" w:color="auto" w:fill="auto"/>
            <w:vAlign w:val="bottom"/>
          </w:tcPr>
          <w:p w14:paraId="3A67655A" w14:textId="77777777" w:rsidR="007F2378" w:rsidRPr="007F2378" w:rsidRDefault="007F2378" w:rsidP="007F2378">
            <w:pPr>
              <w:pStyle w:val="SingleTxtG"/>
              <w:spacing w:before="40" w:after="40" w:line="220" w:lineRule="exact"/>
              <w:ind w:left="0" w:right="0"/>
              <w:jc w:val="right"/>
              <w:rPr>
                <w:sz w:val="18"/>
              </w:rPr>
            </w:pPr>
            <w:r w:rsidRPr="007F2378">
              <w:rPr>
                <w:sz w:val="18"/>
              </w:rPr>
              <w:t>1</w:t>
            </w:r>
            <w:r>
              <w:rPr>
                <w:sz w:val="18"/>
              </w:rPr>
              <w:t xml:space="preserve"> </w:t>
            </w:r>
            <w:r w:rsidRPr="007F2378">
              <w:rPr>
                <w:sz w:val="18"/>
              </w:rPr>
              <w:t>452</w:t>
            </w:r>
            <w:r>
              <w:rPr>
                <w:sz w:val="18"/>
              </w:rPr>
              <w:t xml:space="preserve"> </w:t>
            </w:r>
            <w:r w:rsidRPr="007F2378">
              <w:rPr>
                <w:sz w:val="18"/>
              </w:rPr>
              <w:t>920,1</w:t>
            </w:r>
          </w:p>
        </w:tc>
        <w:tc>
          <w:tcPr>
            <w:tcW w:w="1651" w:type="dxa"/>
            <w:shd w:val="clear" w:color="auto" w:fill="auto"/>
            <w:vAlign w:val="bottom"/>
          </w:tcPr>
          <w:p w14:paraId="2BA7F2DB" w14:textId="77777777" w:rsidR="007F2378" w:rsidRPr="007F2378" w:rsidRDefault="007F2378" w:rsidP="007F2378">
            <w:pPr>
              <w:pStyle w:val="SingleTxtG"/>
              <w:spacing w:before="40" w:after="40" w:line="220" w:lineRule="exact"/>
              <w:ind w:left="0" w:right="57"/>
              <w:jc w:val="right"/>
              <w:rPr>
                <w:sz w:val="18"/>
              </w:rPr>
            </w:pPr>
            <w:r w:rsidRPr="007F2378">
              <w:rPr>
                <w:sz w:val="18"/>
              </w:rPr>
              <w:t>1</w:t>
            </w:r>
            <w:r>
              <w:rPr>
                <w:sz w:val="18"/>
              </w:rPr>
              <w:t xml:space="preserve"> </w:t>
            </w:r>
            <w:r w:rsidRPr="007F2378">
              <w:rPr>
                <w:sz w:val="18"/>
              </w:rPr>
              <w:t>246,1</w:t>
            </w:r>
          </w:p>
        </w:tc>
        <w:tc>
          <w:tcPr>
            <w:tcW w:w="1603" w:type="dxa"/>
            <w:shd w:val="clear" w:color="auto" w:fill="auto"/>
            <w:vAlign w:val="bottom"/>
          </w:tcPr>
          <w:p w14:paraId="651C8822" w14:textId="77777777" w:rsidR="007F2378" w:rsidRPr="007F2378" w:rsidRDefault="007F2378" w:rsidP="007F2378">
            <w:pPr>
              <w:pStyle w:val="SingleTxtG"/>
              <w:spacing w:before="40" w:after="40" w:line="220" w:lineRule="exact"/>
              <w:ind w:left="0" w:right="0"/>
              <w:jc w:val="right"/>
              <w:rPr>
                <w:sz w:val="18"/>
              </w:rPr>
            </w:pPr>
            <w:r w:rsidRPr="007F2378">
              <w:rPr>
                <w:sz w:val="18"/>
              </w:rPr>
              <w:t>1</w:t>
            </w:r>
            <w:r>
              <w:rPr>
                <w:sz w:val="18"/>
              </w:rPr>
              <w:t xml:space="preserve"> </w:t>
            </w:r>
            <w:r w:rsidRPr="007F2378">
              <w:rPr>
                <w:sz w:val="18"/>
              </w:rPr>
              <w:t>307</w:t>
            </w:r>
            <w:r>
              <w:rPr>
                <w:sz w:val="18"/>
              </w:rPr>
              <w:t xml:space="preserve"> </w:t>
            </w:r>
            <w:r w:rsidRPr="007F2378">
              <w:rPr>
                <w:sz w:val="18"/>
              </w:rPr>
              <w:t>535,9</w:t>
            </w:r>
          </w:p>
        </w:tc>
        <w:tc>
          <w:tcPr>
            <w:tcW w:w="1575" w:type="dxa"/>
            <w:shd w:val="clear" w:color="auto" w:fill="auto"/>
            <w:vAlign w:val="bottom"/>
          </w:tcPr>
          <w:p w14:paraId="129F729F" w14:textId="77777777" w:rsidR="007F2378" w:rsidRPr="007F2378" w:rsidRDefault="007F2378" w:rsidP="007F2378">
            <w:pPr>
              <w:pStyle w:val="SingleTxtG"/>
              <w:spacing w:before="40" w:after="40" w:line="220" w:lineRule="exact"/>
              <w:ind w:left="0" w:right="0"/>
              <w:jc w:val="right"/>
              <w:rPr>
                <w:sz w:val="18"/>
              </w:rPr>
            </w:pPr>
            <w:r w:rsidRPr="007F2378">
              <w:rPr>
                <w:sz w:val="18"/>
              </w:rPr>
              <w:t>1</w:t>
            </w:r>
            <w:r>
              <w:rPr>
                <w:sz w:val="18"/>
              </w:rPr>
              <w:t xml:space="preserve"> </w:t>
            </w:r>
            <w:r w:rsidRPr="007F2378">
              <w:rPr>
                <w:sz w:val="18"/>
              </w:rPr>
              <w:t>106,2</w:t>
            </w:r>
          </w:p>
        </w:tc>
      </w:tr>
      <w:tr w:rsidR="007F2378" w:rsidRPr="007F2378" w14:paraId="154DE75C" w14:textId="77777777" w:rsidTr="007F2378">
        <w:tc>
          <w:tcPr>
            <w:tcW w:w="2044" w:type="dxa"/>
            <w:shd w:val="clear" w:color="auto" w:fill="auto"/>
          </w:tcPr>
          <w:p w14:paraId="47C262B4" w14:textId="77777777" w:rsidR="007F2378" w:rsidRPr="007F2378" w:rsidRDefault="007F2378" w:rsidP="007F2378">
            <w:pPr>
              <w:pStyle w:val="SingleTxtG"/>
              <w:spacing w:before="40" w:after="40" w:line="220" w:lineRule="exact"/>
              <w:ind w:left="0" w:right="0"/>
              <w:jc w:val="left"/>
              <w:rPr>
                <w:sz w:val="18"/>
              </w:rPr>
            </w:pPr>
            <w:r w:rsidRPr="007F2378">
              <w:rPr>
                <w:sz w:val="18"/>
              </w:rPr>
              <w:t>Queroseno</w:t>
            </w:r>
          </w:p>
        </w:tc>
        <w:tc>
          <w:tcPr>
            <w:tcW w:w="1582" w:type="dxa"/>
            <w:shd w:val="clear" w:color="auto" w:fill="auto"/>
            <w:vAlign w:val="bottom"/>
          </w:tcPr>
          <w:p w14:paraId="075168AA" w14:textId="77777777" w:rsidR="007F2378" w:rsidRPr="007F2378" w:rsidRDefault="007F2378" w:rsidP="007F2378">
            <w:pPr>
              <w:pStyle w:val="SingleTxtG"/>
              <w:spacing w:before="40" w:after="40" w:line="220" w:lineRule="exact"/>
              <w:ind w:left="0" w:right="0"/>
              <w:jc w:val="right"/>
              <w:rPr>
                <w:sz w:val="18"/>
              </w:rPr>
            </w:pPr>
            <w:r w:rsidRPr="007F2378">
              <w:rPr>
                <w:sz w:val="18"/>
              </w:rPr>
              <w:t>73</w:t>
            </w:r>
            <w:r>
              <w:rPr>
                <w:sz w:val="18"/>
              </w:rPr>
              <w:t xml:space="preserve"> </w:t>
            </w:r>
            <w:r w:rsidRPr="007F2378">
              <w:rPr>
                <w:sz w:val="18"/>
              </w:rPr>
              <w:t>425,2</w:t>
            </w:r>
          </w:p>
        </w:tc>
        <w:tc>
          <w:tcPr>
            <w:tcW w:w="1651" w:type="dxa"/>
            <w:shd w:val="clear" w:color="auto" w:fill="auto"/>
            <w:vAlign w:val="bottom"/>
          </w:tcPr>
          <w:p w14:paraId="5928E9FE" w14:textId="77777777" w:rsidR="007F2378" w:rsidRPr="007F2378" w:rsidRDefault="007F2378" w:rsidP="007F2378">
            <w:pPr>
              <w:pStyle w:val="SingleTxtG"/>
              <w:spacing w:before="40" w:after="40" w:line="220" w:lineRule="exact"/>
              <w:ind w:left="0" w:right="57"/>
              <w:jc w:val="right"/>
              <w:rPr>
                <w:sz w:val="18"/>
              </w:rPr>
            </w:pPr>
            <w:r w:rsidRPr="007F2378">
              <w:rPr>
                <w:sz w:val="18"/>
              </w:rPr>
              <w:t>63</w:t>
            </w:r>
          </w:p>
        </w:tc>
        <w:tc>
          <w:tcPr>
            <w:tcW w:w="1603" w:type="dxa"/>
            <w:shd w:val="clear" w:color="auto" w:fill="auto"/>
            <w:vAlign w:val="bottom"/>
          </w:tcPr>
          <w:p w14:paraId="11A5A3DF" w14:textId="77777777" w:rsidR="007F2378" w:rsidRPr="007F2378" w:rsidRDefault="007F2378" w:rsidP="007F2378">
            <w:pPr>
              <w:pStyle w:val="SingleTxtG"/>
              <w:spacing w:before="40" w:after="40" w:line="220" w:lineRule="exact"/>
              <w:ind w:left="0" w:right="0"/>
              <w:jc w:val="right"/>
              <w:rPr>
                <w:sz w:val="18"/>
              </w:rPr>
            </w:pPr>
            <w:r w:rsidRPr="007F2378">
              <w:rPr>
                <w:sz w:val="18"/>
              </w:rPr>
              <w:t>122</w:t>
            </w:r>
            <w:r>
              <w:rPr>
                <w:sz w:val="18"/>
              </w:rPr>
              <w:t xml:space="preserve"> </w:t>
            </w:r>
            <w:r w:rsidRPr="007F2378">
              <w:rPr>
                <w:sz w:val="18"/>
              </w:rPr>
              <w:t>451,7</w:t>
            </w:r>
          </w:p>
        </w:tc>
        <w:tc>
          <w:tcPr>
            <w:tcW w:w="1575" w:type="dxa"/>
            <w:shd w:val="clear" w:color="auto" w:fill="auto"/>
            <w:vAlign w:val="bottom"/>
          </w:tcPr>
          <w:p w14:paraId="1A8C5963" w14:textId="77777777" w:rsidR="007F2378" w:rsidRPr="007F2378" w:rsidRDefault="007F2378" w:rsidP="007F2378">
            <w:pPr>
              <w:pStyle w:val="SingleTxtG"/>
              <w:spacing w:before="40" w:after="40" w:line="220" w:lineRule="exact"/>
              <w:ind w:left="0" w:right="0"/>
              <w:jc w:val="right"/>
              <w:rPr>
                <w:sz w:val="18"/>
              </w:rPr>
            </w:pPr>
            <w:r w:rsidRPr="007F2378">
              <w:rPr>
                <w:sz w:val="18"/>
              </w:rPr>
              <w:t>103,6</w:t>
            </w:r>
          </w:p>
        </w:tc>
      </w:tr>
      <w:tr w:rsidR="007F2378" w:rsidRPr="007F2378" w14:paraId="46CA4D8D" w14:textId="77777777" w:rsidTr="007F2378">
        <w:tc>
          <w:tcPr>
            <w:tcW w:w="2044" w:type="dxa"/>
            <w:shd w:val="clear" w:color="auto" w:fill="auto"/>
          </w:tcPr>
          <w:p w14:paraId="68B17755" w14:textId="77777777" w:rsidR="007F2378" w:rsidRPr="007F2378" w:rsidRDefault="007F2378" w:rsidP="007F2378">
            <w:pPr>
              <w:pStyle w:val="SingleTxtG"/>
              <w:spacing w:before="40" w:after="40" w:line="220" w:lineRule="exact"/>
              <w:ind w:left="0" w:right="0"/>
              <w:jc w:val="left"/>
              <w:rPr>
                <w:sz w:val="18"/>
              </w:rPr>
            </w:pPr>
            <w:r w:rsidRPr="007F2378">
              <w:rPr>
                <w:sz w:val="18"/>
              </w:rPr>
              <w:t>Diésel</w:t>
            </w:r>
          </w:p>
        </w:tc>
        <w:tc>
          <w:tcPr>
            <w:tcW w:w="1582" w:type="dxa"/>
            <w:shd w:val="clear" w:color="auto" w:fill="auto"/>
            <w:vAlign w:val="bottom"/>
          </w:tcPr>
          <w:p w14:paraId="7B3BD995" w14:textId="77777777" w:rsidR="007F2378" w:rsidRPr="007F2378" w:rsidRDefault="007F2378" w:rsidP="007F2378">
            <w:pPr>
              <w:pStyle w:val="SingleTxtG"/>
              <w:spacing w:before="40" w:after="40" w:line="220" w:lineRule="exact"/>
              <w:ind w:left="0" w:right="0"/>
              <w:jc w:val="right"/>
              <w:rPr>
                <w:sz w:val="18"/>
              </w:rPr>
            </w:pPr>
            <w:r w:rsidRPr="007F2378">
              <w:rPr>
                <w:sz w:val="18"/>
              </w:rPr>
              <w:t>982</w:t>
            </w:r>
            <w:r>
              <w:rPr>
                <w:sz w:val="18"/>
              </w:rPr>
              <w:t xml:space="preserve"> </w:t>
            </w:r>
            <w:r w:rsidRPr="007F2378">
              <w:rPr>
                <w:sz w:val="18"/>
              </w:rPr>
              <w:t>396,4</w:t>
            </w:r>
          </w:p>
        </w:tc>
        <w:tc>
          <w:tcPr>
            <w:tcW w:w="1651" w:type="dxa"/>
            <w:shd w:val="clear" w:color="auto" w:fill="auto"/>
            <w:vAlign w:val="bottom"/>
          </w:tcPr>
          <w:p w14:paraId="421723F0" w14:textId="77777777" w:rsidR="007F2378" w:rsidRPr="007F2378" w:rsidRDefault="007F2378" w:rsidP="007F2378">
            <w:pPr>
              <w:pStyle w:val="SingleTxtG"/>
              <w:spacing w:before="40" w:after="40" w:line="220" w:lineRule="exact"/>
              <w:ind w:left="0" w:right="57"/>
              <w:jc w:val="right"/>
              <w:rPr>
                <w:sz w:val="18"/>
              </w:rPr>
            </w:pPr>
            <w:r w:rsidRPr="007F2378">
              <w:rPr>
                <w:sz w:val="18"/>
              </w:rPr>
              <w:t>842,6</w:t>
            </w:r>
          </w:p>
        </w:tc>
        <w:tc>
          <w:tcPr>
            <w:tcW w:w="1603" w:type="dxa"/>
            <w:shd w:val="clear" w:color="auto" w:fill="auto"/>
            <w:vAlign w:val="bottom"/>
          </w:tcPr>
          <w:p w14:paraId="0CCA7CF1" w14:textId="77777777" w:rsidR="007F2378" w:rsidRPr="007F2378" w:rsidRDefault="007F2378" w:rsidP="007F2378">
            <w:pPr>
              <w:pStyle w:val="SingleTxtG"/>
              <w:spacing w:before="40" w:after="40" w:line="220" w:lineRule="exact"/>
              <w:ind w:left="0" w:right="0"/>
              <w:jc w:val="right"/>
              <w:rPr>
                <w:sz w:val="18"/>
              </w:rPr>
            </w:pPr>
            <w:r w:rsidRPr="007F2378">
              <w:rPr>
                <w:sz w:val="18"/>
              </w:rPr>
              <w:t>916</w:t>
            </w:r>
            <w:r>
              <w:rPr>
                <w:sz w:val="18"/>
              </w:rPr>
              <w:t xml:space="preserve"> </w:t>
            </w:r>
            <w:r w:rsidRPr="007F2378">
              <w:rPr>
                <w:sz w:val="18"/>
              </w:rPr>
              <w:t>614,7</w:t>
            </w:r>
          </w:p>
        </w:tc>
        <w:tc>
          <w:tcPr>
            <w:tcW w:w="1575" w:type="dxa"/>
            <w:shd w:val="clear" w:color="auto" w:fill="auto"/>
            <w:vAlign w:val="bottom"/>
          </w:tcPr>
          <w:p w14:paraId="4F27D95B" w14:textId="77777777" w:rsidR="007F2378" w:rsidRPr="007F2378" w:rsidRDefault="007F2378" w:rsidP="007F2378">
            <w:pPr>
              <w:pStyle w:val="SingleTxtG"/>
              <w:spacing w:before="40" w:after="40" w:line="220" w:lineRule="exact"/>
              <w:ind w:left="0" w:right="0"/>
              <w:jc w:val="right"/>
              <w:rPr>
                <w:sz w:val="18"/>
              </w:rPr>
            </w:pPr>
            <w:r w:rsidRPr="007F2378">
              <w:rPr>
                <w:sz w:val="18"/>
              </w:rPr>
              <w:t>775,5</w:t>
            </w:r>
          </w:p>
        </w:tc>
      </w:tr>
      <w:tr w:rsidR="007F2378" w:rsidRPr="007F2378" w14:paraId="69EA5EBF" w14:textId="77777777" w:rsidTr="007F2378">
        <w:tc>
          <w:tcPr>
            <w:tcW w:w="2044" w:type="dxa"/>
            <w:tcBorders>
              <w:bottom w:val="single" w:sz="4" w:space="0" w:color="auto"/>
            </w:tcBorders>
            <w:shd w:val="clear" w:color="auto" w:fill="auto"/>
          </w:tcPr>
          <w:p w14:paraId="5A0DFDBA" w14:textId="77777777" w:rsidR="007F2378" w:rsidRPr="007F2378" w:rsidRDefault="007F2378" w:rsidP="007F2378">
            <w:pPr>
              <w:pStyle w:val="SingleTxtG"/>
              <w:spacing w:before="40" w:after="40" w:line="220" w:lineRule="exact"/>
              <w:ind w:left="0" w:right="0"/>
              <w:jc w:val="left"/>
              <w:rPr>
                <w:sz w:val="18"/>
              </w:rPr>
            </w:pPr>
            <w:r w:rsidRPr="007F2378">
              <w:rPr>
                <w:sz w:val="18"/>
              </w:rPr>
              <w:t>Importaciones totales de productos derivados del petróleo</w:t>
            </w:r>
          </w:p>
        </w:tc>
        <w:tc>
          <w:tcPr>
            <w:tcW w:w="1582" w:type="dxa"/>
            <w:tcBorders>
              <w:bottom w:val="single" w:sz="4" w:space="0" w:color="auto"/>
            </w:tcBorders>
            <w:shd w:val="clear" w:color="auto" w:fill="auto"/>
            <w:vAlign w:val="bottom"/>
          </w:tcPr>
          <w:p w14:paraId="65CBAACD" w14:textId="77777777" w:rsidR="007F2378" w:rsidRPr="007F2378" w:rsidRDefault="007F2378" w:rsidP="007F2378">
            <w:pPr>
              <w:pStyle w:val="SingleTxtG"/>
              <w:spacing w:before="40" w:after="40" w:line="220" w:lineRule="exact"/>
              <w:ind w:left="0" w:right="0"/>
              <w:jc w:val="right"/>
              <w:rPr>
                <w:sz w:val="18"/>
              </w:rPr>
            </w:pPr>
            <w:r w:rsidRPr="007F2378">
              <w:rPr>
                <w:sz w:val="18"/>
              </w:rPr>
              <w:t>2</w:t>
            </w:r>
            <w:r>
              <w:rPr>
                <w:sz w:val="18"/>
              </w:rPr>
              <w:t xml:space="preserve"> </w:t>
            </w:r>
            <w:r w:rsidRPr="007F2378">
              <w:rPr>
                <w:sz w:val="18"/>
              </w:rPr>
              <w:t>673</w:t>
            </w:r>
            <w:r>
              <w:rPr>
                <w:sz w:val="18"/>
              </w:rPr>
              <w:t xml:space="preserve"> </w:t>
            </w:r>
            <w:r w:rsidRPr="007F2378">
              <w:rPr>
                <w:sz w:val="18"/>
              </w:rPr>
              <w:t>215,3</w:t>
            </w:r>
          </w:p>
        </w:tc>
        <w:tc>
          <w:tcPr>
            <w:tcW w:w="1651" w:type="dxa"/>
            <w:tcBorders>
              <w:bottom w:val="single" w:sz="4" w:space="0" w:color="auto"/>
            </w:tcBorders>
            <w:shd w:val="clear" w:color="auto" w:fill="auto"/>
            <w:vAlign w:val="bottom"/>
          </w:tcPr>
          <w:p w14:paraId="51645955" w14:textId="77777777" w:rsidR="007F2378" w:rsidRPr="007F2378" w:rsidRDefault="007F2378" w:rsidP="007F2378">
            <w:pPr>
              <w:pStyle w:val="SingleTxtG"/>
              <w:spacing w:before="40" w:after="40" w:line="220" w:lineRule="exact"/>
              <w:ind w:left="0" w:right="57"/>
              <w:jc w:val="right"/>
              <w:rPr>
                <w:sz w:val="18"/>
              </w:rPr>
            </w:pPr>
            <w:r w:rsidRPr="007F2378">
              <w:rPr>
                <w:sz w:val="18"/>
              </w:rPr>
              <w:t>2</w:t>
            </w:r>
            <w:r>
              <w:rPr>
                <w:sz w:val="18"/>
              </w:rPr>
              <w:t xml:space="preserve"> </w:t>
            </w:r>
            <w:r w:rsidRPr="007F2378">
              <w:rPr>
                <w:sz w:val="18"/>
              </w:rPr>
              <w:t>292,7</w:t>
            </w:r>
          </w:p>
        </w:tc>
        <w:tc>
          <w:tcPr>
            <w:tcW w:w="1603" w:type="dxa"/>
            <w:tcBorders>
              <w:bottom w:val="single" w:sz="4" w:space="0" w:color="auto"/>
            </w:tcBorders>
            <w:shd w:val="clear" w:color="auto" w:fill="auto"/>
            <w:vAlign w:val="bottom"/>
          </w:tcPr>
          <w:p w14:paraId="11C3EA13" w14:textId="77777777" w:rsidR="007F2378" w:rsidRPr="007F2378" w:rsidRDefault="007F2378" w:rsidP="007F2378">
            <w:pPr>
              <w:pStyle w:val="SingleTxtG"/>
              <w:spacing w:before="40" w:after="40" w:line="220" w:lineRule="exact"/>
              <w:ind w:left="0" w:right="0"/>
              <w:jc w:val="right"/>
              <w:rPr>
                <w:sz w:val="18"/>
              </w:rPr>
            </w:pPr>
            <w:r w:rsidRPr="007F2378">
              <w:rPr>
                <w:sz w:val="18"/>
              </w:rPr>
              <w:t>2</w:t>
            </w:r>
            <w:r>
              <w:rPr>
                <w:sz w:val="18"/>
              </w:rPr>
              <w:t xml:space="preserve"> </w:t>
            </w:r>
            <w:r w:rsidRPr="007F2378">
              <w:rPr>
                <w:sz w:val="18"/>
              </w:rPr>
              <w:t>351</w:t>
            </w:r>
            <w:r>
              <w:rPr>
                <w:sz w:val="18"/>
              </w:rPr>
              <w:t xml:space="preserve"> </w:t>
            </w:r>
            <w:r w:rsidRPr="007F2378">
              <w:rPr>
                <w:sz w:val="18"/>
              </w:rPr>
              <w:t>612,5</w:t>
            </w:r>
          </w:p>
        </w:tc>
        <w:tc>
          <w:tcPr>
            <w:tcW w:w="1575" w:type="dxa"/>
            <w:tcBorders>
              <w:bottom w:val="single" w:sz="4" w:space="0" w:color="auto"/>
            </w:tcBorders>
            <w:shd w:val="clear" w:color="auto" w:fill="auto"/>
            <w:vAlign w:val="bottom"/>
          </w:tcPr>
          <w:p w14:paraId="23F7865D" w14:textId="77777777" w:rsidR="007F2378" w:rsidRPr="007F2378" w:rsidRDefault="007F2378" w:rsidP="007F2378">
            <w:pPr>
              <w:pStyle w:val="SingleTxtG"/>
              <w:spacing w:before="40" w:after="40" w:line="220" w:lineRule="exact"/>
              <w:ind w:left="0" w:right="0"/>
              <w:jc w:val="right"/>
              <w:rPr>
                <w:sz w:val="18"/>
              </w:rPr>
            </w:pPr>
            <w:r w:rsidRPr="007F2378">
              <w:rPr>
                <w:sz w:val="18"/>
              </w:rPr>
              <w:t>1</w:t>
            </w:r>
            <w:r>
              <w:rPr>
                <w:sz w:val="18"/>
              </w:rPr>
              <w:t xml:space="preserve"> </w:t>
            </w:r>
            <w:r w:rsidRPr="007F2378">
              <w:rPr>
                <w:sz w:val="18"/>
              </w:rPr>
              <w:t>989,5</w:t>
            </w:r>
          </w:p>
        </w:tc>
      </w:tr>
      <w:tr w:rsidR="007F2378" w:rsidRPr="007F2378" w14:paraId="0C218398" w14:textId="77777777" w:rsidTr="007F2378">
        <w:tc>
          <w:tcPr>
            <w:tcW w:w="2044" w:type="dxa"/>
            <w:tcBorders>
              <w:top w:val="single" w:sz="4" w:space="0" w:color="auto"/>
              <w:bottom w:val="single" w:sz="12" w:space="0" w:color="auto"/>
            </w:tcBorders>
            <w:shd w:val="clear" w:color="auto" w:fill="auto"/>
          </w:tcPr>
          <w:p w14:paraId="5F41B1BB" w14:textId="77777777" w:rsidR="007F2378" w:rsidRPr="007F2378" w:rsidRDefault="007F2378" w:rsidP="007F2378">
            <w:pPr>
              <w:pStyle w:val="SingleTxtG"/>
              <w:spacing w:before="80" w:after="80" w:line="220" w:lineRule="exact"/>
              <w:ind w:left="284" w:right="0"/>
              <w:jc w:val="left"/>
              <w:rPr>
                <w:b/>
                <w:bCs/>
                <w:sz w:val="18"/>
              </w:rPr>
            </w:pPr>
            <w:r w:rsidRPr="007F2378">
              <w:rPr>
                <w:b/>
                <w:bCs/>
                <w:sz w:val="18"/>
              </w:rPr>
              <w:t>Total</w:t>
            </w:r>
          </w:p>
        </w:tc>
        <w:tc>
          <w:tcPr>
            <w:tcW w:w="1582" w:type="dxa"/>
            <w:tcBorders>
              <w:top w:val="single" w:sz="4" w:space="0" w:color="auto"/>
              <w:bottom w:val="single" w:sz="12" w:space="0" w:color="auto"/>
            </w:tcBorders>
            <w:shd w:val="clear" w:color="auto" w:fill="auto"/>
            <w:vAlign w:val="bottom"/>
          </w:tcPr>
          <w:p w14:paraId="764C45CC" w14:textId="77777777" w:rsidR="007F2378" w:rsidRPr="007F2378" w:rsidRDefault="007F2378" w:rsidP="007F2378">
            <w:pPr>
              <w:pStyle w:val="SingleTxtG"/>
              <w:spacing w:before="80" w:after="80" w:line="220" w:lineRule="exact"/>
              <w:ind w:left="0" w:right="0"/>
              <w:jc w:val="right"/>
              <w:rPr>
                <w:b/>
                <w:bCs/>
                <w:sz w:val="18"/>
              </w:rPr>
            </w:pPr>
            <w:r w:rsidRPr="007F2378">
              <w:rPr>
                <w:b/>
                <w:bCs/>
                <w:sz w:val="18"/>
              </w:rPr>
              <w:t>48</w:t>
            </w:r>
            <w:r>
              <w:rPr>
                <w:b/>
                <w:bCs/>
                <w:sz w:val="18"/>
              </w:rPr>
              <w:t xml:space="preserve"> </w:t>
            </w:r>
            <w:r w:rsidRPr="007F2378">
              <w:rPr>
                <w:b/>
                <w:bCs/>
                <w:sz w:val="18"/>
              </w:rPr>
              <w:t>578</w:t>
            </w:r>
            <w:r>
              <w:rPr>
                <w:b/>
                <w:bCs/>
                <w:sz w:val="18"/>
              </w:rPr>
              <w:t xml:space="preserve"> </w:t>
            </w:r>
            <w:r w:rsidRPr="007F2378">
              <w:rPr>
                <w:b/>
                <w:bCs/>
                <w:sz w:val="18"/>
              </w:rPr>
              <w:t>232,7</w:t>
            </w:r>
          </w:p>
        </w:tc>
        <w:tc>
          <w:tcPr>
            <w:tcW w:w="1651" w:type="dxa"/>
            <w:tcBorders>
              <w:top w:val="single" w:sz="4" w:space="0" w:color="auto"/>
              <w:bottom w:val="single" w:sz="12" w:space="0" w:color="auto"/>
            </w:tcBorders>
            <w:shd w:val="clear" w:color="auto" w:fill="auto"/>
            <w:vAlign w:val="bottom"/>
          </w:tcPr>
          <w:p w14:paraId="671E8E68" w14:textId="77777777" w:rsidR="007F2378" w:rsidRPr="007F2378" w:rsidRDefault="007F2378" w:rsidP="007F2378">
            <w:pPr>
              <w:pStyle w:val="SingleTxtG"/>
              <w:spacing w:before="80" w:after="80" w:line="220" w:lineRule="exact"/>
              <w:ind w:left="0" w:right="57"/>
              <w:jc w:val="right"/>
              <w:rPr>
                <w:b/>
                <w:bCs/>
                <w:sz w:val="18"/>
              </w:rPr>
            </w:pPr>
            <w:r w:rsidRPr="007F2378">
              <w:rPr>
                <w:b/>
                <w:bCs/>
                <w:sz w:val="18"/>
              </w:rPr>
              <w:t>41</w:t>
            </w:r>
            <w:r>
              <w:rPr>
                <w:b/>
                <w:bCs/>
                <w:sz w:val="18"/>
              </w:rPr>
              <w:t xml:space="preserve"> </w:t>
            </w:r>
            <w:r w:rsidRPr="007F2378">
              <w:rPr>
                <w:b/>
                <w:bCs/>
                <w:sz w:val="18"/>
              </w:rPr>
              <w:t>644,1</w:t>
            </w:r>
          </w:p>
        </w:tc>
        <w:tc>
          <w:tcPr>
            <w:tcW w:w="1603" w:type="dxa"/>
            <w:tcBorders>
              <w:top w:val="single" w:sz="4" w:space="0" w:color="auto"/>
              <w:bottom w:val="single" w:sz="12" w:space="0" w:color="auto"/>
            </w:tcBorders>
            <w:shd w:val="clear" w:color="auto" w:fill="auto"/>
            <w:vAlign w:val="bottom"/>
          </w:tcPr>
          <w:p w14:paraId="1A4A09D2" w14:textId="77777777" w:rsidR="007F2378" w:rsidRPr="007F2378" w:rsidRDefault="007F2378" w:rsidP="007F2378">
            <w:pPr>
              <w:pStyle w:val="SingleTxtG"/>
              <w:spacing w:before="80" w:after="80" w:line="220" w:lineRule="exact"/>
              <w:ind w:left="0" w:right="0"/>
              <w:jc w:val="right"/>
              <w:rPr>
                <w:b/>
                <w:bCs/>
                <w:sz w:val="18"/>
              </w:rPr>
            </w:pPr>
            <w:r w:rsidRPr="007F2378">
              <w:rPr>
                <w:b/>
                <w:bCs/>
                <w:sz w:val="18"/>
              </w:rPr>
              <w:t>57</w:t>
            </w:r>
            <w:r>
              <w:rPr>
                <w:b/>
                <w:bCs/>
                <w:sz w:val="18"/>
              </w:rPr>
              <w:t xml:space="preserve"> </w:t>
            </w:r>
            <w:r w:rsidRPr="007F2378">
              <w:rPr>
                <w:b/>
                <w:bCs/>
                <w:sz w:val="18"/>
              </w:rPr>
              <w:t>353</w:t>
            </w:r>
            <w:r>
              <w:rPr>
                <w:b/>
                <w:bCs/>
                <w:sz w:val="18"/>
              </w:rPr>
              <w:t xml:space="preserve"> </w:t>
            </w:r>
            <w:r w:rsidRPr="007F2378">
              <w:rPr>
                <w:b/>
                <w:bCs/>
                <w:sz w:val="18"/>
              </w:rPr>
              <w:t>324,3</w:t>
            </w:r>
          </w:p>
        </w:tc>
        <w:tc>
          <w:tcPr>
            <w:tcW w:w="1575" w:type="dxa"/>
            <w:tcBorders>
              <w:top w:val="single" w:sz="4" w:space="0" w:color="auto"/>
              <w:bottom w:val="single" w:sz="12" w:space="0" w:color="auto"/>
            </w:tcBorders>
            <w:shd w:val="clear" w:color="auto" w:fill="auto"/>
            <w:vAlign w:val="bottom"/>
          </w:tcPr>
          <w:p w14:paraId="25676F31" w14:textId="77777777" w:rsidR="007F2378" w:rsidRPr="007F2378" w:rsidRDefault="007F2378" w:rsidP="007F2378">
            <w:pPr>
              <w:pStyle w:val="SingleTxtG"/>
              <w:spacing w:before="80" w:after="80" w:line="220" w:lineRule="exact"/>
              <w:ind w:left="0" w:right="0"/>
              <w:jc w:val="right"/>
              <w:rPr>
                <w:b/>
                <w:bCs/>
                <w:sz w:val="18"/>
              </w:rPr>
            </w:pPr>
            <w:r w:rsidRPr="007F2378">
              <w:rPr>
                <w:b/>
                <w:bCs/>
                <w:sz w:val="18"/>
              </w:rPr>
              <w:t>48</w:t>
            </w:r>
            <w:r>
              <w:rPr>
                <w:b/>
                <w:bCs/>
                <w:sz w:val="18"/>
              </w:rPr>
              <w:t xml:space="preserve"> </w:t>
            </w:r>
            <w:r w:rsidRPr="007F2378">
              <w:rPr>
                <w:b/>
                <w:bCs/>
                <w:sz w:val="18"/>
              </w:rPr>
              <w:t>594,9</w:t>
            </w:r>
          </w:p>
        </w:tc>
      </w:tr>
    </w:tbl>
    <w:p w14:paraId="7CC21B0F" w14:textId="77777777" w:rsidR="008A38B9" w:rsidRPr="007F2378" w:rsidRDefault="008A38B9" w:rsidP="007F2378">
      <w:pPr>
        <w:pStyle w:val="SingleTxtG"/>
        <w:spacing w:before="120" w:after="240"/>
        <w:ind w:left="1304"/>
        <w:rPr>
          <w:sz w:val="18"/>
          <w:szCs w:val="18"/>
        </w:rPr>
      </w:pPr>
      <w:r w:rsidRPr="007F2378">
        <w:rPr>
          <w:i/>
          <w:sz w:val="18"/>
          <w:szCs w:val="18"/>
        </w:rPr>
        <w:t>Fuente:</w:t>
      </w:r>
      <w:r w:rsidRPr="007F2378">
        <w:rPr>
          <w:sz w:val="18"/>
          <w:szCs w:val="18"/>
        </w:rPr>
        <w:t xml:space="preserve"> Boletín estadístico (2017). </w:t>
      </w:r>
    </w:p>
    <w:p w14:paraId="3D94FB2C" w14:textId="77777777" w:rsidR="008A38B9" w:rsidRPr="008A38B9" w:rsidRDefault="008A38B9" w:rsidP="007F2378">
      <w:pPr>
        <w:pStyle w:val="SingleTxtG"/>
      </w:pPr>
      <w:r w:rsidRPr="008A38B9">
        <w:t>49.</w:t>
      </w:r>
      <w:r w:rsidRPr="008A38B9">
        <w:tab/>
        <w:t>Entre 2015 y 2016, el Estado incrementó su producción de energía eléctrica el 16,44 %. Pese a ello, sigue siendo deficitario y ha de importar electricidad de los países vecinos. En 2016, el Iraq importó 80 millones de megavatios hora (MWh).</w:t>
      </w:r>
    </w:p>
    <w:p w14:paraId="1774900B" w14:textId="77777777" w:rsidR="008A38B9" w:rsidRPr="008A38B9" w:rsidRDefault="008A38B9" w:rsidP="007F2378">
      <w:pPr>
        <w:pStyle w:val="SingleTxtG"/>
      </w:pPr>
      <w:r w:rsidRPr="008A38B9">
        <w:t>50.</w:t>
      </w:r>
      <w:r w:rsidRPr="008A38B9">
        <w:tab/>
        <w:t>El récord en la generación de energía eléctrica tuvo lugar en 2015, con un incremento del 162,9 % respecto al 2012 y del 1,9 % respecto al año anterior. En 2015 se generaron 53.978.093 de MWh y se importaron 6.901.252. El descenso en 2015 se debe a que los datos cubren solo tres cuatrimestres del año.</w:t>
      </w:r>
    </w:p>
    <w:p w14:paraId="6DC6AD4A" w14:textId="77777777" w:rsidR="008A38B9" w:rsidRDefault="008A38B9" w:rsidP="007F2378">
      <w:pPr>
        <w:pStyle w:val="SingleTxtG"/>
      </w:pPr>
      <w:r w:rsidRPr="008A38B9">
        <w:t>51.</w:t>
      </w:r>
      <w:r w:rsidRPr="008A38B9">
        <w:tab/>
        <w:t>En el cuadro siguiente figuran indicadores sobre la producción de energía eléctrica en el Iraq, sin incluir la Región del Kurdistán, entre 2012 y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58"/>
        <w:gridCol w:w="728"/>
        <w:gridCol w:w="756"/>
        <w:gridCol w:w="685"/>
        <w:gridCol w:w="686"/>
        <w:gridCol w:w="756"/>
        <w:gridCol w:w="1001"/>
      </w:tblGrid>
      <w:tr w:rsidR="007F2378" w:rsidRPr="007F2378" w14:paraId="4DA813A4" w14:textId="77777777" w:rsidTr="003B0AEF">
        <w:tc>
          <w:tcPr>
            <w:tcW w:w="2758" w:type="dxa"/>
            <w:tcBorders>
              <w:top w:val="single" w:sz="4" w:space="0" w:color="auto"/>
              <w:bottom w:val="single" w:sz="12" w:space="0" w:color="auto"/>
            </w:tcBorders>
            <w:shd w:val="clear" w:color="auto" w:fill="auto"/>
            <w:vAlign w:val="bottom"/>
          </w:tcPr>
          <w:p w14:paraId="79F2F208" w14:textId="77777777" w:rsidR="007F2378" w:rsidRPr="007F2378" w:rsidRDefault="007F2378" w:rsidP="007F2378">
            <w:pPr>
              <w:pStyle w:val="SingleTxtG"/>
              <w:spacing w:before="80" w:after="80" w:line="200" w:lineRule="exact"/>
              <w:ind w:left="0" w:right="0"/>
              <w:jc w:val="left"/>
              <w:rPr>
                <w:i/>
                <w:sz w:val="16"/>
              </w:rPr>
            </w:pPr>
          </w:p>
        </w:tc>
        <w:tc>
          <w:tcPr>
            <w:tcW w:w="728" w:type="dxa"/>
            <w:tcBorders>
              <w:top w:val="single" w:sz="4" w:space="0" w:color="auto"/>
              <w:bottom w:val="single" w:sz="12" w:space="0" w:color="auto"/>
            </w:tcBorders>
            <w:shd w:val="clear" w:color="auto" w:fill="auto"/>
            <w:vAlign w:val="center"/>
          </w:tcPr>
          <w:p w14:paraId="783C0A60" w14:textId="77777777" w:rsidR="007F2378" w:rsidRPr="007F2378" w:rsidRDefault="007F2378" w:rsidP="007F2378">
            <w:pPr>
              <w:pStyle w:val="SingleTxtG"/>
              <w:spacing w:before="80" w:after="80" w:line="200" w:lineRule="exact"/>
              <w:ind w:left="0" w:right="0"/>
              <w:jc w:val="right"/>
              <w:rPr>
                <w:i/>
                <w:sz w:val="16"/>
              </w:rPr>
            </w:pPr>
            <w:r w:rsidRPr="007F2378">
              <w:rPr>
                <w:i/>
                <w:sz w:val="16"/>
              </w:rPr>
              <w:t>2012</w:t>
            </w:r>
          </w:p>
        </w:tc>
        <w:tc>
          <w:tcPr>
            <w:tcW w:w="756" w:type="dxa"/>
            <w:tcBorders>
              <w:top w:val="single" w:sz="4" w:space="0" w:color="auto"/>
              <w:bottom w:val="single" w:sz="12" w:space="0" w:color="auto"/>
            </w:tcBorders>
            <w:shd w:val="clear" w:color="auto" w:fill="auto"/>
            <w:vAlign w:val="center"/>
          </w:tcPr>
          <w:p w14:paraId="3266ED40" w14:textId="77777777" w:rsidR="007F2378" w:rsidRPr="007F2378" w:rsidRDefault="007F2378" w:rsidP="007F2378">
            <w:pPr>
              <w:pStyle w:val="SingleTxtG"/>
              <w:spacing w:before="80" w:after="80" w:line="200" w:lineRule="exact"/>
              <w:ind w:left="0" w:right="0"/>
              <w:jc w:val="right"/>
              <w:rPr>
                <w:i/>
                <w:sz w:val="16"/>
              </w:rPr>
            </w:pPr>
            <w:r w:rsidRPr="007F2378">
              <w:rPr>
                <w:i/>
                <w:sz w:val="16"/>
              </w:rPr>
              <w:t>2013</w:t>
            </w:r>
          </w:p>
        </w:tc>
        <w:tc>
          <w:tcPr>
            <w:tcW w:w="685" w:type="dxa"/>
            <w:tcBorders>
              <w:top w:val="single" w:sz="4" w:space="0" w:color="auto"/>
              <w:bottom w:val="single" w:sz="12" w:space="0" w:color="auto"/>
            </w:tcBorders>
            <w:shd w:val="clear" w:color="auto" w:fill="auto"/>
            <w:vAlign w:val="center"/>
          </w:tcPr>
          <w:p w14:paraId="31A88B24" w14:textId="77777777" w:rsidR="007F2378" w:rsidRPr="007F2378" w:rsidRDefault="007F2378" w:rsidP="007F2378">
            <w:pPr>
              <w:pStyle w:val="SingleTxtG"/>
              <w:spacing w:before="80" w:after="80" w:line="200" w:lineRule="exact"/>
              <w:ind w:left="0" w:right="0"/>
              <w:jc w:val="right"/>
              <w:rPr>
                <w:i/>
                <w:sz w:val="16"/>
              </w:rPr>
            </w:pPr>
            <w:r w:rsidRPr="007F2378">
              <w:rPr>
                <w:i/>
                <w:sz w:val="16"/>
              </w:rPr>
              <w:t>2014</w:t>
            </w:r>
          </w:p>
        </w:tc>
        <w:tc>
          <w:tcPr>
            <w:tcW w:w="686" w:type="dxa"/>
            <w:tcBorders>
              <w:top w:val="single" w:sz="4" w:space="0" w:color="auto"/>
              <w:bottom w:val="single" w:sz="12" w:space="0" w:color="auto"/>
            </w:tcBorders>
            <w:shd w:val="clear" w:color="auto" w:fill="auto"/>
            <w:vAlign w:val="center"/>
          </w:tcPr>
          <w:p w14:paraId="29EEA438" w14:textId="77777777" w:rsidR="007F2378" w:rsidRPr="007F2378" w:rsidRDefault="007F2378" w:rsidP="007F2378">
            <w:pPr>
              <w:pStyle w:val="SingleTxtG"/>
              <w:spacing w:before="80" w:after="80" w:line="200" w:lineRule="exact"/>
              <w:ind w:left="0" w:right="0"/>
              <w:jc w:val="right"/>
              <w:rPr>
                <w:i/>
                <w:sz w:val="16"/>
              </w:rPr>
            </w:pPr>
            <w:r w:rsidRPr="007F2378">
              <w:rPr>
                <w:i/>
                <w:sz w:val="16"/>
              </w:rPr>
              <w:t>2015</w:t>
            </w:r>
          </w:p>
        </w:tc>
        <w:tc>
          <w:tcPr>
            <w:tcW w:w="756" w:type="dxa"/>
            <w:tcBorders>
              <w:top w:val="single" w:sz="4" w:space="0" w:color="auto"/>
              <w:bottom w:val="single" w:sz="12" w:space="0" w:color="auto"/>
            </w:tcBorders>
            <w:shd w:val="clear" w:color="auto" w:fill="auto"/>
            <w:vAlign w:val="center"/>
          </w:tcPr>
          <w:p w14:paraId="431EBE67" w14:textId="77777777" w:rsidR="007F2378" w:rsidRPr="007F2378" w:rsidRDefault="007F2378" w:rsidP="007F2378">
            <w:pPr>
              <w:pStyle w:val="SingleTxtG"/>
              <w:spacing w:before="80" w:after="80" w:line="200" w:lineRule="exact"/>
              <w:ind w:left="0" w:right="0"/>
              <w:jc w:val="right"/>
              <w:rPr>
                <w:i/>
                <w:sz w:val="16"/>
              </w:rPr>
            </w:pPr>
            <w:r w:rsidRPr="007F2378">
              <w:rPr>
                <w:i/>
                <w:sz w:val="16"/>
              </w:rPr>
              <w:t>2016</w:t>
            </w:r>
          </w:p>
        </w:tc>
        <w:tc>
          <w:tcPr>
            <w:tcW w:w="1001" w:type="dxa"/>
            <w:tcBorders>
              <w:top w:val="single" w:sz="4" w:space="0" w:color="auto"/>
              <w:bottom w:val="single" w:sz="12" w:space="0" w:color="auto"/>
            </w:tcBorders>
            <w:shd w:val="clear" w:color="auto" w:fill="auto"/>
            <w:vAlign w:val="center"/>
          </w:tcPr>
          <w:p w14:paraId="0D7B48E4" w14:textId="77777777" w:rsidR="007F2378" w:rsidRPr="007F2378" w:rsidRDefault="007F2378" w:rsidP="007F2378">
            <w:pPr>
              <w:pStyle w:val="SingleTxtG"/>
              <w:spacing w:before="80" w:after="80" w:line="200" w:lineRule="exact"/>
              <w:ind w:left="0" w:right="0"/>
              <w:jc w:val="right"/>
              <w:rPr>
                <w:i/>
                <w:sz w:val="16"/>
              </w:rPr>
            </w:pPr>
            <w:r w:rsidRPr="007F2378">
              <w:rPr>
                <w:i/>
                <w:sz w:val="16"/>
              </w:rPr>
              <w:t>Índice de variación</w:t>
            </w:r>
            <w:r>
              <w:rPr>
                <w:i/>
                <w:sz w:val="16"/>
              </w:rPr>
              <w:t xml:space="preserve"> </w:t>
            </w:r>
            <w:r w:rsidR="003B0AEF">
              <w:rPr>
                <w:i/>
                <w:sz w:val="16"/>
              </w:rPr>
              <w:t>(</w:t>
            </w:r>
            <w:r w:rsidRPr="007F2378">
              <w:rPr>
                <w:i/>
                <w:sz w:val="16"/>
              </w:rPr>
              <w:t>%</w:t>
            </w:r>
            <w:r w:rsidR="003B0AEF">
              <w:rPr>
                <w:i/>
                <w:sz w:val="16"/>
              </w:rPr>
              <w:t>)</w:t>
            </w:r>
          </w:p>
        </w:tc>
      </w:tr>
      <w:tr w:rsidR="007F2378" w:rsidRPr="007F2378" w14:paraId="1DBE537F" w14:textId="77777777" w:rsidTr="003B0AEF">
        <w:tc>
          <w:tcPr>
            <w:tcW w:w="2758" w:type="dxa"/>
            <w:tcBorders>
              <w:top w:val="single" w:sz="12" w:space="0" w:color="auto"/>
            </w:tcBorders>
            <w:shd w:val="clear" w:color="auto" w:fill="auto"/>
            <w:vAlign w:val="center"/>
          </w:tcPr>
          <w:p w14:paraId="440658FD" w14:textId="77777777" w:rsidR="007F2378" w:rsidRPr="007F2378" w:rsidRDefault="007F2378" w:rsidP="007F2378">
            <w:pPr>
              <w:pStyle w:val="SingleTxtG"/>
              <w:spacing w:before="40" w:after="40" w:line="220" w:lineRule="exact"/>
              <w:ind w:left="0" w:right="0"/>
              <w:jc w:val="left"/>
              <w:rPr>
                <w:sz w:val="18"/>
              </w:rPr>
            </w:pPr>
            <w:r w:rsidRPr="007F2378">
              <w:rPr>
                <w:sz w:val="18"/>
              </w:rPr>
              <w:t>Electricidad generada (millones de</w:t>
            </w:r>
            <w:r w:rsidR="00992118">
              <w:rPr>
                <w:sz w:val="18"/>
              </w:rPr>
              <w:t> </w:t>
            </w:r>
            <w:r w:rsidRPr="007F2378">
              <w:rPr>
                <w:sz w:val="18"/>
              </w:rPr>
              <w:t>MWh)</w:t>
            </w:r>
          </w:p>
        </w:tc>
        <w:tc>
          <w:tcPr>
            <w:tcW w:w="728" w:type="dxa"/>
            <w:tcBorders>
              <w:top w:val="single" w:sz="12" w:space="0" w:color="auto"/>
            </w:tcBorders>
            <w:shd w:val="clear" w:color="auto" w:fill="auto"/>
            <w:vAlign w:val="bottom"/>
          </w:tcPr>
          <w:p w14:paraId="4290B6A7" w14:textId="77777777" w:rsidR="007F2378" w:rsidRPr="007F2378" w:rsidRDefault="007F2378" w:rsidP="007F2378">
            <w:pPr>
              <w:pStyle w:val="SingleTxtG"/>
              <w:spacing w:before="40" w:after="40" w:line="220" w:lineRule="exact"/>
              <w:ind w:left="0" w:right="0"/>
              <w:jc w:val="right"/>
              <w:rPr>
                <w:sz w:val="18"/>
              </w:rPr>
            </w:pPr>
            <w:r w:rsidRPr="007F2378">
              <w:rPr>
                <w:sz w:val="18"/>
              </w:rPr>
              <w:t>63,8</w:t>
            </w:r>
          </w:p>
        </w:tc>
        <w:tc>
          <w:tcPr>
            <w:tcW w:w="756" w:type="dxa"/>
            <w:tcBorders>
              <w:top w:val="single" w:sz="12" w:space="0" w:color="auto"/>
            </w:tcBorders>
            <w:shd w:val="clear" w:color="auto" w:fill="auto"/>
            <w:vAlign w:val="bottom"/>
          </w:tcPr>
          <w:p w14:paraId="44BC0F37" w14:textId="77777777" w:rsidR="007F2378" w:rsidRPr="007F2378" w:rsidRDefault="007F2378" w:rsidP="007F2378">
            <w:pPr>
              <w:pStyle w:val="SingleTxtG"/>
              <w:spacing w:before="40" w:after="40" w:line="220" w:lineRule="exact"/>
              <w:ind w:left="0" w:right="0"/>
              <w:jc w:val="right"/>
              <w:rPr>
                <w:sz w:val="18"/>
              </w:rPr>
            </w:pPr>
            <w:r w:rsidRPr="007F2378">
              <w:rPr>
                <w:sz w:val="18"/>
              </w:rPr>
              <w:t>59,8</w:t>
            </w:r>
          </w:p>
        </w:tc>
        <w:tc>
          <w:tcPr>
            <w:tcW w:w="685" w:type="dxa"/>
            <w:tcBorders>
              <w:top w:val="single" w:sz="12" w:space="0" w:color="auto"/>
            </w:tcBorders>
            <w:shd w:val="clear" w:color="auto" w:fill="auto"/>
            <w:vAlign w:val="bottom"/>
          </w:tcPr>
          <w:p w14:paraId="7DA0960E" w14:textId="77777777" w:rsidR="007F2378" w:rsidRPr="007F2378" w:rsidRDefault="007F2378" w:rsidP="007F2378">
            <w:pPr>
              <w:pStyle w:val="SingleTxtG"/>
              <w:spacing w:before="40" w:after="40" w:line="220" w:lineRule="exact"/>
              <w:ind w:left="0" w:right="0"/>
              <w:jc w:val="right"/>
              <w:rPr>
                <w:sz w:val="18"/>
              </w:rPr>
            </w:pPr>
            <w:r w:rsidRPr="007F2378">
              <w:rPr>
                <w:sz w:val="18"/>
              </w:rPr>
              <w:t>67,7</w:t>
            </w:r>
          </w:p>
        </w:tc>
        <w:tc>
          <w:tcPr>
            <w:tcW w:w="686" w:type="dxa"/>
            <w:tcBorders>
              <w:top w:val="single" w:sz="12" w:space="0" w:color="auto"/>
            </w:tcBorders>
            <w:shd w:val="clear" w:color="auto" w:fill="auto"/>
            <w:vAlign w:val="bottom"/>
          </w:tcPr>
          <w:p w14:paraId="14A99891" w14:textId="77777777" w:rsidR="007F2378" w:rsidRPr="007F2378" w:rsidRDefault="007F2378" w:rsidP="007F2378">
            <w:pPr>
              <w:pStyle w:val="SingleTxtG"/>
              <w:spacing w:before="40" w:after="40" w:line="220" w:lineRule="exact"/>
              <w:ind w:left="0" w:right="0"/>
              <w:jc w:val="right"/>
              <w:rPr>
                <w:sz w:val="18"/>
              </w:rPr>
            </w:pPr>
            <w:r w:rsidRPr="007F2378">
              <w:rPr>
                <w:sz w:val="18"/>
              </w:rPr>
              <w:t>68,6</w:t>
            </w:r>
          </w:p>
        </w:tc>
        <w:tc>
          <w:tcPr>
            <w:tcW w:w="756" w:type="dxa"/>
            <w:tcBorders>
              <w:top w:val="single" w:sz="12" w:space="0" w:color="auto"/>
            </w:tcBorders>
            <w:shd w:val="clear" w:color="auto" w:fill="auto"/>
            <w:vAlign w:val="bottom"/>
          </w:tcPr>
          <w:p w14:paraId="494EA15B" w14:textId="77777777" w:rsidR="007F2378" w:rsidRPr="007F2378" w:rsidRDefault="007F2378" w:rsidP="007F2378">
            <w:pPr>
              <w:pStyle w:val="SingleTxtG"/>
              <w:spacing w:before="40" w:after="40" w:line="220" w:lineRule="exact"/>
              <w:ind w:left="0" w:right="0"/>
              <w:jc w:val="right"/>
              <w:rPr>
                <w:sz w:val="18"/>
              </w:rPr>
            </w:pPr>
            <w:r w:rsidRPr="007F2378">
              <w:rPr>
                <w:sz w:val="18"/>
              </w:rPr>
              <w:t>81,8</w:t>
            </w:r>
          </w:p>
        </w:tc>
        <w:tc>
          <w:tcPr>
            <w:tcW w:w="1001" w:type="dxa"/>
            <w:tcBorders>
              <w:top w:val="single" w:sz="12" w:space="0" w:color="auto"/>
            </w:tcBorders>
            <w:shd w:val="clear" w:color="auto" w:fill="auto"/>
            <w:vAlign w:val="bottom"/>
          </w:tcPr>
          <w:p w14:paraId="6891001D" w14:textId="77777777" w:rsidR="007F2378" w:rsidRPr="007F2378" w:rsidRDefault="007F2378" w:rsidP="007F2378">
            <w:pPr>
              <w:pStyle w:val="SingleTxtG"/>
              <w:spacing w:before="40" w:after="40" w:line="220" w:lineRule="exact"/>
              <w:ind w:left="0" w:right="0"/>
              <w:jc w:val="right"/>
              <w:rPr>
                <w:sz w:val="18"/>
              </w:rPr>
            </w:pPr>
            <w:r w:rsidRPr="007F2378">
              <w:rPr>
                <w:sz w:val="18"/>
              </w:rPr>
              <w:t>19,24</w:t>
            </w:r>
          </w:p>
        </w:tc>
      </w:tr>
      <w:tr w:rsidR="007F2378" w:rsidRPr="007F2378" w14:paraId="5E2FE42D" w14:textId="77777777" w:rsidTr="003B0AEF">
        <w:tc>
          <w:tcPr>
            <w:tcW w:w="2758" w:type="dxa"/>
            <w:tcBorders>
              <w:bottom w:val="single" w:sz="12" w:space="0" w:color="auto"/>
            </w:tcBorders>
            <w:shd w:val="clear" w:color="auto" w:fill="auto"/>
            <w:vAlign w:val="center"/>
          </w:tcPr>
          <w:p w14:paraId="2995E563" w14:textId="77777777" w:rsidR="007F2378" w:rsidRPr="007F2378" w:rsidRDefault="007F2378" w:rsidP="007F2378">
            <w:pPr>
              <w:pStyle w:val="SingleTxtG"/>
              <w:spacing w:before="40" w:after="40" w:line="220" w:lineRule="exact"/>
              <w:ind w:left="0" w:right="0"/>
              <w:jc w:val="left"/>
              <w:rPr>
                <w:sz w:val="18"/>
              </w:rPr>
            </w:pPr>
            <w:r w:rsidRPr="007F2378">
              <w:rPr>
                <w:sz w:val="18"/>
              </w:rPr>
              <w:t>Electricidad importada (millones de</w:t>
            </w:r>
            <w:r w:rsidR="00992118">
              <w:rPr>
                <w:sz w:val="18"/>
              </w:rPr>
              <w:t> </w:t>
            </w:r>
            <w:r w:rsidRPr="007F2378">
              <w:rPr>
                <w:sz w:val="18"/>
              </w:rPr>
              <w:t>MWh)</w:t>
            </w:r>
          </w:p>
        </w:tc>
        <w:tc>
          <w:tcPr>
            <w:tcW w:w="728" w:type="dxa"/>
            <w:tcBorders>
              <w:bottom w:val="single" w:sz="12" w:space="0" w:color="auto"/>
            </w:tcBorders>
            <w:shd w:val="clear" w:color="auto" w:fill="auto"/>
            <w:vAlign w:val="bottom"/>
          </w:tcPr>
          <w:p w14:paraId="768DCDEB" w14:textId="77777777" w:rsidR="007F2378" w:rsidRPr="007F2378" w:rsidRDefault="007F2378" w:rsidP="007F2378">
            <w:pPr>
              <w:pStyle w:val="SingleTxtG"/>
              <w:spacing w:before="40" w:after="40" w:line="220" w:lineRule="exact"/>
              <w:ind w:left="0" w:right="0"/>
              <w:jc w:val="right"/>
              <w:rPr>
                <w:sz w:val="18"/>
              </w:rPr>
            </w:pPr>
            <w:r w:rsidRPr="007F2378">
              <w:rPr>
                <w:sz w:val="18"/>
              </w:rPr>
              <w:t>10,1</w:t>
            </w:r>
          </w:p>
        </w:tc>
        <w:tc>
          <w:tcPr>
            <w:tcW w:w="756" w:type="dxa"/>
            <w:tcBorders>
              <w:bottom w:val="single" w:sz="12" w:space="0" w:color="auto"/>
            </w:tcBorders>
            <w:shd w:val="clear" w:color="auto" w:fill="auto"/>
            <w:vAlign w:val="bottom"/>
          </w:tcPr>
          <w:p w14:paraId="3921B119" w14:textId="77777777" w:rsidR="007F2378" w:rsidRPr="007F2378" w:rsidRDefault="007F2378" w:rsidP="007F2378">
            <w:pPr>
              <w:pStyle w:val="SingleTxtG"/>
              <w:spacing w:before="40" w:after="40" w:line="220" w:lineRule="exact"/>
              <w:ind w:left="0" w:right="0"/>
              <w:jc w:val="right"/>
              <w:rPr>
                <w:sz w:val="18"/>
              </w:rPr>
            </w:pPr>
            <w:r w:rsidRPr="007F2378">
              <w:rPr>
                <w:sz w:val="18"/>
              </w:rPr>
              <w:t>12,2</w:t>
            </w:r>
          </w:p>
        </w:tc>
        <w:tc>
          <w:tcPr>
            <w:tcW w:w="685" w:type="dxa"/>
            <w:tcBorders>
              <w:bottom w:val="single" w:sz="12" w:space="0" w:color="auto"/>
            </w:tcBorders>
            <w:shd w:val="clear" w:color="auto" w:fill="auto"/>
            <w:vAlign w:val="bottom"/>
          </w:tcPr>
          <w:p w14:paraId="5C93E851" w14:textId="77777777" w:rsidR="007F2378" w:rsidRPr="007F2378" w:rsidRDefault="007F2378" w:rsidP="007F2378">
            <w:pPr>
              <w:pStyle w:val="SingleTxtG"/>
              <w:spacing w:before="40" w:after="40" w:line="220" w:lineRule="exact"/>
              <w:ind w:left="0" w:right="0"/>
              <w:jc w:val="right"/>
              <w:rPr>
                <w:sz w:val="18"/>
              </w:rPr>
            </w:pPr>
            <w:r w:rsidRPr="007F2378">
              <w:rPr>
                <w:sz w:val="18"/>
              </w:rPr>
              <w:t>12,2</w:t>
            </w:r>
          </w:p>
        </w:tc>
        <w:tc>
          <w:tcPr>
            <w:tcW w:w="686" w:type="dxa"/>
            <w:tcBorders>
              <w:bottom w:val="single" w:sz="12" w:space="0" w:color="auto"/>
            </w:tcBorders>
            <w:shd w:val="clear" w:color="auto" w:fill="auto"/>
            <w:vAlign w:val="bottom"/>
          </w:tcPr>
          <w:p w14:paraId="31445C45" w14:textId="77777777" w:rsidR="007F2378" w:rsidRPr="007F2378" w:rsidRDefault="007F2378" w:rsidP="007F2378">
            <w:pPr>
              <w:pStyle w:val="SingleTxtG"/>
              <w:spacing w:before="40" w:after="40" w:line="220" w:lineRule="exact"/>
              <w:ind w:left="0" w:right="0"/>
              <w:jc w:val="right"/>
              <w:rPr>
                <w:sz w:val="18"/>
              </w:rPr>
            </w:pPr>
            <w:r w:rsidRPr="007F2378">
              <w:rPr>
                <w:sz w:val="18"/>
              </w:rPr>
              <w:t>13,1</w:t>
            </w:r>
          </w:p>
        </w:tc>
        <w:tc>
          <w:tcPr>
            <w:tcW w:w="756" w:type="dxa"/>
            <w:tcBorders>
              <w:bottom w:val="single" w:sz="12" w:space="0" w:color="auto"/>
            </w:tcBorders>
            <w:shd w:val="clear" w:color="auto" w:fill="auto"/>
            <w:vAlign w:val="bottom"/>
          </w:tcPr>
          <w:p w14:paraId="26948BAC" w14:textId="77777777" w:rsidR="007F2378" w:rsidRPr="007F2378" w:rsidRDefault="007F2378" w:rsidP="007F2378">
            <w:pPr>
              <w:pStyle w:val="SingleTxtG"/>
              <w:spacing w:before="40" w:after="40" w:line="220" w:lineRule="exact"/>
              <w:ind w:left="0" w:right="0"/>
              <w:jc w:val="right"/>
              <w:rPr>
                <w:sz w:val="18"/>
              </w:rPr>
            </w:pPr>
            <w:r w:rsidRPr="007F2378">
              <w:rPr>
                <w:sz w:val="18"/>
              </w:rPr>
              <w:t>7,8</w:t>
            </w:r>
          </w:p>
        </w:tc>
        <w:tc>
          <w:tcPr>
            <w:tcW w:w="1001" w:type="dxa"/>
            <w:tcBorders>
              <w:bottom w:val="single" w:sz="12" w:space="0" w:color="auto"/>
            </w:tcBorders>
            <w:shd w:val="clear" w:color="auto" w:fill="auto"/>
            <w:vAlign w:val="bottom"/>
          </w:tcPr>
          <w:p w14:paraId="2BBF1FB3" w14:textId="77777777" w:rsidR="007F2378" w:rsidRPr="007F2378" w:rsidRDefault="007F2378" w:rsidP="007F2378">
            <w:pPr>
              <w:pStyle w:val="SingleTxtG"/>
              <w:spacing w:before="40" w:after="40" w:line="220" w:lineRule="exact"/>
              <w:ind w:left="0" w:right="0"/>
              <w:jc w:val="right"/>
              <w:rPr>
                <w:sz w:val="18"/>
              </w:rPr>
            </w:pPr>
            <w:r w:rsidRPr="007F2378">
              <w:rPr>
                <w:sz w:val="18"/>
              </w:rPr>
              <w:t>- 40,46</w:t>
            </w:r>
          </w:p>
        </w:tc>
      </w:tr>
    </w:tbl>
    <w:p w14:paraId="6E517D7E" w14:textId="77777777" w:rsidR="008A38B9" w:rsidRPr="008A38B9" w:rsidRDefault="008A38B9" w:rsidP="007F2378">
      <w:pPr>
        <w:pStyle w:val="SingleTxtG"/>
        <w:spacing w:before="240"/>
      </w:pPr>
      <w:r w:rsidRPr="008A38B9">
        <w:t>52.</w:t>
      </w:r>
      <w:r w:rsidRPr="008A38B9">
        <w:tab/>
        <w:t>El Gobierno de la Región del Kurdistán tiene capacidad para generar 6.000 MW. Aunque la producción ha bajado hasta 3.400 MW por la coyuntura económica y la guerra contra Dáesh, la Región no importa energía eléctrica.</w:t>
      </w:r>
    </w:p>
    <w:p w14:paraId="4748413C" w14:textId="77777777" w:rsidR="008A38B9" w:rsidRPr="008A38B9" w:rsidRDefault="008A38B9" w:rsidP="007F2378">
      <w:pPr>
        <w:pStyle w:val="SingleTxtG"/>
      </w:pPr>
      <w:r w:rsidRPr="008A38B9">
        <w:t>53.</w:t>
      </w:r>
      <w:r w:rsidRPr="008A38B9">
        <w:tab/>
        <w:t xml:space="preserve">La agricultura sigue siendo una fuente importante de recursos para el ingreso nacional, aunque se ha visto gravemente perjudicada en los últimos cinco decenios a pesar de los tímidos y ocasionales intentos de evitarlo. En todas las regiones del país se ha reducido de manera notable la superficie cultivada después de que los agricultores partieran y dejaran baldíos terrenos fértiles y explotables agrícolamente por disponer de agua abundante. En 2017, la agricultura, la ganadería, la silvicultura, la pesca y la caza aportaron 3.863.223 millones de dinares al producto interno bruto a precios constantes (el 1,42 %). </w:t>
      </w:r>
    </w:p>
    <w:p w14:paraId="39FB7B61" w14:textId="77777777" w:rsidR="008A38B9" w:rsidRPr="008A38B9" w:rsidRDefault="008A38B9" w:rsidP="007F2378">
      <w:pPr>
        <w:pStyle w:val="SingleTxtG"/>
      </w:pPr>
      <w:r w:rsidRPr="008A38B9">
        <w:lastRenderedPageBreak/>
        <w:t>54.</w:t>
      </w:r>
      <w:r w:rsidRPr="008A38B9">
        <w:tab/>
        <w:t>Las guerras, la migración negativa hacia las ciudades y el grave abandono que sufre el sector agrícola y la cabaña ganadera han socavado la seguridad alimentaria. El Iraq depende actualmente de las importaciones para asegurar las necesidades alimentarias de su población. El Gobierno iraquí trabaja con firmeza para reconstruir ese sector, ha puesto en marcha diversos proyectos en materia de regadío y desarrollo encaminados a remediar esa dolorosa situación, concede préstamos a los agricultores y les suministra aperos y abonos a precios subsidiados. En 2017, el Estado proporcionó a los agricultores 198.575 toneladas de fertilizantes nitrogenados y fosfatados y de fertilizantes de urea, 21.548 toneladas de fertilizantes compuestos y 238.868 toneladas de fertilizantes balanceados.</w:t>
      </w:r>
    </w:p>
    <w:p w14:paraId="7FB9173E" w14:textId="77777777" w:rsidR="008A38B9" w:rsidRPr="00491717" w:rsidRDefault="008A38B9" w:rsidP="00491717">
      <w:pPr>
        <w:pStyle w:val="SingleTxtG"/>
        <w:ind w:left="1304"/>
        <w:rPr>
          <w:sz w:val="18"/>
          <w:szCs w:val="18"/>
        </w:rPr>
      </w:pPr>
      <w:r w:rsidRPr="00491717">
        <w:rPr>
          <w:i/>
          <w:sz w:val="18"/>
          <w:szCs w:val="18"/>
        </w:rPr>
        <w:t>Fuente:</w:t>
      </w:r>
      <w:r w:rsidRPr="00491717">
        <w:rPr>
          <w:sz w:val="18"/>
          <w:szCs w:val="18"/>
        </w:rPr>
        <w:t xml:space="preserve"> Boletín estadístico.</w:t>
      </w:r>
    </w:p>
    <w:p w14:paraId="7ABDB203" w14:textId="77777777" w:rsidR="008A38B9" w:rsidRDefault="008A38B9" w:rsidP="00491717">
      <w:pPr>
        <w:pStyle w:val="SingleTxtG"/>
      </w:pPr>
      <w:r w:rsidRPr="008A38B9">
        <w:t>55.</w:t>
      </w:r>
      <w:r w:rsidRPr="008A38B9">
        <w:tab/>
        <w:t>Respecto al uso de la tierra en el Iraq y su impacto en la agricultura, en el cuadro siguiente figuran datos sobre las tierras agrícolas cultivables y en uso en el país.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91717" w:rsidRPr="00491717" w14:paraId="57B32428" w14:textId="77777777" w:rsidTr="00491717">
        <w:tc>
          <w:tcPr>
            <w:tcW w:w="2456" w:type="dxa"/>
            <w:tcBorders>
              <w:top w:val="single" w:sz="4" w:space="0" w:color="auto"/>
              <w:bottom w:val="single" w:sz="12" w:space="0" w:color="auto"/>
            </w:tcBorders>
            <w:shd w:val="clear" w:color="auto" w:fill="auto"/>
            <w:vAlign w:val="bottom"/>
          </w:tcPr>
          <w:p w14:paraId="5A630D1B" w14:textId="77777777" w:rsidR="00491717" w:rsidRPr="00491717" w:rsidRDefault="00491717" w:rsidP="00491717">
            <w:pPr>
              <w:pStyle w:val="SingleTxtG"/>
              <w:spacing w:before="80" w:after="80" w:line="200" w:lineRule="exact"/>
              <w:ind w:left="0" w:right="0"/>
              <w:jc w:val="left"/>
              <w:rPr>
                <w:i/>
                <w:sz w:val="16"/>
              </w:rPr>
            </w:pPr>
            <w:r w:rsidRPr="00491717">
              <w:rPr>
                <w:i/>
                <w:sz w:val="16"/>
              </w:rPr>
              <w:t>Uso</w:t>
            </w:r>
          </w:p>
        </w:tc>
        <w:tc>
          <w:tcPr>
            <w:tcW w:w="2457" w:type="dxa"/>
            <w:tcBorders>
              <w:top w:val="single" w:sz="4" w:space="0" w:color="auto"/>
              <w:bottom w:val="single" w:sz="12" w:space="0" w:color="auto"/>
            </w:tcBorders>
            <w:shd w:val="clear" w:color="auto" w:fill="auto"/>
            <w:vAlign w:val="center"/>
          </w:tcPr>
          <w:p w14:paraId="24FAB3EE" w14:textId="77777777" w:rsidR="00491717" w:rsidRPr="00491717" w:rsidRDefault="00491717" w:rsidP="00491717">
            <w:pPr>
              <w:pStyle w:val="SingleTxtG"/>
              <w:spacing w:before="80" w:after="80" w:line="200" w:lineRule="exact"/>
              <w:ind w:left="0" w:right="0"/>
              <w:jc w:val="right"/>
              <w:rPr>
                <w:i/>
                <w:sz w:val="16"/>
              </w:rPr>
            </w:pPr>
            <w:r w:rsidRPr="00491717">
              <w:rPr>
                <w:i/>
                <w:sz w:val="16"/>
              </w:rPr>
              <w:t>Superficie (en millones de dunums)</w:t>
            </w:r>
          </w:p>
        </w:tc>
        <w:tc>
          <w:tcPr>
            <w:tcW w:w="2457" w:type="dxa"/>
            <w:tcBorders>
              <w:top w:val="single" w:sz="4" w:space="0" w:color="auto"/>
              <w:bottom w:val="single" w:sz="12" w:space="0" w:color="auto"/>
            </w:tcBorders>
            <w:shd w:val="clear" w:color="auto" w:fill="auto"/>
            <w:vAlign w:val="center"/>
          </w:tcPr>
          <w:p w14:paraId="40D57340" w14:textId="77777777" w:rsidR="00491717" w:rsidRPr="00491717" w:rsidRDefault="003E1C97" w:rsidP="00491717">
            <w:pPr>
              <w:pStyle w:val="SingleTxtG"/>
              <w:spacing w:before="80" w:after="80" w:line="200" w:lineRule="exact"/>
              <w:ind w:left="0" w:right="0"/>
              <w:jc w:val="right"/>
              <w:rPr>
                <w:i/>
                <w:sz w:val="16"/>
              </w:rPr>
            </w:pPr>
            <w:r>
              <w:rPr>
                <w:i/>
                <w:sz w:val="16"/>
              </w:rPr>
              <w:t>Porcentaje</w:t>
            </w:r>
          </w:p>
        </w:tc>
      </w:tr>
      <w:tr w:rsidR="00491717" w:rsidRPr="00491717" w14:paraId="28769253" w14:textId="77777777" w:rsidTr="00A4737A">
        <w:tc>
          <w:tcPr>
            <w:tcW w:w="2456" w:type="dxa"/>
            <w:tcBorders>
              <w:top w:val="single" w:sz="12" w:space="0" w:color="auto"/>
            </w:tcBorders>
            <w:shd w:val="clear" w:color="auto" w:fill="auto"/>
            <w:vAlign w:val="center"/>
          </w:tcPr>
          <w:p w14:paraId="0E7EFE6E" w14:textId="77777777" w:rsidR="00491717" w:rsidRPr="00491717" w:rsidRDefault="00491717" w:rsidP="00491717">
            <w:pPr>
              <w:pStyle w:val="SingleTxtG"/>
              <w:spacing w:before="40" w:after="40" w:line="220" w:lineRule="exact"/>
              <w:ind w:left="0" w:right="0"/>
              <w:jc w:val="left"/>
              <w:rPr>
                <w:sz w:val="18"/>
              </w:rPr>
            </w:pPr>
            <w:r w:rsidRPr="00491717">
              <w:rPr>
                <w:sz w:val="18"/>
              </w:rPr>
              <w:t>Tierras cultivables</w:t>
            </w:r>
          </w:p>
        </w:tc>
        <w:tc>
          <w:tcPr>
            <w:tcW w:w="2457" w:type="dxa"/>
            <w:tcBorders>
              <w:top w:val="single" w:sz="12" w:space="0" w:color="auto"/>
            </w:tcBorders>
            <w:shd w:val="clear" w:color="auto" w:fill="auto"/>
            <w:vAlign w:val="center"/>
          </w:tcPr>
          <w:p w14:paraId="38F38B04" w14:textId="77777777" w:rsidR="00491717" w:rsidRPr="00491717" w:rsidRDefault="00491717" w:rsidP="00491717">
            <w:pPr>
              <w:pStyle w:val="SingleTxtG"/>
              <w:spacing w:before="40" w:after="40" w:line="220" w:lineRule="exact"/>
              <w:ind w:left="0" w:right="0"/>
              <w:jc w:val="right"/>
              <w:rPr>
                <w:sz w:val="18"/>
              </w:rPr>
            </w:pPr>
            <w:r w:rsidRPr="00491717">
              <w:rPr>
                <w:sz w:val="18"/>
              </w:rPr>
              <w:t>48</w:t>
            </w:r>
          </w:p>
        </w:tc>
        <w:tc>
          <w:tcPr>
            <w:tcW w:w="2457" w:type="dxa"/>
            <w:tcBorders>
              <w:top w:val="single" w:sz="12" w:space="0" w:color="auto"/>
            </w:tcBorders>
            <w:shd w:val="clear" w:color="auto" w:fill="auto"/>
            <w:vAlign w:val="center"/>
          </w:tcPr>
          <w:p w14:paraId="7228F61C" w14:textId="77777777" w:rsidR="00491717" w:rsidRPr="00491717" w:rsidRDefault="00491717" w:rsidP="00491717">
            <w:pPr>
              <w:pStyle w:val="SingleTxtG"/>
              <w:spacing w:before="40" w:after="40" w:line="220" w:lineRule="exact"/>
              <w:ind w:left="0" w:right="0"/>
              <w:jc w:val="right"/>
              <w:rPr>
                <w:sz w:val="18"/>
              </w:rPr>
            </w:pPr>
            <w:r w:rsidRPr="00491717">
              <w:rPr>
                <w:sz w:val="18"/>
              </w:rPr>
              <w:t>27,5</w:t>
            </w:r>
          </w:p>
        </w:tc>
      </w:tr>
      <w:tr w:rsidR="00491717" w:rsidRPr="00491717" w14:paraId="48D8FCF2" w14:textId="77777777" w:rsidTr="00A4737A">
        <w:tc>
          <w:tcPr>
            <w:tcW w:w="2456" w:type="dxa"/>
            <w:shd w:val="clear" w:color="auto" w:fill="auto"/>
            <w:vAlign w:val="center"/>
          </w:tcPr>
          <w:p w14:paraId="67D84142" w14:textId="77777777" w:rsidR="00491717" w:rsidRPr="00491717" w:rsidRDefault="00491717" w:rsidP="00491717">
            <w:pPr>
              <w:pStyle w:val="SingleTxtG"/>
              <w:spacing w:before="40" w:after="40" w:line="220" w:lineRule="exact"/>
              <w:ind w:left="0" w:right="0"/>
              <w:jc w:val="left"/>
              <w:rPr>
                <w:sz w:val="18"/>
              </w:rPr>
            </w:pPr>
            <w:r w:rsidRPr="00491717">
              <w:rPr>
                <w:sz w:val="18"/>
              </w:rPr>
              <w:t>Pastizales naturales</w:t>
            </w:r>
          </w:p>
        </w:tc>
        <w:tc>
          <w:tcPr>
            <w:tcW w:w="2457" w:type="dxa"/>
            <w:shd w:val="clear" w:color="auto" w:fill="auto"/>
            <w:vAlign w:val="center"/>
          </w:tcPr>
          <w:p w14:paraId="6E4C6946" w14:textId="77777777" w:rsidR="00491717" w:rsidRPr="00491717" w:rsidRDefault="00491717" w:rsidP="00491717">
            <w:pPr>
              <w:pStyle w:val="SingleTxtG"/>
              <w:spacing w:before="40" w:after="40" w:line="220" w:lineRule="exact"/>
              <w:ind w:left="0" w:right="0"/>
              <w:jc w:val="right"/>
              <w:rPr>
                <w:sz w:val="18"/>
              </w:rPr>
            </w:pPr>
            <w:r w:rsidRPr="00491717">
              <w:rPr>
                <w:sz w:val="18"/>
              </w:rPr>
              <w:t>16</w:t>
            </w:r>
          </w:p>
        </w:tc>
        <w:tc>
          <w:tcPr>
            <w:tcW w:w="2457" w:type="dxa"/>
            <w:shd w:val="clear" w:color="auto" w:fill="auto"/>
            <w:vAlign w:val="center"/>
          </w:tcPr>
          <w:p w14:paraId="046F9CA4" w14:textId="77777777" w:rsidR="00491717" w:rsidRPr="00491717" w:rsidRDefault="00491717" w:rsidP="00491717">
            <w:pPr>
              <w:pStyle w:val="SingleTxtG"/>
              <w:spacing w:before="40" w:after="40" w:line="220" w:lineRule="exact"/>
              <w:ind w:left="0" w:right="0"/>
              <w:jc w:val="right"/>
              <w:rPr>
                <w:sz w:val="18"/>
              </w:rPr>
            </w:pPr>
            <w:r w:rsidRPr="00491717">
              <w:rPr>
                <w:sz w:val="18"/>
              </w:rPr>
              <w:t>9,2</w:t>
            </w:r>
          </w:p>
        </w:tc>
      </w:tr>
      <w:tr w:rsidR="00491717" w:rsidRPr="00491717" w14:paraId="06EC6BD7" w14:textId="77777777" w:rsidTr="00A4737A">
        <w:tc>
          <w:tcPr>
            <w:tcW w:w="2456" w:type="dxa"/>
            <w:shd w:val="clear" w:color="auto" w:fill="auto"/>
            <w:vAlign w:val="center"/>
          </w:tcPr>
          <w:p w14:paraId="476CA0B0" w14:textId="77777777" w:rsidR="00491717" w:rsidRPr="00491717" w:rsidRDefault="00491717" w:rsidP="00491717">
            <w:pPr>
              <w:pStyle w:val="SingleTxtG"/>
              <w:spacing w:before="40" w:after="40" w:line="220" w:lineRule="exact"/>
              <w:ind w:left="0" w:right="0"/>
              <w:jc w:val="left"/>
              <w:rPr>
                <w:sz w:val="18"/>
              </w:rPr>
            </w:pPr>
            <w:r w:rsidRPr="00491717">
              <w:rPr>
                <w:sz w:val="18"/>
              </w:rPr>
              <w:t>Bosques naturales</w:t>
            </w:r>
          </w:p>
        </w:tc>
        <w:tc>
          <w:tcPr>
            <w:tcW w:w="2457" w:type="dxa"/>
            <w:shd w:val="clear" w:color="auto" w:fill="auto"/>
            <w:vAlign w:val="center"/>
          </w:tcPr>
          <w:p w14:paraId="2D5D526F" w14:textId="77777777" w:rsidR="00491717" w:rsidRPr="00491717" w:rsidRDefault="00491717" w:rsidP="00491717">
            <w:pPr>
              <w:pStyle w:val="SingleTxtG"/>
              <w:spacing w:before="40" w:after="40" w:line="220" w:lineRule="exact"/>
              <w:ind w:left="0" w:right="0"/>
              <w:jc w:val="right"/>
              <w:rPr>
                <w:sz w:val="18"/>
              </w:rPr>
            </w:pPr>
            <w:r w:rsidRPr="00491717">
              <w:rPr>
                <w:sz w:val="18"/>
              </w:rPr>
              <w:t>7</w:t>
            </w:r>
          </w:p>
        </w:tc>
        <w:tc>
          <w:tcPr>
            <w:tcW w:w="2457" w:type="dxa"/>
            <w:shd w:val="clear" w:color="auto" w:fill="auto"/>
            <w:vAlign w:val="center"/>
          </w:tcPr>
          <w:p w14:paraId="703045A3" w14:textId="77777777" w:rsidR="00491717" w:rsidRPr="00491717" w:rsidRDefault="00491717" w:rsidP="00491717">
            <w:pPr>
              <w:pStyle w:val="SingleTxtG"/>
              <w:spacing w:before="40" w:after="40" w:line="220" w:lineRule="exact"/>
              <w:ind w:left="0" w:right="0"/>
              <w:jc w:val="right"/>
              <w:rPr>
                <w:sz w:val="18"/>
              </w:rPr>
            </w:pPr>
            <w:r w:rsidRPr="00491717">
              <w:rPr>
                <w:sz w:val="18"/>
              </w:rPr>
              <w:t>4</w:t>
            </w:r>
          </w:p>
        </w:tc>
      </w:tr>
      <w:tr w:rsidR="00491717" w:rsidRPr="00491717" w14:paraId="10A03DD3" w14:textId="77777777" w:rsidTr="00A4737A">
        <w:tc>
          <w:tcPr>
            <w:tcW w:w="2456" w:type="dxa"/>
            <w:shd w:val="clear" w:color="auto" w:fill="auto"/>
            <w:vAlign w:val="center"/>
          </w:tcPr>
          <w:p w14:paraId="36F1C0B1" w14:textId="77777777" w:rsidR="00491717" w:rsidRPr="00491717" w:rsidRDefault="00491717" w:rsidP="00491717">
            <w:pPr>
              <w:pStyle w:val="SingleTxtG"/>
              <w:spacing w:before="40" w:after="40" w:line="220" w:lineRule="exact"/>
              <w:ind w:left="0" w:right="0"/>
              <w:jc w:val="left"/>
              <w:rPr>
                <w:sz w:val="18"/>
              </w:rPr>
            </w:pPr>
            <w:r w:rsidRPr="00491717">
              <w:rPr>
                <w:sz w:val="18"/>
              </w:rPr>
              <w:t>Zonas montañosas estériles</w:t>
            </w:r>
          </w:p>
        </w:tc>
        <w:tc>
          <w:tcPr>
            <w:tcW w:w="2457" w:type="dxa"/>
            <w:shd w:val="clear" w:color="auto" w:fill="auto"/>
            <w:vAlign w:val="center"/>
          </w:tcPr>
          <w:p w14:paraId="737A18DE" w14:textId="77777777" w:rsidR="00491717" w:rsidRPr="00491717" w:rsidRDefault="00491717" w:rsidP="00491717">
            <w:pPr>
              <w:pStyle w:val="SingleTxtG"/>
              <w:spacing w:before="40" w:after="40" w:line="220" w:lineRule="exact"/>
              <w:ind w:left="0" w:right="0"/>
              <w:jc w:val="right"/>
              <w:rPr>
                <w:sz w:val="18"/>
              </w:rPr>
            </w:pPr>
            <w:r w:rsidRPr="00491717">
              <w:rPr>
                <w:sz w:val="18"/>
              </w:rPr>
              <w:t>1,7</w:t>
            </w:r>
          </w:p>
        </w:tc>
        <w:tc>
          <w:tcPr>
            <w:tcW w:w="2457" w:type="dxa"/>
            <w:shd w:val="clear" w:color="auto" w:fill="auto"/>
            <w:vAlign w:val="center"/>
          </w:tcPr>
          <w:p w14:paraId="2E19034C" w14:textId="77777777" w:rsidR="00491717" w:rsidRPr="00491717" w:rsidRDefault="00491717" w:rsidP="00491717">
            <w:pPr>
              <w:pStyle w:val="SingleTxtG"/>
              <w:spacing w:before="40" w:after="40" w:line="220" w:lineRule="exact"/>
              <w:ind w:left="0" w:right="0"/>
              <w:jc w:val="right"/>
              <w:rPr>
                <w:sz w:val="18"/>
              </w:rPr>
            </w:pPr>
            <w:r w:rsidRPr="00491717">
              <w:rPr>
                <w:sz w:val="18"/>
              </w:rPr>
              <w:t>1</w:t>
            </w:r>
          </w:p>
        </w:tc>
      </w:tr>
      <w:tr w:rsidR="00491717" w:rsidRPr="00491717" w14:paraId="73585417" w14:textId="77777777" w:rsidTr="00A4737A">
        <w:tc>
          <w:tcPr>
            <w:tcW w:w="2456" w:type="dxa"/>
            <w:shd w:val="clear" w:color="auto" w:fill="auto"/>
            <w:vAlign w:val="center"/>
          </w:tcPr>
          <w:p w14:paraId="6E707881" w14:textId="77777777" w:rsidR="00491717" w:rsidRPr="00491717" w:rsidRDefault="00491717" w:rsidP="00491717">
            <w:pPr>
              <w:pStyle w:val="SingleTxtG"/>
              <w:spacing w:before="40" w:after="40" w:line="220" w:lineRule="exact"/>
              <w:ind w:left="0" w:right="0"/>
              <w:jc w:val="left"/>
              <w:rPr>
                <w:sz w:val="18"/>
              </w:rPr>
            </w:pPr>
            <w:r w:rsidRPr="00491717">
              <w:rPr>
                <w:sz w:val="18"/>
              </w:rPr>
              <w:t>Zonas desérticas</w:t>
            </w:r>
          </w:p>
        </w:tc>
        <w:tc>
          <w:tcPr>
            <w:tcW w:w="2457" w:type="dxa"/>
            <w:shd w:val="clear" w:color="auto" w:fill="auto"/>
            <w:vAlign w:val="center"/>
          </w:tcPr>
          <w:p w14:paraId="6BCBD72F" w14:textId="77777777" w:rsidR="00491717" w:rsidRPr="00491717" w:rsidRDefault="00491717" w:rsidP="00491717">
            <w:pPr>
              <w:pStyle w:val="SingleTxtG"/>
              <w:spacing w:before="40" w:after="40" w:line="220" w:lineRule="exact"/>
              <w:ind w:left="0" w:right="0"/>
              <w:jc w:val="right"/>
              <w:rPr>
                <w:sz w:val="18"/>
              </w:rPr>
            </w:pPr>
            <w:r w:rsidRPr="00491717">
              <w:rPr>
                <w:sz w:val="18"/>
              </w:rPr>
              <w:t>54</w:t>
            </w:r>
          </w:p>
        </w:tc>
        <w:tc>
          <w:tcPr>
            <w:tcW w:w="2457" w:type="dxa"/>
            <w:shd w:val="clear" w:color="auto" w:fill="auto"/>
            <w:vAlign w:val="center"/>
          </w:tcPr>
          <w:p w14:paraId="060B1CB1" w14:textId="77777777" w:rsidR="00491717" w:rsidRPr="00491717" w:rsidRDefault="00491717" w:rsidP="00491717">
            <w:pPr>
              <w:pStyle w:val="SingleTxtG"/>
              <w:spacing w:before="40" w:after="40" w:line="220" w:lineRule="exact"/>
              <w:ind w:left="0" w:right="0"/>
              <w:jc w:val="right"/>
              <w:rPr>
                <w:sz w:val="18"/>
              </w:rPr>
            </w:pPr>
            <w:r w:rsidRPr="00491717">
              <w:rPr>
                <w:sz w:val="18"/>
              </w:rPr>
              <w:t>31</w:t>
            </w:r>
          </w:p>
        </w:tc>
      </w:tr>
      <w:tr w:rsidR="00491717" w:rsidRPr="00491717" w14:paraId="6118BFDC" w14:textId="77777777" w:rsidTr="00491717">
        <w:tc>
          <w:tcPr>
            <w:tcW w:w="2456" w:type="dxa"/>
            <w:tcBorders>
              <w:bottom w:val="single" w:sz="4" w:space="0" w:color="auto"/>
            </w:tcBorders>
            <w:shd w:val="clear" w:color="auto" w:fill="auto"/>
            <w:vAlign w:val="center"/>
          </w:tcPr>
          <w:p w14:paraId="1E9EF37D" w14:textId="77777777" w:rsidR="00491717" w:rsidRPr="00491717" w:rsidRDefault="00491717" w:rsidP="00491717">
            <w:pPr>
              <w:pStyle w:val="SingleTxtG"/>
              <w:spacing w:before="40" w:after="40" w:line="220" w:lineRule="exact"/>
              <w:ind w:left="0" w:right="0"/>
              <w:jc w:val="left"/>
              <w:rPr>
                <w:sz w:val="18"/>
              </w:rPr>
            </w:pPr>
            <w:r w:rsidRPr="00491717">
              <w:rPr>
                <w:sz w:val="18"/>
              </w:rPr>
              <w:t>Superficies acuáticas y terrenos urbanizados</w:t>
            </w:r>
          </w:p>
        </w:tc>
        <w:tc>
          <w:tcPr>
            <w:tcW w:w="2457" w:type="dxa"/>
            <w:tcBorders>
              <w:bottom w:val="single" w:sz="4" w:space="0" w:color="auto"/>
            </w:tcBorders>
            <w:shd w:val="clear" w:color="auto" w:fill="auto"/>
            <w:vAlign w:val="center"/>
          </w:tcPr>
          <w:p w14:paraId="52EFC313" w14:textId="77777777" w:rsidR="00491717" w:rsidRPr="00491717" w:rsidRDefault="00491717" w:rsidP="00491717">
            <w:pPr>
              <w:pStyle w:val="SingleTxtG"/>
              <w:spacing w:before="40" w:after="40" w:line="220" w:lineRule="exact"/>
              <w:ind w:left="0" w:right="0"/>
              <w:jc w:val="right"/>
              <w:rPr>
                <w:sz w:val="18"/>
              </w:rPr>
            </w:pPr>
            <w:r w:rsidRPr="00491717">
              <w:rPr>
                <w:sz w:val="18"/>
              </w:rPr>
              <w:t>47,7</w:t>
            </w:r>
          </w:p>
        </w:tc>
        <w:tc>
          <w:tcPr>
            <w:tcW w:w="2457" w:type="dxa"/>
            <w:tcBorders>
              <w:bottom w:val="single" w:sz="4" w:space="0" w:color="auto"/>
            </w:tcBorders>
            <w:shd w:val="clear" w:color="auto" w:fill="auto"/>
            <w:vAlign w:val="center"/>
          </w:tcPr>
          <w:p w14:paraId="531B8060" w14:textId="77777777" w:rsidR="00491717" w:rsidRPr="00491717" w:rsidRDefault="00491717" w:rsidP="00491717">
            <w:pPr>
              <w:pStyle w:val="SingleTxtG"/>
              <w:spacing w:before="40" w:after="40" w:line="220" w:lineRule="exact"/>
              <w:ind w:left="0" w:right="0"/>
              <w:jc w:val="right"/>
              <w:rPr>
                <w:sz w:val="18"/>
              </w:rPr>
            </w:pPr>
            <w:r w:rsidRPr="00491717">
              <w:rPr>
                <w:sz w:val="18"/>
              </w:rPr>
              <w:t>27,3</w:t>
            </w:r>
          </w:p>
        </w:tc>
      </w:tr>
      <w:tr w:rsidR="00491717" w:rsidRPr="00491717" w14:paraId="0A37569A" w14:textId="77777777" w:rsidTr="00491717">
        <w:tc>
          <w:tcPr>
            <w:tcW w:w="2456" w:type="dxa"/>
            <w:tcBorders>
              <w:top w:val="single" w:sz="4" w:space="0" w:color="auto"/>
              <w:bottom w:val="single" w:sz="12" w:space="0" w:color="auto"/>
            </w:tcBorders>
            <w:shd w:val="clear" w:color="auto" w:fill="auto"/>
            <w:vAlign w:val="center"/>
          </w:tcPr>
          <w:p w14:paraId="0D8544B9" w14:textId="77777777" w:rsidR="00491717" w:rsidRPr="00491717" w:rsidRDefault="00491717" w:rsidP="00491717">
            <w:pPr>
              <w:pStyle w:val="SingleTxtG"/>
              <w:spacing w:before="80" w:after="80" w:line="220" w:lineRule="exact"/>
              <w:ind w:left="284" w:right="0"/>
              <w:jc w:val="left"/>
              <w:rPr>
                <w:b/>
                <w:bCs/>
                <w:sz w:val="18"/>
              </w:rPr>
            </w:pPr>
            <w:r w:rsidRPr="00491717">
              <w:rPr>
                <w:b/>
                <w:bCs/>
                <w:sz w:val="18"/>
              </w:rPr>
              <w:t>Total</w:t>
            </w:r>
          </w:p>
        </w:tc>
        <w:tc>
          <w:tcPr>
            <w:tcW w:w="2457" w:type="dxa"/>
            <w:tcBorders>
              <w:top w:val="single" w:sz="4" w:space="0" w:color="auto"/>
              <w:bottom w:val="single" w:sz="12" w:space="0" w:color="auto"/>
            </w:tcBorders>
            <w:shd w:val="clear" w:color="auto" w:fill="auto"/>
            <w:vAlign w:val="center"/>
          </w:tcPr>
          <w:p w14:paraId="4CAA32F7" w14:textId="77777777" w:rsidR="00491717" w:rsidRPr="00491717" w:rsidRDefault="00491717" w:rsidP="00491717">
            <w:pPr>
              <w:pStyle w:val="SingleTxtG"/>
              <w:spacing w:before="80" w:after="80" w:line="220" w:lineRule="exact"/>
              <w:ind w:left="0" w:right="0"/>
              <w:jc w:val="right"/>
              <w:rPr>
                <w:b/>
                <w:bCs/>
                <w:sz w:val="18"/>
              </w:rPr>
            </w:pPr>
            <w:r w:rsidRPr="00491717">
              <w:rPr>
                <w:b/>
                <w:bCs/>
                <w:sz w:val="18"/>
              </w:rPr>
              <w:t>174,4</w:t>
            </w:r>
          </w:p>
        </w:tc>
        <w:tc>
          <w:tcPr>
            <w:tcW w:w="2457" w:type="dxa"/>
            <w:tcBorders>
              <w:top w:val="single" w:sz="4" w:space="0" w:color="auto"/>
              <w:bottom w:val="single" w:sz="12" w:space="0" w:color="auto"/>
            </w:tcBorders>
            <w:shd w:val="clear" w:color="auto" w:fill="auto"/>
            <w:vAlign w:val="center"/>
          </w:tcPr>
          <w:p w14:paraId="38720BB1" w14:textId="77777777" w:rsidR="00491717" w:rsidRPr="00491717" w:rsidRDefault="00491717" w:rsidP="00491717">
            <w:pPr>
              <w:pStyle w:val="SingleTxtG"/>
              <w:spacing w:before="80" w:after="80" w:line="220" w:lineRule="exact"/>
              <w:ind w:left="0" w:right="0"/>
              <w:jc w:val="right"/>
              <w:rPr>
                <w:b/>
                <w:bCs/>
                <w:sz w:val="18"/>
              </w:rPr>
            </w:pPr>
            <w:r w:rsidRPr="00491717">
              <w:rPr>
                <w:b/>
                <w:bCs/>
                <w:sz w:val="18"/>
              </w:rPr>
              <w:t>100</w:t>
            </w:r>
          </w:p>
        </w:tc>
      </w:tr>
    </w:tbl>
    <w:p w14:paraId="0802087F" w14:textId="77777777" w:rsidR="008A38B9" w:rsidRPr="00491717" w:rsidRDefault="008A38B9" w:rsidP="00491717">
      <w:pPr>
        <w:pStyle w:val="SingleTxtG"/>
        <w:spacing w:before="120" w:after="240"/>
        <w:ind w:firstLine="170"/>
        <w:jc w:val="left"/>
        <w:rPr>
          <w:sz w:val="18"/>
          <w:szCs w:val="18"/>
        </w:rPr>
      </w:pPr>
      <w:r w:rsidRPr="00491717">
        <w:rPr>
          <w:i/>
          <w:iCs/>
          <w:sz w:val="18"/>
          <w:szCs w:val="18"/>
        </w:rPr>
        <w:t>Fuente</w:t>
      </w:r>
      <w:r w:rsidRPr="003E1C97">
        <w:rPr>
          <w:i/>
          <w:sz w:val="18"/>
          <w:szCs w:val="18"/>
        </w:rPr>
        <w:t>:</w:t>
      </w:r>
      <w:r w:rsidRPr="00491717">
        <w:rPr>
          <w:sz w:val="18"/>
          <w:szCs w:val="18"/>
        </w:rPr>
        <w:t xml:space="preserve"> Ministerio de Medioambiente, Departamento de Planificación y Seguimiento Técnico, Sección de Medioambiente.</w:t>
      </w:r>
    </w:p>
    <w:p w14:paraId="510CAC9A" w14:textId="77777777" w:rsidR="008A38B9" w:rsidRPr="008A38B9" w:rsidRDefault="008A38B9" w:rsidP="00491717">
      <w:pPr>
        <w:pStyle w:val="SingleTxtG"/>
      </w:pPr>
      <w:r w:rsidRPr="008A38B9">
        <w:t>56.</w:t>
      </w:r>
      <w:r w:rsidRPr="008A38B9">
        <w:tab/>
        <w:t xml:space="preserve">El Gobierno del Iraq es responsable de la situación sanitaria en el país. La sanidad pública se ocupa sin intermediarios de gestionar y regular el sistema de salud y de prestar atención sanitaria a la mayoría de los ciudadanos. Esto no significa que sea suficiente o eficiente. La reconstrucción y reforma del sistema de salud iraquí afronta numerosos retos y exigirá grandes esfuerzos. El artículo 31 de la Constitución iraquí dispone que </w:t>
      </w:r>
      <w:r w:rsidR="001D4448">
        <w:t>“</w:t>
      </w:r>
      <w:r w:rsidRPr="008A38B9">
        <w:t>los iraquíes tienen derecho a la atención sanitaria. El Estado vela por la salud pública, asegura la disponibilidad de medios preventivos y terapéuticos y edifica centros hospitalarios y establecimientos sanitarios de todo tipo</w:t>
      </w:r>
      <w:r w:rsidR="001D4448">
        <w:t>”</w:t>
      </w:r>
      <w:r w:rsidRPr="008A38B9">
        <w:t>. La financiación es fundamental en todo sistema sanitario. La mayoría de los países prioriza la atención de la salud al distribuir sus recursos financieros. Por ello, la financiación es un elemento importante de las medidas integrales tomadas para asegurar la protección social gracias a la cobertura sanitaria universal. En 2017, el presupuesto total del Estado (sin incluir la Región del Kurdistán) para la atención sanitaria fue 3.834.515 millones de dinares, con una asignación per cápita de 120.000 dinares.</w:t>
      </w:r>
    </w:p>
    <w:p w14:paraId="6E46802F" w14:textId="77777777" w:rsidR="008A38B9" w:rsidRPr="008A38B9" w:rsidRDefault="008A38B9" w:rsidP="00491717">
      <w:pPr>
        <w:pStyle w:val="SingleTxtG"/>
      </w:pPr>
      <w:r w:rsidRPr="008A38B9">
        <w:t>57.</w:t>
      </w:r>
      <w:r w:rsidRPr="008A38B9">
        <w:tab/>
        <w:t>La situación sanitaria ha mejorado en el Iraq en los dos últimos decenios. En 2006, 2014 y 2017, la esperanza de vida al nacer fue, respectivamente, 58,2, 69,3 y 70,3 años, lo que demuestra que, pese a la difícil situación de seguridad por la que atraviesa el país, los servicios sanitarios al servicio del ciudadano han mejorado. La tasa de crecimiento demográfico en el Iraq es del 2,2 %.</w:t>
      </w:r>
    </w:p>
    <w:p w14:paraId="21B08F06" w14:textId="77777777" w:rsidR="008A38B9" w:rsidRPr="008A38B9" w:rsidRDefault="008A38B9" w:rsidP="00491717">
      <w:pPr>
        <w:pStyle w:val="SingleTxtG"/>
      </w:pPr>
      <w:r w:rsidRPr="008A38B9">
        <w:t>58.</w:t>
      </w:r>
      <w:r w:rsidRPr="008A38B9">
        <w:tab/>
        <w:t>En 2017, el 3,81 % del gasto público se destinó a la atención de la salud.</w:t>
      </w:r>
    </w:p>
    <w:p w14:paraId="0D6BAE14" w14:textId="77777777" w:rsidR="008A38B9" w:rsidRPr="008A38B9" w:rsidRDefault="008A38B9" w:rsidP="00491717">
      <w:pPr>
        <w:pStyle w:val="SingleTxtG"/>
      </w:pPr>
      <w:r w:rsidRPr="008A38B9">
        <w:t>59.</w:t>
      </w:r>
      <w:r w:rsidRPr="008A38B9">
        <w:tab/>
        <w:t>El 5,77 % de los presupuestos del Gobierno de la Región del Kurdistán se destinó al gasto sanitario*.</w:t>
      </w:r>
    </w:p>
    <w:p w14:paraId="7701E105" w14:textId="77777777" w:rsidR="008A38B9" w:rsidRPr="00491717" w:rsidRDefault="008A38B9" w:rsidP="00491717">
      <w:pPr>
        <w:pStyle w:val="SingleTxtG"/>
        <w:ind w:firstLine="170"/>
        <w:jc w:val="left"/>
        <w:rPr>
          <w:sz w:val="18"/>
          <w:szCs w:val="18"/>
        </w:rPr>
      </w:pPr>
      <w:r w:rsidRPr="00491717">
        <w:rPr>
          <w:sz w:val="18"/>
          <w:szCs w:val="18"/>
        </w:rPr>
        <w:t xml:space="preserve">* </w:t>
      </w:r>
      <w:r w:rsidR="00BF2222">
        <w:rPr>
          <w:sz w:val="18"/>
          <w:szCs w:val="18"/>
        </w:rPr>
        <w:t xml:space="preserve"> </w:t>
      </w:r>
      <w:r w:rsidRPr="00491717">
        <w:rPr>
          <w:sz w:val="18"/>
          <w:szCs w:val="18"/>
        </w:rPr>
        <w:t>Estrategia Nacional para Combatir la Violencia contra las Mujeres y las Niñas en el Kurdistán 2017-2027.</w:t>
      </w:r>
    </w:p>
    <w:p w14:paraId="1E228005" w14:textId="77777777" w:rsidR="008A38B9" w:rsidRDefault="008A38B9" w:rsidP="00491717">
      <w:pPr>
        <w:pStyle w:val="SingleTxtG"/>
      </w:pPr>
      <w:r w:rsidRPr="008A38B9">
        <w:t>60.</w:t>
      </w:r>
      <w:r w:rsidRPr="008A38B9">
        <w:tab/>
        <w:t>En el cuadro siguiente figuran los indicadores para 2017 de la atención primaria, secundaria y terciaria de la salud, pilar de los servicios terapéuticos y de habilitación que los centros hospitalarios generales, especializados y privados de todo el Iraq prestan a los ciudadanos para asegurar la atención integral de la salud individual y colectiva.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71"/>
        <w:gridCol w:w="1799"/>
      </w:tblGrid>
      <w:tr w:rsidR="00491717" w:rsidRPr="00491717" w14:paraId="17D786B4" w14:textId="77777777" w:rsidTr="00491717">
        <w:trPr>
          <w:tblHeader/>
        </w:trPr>
        <w:tc>
          <w:tcPr>
            <w:tcW w:w="5571" w:type="dxa"/>
            <w:tcBorders>
              <w:top w:val="single" w:sz="4" w:space="0" w:color="auto"/>
              <w:bottom w:val="single" w:sz="12" w:space="0" w:color="auto"/>
            </w:tcBorders>
            <w:shd w:val="clear" w:color="auto" w:fill="auto"/>
            <w:vAlign w:val="bottom"/>
          </w:tcPr>
          <w:p w14:paraId="2C95F564" w14:textId="77777777" w:rsidR="00491717" w:rsidRPr="00491717" w:rsidRDefault="00491717" w:rsidP="00491717">
            <w:pPr>
              <w:pStyle w:val="SingleTxtG"/>
              <w:spacing w:before="80" w:after="80" w:line="200" w:lineRule="exact"/>
              <w:ind w:left="0" w:right="0"/>
              <w:jc w:val="left"/>
              <w:rPr>
                <w:i/>
                <w:sz w:val="16"/>
              </w:rPr>
            </w:pPr>
            <w:r w:rsidRPr="00491717">
              <w:rPr>
                <w:i/>
                <w:sz w:val="16"/>
              </w:rPr>
              <w:lastRenderedPageBreak/>
              <w:t>Indicador</w:t>
            </w:r>
          </w:p>
        </w:tc>
        <w:tc>
          <w:tcPr>
            <w:tcW w:w="1799" w:type="dxa"/>
            <w:tcBorders>
              <w:top w:val="single" w:sz="4" w:space="0" w:color="auto"/>
              <w:bottom w:val="single" w:sz="12" w:space="0" w:color="auto"/>
            </w:tcBorders>
            <w:shd w:val="clear" w:color="auto" w:fill="auto"/>
            <w:vAlign w:val="bottom"/>
          </w:tcPr>
          <w:p w14:paraId="0FF3D24D" w14:textId="77777777" w:rsidR="00491717" w:rsidRPr="00491717" w:rsidRDefault="00491717" w:rsidP="00491717">
            <w:pPr>
              <w:pStyle w:val="SingleTxtG"/>
              <w:spacing w:before="80" w:after="80" w:line="200" w:lineRule="exact"/>
              <w:ind w:left="0" w:right="0"/>
              <w:jc w:val="right"/>
              <w:rPr>
                <w:i/>
                <w:sz w:val="16"/>
              </w:rPr>
            </w:pPr>
            <w:r w:rsidRPr="00491717">
              <w:rPr>
                <w:i/>
                <w:sz w:val="16"/>
              </w:rPr>
              <w:t>Año 2017</w:t>
            </w:r>
          </w:p>
        </w:tc>
      </w:tr>
      <w:tr w:rsidR="00491717" w:rsidRPr="00491717" w14:paraId="160296D2" w14:textId="77777777" w:rsidTr="00A4737A">
        <w:tc>
          <w:tcPr>
            <w:tcW w:w="5571" w:type="dxa"/>
            <w:tcBorders>
              <w:top w:val="single" w:sz="12" w:space="0" w:color="auto"/>
            </w:tcBorders>
            <w:shd w:val="clear" w:color="auto" w:fill="auto"/>
            <w:vAlign w:val="center"/>
          </w:tcPr>
          <w:p w14:paraId="425759BE"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Hospitales públicos y clínicas especializadas con camas </w:t>
            </w:r>
          </w:p>
        </w:tc>
        <w:tc>
          <w:tcPr>
            <w:tcW w:w="1799" w:type="dxa"/>
            <w:tcBorders>
              <w:top w:val="single" w:sz="12" w:space="0" w:color="auto"/>
            </w:tcBorders>
            <w:shd w:val="clear" w:color="auto" w:fill="auto"/>
            <w:vAlign w:val="center"/>
          </w:tcPr>
          <w:p w14:paraId="2C1AAA43" w14:textId="77777777" w:rsidR="00491717" w:rsidRPr="00491717" w:rsidRDefault="00491717" w:rsidP="00491717">
            <w:pPr>
              <w:pStyle w:val="SingleTxtG"/>
              <w:spacing w:before="40" w:after="40" w:line="220" w:lineRule="exact"/>
              <w:ind w:left="0" w:right="0"/>
              <w:jc w:val="right"/>
              <w:rPr>
                <w:sz w:val="18"/>
              </w:rPr>
            </w:pPr>
            <w:r w:rsidRPr="00491717">
              <w:rPr>
                <w:sz w:val="18"/>
              </w:rPr>
              <w:t>273</w:t>
            </w:r>
          </w:p>
        </w:tc>
      </w:tr>
      <w:tr w:rsidR="00491717" w:rsidRPr="00491717" w14:paraId="51DC30EE" w14:textId="77777777" w:rsidTr="00A4737A">
        <w:tc>
          <w:tcPr>
            <w:tcW w:w="5571" w:type="dxa"/>
            <w:shd w:val="clear" w:color="auto" w:fill="auto"/>
            <w:vAlign w:val="center"/>
          </w:tcPr>
          <w:p w14:paraId="7C60BEE4" w14:textId="77777777" w:rsidR="00491717" w:rsidRPr="00491717" w:rsidRDefault="00491717" w:rsidP="00491717">
            <w:pPr>
              <w:pStyle w:val="SingleTxtG"/>
              <w:spacing w:before="40" w:after="40" w:line="220" w:lineRule="exact"/>
              <w:ind w:left="0" w:right="0"/>
              <w:jc w:val="left"/>
              <w:rPr>
                <w:sz w:val="18"/>
              </w:rPr>
            </w:pPr>
            <w:r w:rsidRPr="00491717">
              <w:rPr>
                <w:sz w:val="18"/>
              </w:rPr>
              <w:t>Hospitales privados</w:t>
            </w:r>
          </w:p>
        </w:tc>
        <w:tc>
          <w:tcPr>
            <w:tcW w:w="1799" w:type="dxa"/>
            <w:shd w:val="clear" w:color="auto" w:fill="auto"/>
            <w:vAlign w:val="center"/>
          </w:tcPr>
          <w:p w14:paraId="26883168" w14:textId="77777777" w:rsidR="00491717" w:rsidRPr="00491717" w:rsidRDefault="00491717" w:rsidP="00491717">
            <w:pPr>
              <w:pStyle w:val="SingleTxtG"/>
              <w:spacing w:before="40" w:after="40" w:line="220" w:lineRule="exact"/>
              <w:ind w:left="0" w:right="0"/>
              <w:jc w:val="right"/>
              <w:rPr>
                <w:sz w:val="18"/>
              </w:rPr>
            </w:pPr>
            <w:r w:rsidRPr="00491717">
              <w:rPr>
                <w:sz w:val="18"/>
              </w:rPr>
              <w:t>127</w:t>
            </w:r>
          </w:p>
        </w:tc>
      </w:tr>
      <w:tr w:rsidR="00491717" w:rsidRPr="00491717" w14:paraId="6762C312" w14:textId="77777777" w:rsidTr="00A4737A">
        <w:tc>
          <w:tcPr>
            <w:tcW w:w="5571" w:type="dxa"/>
            <w:shd w:val="clear" w:color="auto" w:fill="auto"/>
            <w:vAlign w:val="center"/>
          </w:tcPr>
          <w:p w14:paraId="074E059D" w14:textId="77777777" w:rsidR="00491717" w:rsidRPr="00491717" w:rsidRDefault="00491717" w:rsidP="00491717">
            <w:pPr>
              <w:pStyle w:val="SingleTxtG"/>
              <w:spacing w:before="40" w:after="40" w:line="220" w:lineRule="exact"/>
              <w:ind w:left="0" w:right="0"/>
              <w:jc w:val="left"/>
              <w:rPr>
                <w:sz w:val="18"/>
              </w:rPr>
            </w:pPr>
            <w:r w:rsidRPr="00491717">
              <w:rPr>
                <w:sz w:val="18"/>
              </w:rPr>
              <w:t>Médicos</w:t>
            </w:r>
          </w:p>
        </w:tc>
        <w:tc>
          <w:tcPr>
            <w:tcW w:w="1799" w:type="dxa"/>
            <w:shd w:val="clear" w:color="auto" w:fill="auto"/>
            <w:vAlign w:val="center"/>
          </w:tcPr>
          <w:p w14:paraId="573A01C5" w14:textId="77777777" w:rsidR="00491717" w:rsidRPr="00491717" w:rsidRDefault="00491717" w:rsidP="00491717">
            <w:pPr>
              <w:pStyle w:val="SingleTxtG"/>
              <w:spacing w:before="40" w:after="40" w:line="220" w:lineRule="exact"/>
              <w:ind w:left="0" w:right="0"/>
              <w:jc w:val="right"/>
              <w:rPr>
                <w:sz w:val="18"/>
              </w:rPr>
            </w:pPr>
            <w:r w:rsidRPr="00491717">
              <w:rPr>
                <w:sz w:val="18"/>
              </w:rPr>
              <w:t>31</w:t>
            </w:r>
            <w:r w:rsidR="00716B46">
              <w:rPr>
                <w:sz w:val="18"/>
              </w:rPr>
              <w:t xml:space="preserve"> </w:t>
            </w:r>
            <w:r w:rsidRPr="00491717">
              <w:rPr>
                <w:sz w:val="18"/>
              </w:rPr>
              <w:t>451</w:t>
            </w:r>
          </w:p>
        </w:tc>
      </w:tr>
      <w:tr w:rsidR="00491717" w:rsidRPr="00491717" w14:paraId="4D8C0BAD" w14:textId="77777777" w:rsidTr="00A4737A">
        <w:tc>
          <w:tcPr>
            <w:tcW w:w="5571" w:type="dxa"/>
            <w:shd w:val="clear" w:color="auto" w:fill="auto"/>
            <w:vAlign w:val="center"/>
          </w:tcPr>
          <w:p w14:paraId="52E287F1"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Médicos especialistas (incluida la Región) y personal adscrito al Ministerio de Educación Superior </w:t>
            </w:r>
          </w:p>
        </w:tc>
        <w:tc>
          <w:tcPr>
            <w:tcW w:w="1799" w:type="dxa"/>
            <w:shd w:val="clear" w:color="auto" w:fill="auto"/>
            <w:vAlign w:val="center"/>
          </w:tcPr>
          <w:p w14:paraId="578612CC" w14:textId="77777777" w:rsidR="00491717" w:rsidRPr="00491717" w:rsidRDefault="00491717" w:rsidP="00491717">
            <w:pPr>
              <w:pStyle w:val="SingleTxtG"/>
              <w:spacing w:before="40" w:after="40" w:line="220" w:lineRule="exact"/>
              <w:ind w:left="0" w:right="0"/>
              <w:jc w:val="right"/>
              <w:rPr>
                <w:sz w:val="18"/>
              </w:rPr>
            </w:pPr>
            <w:r w:rsidRPr="00491717">
              <w:rPr>
                <w:sz w:val="18"/>
              </w:rPr>
              <w:t>11</w:t>
            </w:r>
            <w:r w:rsidR="00716B46">
              <w:rPr>
                <w:sz w:val="18"/>
              </w:rPr>
              <w:t xml:space="preserve"> </w:t>
            </w:r>
            <w:r w:rsidRPr="00491717">
              <w:rPr>
                <w:sz w:val="18"/>
              </w:rPr>
              <w:t>585</w:t>
            </w:r>
          </w:p>
        </w:tc>
      </w:tr>
      <w:tr w:rsidR="00491717" w:rsidRPr="00491717" w14:paraId="09CABC27" w14:textId="77777777" w:rsidTr="00A4737A">
        <w:tc>
          <w:tcPr>
            <w:tcW w:w="5571" w:type="dxa"/>
            <w:shd w:val="clear" w:color="auto" w:fill="auto"/>
            <w:vAlign w:val="center"/>
          </w:tcPr>
          <w:p w14:paraId="10A8D773" w14:textId="77777777" w:rsidR="00491717" w:rsidRPr="00491717" w:rsidRDefault="00491717" w:rsidP="00491717">
            <w:pPr>
              <w:pStyle w:val="SingleTxtG"/>
              <w:spacing w:before="40" w:after="40" w:line="220" w:lineRule="exact"/>
              <w:ind w:left="0" w:right="0"/>
              <w:jc w:val="left"/>
              <w:rPr>
                <w:sz w:val="18"/>
              </w:rPr>
            </w:pPr>
            <w:r w:rsidRPr="00491717">
              <w:rPr>
                <w:sz w:val="18"/>
              </w:rPr>
              <w:t>Tasa global de fecundidad (nacimientos por mujer), con exclusión de la Región del Kurdistán, Nínive y Al-Anbar</w:t>
            </w:r>
          </w:p>
        </w:tc>
        <w:tc>
          <w:tcPr>
            <w:tcW w:w="1799" w:type="dxa"/>
            <w:shd w:val="clear" w:color="auto" w:fill="auto"/>
            <w:vAlign w:val="center"/>
          </w:tcPr>
          <w:p w14:paraId="385E03F6" w14:textId="77777777" w:rsidR="00491717" w:rsidRPr="00491717" w:rsidRDefault="00491717" w:rsidP="00491717">
            <w:pPr>
              <w:pStyle w:val="SingleTxtG"/>
              <w:spacing w:before="40" w:after="40" w:line="220" w:lineRule="exact"/>
              <w:ind w:left="0" w:right="0"/>
              <w:jc w:val="right"/>
              <w:rPr>
                <w:sz w:val="18"/>
              </w:rPr>
            </w:pPr>
            <w:r w:rsidRPr="00491717">
              <w:rPr>
                <w:sz w:val="18"/>
              </w:rPr>
              <w:t>4</w:t>
            </w:r>
          </w:p>
        </w:tc>
      </w:tr>
      <w:tr w:rsidR="00491717" w:rsidRPr="00491717" w14:paraId="4F1429C5" w14:textId="77777777" w:rsidTr="00A4737A">
        <w:tc>
          <w:tcPr>
            <w:tcW w:w="5571" w:type="dxa"/>
            <w:shd w:val="clear" w:color="auto" w:fill="auto"/>
            <w:vAlign w:val="center"/>
          </w:tcPr>
          <w:p w14:paraId="41A0D818" w14:textId="77777777" w:rsidR="00491717" w:rsidRPr="00491717" w:rsidRDefault="00491717" w:rsidP="00491717">
            <w:pPr>
              <w:pStyle w:val="SingleTxtG"/>
              <w:spacing w:before="40" w:after="40" w:line="220" w:lineRule="exact"/>
              <w:ind w:left="0" w:right="0"/>
              <w:jc w:val="left"/>
              <w:rPr>
                <w:sz w:val="18"/>
              </w:rPr>
            </w:pPr>
            <w:r w:rsidRPr="00491717">
              <w:rPr>
                <w:sz w:val="18"/>
              </w:rPr>
              <w:t>Núm</w:t>
            </w:r>
            <w:r w:rsidR="0053592A">
              <w:rPr>
                <w:sz w:val="18"/>
              </w:rPr>
              <w:t>ero</w:t>
            </w:r>
            <w:r w:rsidRPr="00491717">
              <w:rPr>
                <w:sz w:val="18"/>
              </w:rPr>
              <w:t xml:space="preserve"> total de nacimientos en el Iraq y en el extranjero </w:t>
            </w:r>
          </w:p>
        </w:tc>
        <w:tc>
          <w:tcPr>
            <w:tcW w:w="1799" w:type="dxa"/>
            <w:shd w:val="clear" w:color="auto" w:fill="auto"/>
            <w:vAlign w:val="center"/>
          </w:tcPr>
          <w:p w14:paraId="528EE5D6" w14:textId="77777777" w:rsidR="00491717" w:rsidRPr="00491717" w:rsidRDefault="00491717" w:rsidP="00491717">
            <w:pPr>
              <w:pStyle w:val="SingleTxtG"/>
              <w:spacing w:before="40" w:after="40" w:line="220" w:lineRule="exact"/>
              <w:ind w:left="0" w:right="0"/>
              <w:jc w:val="right"/>
              <w:rPr>
                <w:sz w:val="18"/>
              </w:rPr>
            </w:pPr>
            <w:r w:rsidRPr="00491717">
              <w:rPr>
                <w:sz w:val="18"/>
              </w:rPr>
              <w:t>1</w:t>
            </w:r>
            <w:r w:rsidR="00716B46">
              <w:rPr>
                <w:sz w:val="18"/>
              </w:rPr>
              <w:t xml:space="preserve"> </w:t>
            </w:r>
            <w:r w:rsidRPr="00491717">
              <w:rPr>
                <w:sz w:val="18"/>
              </w:rPr>
              <w:t>063</w:t>
            </w:r>
            <w:r w:rsidR="00716B46">
              <w:rPr>
                <w:sz w:val="18"/>
              </w:rPr>
              <w:t xml:space="preserve"> </w:t>
            </w:r>
            <w:r w:rsidRPr="00491717">
              <w:rPr>
                <w:sz w:val="18"/>
              </w:rPr>
              <w:t>705</w:t>
            </w:r>
          </w:p>
        </w:tc>
      </w:tr>
      <w:tr w:rsidR="00491717" w:rsidRPr="00491717" w14:paraId="672C5632" w14:textId="77777777" w:rsidTr="00A4737A">
        <w:tc>
          <w:tcPr>
            <w:tcW w:w="5571" w:type="dxa"/>
            <w:shd w:val="clear" w:color="auto" w:fill="auto"/>
            <w:vAlign w:val="center"/>
          </w:tcPr>
          <w:p w14:paraId="53933B0A"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partos en establecimientos sanitarios </w:t>
            </w:r>
          </w:p>
        </w:tc>
        <w:tc>
          <w:tcPr>
            <w:tcW w:w="1799" w:type="dxa"/>
            <w:shd w:val="clear" w:color="auto" w:fill="auto"/>
            <w:vAlign w:val="center"/>
          </w:tcPr>
          <w:p w14:paraId="524CCB9E" w14:textId="77777777" w:rsidR="00491717" w:rsidRPr="00491717" w:rsidRDefault="00491717" w:rsidP="00491717">
            <w:pPr>
              <w:pStyle w:val="SingleTxtG"/>
              <w:spacing w:before="40" w:after="40" w:line="220" w:lineRule="exact"/>
              <w:ind w:left="0" w:right="0"/>
              <w:jc w:val="right"/>
              <w:rPr>
                <w:sz w:val="18"/>
              </w:rPr>
            </w:pPr>
            <w:r w:rsidRPr="00491717">
              <w:rPr>
                <w:sz w:val="18"/>
              </w:rPr>
              <w:t>83,5</w:t>
            </w:r>
          </w:p>
        </w:tc>
      </w:tr>
      <w:tr w:rsidR="00491717" w:rsidRPr="00491717" w14:paraId="6FAFFDFA" w14:textId="77777777" w:rsidTr="00A4737A">
        <w:tc>
          <w:tcPr>
            <w:tcW w:w="5571" w:type="dxa"/>
            <w:shd w:val="clear" w:color="auto" w:fill="auto"/>
            <w:vAlign w:val="center"/>
          </w:tcPr>
          <w:p w14:paraId="2AF3A84A"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Tasa bruta de natalidad por cada 1.000 habitantes </w:t>
            </w:r>
          </w:p>
        </w:tc>
        <w:tc>
          <w:tcPr>
            <w:tcW w:w="1799" w:type="dxa"/>
            <w:shd w:val="clear" w:color="auto" w:fill="auto"/>
            <w:vAlign w:val="center"/>
          </w:tcPr>
          <w:p w14:paraId="608BD67A" w14:textId="77777777" w:rsidR="00491717" w:rsidRPr="00491717" w:rsidRDefault="00491717" w:rsidP="00491717">
            <w:pPr>
              <w:pStyle w:val="SingleTxtG"/>
              <w:spacing w:before="40" w:after="40" w:line="220" w:lineRule="exact"/>
              <w:ind w:left="0" w:right="0"/>
              <w:jc w:val="right"/>
              <w:rPr>
                <w:sz w:val="18"/>
              </w:rPr>
            </w:pPr>
            <w:r w:rsidRPr="00491717">
              <w:rPr>
                <w:sz w:val="18"/>
              </w:rPr>
              <w:t>28,05</w:t>
            </w:r>
          </w:p>
        </w:tc>
      </w:tr>
      <w:tr w:rsidR="00491717" w:rsidRPr="00491717" w14:paraId="3A2C551A" w14:textId="77777777" w:rsidTr="00A4737A">
        <w:tc>
          <w:tcPr>
            <w:tcW w:w="5571" w:type="dxa"/>
            <w:shd w:val="clear" w:color="auto" w:fill="auto"/>
            <w:vAlign w:val="center"/>
          </w:tcPr>
          <w:p w14:paraId="4DAF6318"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mujeres hospitalizadas por aborto en pabellones de ginecología y obstetricia</w:t>
            </w:r>
          </w:p>
        </w:tc>
        <w:tc>
          <w:tcPr>
            <w:tcW w:w="1799" w:type="dxa"/>
            <w:shd w:val="clear" w:color="auto" w:fill="auto"/>
            <w:vAlign w:val="center"/>
          </w:tcPr>
          <w:p w14:paraId="5C79728C" w14:textId="77777777" w:rsidR="00491717" w:rsidRPr="00491717" w:rsidRDefault="00491717" w:rsidP="00491717">
            <w:pPr>
              <w:pStyle w:val="SingleTxtG"/>
              <w:spacing w:before="40" w:after="40" w:line="220" w:lineRule="exact"/>
              <w:ind w:left="0" w:right="0"/>
              <w:jc w:val="right"/>
              <w:rPr>
                <w:sz w:val="18"/>
              </w:rPr>
            </w:pPr>
            <w:r w:rsidRPr="00491717">
              <w:rPr>
                <w:sz w:val="18"/>
              </w:rPr>
              <w:t>16,1</w:t>
            </w:r>
          </w:p>
        </w:tc>
      </w:tr>
      <w:tr w:rsidR="00491717" w:rsidRPr="00491717" w14:paraId="75B0F9B8" w14:textId="77777777" w:rsidTr="00A4737A">
        <w:tc>
          <w:tcPr>
            <w:tcW w:w="5571" w:type="dxa"/>
            <w:shd w:val="clear" w:color="auto" w:fill="auto"/>
            <w:vAlign w:val="center"/>
          </w:tcPr>
          <w:p w14:paraId="51C9A408" w14:textId="77777777" w:rsidR="00491717" w:rsidRPr="00491717" w:rsidRDefault="00491717" w:rsidP="00491717">
            <w:pPr>
              <w:pStyle w:val="SingleTxtG"/>
              <w:spacing w:before="40" w:after="40" w:line="220" w:lineRule="exact"/>
              <w:ind w:left="0" w:right="0"/>
              <w:jc w:val="left"/>
              <w:rPr>
                <w:sz w:val="18"/>
              </w:rPr>
            </w:pPr>
            <w:r w:rsidRPr="00491717">
              <w:rPr>
                <w:sz w:val="18"/>
              </w:rPr>
              <w:t>Nacimientos bajo supervisión de personal cualificado</w:t>
            </w:r>
          </w:p>
        </w:tc>
        <w:tc>
          <w:tcPr>
            <w:tcW w:w="1799" w:type="dxa"/>
            <w:shd w:val="clear" w:color="auto" w:fill="auto"/>
            <w:vAlign w:val="center"/>
          </w:tcPr>
          <w:p w14:paraId="3FA69BBA" w14:textId="77777777" w:rsidR="00491717" w:rsidRPr="00491717" w:rsidRDefault="00491717" w:rsidP="00491717">
            <w:pPr>
              <w:pStyle w:val="SingleTxtG"/>
              <w:spacing w:before="40" w:after="40" w:line="220" w:lineRule="exact"/>
              <w:ind w:left="0" w:right="0"/>
              <w:jc w:val="right"/>
              <w:rPr>
                <w:sz w:val="18"/>
              </w:rPr>
            </w:pPr>
            <w:r w:rsidRPr="00491717">
              <w:rPr>
                <w:sz w:val="18"/>
              </w:rPr>
              <w:t>93,7</w:t>
            </w:r>
          </w:p>
        </w:tc>
      </w:tr>
      <w:tr w:rsidR="00491717" w:rsidRPr="00491717" w14:paraId="4557C5A6" w14:textId="77777777" w:rsidTr="00A4737A">
        <w:tc>
          <w:tcPr>
            <w:tcW w:w="5571" w:type="dxa"/>
            <w:shd w:val="clear" w:color="auto" w:fill="auto"/>
            <w:vAlign w:val="center"/>
          </w:tcPr>
          <w:p w14:paraId="21690F2B"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partos por cesárea en todo el territorio iraquí </w:t>
            </w:r>
          </w:p>
        </w:tc>
        <w:tc>
          <w:tcPr>
            <w:tcW w:w="1799" w:type="dxa"/>
            <w:shd w:val="clear" w:color="auto" w:fill="auto"/>
            <w:vAlign w:val="center"/>
          </w:tcPr>
          <w:p w14:paraId="567799E5" w14:textId="77777777" w:rsidR="00491717" w:rsidRPr="00491717" w:rsidRDefault="00491717" w:rsidP="00491717">
            <w:pPr>
              <w:pStyle w:val="SingleTxtG"/>
              <w:spacing w:before="40" w:after="40" w:line="220" w:lineRule="exact"/>
              <w:ind w:left="0" w:right="0"/>
              <w:jc w:val="right"/>
              <w:rPr>
                <w:sz w:val="18"/>
              </w:rPr>
            </w:pPr>
            <w:r w:rsidRPr="00491717">
              <w:rPr>
                <w:sz w:val="18"/>
              </w:rPr>
              <w:t>35,2</w:t>
            </w:r>
          </w:p>
        </w:tc>
      </w:tr>
      <w:tr w:rsidR="00491717" w:rsidRPr="00491717" w14:paraId="5CDDBAF6" w14:textId="77777777" w:rsidTr="00A4737A">
        <w:tc>
          <w:tcPr>
            <w:tcW w:w="5571" w:type="dxa"/>
            <w:shd w:val="clear" w:color="auto" w:fill="auto"/>
            <w:vAlign w:val="center"/>
          </w:tcPr>
          <w:p w14:paraId="53465AE1" w14:textId="77777777" w:rsidR="00491717" w:rsidRPr="00491717" w:rsidRDefault="00491717" w:rsidP="00491717">
            <w:pPr>
              <w:pStyle w:val="SingleTxtG"/>
              <w:spacing w:before="40" w:after="40" w:line="220" w:lineRule="exact"/>
              <w:ind w:left="0" w:right="0"/>
              <w:jc w:val="left"/>
              <w:rPr>
                <w:sz w:val="18"/>
              </w:rPr>
            </w:pPr>
            <w:r w:rsidRPr="00491717">
              <w:rPr>
                <w:sz w:val="18"/>
              </w:rPr>
              <w:t>Tasa de nacimientos con malformaciones congénitas por cada 1.000 nacidos vivos</w:t>
            </w:r>
          </w:p>
        </w:tc>
        <w:tc>
          <w:tcPr>
            <w:tcW w:w="1799" w:type="dxa"/>
            <w:shd w:val="clear" w:color="auto" w:fill="auto"/>
            <w:vAlign w:val="center"/>
          </w:tcPr>
          <w:p w14:paraId="4D1940F4" w14:textId="77777777" w:rsidR="00491717" w:rsidRPr="00491717" w:rsidRDefault="00491717" w:rsidP="00491717">
            <w:pPr>
              <w:pStyle w:val="SingleTxtG"/>
              <w:spacing w:before="40" w:after="40" w:line="220" w:lineRule="exact"/>
              <w:ind w:left="0" w:right="0"/>
              <w:jc w:val="right"/>
              <w:rPr>
                <w:sz w:val="18"/>
              </w:rPr>
            </w:pPr>
            <w:r w:rsidRPr="00491717">
              <w:rPr>
                <w:sz w:val="18"/>
              </w:rPr>
              <w:t>2,9</w:t>
            </w:r>
          </w:p>
        </w:tc>
      </w:tr>
      <w:tr w:rsidR="00491717" w:rsidRPr="00491717" w14:paraId="70A7949C" w14:textId="77777777" w:rsidTr="00A4737A">
        <w:tc>
          <w:tcPr>
            <w:tcW w:w="5571" w:type="dxa"/>
            <w:shd w:val="clear" w:color="auto" w:fill="auto"/>
            <w:vAlign w:val="center"/>
          </w:tcPr>
          <w:p w14:paraId="415A65E7"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Cobertura de la vacuna antituberculosa </w:t>
            </w:r>
          </w:p>
        </w:tc>
        <w:tc>
          <w:tcPr>
            <w:tcW w:w="1799" w:type="dxa"/>
            <w:shd w:val="clear" w:color="auto" w:fill="auto"/>
            <w:vAlign w:val="center"/>
          </w:tcPr>
          <w:p w14:paraId="44043665" w14:textId="77777777" w:rsidR="00491717" w:rsidRPr="00491717" w:rsidRDefault="00491717" w:rsidP="00491717">
            <w:pPr>
              <w:pStyle w:val="SingleTxtG"/>
              <w:spacing w:before="40" w:after="40" w:line="220" w:lineRule="exact"/>
              <w:ind w:left="0" w:right="0"/>
              <w:jc w:val="right"/>
              <w:rPr>
                <w:sz w:val="18"/>
              </w:rPr>
            </w:pPr>
            <w:r w:rsidRPr="00491717">
              <w:rPr>
                <w:sz w:val="18"/>
              </w:rPr>
              <w:t>94 %</w:t>
            </w:r>
          </w:p>
        </w:tc>
      </w:tr>
      <w:tr w:rsidR="00491717" w:rsidRPr="00491717" w14:paraId="33BBA01C" w14:textId="77777777" w:rsidTr="00A4737A">
        <w:tc>
          <w:tcPr>
            <w:tcW w:w="5571" w:type="dxa"/>
            <w:shd w:val="clear" w:color="auto" w:fill="auto"/>
            <w:vAlign w:val="center"/>
          </w:tcPr>
          <w:p w14:paraId="67FD0F4B"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Cobertura de la tercera dosis de la vacuna antipoliomielítica </w:t>
            </w:r>
          </w:p>
        </w:tc>
        <w:tc>
          <w:tcPr>
            <w:tcW w:w="1799" w:type="dxa"/>
            <w:shd w:val="clear" w:color="auto" w:fill="auto"/>
            <w:vAlign w:val="center"/>
          </w:tcPr>
          <w:p w14:paraId="72409C5D" w14:textId="77777777" w:rsidR="00491717" w:rsidRPr="00491717" w:rsidRDefault="00491717" w:rsidP="00491717">
            <w:pPr>
              <w:pStyle w:val="SingleTxtG"/>
              <w:spacing w:before="40" w:after="40" w:line="220" w:lineRule="exact"/>
              <w:ind w:left="0" w:right="0"/>
              <w:jc w:val="right"/>
              <w:rPr>
                <w:sz w:val="18"/>
              </w:rPr>
            </w:pPr>
            <w:r w:rsidRPr="00491717">
              <w:rPr>
                <w:sz w:val="18"/>
              </w:rPr>
              <w:t>85 %</w:t>
            </w:r>
          </w:p>
        </w:tc>
      </w:tr>
      <w:tr w:rsidR="00491717" w:rsidRPr="00491717" w14:paraId="6A2DFE79" w14:textId="77777777" w:rsidTr="00A4737A">
        <w:tc>
          <w:tcPr>
            <w:tcW w:w="5571" w:type="dxa"/>
            <w:shd w:val="clear" w:color="auto" w:fill="auto"/>
            <w:vAlign w:val="center"/>
          </w:tcPr>
          <w:p w14:paraId="3FFA239F"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Cobertura de la vacuna contra el sarampión </w:t>
            </w:r>
          </w:p>
        </w:tc>
        <w:tc>
          <w:tcPr>
            <w:tcW w:w="1799" w:type="dxa"/>
            <w:shd w:val="clear" w:color="auto" w:fill="auto"/>
            <w:vAlign w:val="center"/>
          </w:tcPr>
          <w:p w14:paraId="7A354F3E" w14:textId="77777777" w:rsidR="00491717" w:rsidRPr="00491717" w:rsidRDefault="00491717" w:rsidP="00491717">
            <w:pPr>
              <w:pStyle w:val="SingleTxtG"/>
              <w:spacing w:before="40" w:after="40" w:line="220" w:lineRule="exact"/>
              <w:ind w:left="0" w:right="0"/>
              <w:jc w:val="right"/>
              <w:rPr>
                <w:sz w:val="18"/>
              </w:rPr>
            </w:pPr>
            <w:r w:rsidRPr="00491717">
              <w:rPr>
                <w:sz w:val="18"/>
              </w:rPr>
              <w:t>83 %</w:t>
            </w:r>
          </w:p>
        </w:tc>
      </w:tr>
      <w:tr w:rsidR="00491717" w:rsidRPr="00491717" w14:paraId="3EDC0C27" w14:textId="77777777" w:rsidTr="00A4737A">
        <w:tc>
          <w:tcPr>
            <w:tcW w:w="5571" w:type="dxa"/>
            <w:shd w:val="clear" w:color="auto" w:fill="auto"/>
            <w:vAlign w:val="center"/>
          </w:tcPr>
          <w:p w14:paraId="01885907" w14:textId="77777777" w:rsidR="00491717" w:rsidRPr="00491717" w:rsidRDefault="00491717" w:rsidP="00491717">
            <w:pPr>
              <w:pStyle w:val="SingleTxtG"/>
              <w:spacing w:before="40" w:after="40" w:line="220" w:lineRule="exact"/>
              <w:ind w:left="0" w:right="0"/>
              <w:jc w:val="left"/>
              <w:rPr>
                <w:sz w:val="18"/>
              </w:rPr>
            </w:pPr>
            <w:r w:rsidRPr="00491717">
              <w:rPr>
                <w:sz w:val="18"/>
              </w:rPr>
              <w:t>Tasa de mortalidad entre niños menores de 5 años por cada 1.000 nacidos vivos</w:t>
            </w:r>
          </w:p>
        </w:tc>
        <w:tc>
          <w:tcPr>
            <w:tcW w:w="1799" w:type="dxa"/>
            <w:shd w:val="clear" w:color="auto" w:fill="auto"/>
            <w:vAlign w:val="center"/>
          </w:tcPr>
          <w:p w14:paraId="66CC18B0" w14:textId="77777777" w:rsidR="00491717" w:rsidRPr="00491717" w:rsidRDefault="00491717" w:rsidP="00491717">
            <w:pPr>
              <w:pStyle w:val="SingleTxtG"/>
              <w:spacing w:before="40" w:after="40" w:line="220" w:lineRule="exact"/>
              <w:ind w:left="0" w:right="0"/>
              <w:jc w:val="right"/>
              <w:rPr>
                <w:sz w:val="18"/>
              </w:rPr>
            </w:pPr>
            <w:r w:rsidRPr="00491717">
              <w:rPr>
                <w:sz w:val="18"/>
              </w:rPr>
              <w:t>23,1</w:t>
            </w:r>
          </w:p>
        </w:tc>
      </w:tr>
      <w:tr w:rsidR="00491717" w:rsidRPr="00491717" w14:paraId="7164FD21" w14:textId="77777777" w:rsidTr="00A4737A">
        <w:tc>
          <w:tcPr>
            <w:tcW w:w="5571" w:type="dxa"/>
            <w:shd w:val="clear" w:color="auto" w:fill="auto"/>
            <w:vAlign w:val="center"/>
          </w:tcPr>
          <w:p w14:paraId="1ACB0EE9" w14:textId="77777777" w:rsidR="00491717" w:rsidRPr="00491717" w:rsidRDefault="00491717" w:rsidP="00491717">
            <w:pPr>
              <w:pStyle w:val="SingleTxtG"/>
              <w:spacing w:before="40" w:after="40" w:line="220" w:lineRule="exact"/>
              <w:ind w:left="0" w:right="0"/>
              <w:jc w:val="left"/>
              <w:rPr>
                <w:sz w:val="18"/>
              </w:rPr>
            </w:pPr>
            <w:r w:rsidRPr="00491717">
              <w:rPr>
                <w:sz w:val="18"/>
              </w:rPr>
              <w:t>Tasa de mortalidad entre niños menores de 1 año por cada 1.000 nacidos vivos</w:t>
            </w:r>
          </w:p>
        </w:tc>
        <w:tc>
          <w:tcPr>
            <w:tcW w:w="1799" w:type="dxa"/>
            <w:shd w:val="clear" w:color="auto" w:fill="auto"/>
            <w:vAlign w:val="center"/>
          </w:tcPr>
          <w:p w14:paraId="7B07B2D8" w14:textId="77777777" w:rsidR="00491717" w:rsidRPr="00491717" w:rsidRDefault="00491717" w:rsidP="00491717">
            <w:pPr>
              <w:pStyle w:val="SingleTxtG"/>
              <w:spacing w:before="40" w:after="40" w:line="220" w:lineRule="exact"/>
              <w:ind w:left="0" w:right="0"/>
              <w:jc w:val="right"/>
              <w:rPr>
                <w:sz w:val="18"/>
              </w:rPr>
            </w:pPr>
            <w:r w:rsidRPr="00491717">
              <w:rPr>
                <w:sz w:val="18"/>
              </w:rPr>
              <w:t>18,6</w:t>
            </w:r>
          </w:p>
        </w:tc>
      </w:tr>
      <w:tr w:rsidR="00491717" w:rsidRPr="00491717" w14:paraId="2411D17F" w14:textId="77777777" w:rsidTr="00A4737A">
        <w:tc>
          <w:tcPr>
            <w:tcW w:w="5571" w:type="dxa"/>
            <w:shd w:val="clear" w:color="auto" w:fill="auto"/>
            <w:vAlign w:val="center"/>
          </w:tcPr>
          <w:p w14:paraId="4A4FD426"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Tasa bruta de mortalidad por cada 1.000 habitantes </w:t>
            </w:r>
          </w:p>
        </w:tc>
        <w:tc>
          <w:tcPr>
            <w:tcW w:w="1799" w:type="dxa"/>
            <w:shd w:val="clear" w:color="auto" w:fill="auto"/>
            <w:vAlign w:val="center"/>
          </w:tcPr>
          <w:p w14:paraId="738A84B4" w14:textId="77777777" w:rsidR="00491717" w:rsidRPr="00491717" w:rsidRDefault="00491717" w:rsidP="00491717">
            <w:pPr>
              <w:pStyle w:val="SingleTxtG"/>
              <w:spacing w:before="40" w:after="40" w:line="220" w:lineRule="exact"/>
              <w:ind w:left="0" w:right="0"/>
              <w:jc w:val="right"/>
              <w:rPr>
                <w:sz w:val="18"/>
              </w:rPr>
            </w:pPr>
            <w:r w:rsidRPr="00491717">
              <w:rPr>
                <w:sz w:val="18"/>
              </w:rPr>
              <w:t>4,1</w:t>
            </w:r>
          </w:p>
        </w:tc>
      </w:tr>
      <w:tr w:rsidR="00491717" w:rsidRPr="00491717" w14:paraId="2BA42388" w14:textId="77777777" w:rsidTr="00A4737A">
        <w:tc>
          <w:tcPr>
            <w:tcW w:w="5571" w:type="dxa"/>
            <w:shd w:val="clear" w:color="auto" w:fill="auto"/>
            <w:vAlign w:val="center"/>
          </w:tcPr>
          <w:p w14:paraId="5A9EC263" w14:textId="77777777" w:rsidR="00491717" w:rsidRPr="00491717" w:rsidRDefault="00491717" w:rsidP="00491717">
            <w:pPr>
              <w:pStyle w:val="SingleTxtG"/>
              <w:spacing w:before="40" w:after="40" w:line="220" w:lineRule="exact"/>
              <w:ind w:left="0" w:right="0"/>
              <w:jc w:val="left"/>
              <w:rPr>
                <w:sz w:val="18"/>
              </w:rPr>
            </w:pPr>
            <w:r w:rsidRPr="00491717">
              <w:rPr>
                <w:sz w:val="18"/>
              </w:rPr>
              <w:t>Tasa de mortalidad neonatal (desde el nacimiento a los 28 días) por cada 1.000 nacidos vivos</w:t>
            </w:r>
          </w:p>
        </w:tc>
        <w:tc>
          <w:tcPr>
            <w:tcW w:w="1799" w:type="dxa"/>
            <w:shd w:val="clear" w:color="auto" w:fill="auto"/>
            <w:vAlign w:val="center"/>
          </w:tcPr>
          <w:p w14:paraId="17943439" w14:textId="77777777" w:rsidR="00491717" w:rsidRPr="00491717" w:rsidRDefault="00491717" w:rsidP="00491717">
            <w:pPr>
              <w:pStyle w:val="SingleTxtG"/>
              <w:spacing w:before="40" w:after="40" w:line="220" w:lineRule="exact"/>
              <w:ind w:left="0" w:right="0"/>
              <w:jc w:val="right"/>
              <w:rPr>
                <w:sz w:val="18"/>
              </w:rPr>
            </w:pPr>
            <w:r w:rsidRPr="00491717">
              <w:rPr>
                <w:sz w:val="18"/>
              </w:rPr>
              <w:t>13,6</w:t>
            </w:r>
          </w:p>
        </w:tc>
      </w:tr>
      <w:tr w:rsidR="00491717" w:rsidRPr="00491717" w14:paraId="0731422C" w14:textId="77777777" w:rsidTr="00A4737A">
        <w:tc>
          <w:tcPr>
            <w:tcW w:w="5571" w:type="dxa"/>
            <w:shd w:val="clear" w:color="auto" w:fill="auto"/>
            <w:vAlign w:val="center"/>
          </w:tcPr>
          <w:p w14:paraId="52F3F46B"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Tasa de mortalidad materna por cada 100.000 nacidos vivos </w:t>
            </w:r>
          </w:p>
        </w:tc>
        <w:tc>
          <w:tcPr>
            <w:tcW w:w="1799" w:type="dxa"/>
            <w:shd w:val="clear" w:color="auto" w:fill="auto"/>
            <w:vAlign w:val="center"/>
          </w:tcPr>
          <w:p w14:paraId="73F488CE" w14:textId="77777777" w:rsidR="00491717" w:rsidRPr="00491717" w:rsidRDefault="00491717" w:rsidP="00491717">
            <w:pPr>
              <w:pStyle w:val="SingleTxtG"/>
              <w:spacing w:before="40" w:after="40" w:line="220" w:lineRule="exact"/>
              <w:ind w:left="0" w:right="0"/>
              <w:jc w:val="right"/>
              <w:rPr>
                <w:sz w:val="18"/>
              </w:rPr>
            </w:pPr>
            <w:r w:rsidRPr="00491717">
              <w:rPr>
                <w:sz w:val="18"/>
              </w:rPr>
              <w:t>31</w:t>
            </w:r>
          </w:p>
        </w:tc>
      </w:tr>
      <w:tr w:rsidR="00491717" w:rsidRPr="00491717" w14:paraId="050DE567" w14:textId="77777777" w:rsidTr="00A4737A">
        <w:tc>
          <w:tcPr>
            <w:tcW w:w="5571" w:type="dxa"/>
            <w:shd w:val="clear" w:color="auto" w:fill="auto"/>
            <w:vAlign w:val="center"/>
          </w:tcPr>
          <w:p w14:paraId="07C444DD"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Tasa de mortalidad de 15 a 60 años por cada 1.000 habitantes </w:t>
            </w:r>
          </w:p>
        </w:tc>
        <w:tc>
          <w:tcPr>
            <w:tcW w:w="1799" w:type="dxa"/>
            <w:shd w:val="clear" w:color="auto" w:fill="auto"/>
            <w:vAlign w:val="center"/>
          </w:tcPr>
          <w:p w14:paraId="0F929294" w14:textId="77777777" w:rsidR="00491717" w:rsidRPr="00491717" w:rsidRDefault="00491717" w:rsidP="00491717">
            <w:pPr>
              <w:pStyle w:val="SingleTxtG"/>
              <w:spacing w:before="40" w:after="40" w:line="220" w:lineRule="exact"/>
              <w:ind w:left="0" w:right="0"/>
              <w:jc w:val="right"/>
              <w:rPr>
                <w:sz w:val="18"/>
              </w:rPr>
            </w:pPr>
            <w:r w:rsidRPr="00491717">
              <w:rPr>
                <w:sz w:val="18"/>
              </w:rPr>
              <w:t>2,2</w:t>
            </w:r>
          </w:p>
        </w:tc>
      </w:tr>
      <w:tr w:rsidR="00491717" w:rsidRPr="00491717" w14:paraId="1A14D400" w14:textId="77777777" w:rsidTr="00A4737A">
        <w:tc>
          <w:tcPr>
            <w:tcW w:w="5571" w:type="dxa"/>
            <w:shd w:val="clear" w:color="auto" w:fill="auto"/>
            <w:vAlign w:val="center"/>
          </w:tcPr>
          <w:p w14:paraId="01264549" w14:textId="77777777" w:rsidR="00491717" w:rsidRPr="00491717" w:rsidRDefault="00491717" w:rsidP="00491717">
            <w:pPr>
              <w:pStyle w:val="SingleTxtG"/>
              <w:spacing w:before="40" w:after="40" w:line="220" w:lineRule="exact"/>
              <w:ind w:left="0" w:right="0"/>
              <w:jc w:val="left"/>
              <w:rPr>
                <w:sz w:val="18"/>
              </w:rPr>
            </w:pPr>
            <w:r w:rsidRPr="00491717">
              <w:rPr>
                <w:sz w:val="18"/>
              </w:rPr>
              <w:t>Núm</w:t>
            </w:r>
            <w:r w:rsidR="006B61C4">
              <w:rPr>
                <w:sz w:val="18"/>
              </w:rPr>
              <w:t>ero</w:t>
            </w:r>
            <w:r w:rsidRPr="00491717">
              <w:rPr>
                <w:sz w:val="18"/>
              </w:rPr>
              <w:t xml:space="preserve"> total de camas en hospitales públicos </w:t>
            </w:r>
          </w:p>
        </w:tc>
        <w:tc>
          <w:tcPr>
            <w:tcW w:w="1799" w:type="dxa"/>
            <w:shd w:val="clear" w:color="auto" w:fill="auto"/>
            <w:vAlign w:val="center"/>
          </w:tcPr>
          <w:p w14:paraId="343CC315" w14:textId="77777777" w:rsidR="00491717" w:rsidRPr="00491717" w:rsidRDefault="00491717" w:rsidP="00491717">
            <w:pPr>
              <w:pStyle w:val="SingleTxtG"/>
              <w:spacing w:before="40" w:after="40" w:line="220" w:lineRule="exact"/>
              <w:ind w:left="0" w:right="0"/>
              <w:jc w:val="right"/>
              <w:rPr>
                <w:sz w:val="18"/>
              </w:rPr>
            </w:pPr>
            <w:r w:rsidRPr="00491717">
              <w:rPr>
                <w:sz w:val="18"/>
              </w:rPr>
              <w:t>44</w:t>
            </w:r>
            <w:r w:rsidR="00716B46">
              <w:rPr>
                <w:sz w:val="18"/>
              </w:rPr>
              <w:t xml:space="preserve"> </w:t>
            </w:r>
            <w:r w:rsidRPr="00491717">
              <w:rPr>
                <w:sz w:val="18"/>
              </w:rPr>
              <w:t>527</w:t>
            </w:r>
          </w:p>
        </w:tc>
      </w:tr>
      <w:tr w:rsidR="00491717" w:rsidRPr="00491717" w14:paraId="376D5378" w14:textId="77777777" w:rsidTr="00A4737A">
        <w:tc>
          <w:tcPr>
            <w:tcW w:w="5571" w:type="dxa"/>
            <w:shd w:val="clear" w:color="auto" w:fill="auto"/>
            <w:vAlign w:val="center"/>
          </w:tcPr>
          <w:p w14:paraId="2C15BB09"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Camas disponibles en hospitales públicos, con exclusión de los servicios de urgencias </w:t>
            </w:r>
          </w:p>
        </w:tc>
        <w:tc>
          <w:tcPr>
            <w:tcW w:w="1799" w:type="dxa"/>
            <w:shd w:val="clear" w:color="auto" w:fill="auto"/>
            <w:vAlign w:val="center"/>
          </w:tcPr>
          <w:p w14:paraId="58B51ED9" w14:textId="77777777" w:rsidR="00491717" w:rsidRPr="00491717" w:rsidRDefault="00491717" w:rsidP="00491717">
            <w:pPr>
              <w:pStyle w:val="SingleTxtG"/>
              <w:spacing w:before="40" w:after="40" w:line="220" w:lineRule="exact"/>
              <w:ind w:left="0" w:right="0"/>
              <w:jc w:val="right"/>
              <w:rPr>
                <w:sz w:val="18"/>
              </w:rPr>
            </w:pPr>
            <w:r w:rsidRPr="00491717">
              <w:rPr>
                <w:sz w:val="18"/>
              </w:rPr>
              <w:t>37</w:t>
            </w:r>
            <w:r w:rsidR="00716B46">
              <w:rPr>
                <w:sz w:val="18"/>
              </w:rPr>
              <w:t xml:space="preserve"> </w:t>
            </w:r>
            <w:r w:rsidRPr="00491717">
              <w:rPr>
                <w:sz w:val="18"/>
              </w:rPr>
              <w:t>143</w:t>
            </w:r>
          </w:p>
        </w:tc>
      </w:tr>
      <w:tr w:rsidR="00491717" w:rsidRPr="00491717" w14:paraId="753D0806" w14:textId="77777777" w:rsidTr="00A4737A">
        <w:tc>
          <w:tcPr>
            <w:tcW w:w="5571" w:type="dxa"/>
            <w:shd w:val="clear" w:color="auto" w:fill="auto"/>
            <w:vAlign w:val="center"/>
          </w:tcPr>
          <w:p w14:paraId="782802A6"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Camas hospitalarias por cada 1.000 habitantes </w:t>
            </w:r>
          </w:p>
        </w:tc>
        <w:tc>
          <w:tcPr>
            <w:tcW w:w="1799" w:type="dxa"/>
            <w:shd w:val="clear" w:color="auto" w:fill="auto"/>
            <w:vAlign w:val="center"/>
          </w:tcPr>
          <w:p w14:paraId="31FA9543" w14:textId="77777777" w:rsidR="00491717" w:rsidRPr="00491717" w:rsidRDefault="00491717" w:rsidP="00491717">
            <w:pPr>
              <w:pStyle w:val="SingleTxtG"/>
              <w:spacing w:before="40" w:after="40" w:line="220" w:lineRule="exact"/>
              <w:ind w:left="0" w:right="0"/>
              <w:jc w:val="right"/>
              <w:rPr>
                <w:sz w:val="18"/>
              </w:rPr>
            </w:pPr>
            <w:r w:rsidRPr="00491717">
              <w:rPr>
                <w:sz w:val="18"/>
              </w:rPr>
              <w:t>1,2</w:t>
            </w:r>
          </w:p>
        </w:tc>
      </w:tr>
      <w:tr w:rsidR="00491717" w:rsidRPr="00491717" w14:paraId="36A82D34" w14:textId="77777777" w:rsidTr="00A4737A">
        <w:tc>
          <w:tcPr>
            <w:tcW w:w="5571" w:type="dxa"/>
            <w:shd w:val="clear" w:color="auto" w:fill="auto"/>
            <w:vAlign w:val="center"/>
          </w:tcPr>
          <w:p w14:paraId="4169C278" w14:textId="77777777" w:rsidR="00491717" w:rsidRPr="00491717" w:rsidRDefault="00491717" w:rsidP="00491717">
            <w:pPr>
              <w:pStyle w:val="SingleTxtG"/>
              <w:spacing w:before="40" w:after="40" w:line="220" w:lineRule="exact"/>
              <w:ind w:left="0" w:right="0"/>
              <w:jc w:val="left"/>
              <w:rPr>
                <w:sz w:val="18"/>
              </w:rPr>
            </w:pPr>
            <w:r w:rsidRPr="00491717">
              <w:rPr>
                <w:sz w:val="18"/>
              </w:rPr>
              <w:t>Médicos por cada 10.000 habitantes</w:t>
            </w:r>
          </w:p>
        </w:tc>
        <w:tc>
          <w:tcPr>
            <w:tcW w:w="1799" w:type="dxa"/>
            <w:shd w:val="clear" w:color="auto" w:fill="auto"/>
            <w:vAlign w:val="center"/>
          </w:tcPr>
          <w:p w14:paraId="11564BD7" w14:textId="77777777" w:rsidR="00491717" w:rsidRPr="00491717" w:rsidRDefault="00491717" w:rsidP="00491717">
            <w:pPr>
              <w:pStyle w:val="SingleTxtG"/>
              <w:spacing w:before="40" w:after="40" w:line="220" w:lineRule="exact"/>
              <w:ind w:left="0" w:right="0"/>
              <w:jc w:val="right"/>
              <w:rPr>
                <w:sz w:val="18"/>
              </w:rPr>
            </w:pPr>
            <w:r w:rsidRPr="00491717">
              <w:rPr>
                <w:sz w:val="18"/>
              </w:rPr>
              <w:t>9,4</w:t>
            </w:r>
          </w:p>
        </w:tc>
      </w:tr>
      <w:tr w:rsidR="00491717" w:rsidRPr="00491717" w14:paraId="50F86F9B" w14:textId="77777777" w:rsidTr="00A4737A">
        <w:tc>
          <w:tcPr>
            <w:tcW w:w="5571" w:type="dxa"/>
            <w:shd w:val="clear" w:color="auto" w:fill="auto"/>
            <w:vAlign w:val="center"/>
          </w:tcPr>
          <w:p w14:paraId="6CDB0346"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fallecimientos prematuros (personas de 30 a 69 años) causados por las principales enfermedades no transmisibles por cada 1.000 habitantes</w:t>
            </w:r>
          </w:p>
        </w:tc>
        <w:tc>
          <w:tcPr>
            <w:tcW w:w="1799" w:type="dxa"/>
            <w:shd w:val="clear" w:color="auto" w:fill="auto"/>
            <w:vAlign w:val="center"/>
          </w:tcPr>
          <w:p w14:paraId="29197709" w14:textId="77777777" w:rsidR="00491717" w:rsidRPr="00491717" w:rsidRDefault="00491717" w:rsidP="00491717">
            <w:pPr>
              <w:pStyle w:val="SingleTxtG"/>
              <w:spacing w:before="40" w:after="40" w:line="220" w:lineRule="exact"/>
              <w:ind w:left="0" w:right="0"/>
              <w:jc w:val="right"/>
              <w:rPr>
                <w:sz w:val="18"/>
              </w:rPr>
            </w:pPr>
            <w:r w:rsidRPr="00491717">
              <w:rPr>
                <w:sz w:val="18"/>
              </w:rPr>
              <w:t>3</w:t>
            </w:r>
          </w:p>
        </w:tc>
      </w:tr>
      <w:tr w:rsidR="00491717" w:rsidRPr="00491717" w14:paraId="54178634" w14:textId="77777777" w:rsidTr="00A4737A">
        <w:tc>
          <w:tcPr>
            <w:tcW w:w="5571" w:type="dxa"/>
            <w:shd w:val="clear" w:color="auto" w:fill="auto"/>
            <w:vAlign w:val="center"/>
          </w:tcPr>
          <w:p w14:paraId="65DE7741"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ocupación de las camas disponibles </w:t>
            </w:r>
          </w:p>
        </w:tc>
        <w:tc>
          <w:tcPr>
            <w:tcW w:w="1799" w:type="dxa"/>
            <w:shd w:val="clear" w:color="auto" w:fill="auto"/>
            <w:vAlign w:val="center"/>
          </w:tcPr>
          <w:p w14:paraId="2291F2AC" w14:textId="77777777" w:rsidR="00491717" w:rsidRPr="00491717" w:rsidRDefault="00491717" w:rsidP="00491717">
            <w:pPr>
              <w:pStyle w:val="SingleTxtG"/>
              <w:spacing w:before="40" w:after="40" w:line="220" w:lineRule="exact"/>
              <w:ind w:left="0" w:right="0"/>
              <w:jc w:val="right"/>
              <w:rPr>
                <w:sz w:val="18"/>
              </w:rPr>
            </w:pPr>
            <w:r w:rsidRPr="00491717">
              <w:rPr>
                <w:sz w:val="18"/>
              </w:rPr>
              <w:t>49 %</w:t>
            </w:r>
          </w:p>
        </w:tc>
      </w:tr>
      <w:tr w:rsidR="00491717" w:rsidRPr="00491717" w14:paraId="0FB78C13" w14:textId="77777777" w:rsidTr="00A4737A">
        <w:tc>
          <w:tcPr>
            <w:tcW w:w="5571" w:type="dxa"/>
            <w:shd w:val="clear" w:color="auto" w:fill="auto"/>
            <w:vAlign w:val="center"/>
          </w:tcPr>
          <w:p w14:paraId="25844AF0"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Incubadoras </w:t>
            </w:r>
          </w:p>
        </w:tc>
        <w:tc>
          <w:tcPr>
            <w:tcW w:w="1799" w:type="dxa"/>
            <w:shd w:val="clear" w:color="auto" w:fill="auto"/>
            <w:vAlign w:val="center"/>
          </w:tcPr>
          <w:p w14:paraId="5F3BAF0E" w14:textId="77777777" w:rsidR="00491717" w:rsidRPr="00491717" w:rsidRDefault="00491717" w:rsidP="00491717">
            <w:pPr>
              <w:pStyle w:val="SingleTxtG"/>
              <w:spacing w:before="40" w:after="40" w:line="220" w:lineRule="exact"/>
              <w:ind w:left="0" w:right="0"/>
              <w:jc w:val="right"/>
              <w:rPr>
                <w:sz w:val="18"/>
              </w:rPr>
            </w:pPr>
            <w:r w:rsidRPr="00491717">
              <w:rPr>
                <w:sz w:val="18"/>
              </w:rPr>
              <w:t>1</w:t>
            </w:r>
            <w:r w:rsidR="00716B46">
              <w:rPr>
                <w:sz w:val="18"/>
              </w:rPr>
              <w:t xml:space="preserve"> </w:t>
            </w:r>
            <w:r w:rsidRPr="00491717">
              <w:rPr>
                <w:sz w:val="18"/>
              </w:rPr>
              <w:t>821</w:t>
            </w:r>
          </w:p>
        </w:tc>
      </w:tr>
      <w:tr w:rsidR="00491717" w:rsidRPr="00491717" w14:paraId="122CB1DC" w14:textId="77777777" w:rsidTr="00A4737A">
        <w:tc>
          <w:tcPr>
            <w:tcW w:w="5571" w:type="dxa"/>
            <w:shd w:val="clear" w:color="auto" w:fill="auto"/>
            <w:vAlign w:val="center"/>
          </w:tcPr>
          <w:p w14:paraId="0F855C2B"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Intervenciones quirúrgicas especiales </w:t>
            </w:r>
          </w:p>
        </w:tc>
        <w:tc>
          <w:tcPr>
            <w:tcW w:w="1799" w:type="dxa"/>
            <w:shd w:val="clear" w:color="auto" w:fill="auto"/>
            <w:vAlign w:val="center"/>
          </w:tcPr>
          <w:p w14:paraId="0A2D97FE" w14:textId="77777777" w:rsidR="00491717" w:rsidRPr="00491717" w:rsidRDefault="00491717" w:rsidP="00491717">
            <w:pPr>
              <w:pStyle w:val="SingleTxtG"/>
              <w:spacing w:before="40" w:after="40" w:line="220" w:lineRule="exact"/>
              <w:ind w:left="0" w:right="0"/>
              <w:jc w:val="right"/>
              <w:rPr>
                <w:sz w:val="18"/>
              </w:rPr>
            </w:pPr>
            <w:r w:rsidRPr="00491717">
              <w:rPr>
                <w:sz w:val="18"/>
              </w:rPr>
              <w:t>23</w:t>
            </w:r>
            <w:r w:rsidR="00716B46">
              <w:rPr>
                <w:sz w:val="18"/>
              </w:rPr>
              <w:t xml:space="preserve"> </w:t>
            </w:r>
            <w:r w:rsidRPr="00491717">
              <w:rPr>
                <w:sz w:val="18"/>
              </w:rPr>
              <w:t>030</w:t>
            </w:r>
          </w:p>
        </w:tc>
      </w:tr>
      <w:tr w:rsidR="00491717" w:rsidRPr="00491717" w14:paraId="2E56390F" w14:textId="77777777" w:rsidTr="00A4737A">
        <w:tc>
          <w:tcPr>
            <w:tcW w:w="5571" w:type="dxa"/>
            <w:shd w:val="clear" w:color="auto" w:fill="auto"/>
            <w:vAlign w:val="center"/>
          </w:tcPr>
          <w:p w14:paraId="57AFFC71"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Intervenciones de cirugía mayor no ambulatoria </w:t>
            </w:r>
          </w:p>
        </w:tc>
        <w:tc>
          <w:tcPr>
            <w:tcW w:w="1799" w:type="dxa"/>
            <w:shd w:val="clear" w:color="auto" w:fill="auto"/>
            <w:vAlign w:val="center"/>
          </w:tcPr>
          <w:p w14:paraId="15746BBF" w14:textId="77777777" w:rsidR="00491717" w:rsidRPr="00491717" w:rsidRDefault="00491717" w:rsidP="00491717">
            <w:pPr>
              <w:pStyle w:val="SingleTxtG"/>
              <w:spacing w:before="40" w:after="40" w:line="220" w:lineRule="exact"/>
              <w:ind w:left="0" w:right="0"/>
              <w:jc w:val="right"/>
              <w:rPr>
                <w:sz w:val="18"/>
              </w:rPr>
            </w:pPr>
            <w:r w:rsidRPr="00491717">
              <w:rPr>
                <w:sz w:val="18"/>
              </w:rPr>
              <w:t>261</w:t>
            </w:r>
            <w:r w:rsidR="00716B46">
              <w:rPr>
                <w:sz w:val="18"/>
              </w:rPr>
              <w:t xml:space="preserve"> </w:t>
            </w:r>
            <w:r w:rsidRPr="00491717">
              <w:rPr>
                <w:sz w:val="18"/>
              </w:rPr>
              <w:t>486</w:t>
            </w:r>
          </w:p>
        </w:tc>
      </w:tr>
      <w:tr w:rsidR="00491717" w:rsidRPr="00491717" w14:paraId="4695F062" w14:textId="77777777" w:rsidTr="00A4737A">
        <w:tc>
          <w:tcPr>
            <w:tcW w:w="5571" w:type="dxa"/>
            <w:shd w:val="clear" w:color="auto" w:fill="auto"/>
            <w:vAlign w:val="center"/>
          </w:tcPr>
          <w:p w14:paraId="3CD7B08B"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Intervenciones de cirugía mayor ambulatoria </w:t>
            </w:r>
          </w:p>
        </w:tc>
        <w:tc>
          <w:tcPr>
            <w:tcW w:w="1799" w:type="dxa"/>
            <w:shd w:val="clear" w:color="auto" w:fill="auto"/>
            <w:vAlign w:val="center"/>
          </w:tcPr>
          <w:p w14:paraId="399C91E6" w14:textId="77777777" w:rsidR="00491717" w:rsidRPr="00491717" w:rsidRDefault="00491717" w:rsidP="00491717">
            <w:pPr>
              <w:pStyle w:val="SingleTxtG"/>
              <w:spacing w:before="40" w:after="40" w:line="220" w:lineRule="exact"/>
              <w:ind w:left="0" w:right="0"/>
              <w:jc w:val="right"/>
              <w:rPr>
                <w:sz w:val="18"/>
              </w:rPr>
            </w:pPr>
            <w:r w:rsidRPr="00491717">
              <w:rPr>
                <w:sz w:val="18"/>
              </w:rPr>
              <w:t>260</w:t>
            </w:r>
            <w:r w:rsidR="00716B46">
              <w:rPr>
                <w:sz w:val="18"/>
              </w:rPr>
              <w:t xml:space="preserve"> </w:t>
            </w:r>
            <w:r w:rsidRPr="00491717">
              <w:rPr>
                <w:sz w:val="18"/>
              </w:rPr>
              <w:t>787</w:t>
            </w:r>
          </w:p>
        </w:tc>
      </w:tr>
      <w:tr w:rsidR="00491717" w:rsidRPr="00491717" w14:paraId="665A85A8" w14:textId="77777777" w:rsidTr="00A4737A">
        <w:tc>
          <w:tcPr>
            <w:tcW w:w="5571" w:type="dxa"/>
            <w:shd w:val="clear" w:color="auto" w:fill="auto"/>
            <w:vAlign w:val="center"/>
          </w:tcPr>
          <w:p w14:paraId="0133B28D"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Intervenciones de cirugía intermedia </w:t>
            </w:r>
          </w:p>
        </w:tc>
        <w:tc>
          <w:tcPr>
            <w:tcW w:w="1799" w:type="dxa"/>
            <w:shd w:val="clear" w:color="auto" w:fill="auto"/>
            <w:vAlign w:val="center"/>
          </w:tcPr>
          <w:p w14:paraId="3755819F" w14:textId="77777777" w:rsidR="00491717" w:rsidRPr="00491717" w:rsidRDefault="00491717" w:rsidP="00491717">
            <w:pPr>
              <w:pStyle w:val="SingleTxtG"/>
              <w:spacing w:before="40" w:after="40" w:line="220" w:lineRule="exact"/>
              <w:ind w:left="0" w:right="0"/>
              <w:jc w:val="right"/>
              <w:rPr>
                <w:sz w:val="18"/>
              </w:rPr>
            </w:pPr>
            <w:r w:rsidRPr="00491717">
              <w:rPr>
                <w:sz w:val="18"/>
              </w:rPr>
              <w:t>326</w:t>
            </w:r>
            <w:r w:rsidR="00716B46">
              <w:rPr>
                <w:sz w:val="18"/>
              </w:rPr>
              <w:t xml:space="preserve"> </w:t>
            </w:r>
            <w:r w:rsidRPr="00491717">
              <w:rPr>
                <w:sz w:val="18"/>
              </w:rPr>
              <w:t>010</w:t>
            </w:r>
          </w:p>
        </w:tc>
      </w:tr>
      <w:tr w:rsidR="00491717" w:rsidRPr="00491717" w14:paraId="1590DC80" w14:textId="77777777" w:rsidTr="00A4737A">
        <w:tc>
          <w:tcPr>
            <w:tcW w:w="5571" w:type="dxa"/>
            <w:shd w:val="clear" w:color="auto" w:fill="auto"/>
            <w:vAlign w:val="center"/>
          </w:tcPr>
          <w:p w14:paraId="39C65B9E"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Intervenciones de cirugía menor </w:t>
            </w:r>
          </w:p>
        </w:tc>
        <w:tc>
          <w:tcPr>
            <w:tcW w:w="1799" w:type="dxa"/>
            <w:shd w:val="clear" w:color="auto" w:fill="auto"/>
            <w:vAlign w:val="center"/>
          </w:tcPr>
          <w:p w14:paraId="09B59139" w14:textId="77777777" w:rsidR="00491717" w:rsidRPr="00491717" w:rsidRDefault="00491717" w:rsidP="00491717">
            <w:pPr>
              <w:pStyle w:val="SingleTxtG"/>
              <w:spacing w:before="40" w:after="40" w:line="220" w:lineRule="exact"/>
              <w:ind w:left="0" w:right="0"/>
              <w:jc w:val="right"/>
              <w:rPr>
                <w:sz w:val="18"/>
              </w:rPr>
            </w:pPr>
            <w:r w:rsidRPr="00491717">
              <w:rPr>
                <w:sz w:val="18"/>
              </w:rPr>
              <w:t>554</w:t>
            </w:r>
            <w:r w:rsidR="00716B46">
              <w:rPr>
                <w:sz w:val="18"/>
              </w:rPr>
              <w:t xml:space="preserve"> </w:t>
            </w:r>
            <w:r w:rsidRPr="00491717">
              <w:rPr>
                <w:sz w:val="18"/>
              </w:rPr>
              <w:t>249</w:t>
            </w:r>
          </w:p>
        </w:tc>
      </w:tr>
      <w:tr w:rsidR="00491717" w:rsidRPr="00491717" w14:paraId="7F0E23D9" w14:textId="77777777" w:rsidTr="00A4737A">
        <w:tc>
          <w:tcPr>
            <w:tcW w:w="5571" w:type="dxa"/>
            <w:shd w:val="clear" w:color="auto" w:fill="auto"/>
            <w:vAlign w:val="center"/>
          </w:tcPr>
          <w:p w14:paraId="7167D517"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Pacientes hospitalizados </w:t>
            </w:r>
          </w:p>
        </w:tc>
        <w:tc>
          <w:tcPr>
            <w:tcW w:w="1799" w:type="dxa"/>
            <w:shd w:val="clear" w:color="auto" w:fill="auto"/>
            <w:vAlign w:val="center"/>
          </w:tcPr>
          <w:p w14:paraId="3766D535" w14:textId="77777777" w:rsidR="00491717" w:rsidRPr="00491717" w:rsidRDefault="00491717" w:rsidP="00491717">
            <w:pPr>
              <w:pStyle w:val="SingleTxtG"/>
              <w:spacing w:before="40" w:after="40" w:line="220" w:lineRule="exact"/>
              <w:ind w:left="0" w:right="0"/>
              <w:jc w:val="right"/>
              <w:rPr>
                <w:sz w:val="18"/>
              </w:rPr>
            </w:pPr>
            <w:r w:rsidRPr="00491717">
              <w:rPr>
                <w:sz w:val="18"/>
              </w:rPr>
              <w:t>2</w:t>
            </w:r>
            <w:r w:rsidR="00716B46">
              <w:rPr>
                <w:sz w:val="18"/>
              </w:rPr>
              <w:t xml:space="preserve"> </w:t>
            </w:r>
            <w:r w:rsidRPr="00491717">
              <w:rPr>
                <w:sz w:val="18"/>
              </w:rPr>
              <w:t>751</w:t>
            </w:r>
            <w:r w:rsidR="00716B46">
              <w:rPr>
                <w:sz w:val="18"/>
              </w:rPr>
              <w:t xml:space="preserve"> </w:t>
            </w:r>
            <w:r w:rsidRPr="00491717">
              <w:rPr>
                <w:sz w:val="18"/>
              </w:rPr>
              <w:t>832</w:t>
            </w:r>
          </w:p>
        </w:tc>
      </w:tr>
      <w:tr w:rsidR="00491717" w:rsidRPr="00491717" w14:paraId="70E461C3" w14:textId="77777777" w:rsidTr="00A4737A">
        <w:tc>
          <w:tcPr>
            <w:tcW w:w="5571" w:type="dxa"/>
            <w:shd w:val="clear" w:color="auto" w:fill="auto"/>
            <w:vAlign w:val="center"/>
          </w:tcPr>
          <w:p w14:paraId="5C82349D" w14:textId="77777777" w:rsidR="00491717" w:rsidRPr="00491717" w:rsidRDefault="00491717" w:rsidP="00491717">
            <w:pPr>
              <w:pStyle w:val="SingleTxtG"/>
              <w:spacing w:before="40" w:after="40" w:line="220" w:lineRule="exact"/>
              <w:ind w:left="0" w:right="0"/>
              <w:jc w:val="left"/>
              <w:rPr>
                <w:sz w:val="18"/>
              </w:rPr>
            </w:pPr>
            <w:r w:rsidRPr="00491717">
              <w:rPr>
                <w:sz w:val="18"/>
              </w:rPr>
              <w:t>Consultas de pacientes ambulatorios</w:t>
            </w:r>
          </w:p>
        </w:tc>
        <w:tc>
          <w:tcPr>
            <w:tcW w:w="1799" w:type="dxa"/>
            <w:shd w:val="clear" w:color="auto" w:fill="auto"/>
            <w:vAlign w:val="center"/>
          </w:tcPr>
          <w:p w14:paraId="0A2963C0" w14:textId="77777777" w:rsidR="00491717" w:rsidRPr="00491717" w:rsidRDefault="00491717" w:rsidP="00491717">
            <w:pPr>
              <w:pStyle w:val="SingleTxtG"/>
              <w:spacing w:before="40" w:after="40" w:line="220" w:lineRule="exact"/>
              <w:ind w:left="0" w:right="0"/>
              <w:jc w:val="right"/>
              <w:rPr>
                <w:sz w:val="18"/>
              </w:rPr>
            </w:pPr>
            <w:r w:rsidRPr="00491717">
              <w:rPr>
                <w:sz w:val="18"/>
              </w:rPr>
              <w:t>61</w:t>
            </w:r>
            <w:r w:rsidR="00716B46">
              <w:rPr>
                <w:sz w:val="18"/>
              </w:rPr>
              <w:t xml:space="preserve"> </w:t>
            </w:r>
            <w:r w:rsidRPr="00491717">
              <w:rPr>
                <w:sz w:val="18"/>
              </w:rPr>
              <w:t>345</w:t>
            </w:r>
            <w:r w:rsidR="00716B46">
              <w:rPr>
                <w:sz w:val="18"/>
              </w:rPr>
              <w:t xml:space="preserve"> </w:t>
            </w:r>
            <w:r w:rsidRPr="00491717">
              <w:rPr>
                <w:sz w:val="18"/>
              </w:rPr>
              <w:t>825</w:t>
            </w:r>
          </w:p>
        </w:tc>
      </w:tr>
      <w:tr w:rsidR="00491717" w:rsidRPr="00491717" w14:paraId="3D992578" w14:textId="77777777" w:rsidTr="00A4737A">
        <w:tc>
          <w:tcPr>
            <w:tcW w:w="5571" w:type="dxa"/>
            <w:shd w:val="clear" w:color="auto" w:fill="auto"/>
            <w:vAlign w:val="center"/>
          </w:tcPr>
          <w:p w14:paraId="04876BB5"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Visitas de pacientes ambulatorios a clínicas </w:t>
            </w:r>
          </w:p>
        </w:tc>
        <w:tc>
          <w:tcPr>
            <w:tcW w:w="1799" w:type="dxa"/>
            <w:shd w:val="clear" w:color="auto" w:fill="auto"/>
            <w:vAlign w:val="center"/>
          </w:tcPr>
          <w:p w14:paraId="5A3BA797" w14:textId="77777777" w:rsidR="00491717" w:rsidRPr="00491717" w:rsidRDefault="00491717" w:rsidP="00491717">
            <w:pPr>
              <w:pStyle w:val="SingleTxtG"/>
              <w:spacing w:before="40" w:after="40" w:line="220" w:lineRule="exact"/>
              <w:ind w:left="0" w:right="0"/>
              <w:jc w:val="right"/>
              <w:rPr>
                <w:sz w:val="18"/>
              </w:rPr>
            </w:pPr>
            <w:r w:rsidRPr="00491717">
              <w:rPr>
                <w:sz w:val="18"/>
              </w:rPr>
              <w:t>14</w:t>
            </w:r>
            <w:r w:rsidR="00716B46">
              <w:rPr>
                <w:sz w:val="18"/>
              </w:rPr>
              <w:t xml:space="preserve"> </w:t>
            </w:r>
            <w:r w:rsidRPr="00491717">
              <w:rPr>
                <w:sz w:val="18"/>
              </w:rPr>
              <w:t>797</w:t>
            </w:r>
            <w:r w:rsidR="00716B46">
              <w:rPr>
                <w:sz w:val="18"/>
              </w:rPr>
              <w:t xml:space="preserve"> </w:t>
            </w:r>
            <w:r w:rsidRPr="00491717">
              <w:rPr>
                <w:sz w:val="18"/>
              </w:rPr>
              <w:t>116</w:t>
            </w:r>
          </w:p>
        </w:tc>
      </w:tr>
      <w:tr w:rsidR="00491717" w:rsidRPr="00491717" w14:paraId="0F6F1779" w14:textId="77777777" w:rsidTr="00A4737A">
        <w:tc>
          <w:tcPr>
            <w:tcW w:w="5571" w:type="dxa"/>
            <w:shd w:val="clear" w:color="auto" w:fill="auto"/>
            <w:vAlign w:val="center"/>
          </w:tcPr>
          <w:p w14:paraId="373F4FBA"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Visitas de pacientes ambulatorios a consultas externas </w:t>
            </w:r>
          </w:p>
        </w:tc>
        <w:tc>
          <w:tcPr>
            <w:tcW w:w="1799" w:type="dxa"/>
            <w:shd w:val="clear" w:color="auto" w:fill="auto"/>
            <w:vAlign w:val="center"/>
          </w:tcPr>
          <w:p w14:paraId="12E251F6" w14:textId="77777777" w:rsidR="00491717" w:rsidRPr="00491717" w:rsidRDefault="00491717" w:rsidP="00491717">
            <w:pPr>
              <w:pStyle w:val="SingleTxtG"/>
              <w:spacing w:before="40" w:after="40" w:line="220" w:lineRule="exact"/>
              <w:ind w:left="0" w:right="0"/>
              <w:jc w:val="right"/>
              <w:rPr>
                <w:sz w:val="18"/>
              </w:rPr>
            </w:pPr>
            <w:r w:rsidRPr="00491717">
              <w:rPr>
                <w:sz w:val="18"/>
              </w:rPr>
              <w:t>2</w:t>
            </w:r>
            <w:r w:rsidR="00716B46">
              <w:rPr>
                <w:sz w:val="18"/>
              </w:rPr>
              <w:t xml:space="preserve"> </w:t>
            </w:r>
            <w:r w:rsidRPr="00491717">
              <w:rPr>
                <w:sz w:val="18"/>
              </w:rPr>
              <w:t>121</w:t>
            </w:r>
            <w:r w:rsidR="00716B46">
              <w:rPr>
                <w:sz w:val="18"/>
              </w:rPr>
              <w:t xml:space="preserve"> </w:t>
            </w:r>
            <w:r w:rsidRPr="00491717">
              <w:rPr>
                <w:sz w:val="18"/>
              </w:rPr>
              <w:t>394</w:t>
            </w:r>
          </w:p>
        </w:tc>
      </w:tr>
      <w:tr w:rsidR="00491717" w:rsidRPr="00491717" w14:paraId="1AA4162B" w14:textId="77777777" w:rsidTr="00A4737A">
        <w:tc>
          <w:tcPr>
            <w:tcW w:w="5571" w:type="dxa"/>
            <w:shd w:val="clear" w:color="auto" w:fill="auto"/>
            <w:vAlign w:val="center"/>
          </w:tcPr>
          <w:p w14:paraId="33E42CEA"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Visitas de pacientes ambulatorios a servicios de emergencias </w:t>
            </w:r>
          </w:p>
        </w:tc>
        <w:tc>
          <w:tcPr>
            <w:tcW w:w="1799" w:type="dxa"/>
            <w:shd w:val="clear" w:color="auto" w:fill="auto"/>
            <w:vAlign w:val="center"/>
          </w:tcPr>
          <w:p w14:paraId="539BCA13" w14:textId="77777777" w:rsidR="00491717" w:rsidRPr="00491717" w:rsidRDefault="00491717" w:rsidP="00491717">
            <w:pPr>
              <w:pStyle w:val="SingleTxtG"/>
              <w:spacing w:before="40" w:after="40" w:line="220" w:lineRule="exact"/>
              <w:ind w:left="0" w:right="0"/>
              <w:jc w:val="right"/>
              <w:rPr>
                <w:sz w:val="18"/>
              </w:rPr>
            </w:pPr>
            <w:r w:rsidRPr="00491717">
              <w:rPr>
                <w:sz w:val="18"/>
              </w:rPr>
              <w:t>8</w:t>
            </w:r>
            <w:r w:rsidR="00716B46">
              <w:rPr>
                <w:sz w:val="18"/>
              </w:rPr>
              <w:t xml:space="preserve"> </w:t>
            </w:r>
            <w:r w:rsidRPr="00491717">
              <w:rPr>
                <w:sz w:val="18"/>
              </w:rPr>
              <w:t>053</w:t>
            </w:r>
            <w:r w:rsidR="00716B46">
              <w:rPr>
                <w:sz w:val="18"/>
              </w:rPr>
              <w:t xml:space="preserve"> </w:t>
            </w:r>
            <w:r w:rsidRPr="00491717">
              <w:rPr>
                <w:sz w:val="18"/>
              </w:rPr>
              <w:t>439</w:t>
            </w:r>
          </w:p>
        </w:tc>
      </w:tr>
      <w:tr w:rsidR="00491717" w:rsidRPr="00491717" w14:paraId="4ADA072A" w14:textId="77777777" w:rsidTr="00A4737A">
        <w:tc>
          <w:tcPr>
            <w:tcW w:w="5571" w:type="dxa"/>
            <w:shd w:val="clear" w:color="auto" w:fill="auto"/>
            <w:vAlign w:val="center"/>
          </w:tcPr>
          <w:p w14:paraId="23F32C3D" w14:textId="77777777" w:rsidR="00491717" w:rsidRPr="00491717" w:rsidRDefault="00491717" w:rsidP="00491717">
            <w:pPr>
              <w:pStyle w:val="SingleTxtG"/>
              <w:spacing w:before="40" w:after="40" w:line="220" w:lineRule="exact"/>
              <w:ind w:left="0" w:right="0"/>
              <w:jc w:val="left"/>
              <w:rPr>
                <w:sz w:val="18"/>
              </w:rPr>
            </w:pPr>
            <w:r w:rsidRPr="00491717">
              <w:rPr>
                <w:sz w:val="18"/>
              </w:rPr>
              <w:t xml:space="preserve">Visitas de pacientes ambulatorios a centros médicos especializados </w:t>
            </w:r>
          </w:p>
        </w:tc>
        <w:tc>
          <w:tcPr>
            <w:tcW w:w="1799" w:type="dxa"/>
            <w:shd w:val="clear" w:color="auto" w:fill="auto"/>
            <w:vAlign w:val="center"/>
          </w:tcPr>
          <w:p w14:paraId="42F4F7FA" w14:textId="77777777" w:rsidR="00491717" w:rsidRPr="00491717" w:rsidRDefault="00491717" w:rsidP="00491717">
            <w:pPr>
              <w:pStyle w:val="SingleTxtG"/>
              <w:spacing w:before="40" w:after="40" w:line="220" w:lineRule="exact"/>
              <w:ind w:left="0" w:right="0"/>
              <w:jc w:val="right"/>
              <w:rPr>
                <w:sz w:val="18"/>
              </w:rPr>
            </w:pPr>
            <w:r w:rsidRPr="00491717">
              <w:rPr>
                <w:sz w:val="18"/>
              </w:rPr>
              <w:t>2</w:t>
            </w:r>
            <w:r w:rsidR="00716B46">
              <w:rPr>
                <w:sz w:val="18"/>
              </w:rPr>
              <w:t xml:space="preserve"> </w:t>
            </w:r>
            <w:r w:rsidRPr="00491717">
              <w:rPr>
                <w:sz w:val="18"/>
              </w:rPr>
              <w:t>072</w:t>
            </w:r>
            <w:r w:rsidR="00716B46">
              <w:rPr>
                <w:sz w:val="18"/>
              </w:rPr>
              <w:t xml:space="preserve"> </w:t>
            </w:r>
            <w:r w:rsidRPr="00491717">
              <w:rPr>
                <w:sz w:val="18"/>
              </w:rPr>
              <w:t>510</w:t>
            </w:r>
          </w:p>
        </w:tc>
      </w:tr>
      <w:tr w:rsidR="00491717" w:rsidRPr="00491717" w14:paraId="67F3B1BC" w14:textId="77777777" w:rsidTr="00A4737A">
        <w:tc>
          <w:tcPr>
            <w:tcW w:w="5571" w:type="dxa"/>
            <w:shd w:val="clear" w:color="auto" w:fill="auto"/>
            <w:vAlign w:val="center"/>
          </w:tcPr>
          <w:p w14:paraId="2951ABD4" w14:textId="77777777" w:rsidR="00491717" w:rsidRPr="00491717" w:rsidRDefault="00491717" w:rsidP="00491717">
            <w:pPr>
              <w:pStyle w:val="SingleTxtG"/>
              <w:spacing w:before="40" w:after="40" w:line="220" w:lineRule="exact"/>
              <w:ind w:left="0" w:right="0"/>
              <w:jc w:val="left"/>
              <w:rPr>
                <w:sz w:val="18"/>
              </w:rPr>
            </w:pPr>
            <w:r w:rsidRPr="00491717">
              <w:rPr>
                <w:sz w:val="18"/>
              </w:rPr>
              <w:lastRenderedPageBreak/>
              <w:t xml:space="preserve">Visitas de pacientes ambulatorios a centros de atención primaria </w:t>
            </w:r>
          </w:p>
        </w:tc>
        <w:tc>
          <w:tcPr>
            <w:tcW w:w="1799" w:type="dxa"/>
            <w:shd w:val="clear" w:color="auto" w:fill="auto"/>
            <w:vAlign w:val="center"/>
          </w:tcPr>
          <w:p w14:paraId="3D39A820" w14:textId="77777777" w:rsidR="00491717" w:rsidRPr="00491717" w:rsidRDefault="00491717" w:rsidP="00491717">
            <w:pPr>
              <w:pStyle w:val="SingleTxtG"/>
              <w:spacing w:before="40" w:after="40" w:line="220" w:lineRule="exact"/>
              <w:ind w:left="0" w:right="0"/>
              <w:jc w:val="right"/>
              <w:rPr>
                <w:sz w:val="18"/>
              </w:rPr>
            </w:pPr>
            <w:r w:rsidRPr="00491717">
              <w:rPr>
                <w:sz w:val="18"/>
              </w:rPr>
              <w:t>29</w:t>
            </w:r>
            <w:r w:rsidR="00716B46">
              <w:rPr>
                <w:sz w:val="18"/>
              </w:rPr>
              <w:t xml:space="preserve"> </w:t>
            </w:r>
            <w:r w:rsidRPr="00491717">
              <w:rPr>
                <w:sz w:val="18"/>
              </w:rPr>
              <w:t>926</w:t>
            </w:r>
            <w:r w:rsidR="00716B46">
              <w:rPr>
                <w:sz w:val="18"/>
              </w:rPr>
              <w:t xml:space="preserve"> </w:t>
            </w:r>
            <w:r w:rsidRPr="00491717">
              <w:rPr>
                <w:sz w:val="18"/>
              </w:rPr>
              <w:t>827</w:t>
            </w:r>
          </w:p>
        </w:tc>
      </w:tr>
      <w:tr w:rsidR="00491717" w:rsidRPr="00491717" w14:paraId="0687727C" w14:textId="77777777" w:rsidTr="00A4737A">
        <w:tc>
          <w:tcPr>
            <w:tcW w:w="5571" w:type="dxa"/>
            <w:shd w:val="clear" w:color="auto" w:fill="auto"/>
            <w:vAlign w:val="center"/>
          </w:tcPr>
          <w:p w14:paraId="0AF65889" w14:textId="77777777" w:rsidR="00491717" w:rsidRPr="00491717" w:rsidRDefault="00491717" w:rsidP="00491717">
            <w:pPr>
              <w:pStyle w:val="SingleTxtG"/>
              <w:spacing w:before="40" w:after="40" w:line="220" w:lineRule="exact"/>
              <w:ind w:left="0" w:right="0"/>
              <w:jc w:val="left"/>
              <w:rPr>
                <w:sz w:val="18"/>
              </w:rPr>
            </w:pPr>
            <w:r w:rsidRPr="00491717">
              <w:rPr>
                <w:sz w:val="18"/>
              </w:rPr>
              <w:t>Centros de atención primaria</w:t>
            </w:r>
          </w:p>
        </w:tc>
        <w:tc>
          <w:tcPr>
            <w:tcW w:w="1799" w:type="dxa"/>
            <w:shd w:val="clear" w:color="auto" w:fill="auto"/>
            <w:vAlign w:val="center"/>
          </w:tcPr>
          <w:p w14:paraId="27AF2E14" w14:textId="77777777" w:rsidR="00491717" w:rsidRPr="00491717" w:rsidRDefault="00491717" w:rsidP="00491717">
            <w:pPr>
              <w:pStyle w:val="SingleTxtG"/>
              <w:spacing w:before="40" w:after="40" w:line="220" w:lineRule="exact"/>
              <w:ind w:left="0" w:right="0"/>
              <w:jc w:val="right"/>
              <w:rPr>
                <w:sz w:val="18"/>
              </w:rPr>
            </w:pPr>
            <w:r w:rsidRPr="00491717">
              <w:rPr>
                <w:sz w:val="18"/>
              </w:rPr>
              <w:t>2</w:t>
            </w:r>
            <w:r w:rsidR="00716B46">
              <w:rPr>
                <w:sz w:val="18"/>
              </w:rPr>
              <w:t xml:space="preserve"> </w:t>
            </w:r>
            <w:r w:rsidRPr="00491717">
              <w:rPr>
                <w:sz w:val="18"/>
              </w:rPr>
              <w:t>658</w:t>
            </w:r>
          </w:p>
        </w:tc>
      </w:tr>
      <w:tr w:rsidR="00491717" w:rsidRPr="00491717" w14:paraId="2A0171AC" w14:textId="77777777" w:rsidTr="00A4737A">
        <w:tc>
          <w:tcPr>
            <w:tcW w:w="5571" w:type="dxa"/>
            <w:shd w:val="clear" w:color="auto" w:fill="auto"/>
            <w:vAlign w:val="center"/>
          </w:tcPr>
          <w:p w14:paraId="153FC1E3" w14:textId="77777777" w:rsidR="00491717" w:rsidRPr="00491717" w:rsidRDefault="00491717" w:rsidP="00491717">
            <w:pPr>
              <w:pStyle w:val="SingleTxtG"/>
              <w:spacing w:before="40" w:after="40" w:line="220" w:lineRule="exact"/>
              <w:ind w:left="0" w:right="0"/>
              <w:jc w:val="left"/>
              <w:rPr>
                <w:sz w:val="18"/>
              </w:rPr>
            </w:pPr>
            <w:r w:rsidRPr="00491717">
              <w:rPr>
                <w:sz w:val="18"/>
              </w:rPr>
              <w:t>Centros de atención primaria (sedes)</w:t>
            </w:r>
          </w:p>
        </w:tc>
        <w:tc>
          <w:tcPr>
            <w:tcW w:w="1799" w:type="dxa"/>
            <w:shd w:val="clear" w:color="auto" w:fill="auto"/>
            <w:vAlign w:val="center"/>
          </w:tcPr>
          <w:p w14:paraId="49FDD5D7" w14:textId="77777777" w:rsidR="00491717" w:rsidRPr="00491717" w:rsidRDefault="00491717" w:rsidP="00491717">
            <w:pPr>
              <w:pStyle w:val="SingleTxtG"/>
              <w:spacing w:before="40" w:after="40" w:line="220" w:lineRule="exact"/>
              <w:ind w:left="0" w:right="0"/>
              <w:jc w:val="right"/>
              <w:rPr>
                <w:sz w:val="18"/>
              </w:rPr>
            </w:pPr>
            <w:r w:rsidRPr="00491717">
              <w:rPr>
                <w:sz w:val="18"/>
              </w:rPr>
              <w:t>1</w:t>
            </w:r>
            <w:r w:rsidR="00716B46">
              <w:rPr>
                <w:sz w:val="18"/>
              </w:rPr>
              <w:t xml:space="preserve"> </w:t>
            </w:r>
            <w:r w:rsidRPr="00491717">
              <w:rPr>
                <w:sz w:val="18"/>
              </w:rPr>
              <w:t>295</w:t>
            </w:r>
          </w:p>
        </w:tc>
      </w:tr>
      <w:tr w:rsidR="00491717" w:rsidRPr="00491717" w14:paraId="276636E2" w14:textId="77777777" w:rsidTr="00A4737A">
        <w:tc>
          <w:tcPr>
            <w:tcW w:w="5571" w:type="dxa"/>
            <w:shd w:val="clear" w:color="auto" w:fill="auto"/>
            <w:vAlign w:val="center"/>
          </w:tcPr>
          <w:p w14:paraId="1472A1CA" w14:textId="77777777" w:rsidR="00491717" w:rsidRPr="00491717" w:rsidRDefault="00491717" w:rsidP="00491717">
            <w:pPr>
              <w:pStyle w:val="SingleTxtG"/>
              <w:spacing w:before="40" w:after="40" w:line="220" w:lineRule="exact"/>
              <w:ind w:left="0" w:right="0"/>
              <w:jc w:val="left"/>
              <w:rPr>
                <w:sz w:val="18"/>
              </w:rPr>
            </w:pPr>
            <w:r w:rsidRPr="00491717">
              <w:rPr>
                <w:sz w:val="18"/>
              </w:rPr>
              <w:t>Centros de atención primaria (delegaciones)</w:t>
            </w:r>
          </w:p>
        </w:tc>
        <w:tc>
          <w:tcPr>
            <w:tcW w:w="1799" w:type="dxa"/>
            <w:shd w:val="clear" w:color="auto" w:fill="auto"/>
            <w:vAlign w:val="center"/>
          </w:tcPr>
          <w:p w14:paraId="0CB56EBE" w14:textId="77777777" w:rsidR="00491717" w:rsidRPr="00491717" w:rsidRDefault="00491717" w:rsidP="00491717">
            <w:pPr>
              <w:pStyle w:val="SingleTxtG"/>
              <w:spacing w:before="40" w:after="40" w:line="220" w:lineRule="exact"/>
              <w:ind w:left="0" w:right="0"/>
              <w:jc w:val="right"/>
              <w:rPr>
                <w:sz w:val="18"/>
              </w:rPr>
            </w:pPr>
            <w:r w:rsidRPr="00491717">
              <w:rPr>
                <w:sz w:val="18"/>
              </w:rPr>
              <w:t>1</w:t>
            </w:r>
            <w:r w:rsidR="00716B46">
              <w:rPr>
                <w:sz w:val="18"/>
              </w:rPr>
              <w:t xml:space="preserve"> </w:t>
            </w:r>
            <w:r w:rsidRPr="00491717">
              <w:rPr>
                <w:sz w:val="18"/>
              </w:rPr>
              <w:t>363</w:t>
            </w:r>
          </w:p>
        </w:tc>
      </w:tr>
      <w:tr w:rsidR="00491717" w:rsidRPr="00491717" w14:paraId="56B51F40" w14:textId="77777777" w:rsidTr="00A4737A">
        <w:tc>
          <w:tcPr>
            <w:tcW w:w="5571" w:type="dxa"/>
            <w:shd w:val="clear" w:color="auto" w:fill="auto"/>
            <w:vAlign w:val="center"/>
          </w:tcPr>
          <w:p w14:paraId="175436FF" w14:textId="77777777" w:rsidR="00491717" w:rsidRPr="00491717" w:rsidRDefault="00491717" w:rsidP="00491717">
            <w:pPr>
              <w:pStyle w:val="SingleTxtG"/>
              <w:spacing w:before="40" w:after="40" w:line="220" w:lineRule="exact"/>
              <w:ind w:left="0" w:right="0"/>
              <w:jc w:val="left"/>
              <w:rPr>
                <w:sz w:val="18"/>
              </w:rPr>
            </w:pPr>
            <w:r w:rsidRPr="00491717">
              <w:rPr>
                <w:sz w:val="18"/>
              </w:rPr>
              <w:t>Centros de atención primaria que aplican el sistema de medicina familiar</w:t>
            </w:r>
          </w:p>
        </w:tc>
        <w:tc>
          <w:tcPr>
            <w:tcW w:w="1799" w:type="dxa"/>
            <w:shd w:val="clear" w:color="auto" w:fill="auto"/>
            <w:vAlign w:val="center"/>
          </w:tcPr>
          <w:p w14:paraId="14CEA5A3" w14:textId="77777777" w:rsidR="00491717" w:rsidRPr="00491717" w:rsidRDefault="00491717" w:rsidP="00491717">
            <w:pPr>
              <w:pStyle w:val="SingleTxtG"/>
              <w:spacing w:before="40" w:after="40" w:line="220" w:lineRule="exact"/>
              <w:ind w:left="0" w:right="0"/>
              <w:jc w:val="right"/>
              <w:rPr>
                <w:sz w:val="18"/>
              </w:rPr>
            </w:pPr>
            <w:r w:rsidRPr="00491717">
              <w:rPr>
                <w:sz w:val="18"/>
              </w:rPr>
              <w:t>117</w:t>
            </w:r>
          </w:p>
        </w:tc>
      </w:tr>
      <w:tr w:rsidR="00491717" w:rsidRPr="00491717" w14:paraId="336090E9" w14:textId="77777777" w:rsidTr="00A4737A">
        <w:tc>
          <w:tcPr>
            <w:tcW w:w="5571" w:type="dxa"/>
            <w:shd w:val="clear" w:color="auto" w:fill="auto"/>
            <w:vAlign w:val="center"/>
          </w:tcPr>
          <w:p w14:paraId="7D7CCD90" w14:textId="77777777" w:rsidR="00491717" w:rsidRPr="00491717" w:rsidRDefault="00491717" w:rsidP="00491717">
            <w:pPr>
              <w:pStyle w:val="SingleTxtG"/>
              <w:spacing w:before="40" w:after="40" w:line="220" w:lineRule="exact"/>
              <w:ind w:left="0" w:right="0"/>
              <w:jc w:val="left"/>
              <w:rPr>
                <w:sz w:val="18"/>
              </w:rPr>
            </w:pPr>
            <w:r w:rsidRPr="00491717">
              <w:rPr>
                <w:sz w:val="18"/>
              </w:rPr>
              <w:t>Sectores de atención primaria de la salud</w:t>
            </w:r>
          </w:p>
        </w:tc>
        <w:tc>
          <w:tcPr>
            <w:tcW w:w="1799" w:type="dxa"/>
            <w:shd w:val="clear" w:color="auto" w:fill="auto"/>
            <w:vAlign w:val="center"/>
          </w:tcPr>
          <w:p w14:paraId="37E6FC0F" w14:textId="77777777" w:rsidR="00491717" w:rsidRPr="00491717" w:rsidRDefault="00491717" w:rsidP="00491717">
            <w:pPr>
              <w:pStyle w:val="SingleTxtG"/>
              <w:spacing w:before="40" w:after="40" w:line="220" w:lineRule="exact"/>
              <w:ind w:left="0" w:right="0"/>
              <w:jc w:val="right"/>
              <w:rPr>
                <w:sz w:val="18"/>
              </w:rPr>
            </w:pPr>
            <w:r w:rsidRPr="00491717">
              <w:rPr>
                <w:sz w:val="18"/>
              </w:rPr>
              <w:t>135</w:t>
            </w:r>
          </w:p>
        </w:tc>
      </w:tr>
      <w:tr w:rsidR="00491717" w:rsidRPr="00491717" w14:paraId="0B1B0EE6" w14:textId="77777777" w:rsidTr="00A4737A">
        <w:tc>
          <w:tcPr>
            <w:tcW w:w="5571" w:type="dxa"/>
            <w:shd w:val="clear" w:color="auto" w:fill="auto"/>
            <w:vAlign w:val="center"/>
          </w:tcPr>
          <w:p w14:paraId="1AA3FCBC"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primer control del embarazo </w:t>
            </w:r>
          </w:p>
        </w:tc>
        <w:tc>
          <w:tcPr>
            <w:tcW w:w="1799" w:type="dxa"/>
            <w:shd w:val="clear" w:color="auto" w:fill="auto"/>
            <w:vAlign w:val="center"/>
          </w:tcPr>
          <w:p w14:paraId="202373B8" w14:textId="77777777" w:rsidR="00491717" w:rsidRPr="00491717" w:rsidRDefault="00491717" w:rsidP="00491717">
            <w:pPr>
              <w:pStyle w:val="SingleTxtG"/>
              <w:spacing w:before="40" w:after="40" w:line="220" w:lineRule="exact"/>
              <w:ind w:left="0" w:right="0"/>
              <w:jc w:val="right"/>
              <w:rPr>
                <w:sz w:val="18"/>
              </w:rPr>
            </w:pPr>
            <w:r w:rsidRPr="00491717">
              <w:rPr>
                <w:sz w:val="18"/>
              </w:rPr>
              <w:t>56</w:t>
            </w:r>
          </w:p>
        </w:tc>
      </w:tr>
      <w:tr w:rsidR="00491717" w:rsidRPr="00491717" w14:paraId="47F52276" w14:textId="77777777" w:rsidTr="00A4737A">
        <w:tc>
          <w:tcPr>
            <w:tcW w:w="5571" w:type="dxa"/>
            <w:shd w:val="clear" w:color="auto" w:fill="auto"/>
            <w:vAlign w:val="center"/>
          </w:tcPr>
          <w:p w14:paraId="281731BF"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cuarto o posteriores controles del embarazo</w:t>
            </w:r>
          </w:p>
        </w:tc>
        <w:tc>
          <w:tcPr>
            <w:tcW w:w="1799" w:type="dxa"/>
            <w:shd w:val="clear" w:color="auto" w:fill="auto"/>
            <w:vAlign w:val="center"/>
          </w:tcPr>
          <w:p w14:paraId="1CDC3BF7" w14:textId="77777777" w:rsidR="00491717" w:rsidRPr="00491717" w:rsidRDefault="00491717" w:rsidP="00491717">
            <w:pPr>
              <w:pStyle w:val="SingleTxtG"/>
              <w:spacing w:before="40" w:after="40" w:line="220" w:lineRule="exact"/>
              <w:ind w:left="0" w:right="0"/>
              <w:jc w:val="right"/>
              <w:rPr>
                <w:sz w:val="18"/>
              </w:rPr>
            </w:pPr>
            <w:r w:rsidRPr="00491717">
              <w:rPr>
                <w:sz w:val="18"/>
              </w:rPr>
              <w:t>35</w:t>
            </w:r>
          </w:p>
        </w:tc>
      </w:tr>
      <w:tr w:rsidR="00491717" w:rsidRPr="00491717" w14:paraId="1897B880" w14:textId="77777777" w:rsidTr="00A4737A">
        <w:tc>
          <w:tcPr>
            <w:tcW w:w="5571" w:type="dxa"/>
            <w:shd w:val="clear" w:color="auto" w:fill="auto"/>
            <w:vAlign w:val="center"/>
          </w:tcPr>
          <w:p w14:paraId="2237D765"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embarazos de riesgo </w:t>
            </w:r>
          </w:p>
        </w:tc>
        <w:tc>
          <w:tcPr>
            <w:tcW w:w="1799" w:type="dxa"/>
            <w:shd w:val="clear" w:color="auto" w:fill="auto"/>
            <w:vAlign w:val="center"/>
          </w:tcPr>
          <w:p w14:paraId="534EFEF4" w14:textId="77777777" w:rsidR="00491717" w:rsidRPr="00491717" w:rsidRDefault="00491717" w:rsidP="00491717">
            <w:pPr>
              <w:pStyle w:val="SingleTxtG"/>
              <w:spacing w:before="40" w:after="40" w:line="220" w:lineRule="exact"/>
              <w:ind w:left="0" w:right="0"/>
              <w:jc w:val="right"/>
              <w:rPr>
                <w:sz w:val="18"/>
              </w:rPr>
            </w:pPr>
            <w:r w:rsidRPr="00491717">
              <w:rPr>
                <w:sz w:val="18"/>
              </w:rPr>
              <w:t>38</w:t>
            </w:r>
          </w:p>
        </w:tc>
      </w:tr>
      <w:tr w:rsidR="00491717" w:rsidRPr="00491717" w14:paraId="6D4A4BB2" w14:textId="77777777" w:rsidTr="00A4737A">
        <w:tc>
          <w:tcPr>
            <w:tcW w:w="5571" w:type="dxa"/>
            <w:shd w:val="clear" w:color="auto" w:fill="auto"/>
            <w:vAlign w:val="center"/>
          </w:tcPr>
          <w:p w14:paraId="0F8DC285"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primer control en neonatología </w:t>
            </w:r>
          </w:p>
        </w:tc>
        <w:tc>
          <w:tcPr>
            <w:tcW w:w="1799" w:type="dxa"/>
            <w:shd w:val="clear" w:color="auto" w:fill="auto"/>
            <w:vAlign w:val="center"/>
          </w:tcPr>
          <w:p w14:paraId="4C6C2EC0" w14:textId="77777777" w:rsidR="00491717" w:rsidRPr="00491717" w:rsidRDefault="00491717" w:rsidP="00491717">
            <w:pPr>
              <w:pStyle w:val="SingleTxtG"/>
              <w:spacing w:before="40" w:after="40" w:line="220" w:lineRule="exact"/>
              <w:ind w:left="0" w:right="0"/>
              <w:jc w:val="right"/>
              <w:rPr>
                <w:sz w:val="18"/>
              </w:rPr>
            </w:pPr>
            <w:r w:rsidRPr="00491717">
              <w:rPr>
                <w:sz w:val="18"/>
              </w:rPr>
              <w:t>81</w:t>
            </w:r>
          </w:p>
        </w:tc>
      </w:tr>
      <w:tr w:rsidR="00491717" w:rsidRPr="00491717" w14:paraId="77A04486" w14:textId="77777777" w:rsidTr="00A4737A">
        <w:tc>
          <w:tcPr>
            <w:tcW w:w="5571" w:type="dxa"/>
            <w:shd w:val="clear" w:color="auto" w:fill="auto"/>
            <w:vAlign w:val="center"/>
          </w:tcPr>
          <w:p w14:paraId="5646E499"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cuarto control en neonatología </w:t>
            </w:r>
          </w:p>
        </w:tc>
        <w:tc>
          <w:tcPr>
            <w:tcW w:w="1799" w:type="dxa"/>
            <w:shd w:val="clear" w:color="auto" w:fill="auto"/>
            <w:vAlign w:val="center"/>
          </w:tcPr>
          <w:p w14:paraId="78BCA203" w14:textId="77777777" w:rsidR="00491717" w:rsidRPr="00491717" w:rsidRDefault="00491717" w:rsidP="00491717">
            <w:pPr>
              <w:pStyle w:val="SingleTxtG"/>
              <w:spacing w:before="40" w:after="40" w:line="220" w:lineRule="exact"/>
              <w:ind w:left="0" w:right="0"/>
              <w:jc w:val="right"/>
              <w:rPr>
                <w:sz w:val="18"/>
              </w:rPr>
            </w:pPr>
            <w:r w:rsidRPr="00491717">
              <w:rPr>
                <w:sz w:val="18"/>
              </w:rPr>
              <w:t>53</w:t>
            </w:r>
          </w:p>
        </w:tc>
      </w:tr>
      <w:tr w:rsidR="00491717" w:rsidRPr="00491717" w14:paraId="7C3161FD" w14:textId="77777777" w:rsidTr="00A4737A">
        <w:tc>
          <w:tcPr>
            <w:tcW w:w="5571" w:type="dxa"/>
            <w:shd w:val="clear" w:color="auto" w:fill="auto"/>
            <w:vAlign w:val="center"/>
          </w:tcPr>
          <w:p w14:paraId="5A71B733"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primer control en pediatría</w:t>
            </w:r>
          </w:p>
        </w:tc>
        <w:tc>
          <w:tcPr>
            <w:tcW w:w="1799" w:type="dxa"/>
            <w:shd w:val="clear" w:color="auto" w:fill="auto"/>
            <w:vAlign w:val="center"/>
          </w:tcPr>
          <w:p w14:paraId="578DF65E" w14:textId="77777777" w:rsidR="00491717" w:rsidRPr="00491717" w:rsidRDefault="00491717" w:rsidP="00491717">
            <w:pPr>
              <w:pStyle w:val="SingleTxtG"/>
              <w:spacing w:before="40" w:after="40" w:line="220" w:lineRule="exact"/>
              <w:ind w:left="0" w:right="0"/>
              <w:jc w:val="right"/>
              <w:rPr>
                <w:sz w:val="18"/>
              </w:rPr>
            </w:pPr>
            <w:r w:rsidRPr="00491717">
              <w:rPr>
                <w:sz w:val="18"/>
              </w:rPr>
              <w:t>22</w:t>
            </w:r>
          </w:p>
        </w:tc>
      </w:tr>
      <w:tr w:rsidR="00491717" w:rsidRPr="00491717" w14:paraId="5C32EF8D" w14:textId="77777777" w:rsidTr="00491717">
        <w:tc>
          <w:tcPr>
            <w:tcW w:w="5571" w:type="dxa"/>
            <w:tcBorders>
              <w:bottom w:val="single" w:sz="12" w:space="0" w:color="auto"/>
            </w:tcBorders>
            <w:shd w:val="clear" w:color="auto" w:fill="auto"/>
            <w:vAlign w:val="center"/>
          </w:tcPr>
          <w:p w14:paraId="0D89320E" w14:textId="77777777" w:rsidR="00491717" w:rsidRPr="00491717" w:rsidRDefault="006B61C4" w:rsidP="00491717">
            <w:pPr>
              <w:pStyle w:val="SingleTxtG"/>
              <w:spacing w:before="40" w:after="40" w:line="220" w:lineRule="exact"/>
              <w:ind w:left="0" w:right="0"/>
              <w:jc w:val="left"/>
              <w:rPr>
                <w:sz w:val="18"/>
              </w:rPr>
            </w:pPr>
            <w:r>
              <w:rPr>
                <w:sz w:val="18"/>
              </w:rPr>
              <w:t>Porcentaje</w:t>
            </w:r>
            <w:r w:rsidR="00491717" w:rsidRPr="00491717">
              <w:rPr>
                <w:sz w:val="18"/>
              </w:rPr>
              <w:t xml:space="preserve"> de tercer control en pediatría </w:t>
            </w:r>
          </w:p>
        </w:tc>
        <w:tc>
          <w:tcPr>
            <w:tcW w:w="1799" w:type="dxa"/>
            <w:tcBorders>
              <w:bottom w:val="single" w:sz="12" w:space="0" w:color="auto"/>
            </w:tcBorders>
            <w:shd w:val="clear" w:color="auto" w:fill="auto"/>
            <w:vAlign w:val="bottom"/>
          </w:tcPr>
          <w:p w14:paraId="63520266" w14:textId="77777777" w:rsidR="00491717" w:rsidRPr="00491717" w:rsidRDefault="00491717" w:rsidP="00491717">
            <w:pPr>
              <w:pStyle w:val="SingleTxtG"/>
              <w:spacing w:before="40" w:after="40" w:line="220" w:lineRule="exact"/>
              <w:ind w:left="0" w:right="0"/>
              <w:jc w:val="right"/>
              <w:rPr>
                <w:sz w:val="18"/>
              </w:rPr>
            </w:pPr>
            <w:r>
              <w:rPr>
                <w:sz w:val="18"/>
              </w:rPr>
              <w:t>14</w:t>
            </w:r>
          </w:p>
        </w:tc>
      </w:tr>
    </w:tbl>
    <w:p w14:paraId="291CCEAA" w14:textId="77777777" w:rsidR="008A38B9" w:rsidRPr="00491717" w:rsidRDefault="008A38B9" w:rsidP="00491717">
      <w:pPr>
        <w:pStyle w:val="SingleTxtG"/>
        <w:spacing w:before="120" w:after="240"/>
        <w:ind w:left="1304"/>
        <w:jc w:val="left"/>
        <w:rPr>
          <w:b/>
          <w:bCs/>
          <w:sz w:val="18"/>
          <w:szCs w:val="18"/>
        </w:rPr>
      </w:pPr>
      <w:r w:rsidRPr="00491717">
        <w:rPr>
          <w:i/>
          <w:iCs/>
          <w:sz w:val="18"/>
          <w:szCs w:val="18"/>
        </w:rPr>
        <w:t>Fuente</w:t>
      </w:r>
      <w:r w:rsidRPr="00491717">
        <w:rPr>
          <w:i/>
          <w:sz w:val="18"/>
          <w:szCs w:val="18"/>
        </w:rPr>
        <w:t>:</w:t>
      </w:r>
      <w:r w:rsidRPr="00491717">
        <w:rPr>
          <w:sz w:val="18"/>
          <w:szCs w:val="18"/>
        </w:rPr>
        <w:t xml:space="preserve"> Informe estadístico del Ministerio de Salud y Medioambiente (2017). </w:t>
      </w:r>
    </w:p>
    <w:p w14:paraId="51310C73" w14:textId="77777777" w:rsidR="008A38B9" w:rsidRPr="008A38B9" w:rsidRDefault="008A38B9" w:rsidP="00491717">
      <w:pPr>
        <w:pStyle w:val="SingleTxtG"/>
      </w:pPr>
      <w:r w:rsidRPr="008A38B9">
        <w:t>61.</w:t>
      </w:r>
      <w:r w:rsidRPr="008A38B9">
        <w:tab/>
        <w:t>En cuanto a la morbilidad y la mortalidad por el VIH/sida según sexo y provincia conviene señalar que en 2017 se registraron 95 casos, la mayor parte varones (85, frente a 10 mujeres), de los que 7 fallecieron.</w:t>
      </w:r>
    </w:p>
    <w:p w14:paraId="61B7768F" w14:textId="77777777" w:rsidR="008A38B9" w:rsidRPr="00491717" w:rsidRDefault="008A38B9" w:rsidP="00491717">
      <w:pPr>
        <w:pStyle w:val="SingleTxtG"/>
        <w:ind w:left="1304"/>
        <w:rPr>
          <w:b/>
          <w:bCs/>
          <w:sz w:val="18"/>
          <w:szCs w:val="18"/>
        </w:rPr>
      </w:pPr>
      <w:r w:rsidRPr="00491717">
        <w:rPr>
          <w:i/>
          <w:iCs/>
          <w:sz w:val="18"/>
          <w:szCs w:val="18"/>
        </w:rPr>
        <w:t>Fuente</w:t>
      </w:r>
      <w:r w:rsidRPr="007540A4">
        <w:rPr>
          <w:i/>
          <w:sz w:val="18"/>
          <w:szCs w:val="18"/>
        </w:rPr>
        <w:t>:</w:t>
      </w:r>
      <w:r w:rsidRPr="00491717">
        <w:rPr>
          <w:sz w:val="18"/>
          <w:szCs w:val="18"/>
        </w:rPr>
        <w:t xml:space="preserve"> Informe del Ministerio de Salud (2017).</w:t>
      </w:r>
    </w:p>
    <w:p w14:paraId="564C4389" w14:textId="77777777" w:rsidR="008A38B9" w:rsidRDefault="008A38B9" w:rsidP="00491717">
      <w:pPr>
        <w:pStyle w:val="SingleTxtG"/>
      </w:pPr>
      <w:r w:rsidRPr="008A38B9">
        <w:t>62.</w:t>
      </w:r>
      <w:r w:rsidRPr="008A38B9">
        <w:tab/>
        <w:t>En el cuadro siguiente figuran datos sobre la tasa de mortalidad neonatal por cada 1.000 nacidos vivos y la tasa de mortalidad materna por cada 100.000 nacidos vivos.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8"/>
        <w:gridCol w:w="3111"/>
        <w:gridCol w:w="3111"/>
      </w:tblGrid>
      <w:tr w:rsidR="00491717" w:rsidRPr="00491717" w14:paraId="0D616C2E" w14:textId="77777777" w:rsidTr="006D741B">
        <w:tc>
          <w:tcPr>
            <w:tcW w:w="1148" w:type="dxa"/>
            <w:tcBorders>
              <w:top w:val="single" w:sz="4" w:space="0" w:color="auto"/>
              <w:bottom w:val="single" w:sz="12" w:space="0" w:color="auto"/>
            </w:tcBorders>
            <w:shd w:val="clear" w:color="auto" w:fill="auto"/>
            <w:vAlign w:val="bottom"/>
          </w:tcPr>
          <w:p w14:paraId="46C7B4B6" w14:textId="77777777" w:rsidR="00491717" w:rsidRPr="00491717" w:rsidRDefault="00491717" w:rsidP="00491717">
            <w:pPr>
              <w:pStyle w:val="SingleTxtG"/>
              <w:spacing w:before="80" w:after="80" w:line="200" w:lineRule="exact"/>
              <w:ind w:left="0" w:right="0"/>
              <w:jc w:val="left"/>
              <w:rPr>
                <w:i/>
                <w:sz w:val="16"/>
              </w:rPr>
            </w:pPr>
            <w:r w:rsidRPr="00491717">
              <w:rPr>
                <w:i/>
                <w:sz w:val="16"/>
              </w:rPr>
              <w:t>Año</w:t>
            </w:r>
          </w:p>
        </w:tc>
        <w:tc>
          <w:tcPr>
            <w:tcW w:w="3111" w:type="dxa"/>
            <w:tcBorders>
              <w:top w:val="single" w:sz="4" w:space="0" w:color="auto"/>
              <w:bottom w:val="single" w:sz="12" w:space="0" w:color="auto"/>
            </w:tcBorders>
            <w:shd w:val="clear" w:color="auto" w:fill="auto"/>
            <w:vAlign w:val="bottom"/>
          </w:tcPr>
          <w:p w14:paraId="766C9111" w14:textId="77777777" w:rsidR="00491717" w:rsidRPr="00491717" w:rsidRDefault="00491717" w:rsidP="00491717">
            <w:pPr>
              <w:pStyle w:val="SingleTxtG"/>
              <w:spacing w:before="80" w:after="80" w:line="200" w:lineRule="exact"/>
              <w:ind w:left="0" w:right="0"/>
              <w:jc w:val="right"/>
              <w:rPr>
                <w:i/>
                <w:sz w:val="16"/>
              </w:rPr>
            </w:pPr>
            <w:r w:rsidRPr="00491717">
              <w:rPr>
                <w:i/>
                <w:sz w:val="16"/>
              </w:rPr>
              <w:t xml:space="preserve">Tasa de mortalidad entre niños menores </w:t>
            </w:r>
            <w:r w:rsidR="006D741B">
              <w:rPr>
                <w:i/>
                <w:sz w:val="16"/>
              </w:rPr>
              <w:br/>
            </w:r>
            <w:r w:rsidRPr="00491717">
              <w:rPr>
                <w:i/>
                <w:sz w:val="16"/>
              </w:rPr>
              <w:t>de 1 año por cada 1.000 nacidos vivos</w:t>
            </w:r>
          </w:p>
        </w:tc>
        <w:tc>
          <w:tcPr>
            <w:tcW w:w="3111" w:type="dxa"/>
            <w:tcBorders>
              <w:top w:val="single" w:sz="4" w:space="0" w:color="auto"/>
              <w:bottom w:val="single" w:sz="12" w:space="0" w:color="auto"/>
            </w:tcBorders>
            <w:shd w:val="clear" w:color="auto" w:fill="auto"/>
            <w:vAlign w:val="bottom"/>
          </w:tcPr>
          <w:p w14:paraId="3E06290B" w14:textId="77777777" w:rsidR="00491717" w:rsidRPr="00491717" w:rsidRDefault="00491717" w:rsidP="00491717">
            <w:pPr>
              <w:pStyle w:val="SingleTxtG"/>
              <w:spacing w:before="80" w:after="80" w:line="200" w:lineRule="exact"/>
              <w:ind w:left="0" w:right="0"/>
              <w:jc w:val="right"/>
              <w:rPr>
                <w:i/>
                <w:sz w:val="16"/>
              </w:rPr>
            </w:pPr>
            <w:r w:rsidRPr="00491717">
              <w:rPr>
                <w:i/>
                <w:sz w:val="16"/>
              </w:rPr>
              <w:t xml:space="preserve">Tasa de mortalidad materna por </w:t>
            </w:r>
            <w:r w:rsidR="006D741B">
              <w:rPr>
                <w:i/>
                <w:sz w:val="16"/>
              </w:rPr>
              <w:br/>
            </w:r>
            <w:r w:rsidRPr="00491717">
              <w:rPr>
                <w:i/>
                <w:sz w:val="16"/>
              </w:rPr>
              <w:t>cada 100.000 nacidos vivos</w:t>
            </w:r>
          </w:p>
        </w:tc>
      </w:tr>
      <w:tr w:rsidR="00491717" w:rsidRPr="00491717" w14:paraId="5BBF0D71" w14:textId="77777777" w:rsidTr="006D741B">
        <w:tc>
          <w:tcPr>
            <w:tcW w:w="1148" w:type="dxa"/>
            <w:tcBorders>
              <w:top w:val="single" w:sz="12" w:space="0" w:color="auto"/>
            </w:tcBorders>
            <w:shd w:val="clear" w:color="auto" w:fill="auto"/>
            <w:vAlign w:val="center"/>
          </w:tcPr>
          <w:p w14:paraId="6D7FEABD" w14:textId="77777777" w:rsidR="00491717" w:rsidRPr="00491717" w:rsidRDefault="00491717" w:rsidP="00491717">
            <w:pPr>
              <w:pStyle w:val="SingleTxtG"/>
              <w:spacing w:before="40" w:after="40" w:line="220" w:lineRule="exact"/>
              <w:ind w:left="0" w:right="0"/>
              <w:jc w:val="left"/>
              <w:rPr>
                <w:sz w:val="18"/>
              </w:rPr>
            </w:pPr>
            <w:r w:rsidRPr="00491717">
              <w:rPr>
                <w:sz w:val="18"/>
              </w:rPr>
              <w:t>2013</w:t>
            </w:r>
          </w:p>
        </w:tc>
        <w:tc>
          <w:tcPr>
            <w:tcW w:w="3111" w:type="dxa"/>
            <w:tcBorders>
              <w:top w:val="single" w:sz="12" w:space="0" w:color="auto"/>
            </w:tcBorders>
            <w:shd w:val="clear" w:color="auto" w:fill="auto"/>
            <w:vAlign w:val="center"/>
          </w:tcPr>
          <w:p w14:paraId="5F5D402E" w14:textId="77777777" w:rsidR="00491717" w:rsidRPr="00491717" w:rsidRDefault="00491717" w:rsidP="00491717">
            <w:pPr>
              <w:pStyle w:val="SingleTxtG"/>
              <w:spacing w:before="40" w:after="40" w:line="220" w:lineRule="exact"/>
              <w:ind w:left="0" w:right="0"/>
              <w:jc w:val="right"/>
              <w:rPr>
                <w:sz w:val="18"/>
              </w:rPr>
            </w:pPr>
            <w:r w:rsidRPr="00491717">
              <w:rPr>
                <w:sz w:val="18"/>
              </w:rPr>
              <w:t>17,9</w:t>
            </w:r>
          </w:p>
        </w:tc>
        <w:tc>
          <w:tcPr>
            <w:tcW w:w="3111" w:type="dxa"/>
            <w:tcBorders>
              <w:top w:val="single" w:sz="12" w:space="0" w:color="auto"/>
            </w:tcBorders>
            <w:shd w:val="clear" w:color="auto" w:fill="auto"/>
            <w:vAlign w:val="center"/>
          </w:tcPr>
          <w:p w14:paraId="177417BB" w14:textId="77777777" w:rsidR="00491717" w:rsidRPr="00491717" w:rsidRDefault="00491717" w:rsidP="00491717">
            <w:pPr>
              <w:pStyle w:val="SingleTxtG"/>
              <w:spacing w:before="40" w:after="40" w:line="220" w:lineRule="exact"/>
              <w:ind w:left="0" w:right="0"/>
              <w:jc w:val="right"/>
              <w:rPr>
                <w:sz w:val="18"/>
              </w:rPr>
            </w:pPr>
            <w:r w:rsidRPr="00491717">
              <w:rPr>
                <w:sz w:val="18"/>
              </w:rPr>
              <w:t>35</w:t>
            </w:r>
          </w:p>
        </w:tc>
      </w:tr>
      <w:tr w:rsidR="00491717" w:rsidRPr="00491717" w14:paraId="19BBFA1B" w14:textId="77777777" w:rsidTr="006D741B">
        <w:tc>
          <w:tcPr>
            <w:tcW w:w="1148" w:type="dxa"/>
            <w:shd w:val="clear" w:color="auto" w:fill="auto"/>
            <w:vAlign w:val="center"/>
          </w:tcPr>
          <w:p w14:paraId="4B737DD8" w14:textId="77777777" w:rsidR="00491717" w:rsidRPr="00491717" w:rsidRDefault="00491717" w:rsidP="00491717">
            <w:pPr>
              <w:pStyle w:val="SingleTxtG"/>
              <w:spacing w:before="40" w:after="40" w:line="220" w:lineRule="exact"/>
              <w:ind w:left="0" w:right="0"/>
              <w:jc w:val="left"/>
              <w:rPr>
                <w:sz w:val="18"/>
              </w:rPr>
            </w:pPr>
            <w:r w:rsidRPr="00491717">
              <w:rPr>
                <w:sz w:val="18"/>
              </w:rPr>
              <w:t>2014</w:t>
            </w:r>
          </w:p>
        </w:tc>
        <w:tc>
          <w:tcPr>
            <w:tcW w:w="3111" w:type="dxa"/>
            <w:shd w:val="clear" w:color="auto" w:fill="auto"/>
            <w:vAlign w:val="center"/>
          </w:tcPr>
          <w:p w14:paraId="28AFA07C" w14:textId="77777777" w:rsidR="00491717" w:rsidRPr="00491717" w:rsidRDefault="00491717" w:rsidP="00491717">
            <w:pPr>
              <w:pStyle w:val="SingleTxtG"/>
              <w:spacing w:before="40" w:after="40" w:line="220" w:lineRule="exact"/>
              <w:ind w:left="0" w:right="0"/>
              <w:jc w:val="right"/>
              <w:rPr>
                <w:sz w:val="18"/>
              </w:rPr>
            </w:pPr>
            <w:r w:rsidRPr="00491717">
              <w:rPr>
                <w:sz w:val="18"/>
              </w:rPr>
              <w:t>17,3</w:t>
            </w:r>
          </w:p>
        </w:tc>
        <w:tc>
          <w:tcPr>
            <w:tcW w:w="3111" w:type="dxa"/>
            <w:shd w:val="clear" w:color="auto" w:fill="auto"/>
            <w:vAlign w:val="center"/>
          </w:tcPr>
          <w:p w14:paraId="74AC86CA" w14:textId="77777777" w:rsidR="00491717" w:rsidRPr="00491717" w:rsidRDefault="00491717" w:rsidP="00491717">
            <w:pPr>
              <w:pStyle w:val="SingleTxtG"/>
              <w:spacing w:before="40" w:after="40" w:line="220" w:lineRule="exact"/>
              <w:ind w:left="0" w:right="0"/>
              <w:jc w:val="right"/>
              <w:rPr>
                <w:sz w:val="18"/>
              </w:rPr>
            </w:pPr>
            <w:r w:rsidRPr="00491717">
              <w:rPr>
                <w:sz w:val="18"/>
              </w:rPr>
              <w:t>30</w:t>
            </w:r>
          </w:p>
        </w:tc>
      </w:tr>
      <w:tr w:rsidR="00491717" w:rsidRPr="00491717" w14:paraId="56C957BE" w14:textId="77777777" w:rsidTr="006D741B">
        <w:tc>
          <w:tcPr>
            <w:tcW w:w="1148" w:type="dxa"/>
            <w:shd w:val="clear" w:color="auto" w:fill="auto"/>
            <w:vAlign w:val="center"/>
          </w:tcPr>
          <w:p w14:paraId="5B76A810" w14:textId="77777777" w:rsidR="00491717" w:rsidRPr="00491717" w:rsidRDefault="00491717" w:rsidP="00491717">
            <w:pPr>
              <w:pStyle w:val="SingleTxtG"/>
              <w:spacing w:before="40" w:after="40" w:line="220" w:lineRule="exact"/>
              <w:ind w:left="0" w:right="0"/>
              <w:jc w:val="left"/>
              <w:rPr>
                <w:sz w:val="18"/>
              </w:rPr>
            </w:pPr>
            <w:r w:rsidRPr="00491717">
              <w:rPr>
                <w:sz w:val="18"/>
              </w:rPr>
              <w:t>2015*</w:t>
            </w:r>
          </w:p>
        </w:tc>
        <w:tc>
          <w:tcPr>
            <w:tcW w:w="3111" w:type="dxa"/>
            <w:shd w:val="clear" w:color="auto" w:fill="auto"/>
            <w:vAlign w:val="center"/>
          </w:tcPr>
          <w:p w14:paraId="721A47E0" w14:textId="77777777" w:rsidR="00491717" w:rsidRPr="00491717" w:rsidRDefault="00491717" w:rsidP="00491717">
            <w:pPr>
              <w:pStyle w:val="SingleTxtG"/>
              <w:spacing w:before="40" w:after="40" w:line="220" w:lineRule="exact"/>
              <w:ind w:left="0" w:right="0"/>
              <w:jc w:val="right"/>
              <w:rPr>
                <w:sz w:val="18"/>
              </w:rPr>
            </w:pPr>
            <w:r w:rsidRPr="00491717">
              <w:rPr>
                <w:sz w:val="18"/>
              </w:rPr>
              <w:t>19,7</w:t>
            </w:r>
          </w:p>
        </w:tc>
        <w:tc>
          <w:tcPr>
            <w:tcW w:w="3111" w:type="dxa"/>
            <w:shd w:val="clear" w:color="auto" w:fill="auto"/>
            <w:vAlign w:val="center"/>
          </w:tcPr>
          <w:p w14:paraId="754442F3" w14:textId="77777777" w:rsidR="00491717" w:rsidRPr="00491717" w:rsidRDefault="00491717" w:rsidP="00491717">
            <w:pPr>
              <w:pStyle w:val="SingleTxtG"/>
              <w:spacing w:before="40" w:after="40" w:line="220" w:lineRule="exact"/>
              <w:ind w:left="0" w:right="0"/>
              <w:jc w:val="right"/>
              <w:rPr>
                <w:sz w:val="18"/>
              </w:rPr>
            </w:pPr>
            <w:r w:rsidRPr="00491717">
              <w:rPr>
                <w:sz w:val="18"/>
              </w:rPr>
              <w:t>32**</w:t>
            </w:r>
          </w:p>
        </w:tc>
      </w:tr>
      <w:tr w:rsidR="00491717" w:rsidRPr="00491717" w14:paraId="738A1F96" w14:textId="77777777" w:rsidTr="006D741B">
        <w:tc>
          <w:tcPr>
            <w:tcW w:w="1148" w:type="dxa"/>
            <w:tcBorders>
              <w:bottom w:val="single" w:sz="12" w:space="0" w:color="auto"/>
            </w:tcBorders>
            <w:shd w:val="clear" w:color="auto" w:fill="auto"/>
            <w:vAlign w:val="bottom"/>
          </w:tcPr>
          <w:p w14:paraId="0537EA6B" w14:textId="77777777" w:rsidR="00491717" w:rsidRPr="00491717" w:rsidRDefault="00491717" w:rsidP="00491717">
            <w:pPr>
              <w:pStyle w:val="SingleTxtG"/>
              <w:spacing w:before="40" w:after="40" w:line="220" w:lineRule="exact"/>
              <w:ind w:left="0" w:right="0"/>
              <w:jc w:val="left"/>
              <w:rPr>
                <w:sz w:val="18"/>
              </w:rPr>
            </w:pPr>
            <w:r w:rsidRPr="00491717">
              <w:rPr>
                <w:sz w:val="18"/>
              </w:rPr>
              <w:t>2017</w:t>
            </w:r>
          </w:p>
        </w:tc>
        <w:tc>
          <w:tcPr>
            <w:tcW w:w="3111" w:type="dxa"/>
            <w:tcBorders>
              <w:bottom w:val="single" w:sz="12" w:space="0" w:color="auto"/>
            </w:tcBorders>
            <w:shd w:val="clear" w:color="auto" w:fill="auto"/>
            <w:vAlign w:val="center"/>
          </w:tcPr>
          <w:p w14:paraId="4D28CEE8" w14:textId="77777777" w:rsidR="00491717" w:rsidRPr="00491717" w:rsidRDefault="00491717" w:rsidP="00491717">
            <w:pPr>
              <w:pStyle w:val="SingleTxtG"/>
              <w:spacing w:before="40" w:after="40" w:line="220" w:lineRule="exact"/>
              <w:ind w:left="0" w:right="0"/>
              <w:jc w:val="right"/>
              <w:rPr>
                <w:sz w:val="18"/>
              </w:rPr>
            </w:pPr>
            <w:r w:rsidRPr="00491717">
              <w:rPr>
                <w:sz w:val="18"/>
              </w:rPr>
              <w:t>18,6</w:t>
            </w:r>
          </w:p>
        </w:tc>
        <w:tc>
          <w:tcPr>
            <w:tcW w:w="3111" w:type="dxa"/>
            <w:tcBorders>
              <w:bottom w:val="single" w:sz="12" w:space="0" w:color="auto"/>
            </w:tcBorders>
            <w:shd w:val="clear" w:color="auto" w:fill="auto"/>
            <w:vAlign w:val="center"/>
          </w:tcPr>
          <w:p w14:paraId="3196716D" w14:textId="77777777" w:rsidR="00491717" w:rsidRPr="00491717" w:rsidRDefault="00491717" w:rsidP="00491717">
            <w:pPr>
              <w:pStyle w:val="SingleTxtG"/>
              <w:spacing w:before="40" w:after="40" w:line="220" w:lineRule="exact"/>
              <w:ind w:left="0" w:right="0"/>
              <w:jc w:val="right"/>
              <w:rPr>
                <w:sz w:val="18"/>
              </w:rPr>
            </w:pPr>
            <w:r w:rsidRPr="00491717">
              <w:rPr>
                <w:sz w:val="18"/>
              </w:rPr>
              <w:t>31</w:t>
            </w:r>
          </w:p>
        </w:tc>
      </w:tr>
    </w:tbl>
    <w:p w14:paraId="14EAB827" w14:textId="77777777" w:rsidR="008A38B9" w:rsidRPr="006D741B" w:rsidRDefault="008A38B9" w:rsidP="006D741B">
      <w:pPr>
        <w:pStyle w:val="SingleTxtG"/>
        <w:spacing w:before="120" w:after="0"/>
        <w:ind w:firstLine="170"/>
        <w:rPr>
          <w:sz w:val="18"/>
          <w:szCs w:val="18"/>
        </w:rPr>
      </w:pPr>
      <w:r w:rsidRPr="006D741B">
        <w:rPr>
          <w:i/>
          <w:iCs/>
          <w:sz w:val="18"/>
          <w:szCs w:val="18"/>
        </w:rPr>
        <w:t>Fuente</w:t>
      </w:r>
      <w:r w:rsidRPr="006D741B">
        <w:rPr>
          <w:i/>
          <w:sz w:val="18"/>
          <w:szCs w:val="18"/>
        </w:rPr>
        <w:t>:</w:t>
      </w:r>
      <w:r w:rsidRPr="006D741B">
        <w:rPr>
          <w:sz w:val="18"/>
          <w:szCs w:val="18"/>
        </w:rPr>
        <w:t xml:space="preserve"> </w:t>
      </w:r>
      <w:r w:rsidRPr="006D741B">
        <w:rPr>
          <w:i/>
          <w:iCs/>
          <w:sz w:val="18"/>
          <w:szCs w:val="18"/>
        </w:rPr>
        <w:t>Boletín estadístico anual</w:t>
      </w:r>
      <w:r w:rsidRPr="006D741B">
        <w:rPr>
          <w:sz w:val="18"/>
          <w:szCs w:val="18"/>
        </w:rPr>
        <w:t xml:space="preserve"> e informe del Ministerio de Salud.</w:t>
      </w:r>
    </w:p>
    <w:p w14:paraId="0BA770FC" w14:textId="77777777" w:rsidR="008A38B9" w:rsidRPr="006D741B" w:rsidRDefault="008A38B9" w:rsidP="006D741B">
      <w:pPr>
        <w:pStyle w:val="SingleTxtG"/>
        <w:spacing w:after="0"/>
        <w:ind w:firstLine="170"/>
        <w:rPr>
          <w:sz w:val="18"/>
          <w:szCs w:val="18"/>
        </w:rPr>
      </w:pPr>
      <w:r w:rsidRPr="006D741B">
        <w:rPr>
          <w:sz w:val="18"/>
          <w:szCs w:val="18"/>
        </w:rPr>
        <w:t xml:space="preserve">* </w:t>
      </w:r>
      <w:r w:rsidR="006D741B">
        <w:rPr>
          <w:sz w:val="18"/>
          <w:szCs w:val="18"/>
        </w:rPr>
        <w:t xml:space="preserve"> </w:t>
      </w:r>
      <w:r w:rsidRPr="006D741B">
        <w:rPr>
          <w:sz w:val="18"/>
          <w:szCs w:val="18"/>
        </w:rPr>
        <w:t>Con exclusión de la Región del Kurdistán y la provincia de Al-Anbar.</w:t>
      </w:r>
    </w:p>
    <w:p w14:paraId="31A62B98" w14:textId="77777777" w:rsidR="008A38B9" w:rsidRPr="006D741B" w:rsidRDefault="008A38B9" w:rsidP="006D741B">
      <w:pPr>
        <w:pStyle w:val="SingleTxtG"/>
        <w:spacing w:after="240"/>
        <w:ind w:firstLine="170"/>
        <w:rPr>
          <w:sz w:val="18"/>
          <w:szCs w:val="18"/>
        </w:rPr>
      </w:pPr>
      <w:r w:rsidRPr="006D741B">
        <w:rPr>
          <w:sz w:val="18"/>
          <w:szCs w:val="18"/>
        </w:rPr>
        <w:t xml:space="preserve">** </w:t>
      </w:r>
      <w:r w:rsidR="006D741B">
        <w:rPr>
          <w:sz w:val="18"/>
          <w:szCs w:val="18"/>
        </w:rPr>
        <w:t xml:space="preserve"> </w:t>
      </w:r>
      <w:r w:rsidRPr="006D741B">
        <w:rPr>
          <w:sz w:val="18"/>
          <w:szCs w:val="18"/>
        </w:rPr>
        <w:t>Con exclusión de la provincia de Al-Anbar.</w:t>
      </w:r>
    </w:p>
    <w:p w14:paraId="4EE33AF6" w14:textId="77777777" w:rsidR="008A38B9" w:rsidRDefault="008A38B9" w:rsidP="006D741B">
      <w:pPr>
        <w:pStyle w:val="SingleTxtG"/>
      </w:pPr>
      <w:r w:rsidRPr="008A38B9">
        <w:t>63.</w:t>
      </w:r>
      <w:r w:rsidRPr="008A38B9">
        <w:tab/>
        <w:t>En el cuadro siguiente figuran datos relativos a 2016 sobre la prevalencia de la tuberculosis en el Iraq.</w:t>
      </w:r>
    </w:p>
    <w:tbl>
      <w:tblPr>
        <w:tblStyle w:val="Tablaconcuadrcula"/>
        <w:tblW w:w="84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
        <w:gridCol w:w="1134"/>
        <w:gridCol w:w="994"/>
        <w:gridCol w:w="1147"/>
        <w:gridCol w:w="1057"/>
        <w:gridCol w:w="1057"/>
        <w:gridCol w:w="1057"/>
        <w:gridCol w:w="1057"/>
      </w:tblGrid>
      <w:tr w:rsidR="006D741B" w:rsidRPr="006D741B" w14:paraId="38B4F3D4" w14:textId="77777777" w:rsidTr="007C7F5F">
        <w:tc>
          <w:tcPr>
            <w:tcW w:w="952" w:type="dxa"/>
            <w:tcBorders>
              <w:top w:val="single" w:sz="4" w:space="0" w:color="auto"/>
              <w:bottom w:val="single" w:sz="12" w:space="0" w:color="auto"/>
            </w:tcBorders>
            <w:shd w:val="clear" w:color="auto" w:fill="auto"/>
            <w:vAlign w:val="bottom"/>
          </w:tcPr>
          <w:p w14:paraId="7E59D9E9" w14:textId="77777777" w:rsidR="006D741B" w:rsidRPr="006D741B" w:rsidRDefault="006D741B" w:rsidP="006D741B">
            <w:pPr>
              <w:pStyle w:val="SingleTxtG"/>
              <w:spacing w:before="80" w:after="80" w:line="200" w:lineRule="exact"/>
              <w:ind w:left="0" w:right="0"/>
              <w:jc w:val="right"/>
              <w:rPr>
                <w:i/>
                <w:sz w:val="16"/>
              </w:rPr>
            </w:pPr>
            <w:r w:rsidRPr="006D741B">
              <w:rPr>
                <w:i/>
                <w:sz w:val="16"/>
              </w:rPr>
              <w:t>Tasa de prevalencia</w:t>
            </w:r>
          </w:p>
        </w:tc>
        <w:tc>
          <w:tcPr>
            <w:tcW w:w="1134" w:type="dxa"/>
            <w:tcBorders>
              <w:top w:val="single" w:sz="4" w:space="0" w:color="auto"/>
              <w:bottom w:val="single" w:sz="12" w:space="0" w:color="auto"/>
            </w:tcBorders>
            <w:shd w:val="clear" w:color="auto" w:fill="auto"/>
            <w:vAlign w:val="bottom"/>
          </w:tcPr>
          <w:p w14:paraId="5809CB16"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fallecimientos</w:t>
            </w:r>
          </w:p>
        </w:tc>
        <w:tc>
          <w:tcPr>
            <w:tcW w:w="994" w:type="dxa"/>
            <w:tcBorders>
              <w:top w:val="single" w:sz="4" w:space="0" w:color="auto"/>
              <w:bottom w:val="single" w:sz="12" w:space="0" w:color="auto"/>
            </w:tcBorders>
            <w:shd w:val="clear" w:color="auto" w:fill="auto"/>
            <w:vAlign w:val="bottom"/>
          </w:tcPr>
          <w:p w14:paraId="0AC0E62F"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tratamientos fallidos</w:t>
            </w:r>
          </w:p>
        </w:tc>
        <w:tc>
          <w:tcPr>
            <w:tcW w:w="1147" w:type="dxa"/>
            <w:tcBorders>
              <w:top w:val="single" w:sz="4" w:space="0" w:color="auto"/>
              <w:bottom w:val="single" w:sz="12" w:space="0" w:color="auto"/>
            </w:tcBorders>
            <w:shd w:val="clear" w:color="auto" w:fill="auto"/>
            <w:vAlign w:val="bottom"/>
          </w:tcPr>
          <w:p w14:paraId="254B4EBA"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interrupción del tratamiento</w:t>
            </w:r>
          </w:p>
        </w:tc>
        <w:tc>
          <w:tcPr>
            <w:tcW w:w="1057" w:type="dxa"/>
            <w:tcBorders>
              <w:top w:val="single" w:sz="4" w:space="0" w:color="auto"/>
              <w:bottom w:val="single" w:sz="12" w:space="0" w:color="auto"/>
            </w:tcBorders>
            <w:shd w:val="clear" w:color="auto" w:fill="auto"/>
            <w:vAlign w:val="bottom"/>
          </w:tcPr>
          <w:p w14:paraId="5517EB25"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transmisión</w:t>
            </w:r>
          </w:p>
        </w:tc>
        <w:tc>
          <w:tcPr>
            <w:tcW w:w="1057" w:type="dxa"/>
            <w:tcBorders>
              <w:top w:val="single" w:sz="4" w:space="0" w:color="auto"/>
              <w:bottom w:val="single" w:sz="12" w:space="0" w:color="auto"/>
            </w:tcBorders>
            <w:shd w:val="clear" w:color="auto" w:fill="auto"/>
            <w:vAlign w:val="bottom"/>
          </w:tcPr>
          <w:p w14:paraId="11A4BF6A"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curación</w:t>
            </w:r>
          </w:p>
        </w:tc>
        <w:tc>
          <w:tcPr>
            <w:tcW w:w="1057" w:type="dxa"/>
            <w:tcBorders>
              <w:top w:val="single" w:sz="4" w:space="0" w:color="auto"/>
              <w:bottom w:val="single" w:sz="12" w:space="0" w:color="auto"/>
            </w:tcBorders>
            <w:shd w:val="clear" w:color="auto" w:fill="auto"/>
            <w:vAlign w:val="bottom"/>
          </w:tcPr>
          <w:p w14:paraId="784FF83B"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compleción del tratamiento</w:t>
            </w:r>
          </w:p>
        </w:tc>
        <w:tc>
          <w:tcPr>
            <w:tcW w:w="1057" w:type="dxa"/>
            <w:tcBorders>
              <w:top w:val="single" w:sz="4" w:space="0" w:color="auto"/>
              <w:bottom w:val="single" w:sz="12" w:space="0" w:color="auto"/>
            </w:tcBorders>
            <w:shd w:val="clear" w:color="auto" w:fill="auto"/>
            <w:vAlign w:val="bottom"/>
          </w:tcPr>
          <w:p w14:paraId="2EF2EE83" w14:textId="77777777" w:rsidR="006D741B" w:rsidRPr="006D741B" w:rsidRDefault="007C7F5F" w:rsidP="006D741B">
            <w:pPr>
              <w:pStyle w:val="SingleTxtG"/>
              <w:spacing w:before="80" w:after="80" w:line="200" w:lineRule="exact"/>
              <w:ind w:left="0" w:right="0"/>
              <w:jc w:val="right"/>
              <w:rPr>
                <w:i/>
                <w:sz w:val="16"/>
              </w:rPr>
            </w:pPr>
            <w:r>
              <w:rPr>
                <w:i/>
                <w:sz w:val="16"/>
              </w:rPr>
              <w:t>Porcentaje</w:t>
            </w:r>
            <w:r w:rsidR="006D741B" w:rsidRPr="006D741B">
              <w:rPr>
                <w:i/>
                <w:sz w:val="16"/>
              </w:rPr>
              <w:t xml:space="preserve"> de éxito</w:t>
            </w:r>
          </w:p>
        </w:tc>
      </w:tr>
      <w:tr w:rsidR="006D741B" w:rsidRPr="006D741B" w14:paraId="2C675CE2" w14:textId="77777777" w:rsidTr="007C7F5F">
        <w:tc>
          <w:tcPr>
            <w:tcW w:w="952" w:type="dxa"/>
            <w:tcBorders>
              <w:top w:val="single" w:sz="12" w:space="0" w:color="auto"/>
              <w:bottom w:val="single" w:sz="12" w:space="0" w:color="auto"/>
            </w:tcBorders>
            <w:shd w:val="clear" w:color="auto" w:fill="auto"/>
            <w:vAlign w:val="center"/>
          </w:tcPr>
          <w:p w14:paraId="10FAD67F" w14:textId="77777777" w:rsidR="006D741B" w:rsidRPr="006D741B" w:rsidRDefault="006D741B" w:rsidP="006D741B">
            <w:pPr>
              <w:pStyle w:val="SingleTxtG"/>
              <w:spacing w:before="40" w:after="40" w:line="220" w:lineRule="exact"/>
              <w:ind w:left="0" w:right="0"/>
              <w:jc w:val="right"/>
              <w:rPr>
                <w:sz w:val="18"/>
              </w:rPr>
            </w:pPr>
            <w:r w:rsidRPr="006D741B">
              <w:rPr>
                <w:sz w:val="18"/>
              </w:rPr>
              <w:t>2</w:t>
            </w:r>
            <w:r>
              <w:rPr>
                <w:sz w:val="18"/>
              </w:rPr>
              <w:t xml:space="preserve"> </w:t>
            </w:r>
            <w:r w:rsidRPr="006D741B">
              <w:rPr>
                <w:sz w:val="18"/>
              </w:rPr>
              <w:t>369</w:t>
            </w:r>
          </w:p>
        </w:tc>
        <w:tc>
          <w:tcPr>
            <w:tcW w:w="1134" w:type="dxa"/>
            <w:tcBorders>
              <w:top w:val="single" w:sz="12" w:space="0" w:color="auto"/>
              <w:bottom w:val="single" w:sz="12" w:space="0" w:color="auto"/>
            </w:tcBorders>
            <w:shd w:val="clear" w:color="auto" w:fill="auto"/>
            <w:vAlign w:val="center"/>
          </w:tcPr>
          <w:p w14:paraId="02038EBF" w14:textId="77777777" w:rsidR="006D741B" w:rsidRPr="006D741B" w:rsidRDefault="006D741B" w:rsidP="006D741B">
            <w:pPr>
              <w:pStyle w:val="SingleTxtG"/>
              <w:spacing w:before="40" w:after="40" w:line="220" w:lineRule="exact"/>
              <w:ind w:left="0" w:right="0"/>
              <w:jc w:val="right"/>
              <w:rPr>
                <w:sz w:val="18"/>
              </w:rPr>
            </w:pPr>
            <w:r w:rsidRPr="006D741B">
              <w:rPr>
                <w:sz w:val="18"/>
              </w:rPr>
              <w:t>3</w:t>
            </w:r>
          </w:p>
        </w:tc>
        <w:tc>
          <w:tcPr>
            <w:tcW w:w="994" w:type="dxa"/>
            <w:tcBorders>
              <w:top w:val="single" w:sz="12" w:space="0" w:color="auto"/>
              <w:bottom w:val="single" w:sz="12" w:space="0" w:color="auto"/>
            </w:tcBorders>
            <w:shd w:val="clear" w:color="auto" w:fill="auto"/>
            <w:vAlign w:val="center"/>
          </w:tcPr>
          <w:p w14:paraId="5D87E93C" w14:textId="77777777" w:rsidR="006D741B" w:rsidRPr="006D741B" w:rsidRDefault="006D741B" w:rsidP="006D741B">
            <w:pPr>
              <w:pStyle w:val="SingleTxtG"/>
              <w:spacing w:before="40" w:after="40" w:line="220" w:lineRule="exact"/>
              <w:ind w:left="0" w:right="0"/>
              <w:jc w:val="right"/>
              <w:rPr>
                <w:sz w:val="18"/>
              </w:rPr>
            </w:pPr>
            <w:r w:rsidRPr="006D741B">
              <w:rPr>
                <w:sz w:val="18"/>
              </w:rPr>
              <w:t>2</w:t>
            </w:r>
          </w:p>
        </w:tc>
        <w:tc>
          <w:tcPr>
            <w:tcW w:w="1147" w:type="dxa"/>
            <w:tcBorders>
              <w:top w:val="single" w:sz="12" w:space="0" w:color="auto"/>
              <w:bottom w:val="single" w:sz="12" w:space="0" w:color="auto"/>
            </w:tcBorders>
            <w:shd w:val="clear" w:color="auto" w:fill="auto"/>
            <w:vAlign w:val="center"/>
          </w:tcPr>
          <w:p w14:paraId="420B9750" w14:textId="77777777" w:rsidR="006D741B" w:rsidRPr="006D741B" w:rsidRDefault="006D741B" w:rsidP="006D741B">
            <w:pPr>
              <w:pStyle w:val="SingleTxtG"/>
              <w:spacing w:before="40" w:after="40" w:line="220" w:lineRule="exact"/>
              <w:ind w:left="0" w:right="0"/>
              <w:jc w:val="right"/>
              <w:rPr>
                <w:sz w:val="18"/>
              </w:rPr>
            </w:pPr>
            <w:r w:rsidRPr="006D741B">
              <w:rPr>
                <w:sz w:val="18"/>
              </w:rPr>
              <w:t>2</w:t>
            </w:r>
          </w:p>
        </w:tc>
        <w:tc>
          <w:tcPr>
            <w:tcW w:w="1057" w:type="dxa"/>
            <w:tcBorders>
              <w:top w:val="single" w:sz="12" w:space="0" w:color="auto"/>
              <w:bottom w:val="single" w:sz="12" w:space="0" w:color="auto"/>
            </w:tcBorders>
            <w:shd w:val="clear" w:color="auto" w:fill="auto"/>
            <w:vAlign w:val="center"/>
          </w:tcPr>
          <w:p w14:paraId="51B8B3D9" w14:textId="77777777" w:rsidR="006D741B" w:rsidRPr="006D741B" w:rsidRDefault="006D741B" w:rsidP="006D741B">
            <w:pPr>
              <w:pStyle w:val="SingleTxtG"/>
              <w:spacing w:before="40" w:after="40" w:line="220" w:lineRule="exact"/>
              <w:ind w:left="0" w:right="0"/>
              <w:jc w:val="right"/>
              <w:rPr>
                <w:sz w:val="18"/>
              </w:rPr>
            </w:pPr>
            <w:r w:rsidRPr="006D741B">
              <w:rPr>
                <w:sz w:val="18"/>
              </w:rPr>
              <w:t>1</w:t>
            </w:r>
          </w:p>
        </w:tc>
        <w:tc>
          <w:tcPr>
            <w:tcW w:w="1057" w:type="dxa"/>
            <w:tcBorders>
              <w:top w:val="single" w:sz="12" w:space="0" w:color="auto"/>
              <w:bottom w:val="single" w:sz="12" w:space="0" w:color="auto"/>
            </w:tcBorders>
            <w:shd w:val="clear" w:color="auto" w:fill="auto"/>
            <w:vAlign w:val="center"/>
          </w:tcPr>
          <w:p w14:paraId="35D8793A" w14:textId="77777777" w:rsidR="006D741B" w:rsidRPr="006D741B" w:rsidRDefault="006D741B" w:rsidP="006D741B">
            <w:pPr>
              <w:pStyle w:val="SingleTxtG"/>
              <w:spacing w:before="40" w:after="40" w:line="220" w:lineRule="exact"/>
              <w:ind w:left="0" w:right="0"/>
              <w:jc w:val="right"/>
              <w:rPr>
                <w:sz w:val="18"/>
              </w:rPr>
            </w:pPr>
            <w:r w:rsidRPr="006D741B">
              <w:rPr>
                <w:sz w:val="18"/>
              </w:rPr>
              <w:t>83</w:t>
            </w:r>
          </w:p>
        </w:tc>
        <w:tc>
          <w:tcPr>
            <w:tcW w:w="1057" w:type="dxa"/>
            <w:tcBorders>
              <w:top w:val="single" w:sz="12" w:space="0" w:color="auto"/>
              <w:bottom w:val="single" w:sz="12" w:space="0" w:color="auto"/>
            </w:tcBorders>
            <w:shd w:val="clear" w:color="auto" w:fill="auto"/>
            <w:vAlign w:val="center"/>
          </w:tcPr>
          <w:p w14:paraId="4CAF8767" w14:textId="77777777" w:rsidR="006D741B" w:rsidRPr="006D741B" w:rsidRDefault="006D741B" w:rsidP="006D741B">
            <w:pPr>
              <w:pStyle w:val="SingleTxtG"/>
              <w:spacing w:before="40" w:after="40" w:line="220" w:lineRule="exact"/>
              <w:ind w:left="0" w:right="0"/>
              <w:jc w:val="right"/>
              <w:rPr>
                <w:sz w:val="18"/>
              </w:rPr>
            </w:pPr>
            <w:r w:rsidRPr="006D741B">
              <w:rPr>
                <w:sz w:val="18"/>
              </w:rPr>
              <w:t>10</w:t>
            </w:r>
          </w:p>
        </w:tc>
        <w:tc>
          <w:tcPr>
            <w:tcW w:w="1057" w:type="dxa"/>
            <w:tcBorders>
              <w:top w:val="single" w:sz="12" w:space="0" w:color="auto"/>
              <w:bottom w:val="single" w:sz="12" w:space="0" w:color="auto"/>
            </w:tcBorders>
            <w:shd w:val="clear" w:color="auto" w:fill="auto"/>
            <w:vAlign w:val="center"/>
          </w:tcPr>
          <w:p w14:paraId="04EA5263" w14:textId="77777777" w:rsidR="006D741B" w:rsidRPr="006D741B" w:rsidRDefault="006D741B" w:rsidP="006D741B">
            <w:pPr>
              <w:pStyle w:val="SingleTxtG"/>
              <w:spacing w:before="40" w:after="40" w:line="220" w:lineRule="exact"/>
              <w:ind w:left="0" w:right="0"/>
              <w:jc w:val="right"/>
              <w:rPr>
                <w:sz w:val="18"/>
              </w:rPr>
            </w:pPr>
            <w:r w:rsidRPr="006D741B">
              <w:rPr>
                <w:sz w:val="18"/>
              </w:rPr>
              <w:t>93</w:t>
            </w:r>
          </w:p>
        </w:tc>
      </w:tr>
    </w:tbl>
    <w:p w14:paraId="1463176E" w14:textId="77777777" w:rsidR="008A38B9" w:rsidRPr="006D741B" w:rsidRDefault="008A38B9" w:rsidP="006D741B">
      <w:pPr>
        <w:pStyle w:val="SingleTxtG"/>
        <w:spacing w:before="120" w:after="240"/>
        <w:ind w:left="1304"/>
        <w:rPr>
          <w:sz w:val="18"/>
          <w:szCs w:val="18"/>
        </w:rPr>
      </w:pPr>
      <w:r w:rsidRPr="006D741B">
        <w:rPr>
          <w:i/>
          <w:iCs/>
          <w:sz w:val="18"/>
          <w:szCs w:val="18"/>
        </w:rPr>
        <w:t>Fuente</w:t>
      </w:r>
      <w:r w:rsidRPr="006D741B">
        <w:rPr>
          <w:i/>
          <w:sz w:val="18"/>
          <w:szCs w:val="18"/>
        </w:rPr>
        <w:t>:</w:t>
      </w:r>
      <w:r w:rsidRPr="006D741B">
        <w:rPr>
          <w:sz w:val="18"/>
          <w:szCs w:val="18"/>
        </w:rPr>
        <w:t xml:space="preserve"> Informe del Ministerio de Salud (2017).</w:t>
      </w:r>
    </w:p>
    <w:p w14:paraId="38869BD2" w14:textId="77777777" w:rsidR="008A38B9" w:rsidRDefault="008A38B9" w:rsidP="006D741B">
      <w:pPr>
        <w:pStyle w:val="SingleTxtG"/>
        <w:keepNext/>
        <w:keepLines/>
      </w:pPr>
      <w:r w:rsidRPr="008A38B9">
        <w:lastRenderedPageBreak/>
        <w:t>64.</w:t>
      </w:r>
      <w:r w:rsidRPr="008A38B9">
        <w:tab/>
        <w:t>En el siguiente cuadro figuran datos sobre la prevalencia de la hepatitis vírica.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6D741B" w:rsidRPr="006D741B" w14:paraId="646E1ED4" w14:textId="77777777" w:rsidTr="006D741B">
        <w:tc>
          <w:tcPr>
            <w:tcW w:w="1474" w:type="dxa"/>
            <w:tcBorders>
              <w:top w:val="single" w:sz="4" w:space="0" w:color="auto"/>
            </w:tcBorders>
            <w:shd w:val="clear" w:color="auto" w:fill="auto"/>
            <w:vAlign w:val="bottom"/>
          </w:tcPr>
          <w:p w14:paraId="1F149E5C" w14:textId="77777777" w:rsidR="006D741B" w:rsidRPr="006D741B" w:rsidRDefault="006D741B" w:rsidP="006D741B">
            <w:pPr>
              <w:pStyle w:val="SingleTxtG"/>
              <w:keepNext/>
              <w:keepLines/>
              <w:spacing w:before="80" w:after="80" w:line="200" w:lineRule="exact"/>
              <w:ind w:left="0" w:right="0"/>
              <w:jc w:val="left"/>
              <w:rPr>
                <w:i/>
                <w:sz w:val="16"/>
              </w:rPr>
            </w:pPr>
          </w:p>
        </w:tc>
        <w:tc>
          <w:tcPr>
            <w:tcW w:w="5896" w:type="dxa"/>
            <w:gridSpan w:val="4"/>
            <w:tcBorders>
              <w:top w:val="single" w:sz="4" w:space="0" w:color="auto"/>
              <w:bottom w:val="single" w:sz="4" w:space="0" w:color="auto"/>
            </w:tcBorders>
            <w:shd w:val="clear" w:color="auto" w:fill="auto"/>
            <w:vAlign w:val="bottom"/>
          </w:tcPr>
          <w:p w14:paraId="750BE571" w14:textId="77777777" w:rsidR="006D741B" w:rsidRPr="006D741B" w:rsidRDefault="006D741B" w:rsidP="006D741B">
            <w:pPr>
              <w:pStyle w:val="SingleTxtG"/>
              <w:keepNext/>
              <w:keepLines/>
              <w:spacing w:before="80" w:after="80" w:line="200" w:lineRule="exact"/>
              <w:ind w:left="0" w:right="0"/>
              <w:jc w:val="center"/>
              <w:rPr>
                <w:i/>
                <w:sz w:val="16"/>
              </w:rPr>
            </w:pPr>
            <w:r w:rsidRPr="006D741B">
              <w:rPr>
                <w:i/>
                <w:sz w:val="16"/>
              </w:rPr>
              <w:t>Tipo de hepatitis vírica</w:t>
            </w:r>
          </w:p>
        </w:tc>
      </w:tr>
      <w:tr w:rsidR="006D741B" w:rsidRPr="006D741B" w14:paraId="669C5C10" w14:textId="77777777" w:rsidTr="006D741B">
        <w:tc>
          <w:tcPr>
            <w:tcW w:w="1474" w:type="dxa"/>
            <w:tcBorders>
              <w:bottom w:val="single" w:sz="12" w:space="0" w:color="auto"/>
            </w:tcBorders>
            <w:shd w:val="clear" w:color="auto" w:fill="auto"/>
            <w:vAlign w:val="bottom"/>
          </w:tcPr>
          <w:p w14:paraId="6FA191BD" w14:textId="77777777" w:rsidR="006D741B" w:rsidRPr="006D741B" w:rsidRDefault="006D741B" w:rsidP="006D741B">
            <w:pPr>
              <w:pStyle w:val="SingleTxtG"/>
              <w:keepNext/>
              <w:keepLines/>
              <w:spacing w:before="80" w:after="80" w:line="200" w:lineRule="exact"/>
              <w:ind w:left="0" w:right="0"/>
              <w:jc w:val="left"/>
              <w:rPr>
                <w:i/>
                <w:sz w:val="16"/>
              </w:rPr>
            </w:pPr>
            <w:r w:rsidRPr="006D741B">
              <w:rPr>
                <w:i/>
                <w:sz w:val="16"/>
              </w:rPr>
              <w:t>Año</w:t>
            </w:r>
          </w:p>
        </w:tc>
        <w:tc>
          <w:tcPr>
            <w:tcW w:w="1474" w:type="dxa"/>
            <w:tcBorders>
              <w:top w:val="single" w:sz="4" w:space="0" w:color="auto"/>
              <w:bottom w:val="single" w:sz="12" w:space="0" w:color="auto"/>
            </w:tcBorders>
            <w:shd w:val="clear" w:color="auto" w:fill="auto"/>
            <w:vAlign w:val="center"/>
          </w:tcPr>
          <w:p w14:paraId="246100FD" w14:textId="77777777" w:rsidR="006D741B" w:rsidRPr="006D741B" w:rsidRDefault="006D741B" w:rsidP="006D741B">
            <w:pPr>
              <w:pStyle w:val="SingleTxtG"/>
              <w:keepNext/>
              <w:keepLines/>
              <w:spacing w:before="80" w:after="80" w:line="200" w:lineRule="exact"/>
              <w:ind w:left="0" w:right="0"/>
              <w:jc w:val="right"/>
              <w:rPr>
                <w:i/>
                <w:sz w:val="16"/>
              </w:rPr>
            </w:pPr>
            <w:r w:rsidRPr="006D741B">
              <w:rPr>
                <w:i/>
                <w:sz w:val="16"/>
              </w:rPr>
              <w:t>A</w:t>
            </w:r>
          </w:p>
        </w:tc>
        <w:tc>
          <w:tcPr>
            <w:tcW w:w="1474" w:type="dxa"/>
            <w:tcBorders>
              <w:top w:val="single" w:sz="4" w:space="0" w:color="auto"/>
              <w:bottom w:val="single" w:sz="12" w:space="0" w:color="auto"/>
            </w:tcBorders>
            <w:shd w:val="clear" w:color="auto" w:fill="auto"/>
            <w:vAlign w:val="center"/>
          </w:tcPr>
          <w:p w14:paraId="386FB12B" w14:textId="77777777" w:rsidR="006D741B" w:rsidRPr="006D741B" w:rsidRDefault="006D741B" w:rsidP="006D741B">
            <w:pPr>
              <w:pStyle w:val="SingleTxtG"/>
              <w:keepNext/>
              <w:keepLines/>
              <w:spacing w:before="80" w:after="80" w:line="200" w:lineRule="exact"/>
              <w:ind w:left="0" w:right="0"/>
              <w:jc w:val="right"/>
              <w:rPr>
                <w:i/>
                <w:sz w:val="16"/>
              </w:rPr>
            </w:pPr>
            <w:r w:rsidRPr="006D741B">
              <w:rPr>
                <w:i/>
                <w:sz w:val="16"/>
              </w:rPr>
              <w:t>B</w:t>
            </w:r>
          </w:p>
        </w:tc>
        <w:tc>
          <w:tcPr>
            <w:tcW w:w="1474" w:type="dxa"/>
            <w:tcBorders>
              <w:top w:val="single" w:sz="4" w:space="0" w:color="auto"/>
              <w:bottom w:val="single" w:sz="12" w:space="0" w:color="auto"/>
            </w:tcBorders>
            <w:shd w:val="clear" w:color="auto" w:fill="auto"/>
            <w:vAlign w:val="center"/>
          </w:tcPr>
          <w:p w14:paraId="2FEC8E7F" w14:textId="77777777" w:rsidR="006D741B" w:rsidRPr="006D741B" w:rsidRDefault="006D741B" w:rsidP="006D741B">
            <w:pPr>
              <w:pStyle w:val="SingleTxtG"/>
              <w:keepNext/>
              <w:keepLines/>
              <w:spacing w:before="80" w:after="80" w:line="200" w:lineRule="exact"/>
              <w:ind w:left="0" w:right="0"/>
              <w:jc w:val="right"/>
              <w:rPr>
                <w:i/>
                <w:sz w:val="16"/>
              </w:rPr>
            </w:pPr>
            <w:r w:rsidRPr="006D741B">
              <w:rPr>
                <w:i/>
                <w:sz w:val="16"/>
              </w:rPr>
              <w:t>C</w:t>
            </w:r>
          </w:p>
        </w:tc>
        <w:tc>
          <w:tcPr>
            <w:tcW w:w="1474" w:type="dxa"/>
            <w:tcBorders>
              <w:top w:val="single" w:sz="4" w:space="0" w:color="auto"/>
              <w:bottom w:val="single" w:sz="12" w:space="0" w:color="auto"/>
            </w:tcBorders>
            <w:shd w:val="clear" w:color="auto" w:fill="auto"/>
            <w:vAlign w:val="center"/>
          </w:tcPr>
          <w:p w14:paraId="212369BE" w14:textId="77777777" w:rsidR="006D741B" w:rsidRPr="006D741B" w:rsidRDefault="006D741B" w:rsidP="006D741B">
            <w:pPr>
              <w:pStyle w:val="SingleTxtG"/>
              <w:keepNext/>
              <w:keepLines/>
              <w:spacing w:before="80" w:after="80" w:line="200" w:lineRule="exact"/>
              <w:ind w:left="0" w:right="0"/>
              <w:jc w:val="right"/>
              <w:rPr>
                <w:i/>
                <w:sz w:val="16"/>
              </w:rPr>
            </w:pPr>
            <w:r w:rsidRPr="006D741B">
              <w:rPr>
                <w:i/>
                <w:sz w:val="16"/>
              </w:rPr>
              <w:t>E</w:t>
            </w:r>
          </w:p>
        </w:tc>
      </w:tr>
      <w:tr w:rsidR="006D741B" w:rsidRPr="006D741B" w14:paraId="553CD386" w14:textId="77777777" w:rsidTr="00A4737A">
        <w:tc>
          <w:tcPr>
            <w:tcW w:w="1474" w:type="dxa"/>
            <w:tcBorders>
              <w:top w:val="single" w:sz="12" w:space="0" w:color="auto"/>
            </w:tcBorders>
            <w:shd w:val="clear" w:color="auto" w:fill="auto"/>
            <w:vAlign w:val="center"/>
          </w:tcPr>
          <w:p w14:paraId="1784BAF1" w14:textId="77777777" w:rsidR="006D741B" w:rsidRPr="006D741B" w:rsidRDefault="006D741B" w:rsidP="006D741B">
            <w:pPr>
              <w:pStyle w:val="SingleTxtG"/>
              <w:keepNext/>
              <w:keepLines/>
              <w:spacing w:before="40" w:after="40" w:line="220" w:lineRule="exact"/>
              <w:ind w:left="0" w:right="0"/>
              <w:jc w:val="left"/>
              <w:rPr>
                <w:sz w:val="18"/>
              </w:rPr>
            </w:pPr>
            <w:r w:rsidRPr="006D741B">
              <w:rPr>
                <w:sz w:val="18"/>
              </w:rPr>
              <w:t>2014</w:t>
            </w:r>
          </w:p>
        </w:tc>
        <w:tc>
          <w:tcPr>
            <w:tcW w:w="1474" w:type="dxa"/>
            <w:tcBorders>
              <w:top w:val="single" w:sz="12" w:space="0" w:color="auto"/>
            </w:tcBorders>
            <w:shd w:val="clear" w:color="auto" w:fill="auto"/>
            <w:vAlign w:val="center"/>
          </w:tcPr>
          <w:p w14:paraId="5A045CF5"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4</w:t>
            </w:r>
            <w:r>
              <w:rPr>
                <w:sz w:val="18"/>
              </w:rPr>
              <w:t xml:space="preserve"> </w:t>
            </w:r>
            <w:r w:rsidRPr="006D741B">
              <w:rPr>
                <w:sz w:val="18"/>
              </w:rPr>
              <w:t>723</w:t>
            </w:r>
          </w:p>
        </w:tc>
        <w:tc>
          <w:tcPr>
            <w:tcW w:w="1474" w:type="dxa"/>
            <w:tcBorders>
              <w:top w:val="single" w:sz="12" w:space="0" w:color="auto"/>
            </w:tcBorders>
            <w:shd w:val="clear" w:color="auto" w:fill="auto"/>
            <w:vAlign w:val="center"/>
          </w:tcPr>
          <w:p w14:paraId="746EFFB0"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3</w:t>
            </w:r>
            <w:r>
              <w:rPr>
                <w:sz w:val="18"/>
              </w:rPr>
              <w:t xml:space="preserve"> </w:t>
            </w:r>
            <w:r w:rsidRPr="006D741B">
              <w:rPr>
                <w:sz w:val="18"/>
              </w:rPr>
              <w:t>429</w:t>
            </w:r>
          </w:p>
        </w:tc>
        <w:tc>
          <w:tcPr>
            <w:tcW w:w="1474" w:type="dxa"/>
            <w:tcBorders>
              <w:top w:val="single" w:sz="12" w:space="0" w:color="auto"/>
            </w:tcBorders>
            <w:shd w:val="clear" w:color="auto" w:fill="auto"/>
            <w:vAlign w:val="center"/>
          </w:tcPr>
          <w:p w14:paraId="6153F739"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886</w:t>
            </w:r>
          </w:p>
        </w:tc>
        <w:tc>
          <w:tcPr>
            <w:tcW w:w="1474" w:type="dxa"/>
            <w:tcBorders>
              <w:top w:val="single" w:sz="12" w:space="0" w:color="auto"/>
            </w:tcBorders>
            <w:shd w:val="clear" w:color="auto" w:fill="auto"/>
            <w:vAlign w:val="center"/>
          </w:tcPr>
          <w:p w14:paraId="6D40424F"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199</w:t>
            </w:r>
          </w:p>
        </w:tc>
      </w:tr>
      <w:tr w:rsidR="006D741B" w:rsidRPr="006D741B" w14:paraId="6924EA05" w14:textId="77777777" w:rsidTr="00A4737A">
        <w:tc>
          <w:tcPr>
            <w:tcW w:w="1474" w:type="dxa"/>
            <w:shd w:val="clear" w:color="auto" w:fill="auto"/>
            <w:vAlign w:val="center"/>
          </w:tcPr>
          <w:p w14:paraId="198B9B37" w14:textId="77777777" w:rsidR="006D741B" w:rsidRPr="006D741B" w:rsidRDefault="006D741B" w:rsidP="006D741B">
            <w:pPr>
              <w:pStyle w:val="SingleTxtG"/>
              <w:keepNext/>
              <w:keepLines/>
              <w:spacing w:before="40" w:after="40" w:line="220" w:lineRule="exact"/>
              <w:ind w:left="0" w:right="0"/>
              <w:jc w:val="left"/>
              <w:rPr>
                <w:sz w:val="18"/>
              </w:rPr>
            </w:pPr>
            <w:r w:rsidRPr="006D741B">
              <w:rPr>
                <w:sz w:val="18"/>
              </w:rPr>
              <w:t>2015</w:t>
            </w:r>
          </w:p>
        </w:tc>
        <w:tc>
          <w:tcPr>
            <w:tcW w:w="1474" w:type="dxa"/>
            <w:shd w:val="clear" w:color="auto" w:fill="auto"/>
            <w:vAlign w:val="center"/>
          </w:tcPr>
          <w:p w14:paraId="1BCE5729"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7</w:t>
            </w:r>
            <w:r>
              <w:rPr>
                <w:sz w:val="18"/>
              </w:rPr>
              <w:t xml:space="preserve"> </w:t>
            </w:r>
            <w:r w:rsidRPr="006D741B">
              <w:rPr>
                <w:sz w:val="18"/>
              </w:rPr>
              <w:t>970</w:t>
            </w:r>
          </w:p>
        </w:tc>
        <w:tc>
          <w:tcPr>
            <w:tcW w:w="1474" w:type="dxa"/>
            <w:shd w:val="clear" w:color="auto" w:fill="auto"/>
            <w:vAlign w:val="center"/>
          </w:tcPr>
          <w:p w14:paraId="55F292FD"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3</w:t>
            </w:r>
            <w:r>
              <w:rPr>
                <w:sz w:val="18"/>
              </w:rPr>
              <w:t xml:space="preserve"> </w:t>
            </w:r>
            <w:r w:rsidRPr="006D741B">
              <w:rPr>
                <w:sz w:val="18"/>
              </w:rPr>
              <w:t>078</w:t>
            </w:r>
          </w:p>
        </w:tc>
        <w:tc>
          <w:tcPr>
            <w:tcW w:w="1474" w:type="dxa"/>
            <w:shd w:val="clear" w:color="auto" w:fill="auto"/>
            <w:vAlign w:val="center"/>
          </w:tcPr>
          <w:p w14:paraId="55FDDE9B"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1</w:t>
            </w:r>
            <w:r>
              <w:rPr>
                <w:sz w:val="18"/>
              </w:rPr>
              <w:t xml:space="preserve"> </w:t>
            </w:r>
            <w:r w:rsidRPr="006D741B">
              <w:rPr>
                <w:sz w:val="18"/>
              </w:rPr>
              <w:t>214</w:t>
            </w:r>
          </w:p>
        </w:tc>
        <w:tc>
          <w:tcPr>
            <w:tcW w:w="1474" w:type="dxa"/>
            <w:shd w:val="clear" w:color="auto" w:fill="auto"/>
            <w:vAlign w:val="center"/>
          </w:tcPr>
          <w:p w14:paraId="0751D354"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146</w:t>
            </w:r>
          </w:p>
        </w:tc>
      </w:tr>
      <w:tr w:rsidR="006D741B" w:rsidRPr="006D741B" w14:paraId="59A922AF" w14:textId="77777777" w:rsidTr="00A4737A">
        <w:tc>
          <w:tcPr>
            <w:tcW w:w="1474" w:type="dxa"/>
            <w:tcBorders>
              <w:bottom w:val="single" w:sz="12" w:space="0" w:color="auto"/>
            </w:tcBorders>
            <w:shd w:val="clear" w:color="auto" w:fill="auto"/>
            <w:vAlign w:val="center"/>
          </w:tcPr>
          <w:p w14:paraId="4832BDF9" w14:textId="77777777" w:rsidR="006D741B" w:rsidRPr="006D741B" w:rsidRDefault="006D741B" w:rsidP="006D741B">
            <w:pPr>
              <w:pStyle w:val="SingleTxtG"/>
              <w:keepNext/>
              <w:keepLines/>
              <w:spacing w:before="40" w:after="40" w:line="220" w:lineRule="exact"/>
              <w:ind w:left="0" w:right="0"/>
              <w:jc w:val="left"/>
              <w:rPr>
                <w:sz w:val="18"/>
              </w:rPr>
            </w:pPr>
            <w:r w:rsidRPr="006D741B">
              <w:rPr>
                <w:sz w:val="18"/>
              </w:rPr>
              <w:t>2017</w:t>
            </w:r>
          </w:p>
        </w:tc>
        <w:tc>
          <w:tcPr>
            <w:tcW w:w="1474" w:type="dxa"/>
            <w:tcBorders>
              <w:bottom w:val="single" w:sz="12" w:space="0" w:color="auto"/>
            </w:tcBorders>
            <w:shd w:val="clear" w:color="auto" w:fill="auto"/>
            <w:vAlign w:val="center"/>
          </w:tcPr>
          <w:p w14:paraId="5DAED278"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2</w:t>
            </w:r>
            <w:r>
              <w:rPr>
                <w:sz w:val="18"/>
              </w:rPr>
              <w:t xml:space="preserve"> </w:t>
            </w:r>
            <w:r w:rsidRPr="006D741B">
              <w:rPr>
                <w:sz w:val="18"/>
              </w:rPr>
              <w:t>833</w:t>
            </w:r>
          </w:p>
        </w:tc>
        <w:tc>
          <w:tcPr>
            <w:tcW w:w="1474" w:type="dxa"/>
            <w:tcBorders>
              <w:bottom w:val="single" w:sz="12" w:space="0" w:color="auto"/>
            </w:tcBorders>
            <w:shd w:val="clear" w:color="auto" w:fill="auto"/>
            <w:vAlign w:val="center"/>
          </w:tcPr>
          <w:p w14:paraId="16CD3DB5"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1</w:t>
            </w:r>
            <w:r>
              <w:rPr>
                <w:sz w:val="18"/>
              </w:rPr>
              <w:t xml:space="preserve"> </w:t>
            </w:r>
            <w:r w:rsidRPr="006D741B">
              <w:rPr>
                <w:sz w:val="18"/>
              </w:rPr>
              <w:t>926</w:t>
            </w:r>
          </w:p>
        </w:tc>
        <w:tc>
          <w:tcPr>
            <w:tcW w:w="1474" w:type="dxa"/>
            <w:tcBorders>
              <w:bottom w:val="single" w:sz="12" w:space="0" w:color="auto"/>
            </w:tcBorders>
            <w:shd w:val="clear" w:color="auto" w:fill="auto"/>
            <w:vAlign w:val="center"/>
          </w:tcPr>
          <w:p w14:paraId="5AC502BF"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594</w:t>
            </w:r>
          </w:p>
        </w:tc>
        <w:tc>
          <w:tcPr>
            <w:tcW w:w="1474" w:type="dxa"/>
            <w:tcBorders>
              <w:bottom w:val="single" w:sz="12" w:space="0" w:color="auto"/>
            </w:tcBorders>
            <w:shd w:val="clear" w:color="auto" w:fill="auto"/>
            <w:vAlign w:val="center"/>
          </w:tcPr>
          <w:p w14:paraId="530749DA" w14:textId="77777777" w:rsidR="006D741B" w:rsidRPr="006D741B" w:rsidRDefault="006D741B" w:rsidP="006D741B">
            <w:pPr>
              <w:pStyle w:val="SingleTxtG"/>
              <w:keepNext/>
              <w:keepLines/>
              <w:spacing w:before="40" w:after="40" w:line="220" w:lineRule="exact"/>
              <w:ind w:left="0" w:right="0"/>
              <w:jc w:val="right"/>
              <w:rPr>
                <w:sz w:val="18"/>
              </w:rPr>
            </w:pPr>
            <w:r w:rsidRPr="006D741B">
              <w:rPr>
                <w:sz w:val="18"/>
              </w:rPr>
              <w:t>80</w:t>
            </w:r>
          </w:p>
        </w:tc>
      </w:tr>
    </w:tbl>
    <w:p w14:paraId="48A48265" w14:textId="77777777" w:rsidR="008A38B9" w:rsidRPr="006D741B" w:rsidRDefault="008A38B9" w:rsidP="006D741B">
      <w:pPr>
        <w:pStyle w:val="SingleTxtG"/>
        <w:spacing w:before="120" w:after="240"/>
        <w:ind w:firstLine="170"/>
        <w:rPr>
          <w:sz w:val="18"/>
          <w:szCs w:val="18"/>
        </w:rPr>
      </w:pPr>
      <w:r w:rsidRPr="006D741B">
        <w:rPr>
          <w:i/>
          <w:iCs/>
          <w:sz w:val="18"/>
          <w:szCs w:val="18"/>
        </w:rPr>
        <w:t>Fuente</w:t>
      </w:r>
      <w:r w:rsidRPr="006D741B">
        <w:rPr>
          <w:i/>
          <w:sz w:val="18"/>
          <w:szCs w:val="18"/>
        </w:rPr>
        <w:t>:</w:t>
      </w:r>
      <w:r w:rsidRPr="006D741B">
        <w:rPr>
          <w:sz w:val="18"/>
          <w:szCs w:val="18"/>
        </w:rPr>
        <w:t xml:space="preserve"> </w:t>
      </w:r>
      <w:r w:rsidRPr="006D741B">
        <w:rPr>
          <w:i/>
          <w:iCs/>
          <w:sz w:val="18"/>
          <w:szCs w:val="18"/>
        </w:rPr>
        <w:t>Boletín estadístico anual</w:t>
      </w:r>
      <w:r w:rsidRPr="006D741B">
        <w:rPr>
          <w:sz w:val="18"/>
          <w:szCs w:val="18"/>
        </w:rPr>
        <w:t xml:space="preserve"> e informe del Ministerio de Salud correspondiente a 2017.</w:t>
      </w:r>
    </w:p>
    <w:p w14:paraId="6A2B28F7" w14:textId="77777777" w:rsidR="008A38B9" w:rsidRPr="008A38B9" w:rsidRDefault="006D741B" w:rsidP="006D741B">
      <w:pPr>
        <w:pStyle w:val="HChG"/>
        <w:rPr>
          <w:u w:val="single"/>
        </w:rPr>
      </w:pPr>
      <w:r>
        <w:tab/>
      </w:r>
      <w:r w:rsidR="008A38B9" w:rsidRPr="008A38B9">
        <w:tab/>
        <w:t>Educación</w:t>
      </w:r>
    </w:p>
    <w:p w14:paraId="14CF887D" w14:textId="77777777" w:rsidR="008A38B9" w:rsidRPr="008A38B9" w:rsidRDefault="008A38B9" w:rsidP="00DF5DA5">
      <w:pPr>
        <w:pStyle w:val="SingleTxtG"/>
      </w:pPr>
      <w:r w:rsidRPr="008A38B9">
        <w:t>65.</w:t>
      </w:r>
      <w:r w:rsidRPr="008A38B9">
        <w:tab/>
        <w:t>Los indicadores educativos señalan un descenso del 1,4 % en la tasa neta de matriculación en la enseñanza primaria entre 2014 y 2015. En el mismo período, sin embargo, se incrementó el 7,4 % la tasa neta de matriculación en la enseñanza secundaria. Entre 2011 y 2015, la matrícula en los jardines de infantes, en los establecimientos de educación primaria, educación secundaria y formación profesional y en los institutos masculinos y femeninos de magisterio se incrementó, respectivamente, el 20,3 %, el 16,7 %, el 20,2 %, el 14,4 % y el 5.9 %, y la plantilla docente de esos establecimientos el 16,3 %, el 11 %, el 9,8 %, el 8 % y el 2,1 %.</w:t>
      </w:r>
    </w:p>
    <w:p w14:paraId="78B3E771" w14:textId="77777777" w:rsidR="008A38B9" w:rsidRPr="00DF5DA5" w:rsidRDefault="008A38B9" w:rsidP="00DF5DA5">
      <w:pPr>
        <w:pStyle w:val="SingleTxtG"/>
        <w:ind w:firstLine="170"/>
        <w:rPr>
          <w:sz w:val="18"/>
          <w:szCs w:val="18"/>
        </w:rPr>
      </w:pPr>
      <w:r w:rsidRPr="00DF5DA5">
        <w:rPr>
          <w:i/>
          <w:iCs/>
          <w:sz w:val="18"/>
          <w:szCs w:val="18"/>
        </w:rPr>
        <w:t>Fuente</w:t>
      </w:r>
      <w:r w:rsidRPr="00DF5DA5">
        <w:rPr>
          <w:i/>
          <w:sz w:val="18"/>
          <w:szCs w:val="18"/>
        </w:rPr>
        <w:t>:</w:t>
      </w:r>
      <w:r w:rsidRPr="00DF5DA5">
        <w:rPr>
          <w:sz w:val="18"/>
          <w:szCs w:val="18"/>
        </w:rPr>
        <w:t xml:space="preserve"> Indicadores estadísticos sobre la situación económica y social en el Iraq (2011-2015).</w:t>
      </w:r>
    </w:p>
    <w:p w14:paraId="28C2D78F" w14:textId="77777777" w:rsidR="008A38B9" w:rsidRDefault="008A38B9" w:rsidP="00DF5DA5">
      <w:pPr>
        <w:pStyle w:val="SingleTxtG"/>
      </w:pPr>
      <w:r w:rsidRPr="008A38B9">
        <w:t>66.</w:t>
      </w:r>
      <w:r w:rsidRPr="008A38B9">
        <w:tab/>
        <w:t>En el cuadro siguiente figuran indicadores sobre la educación en el Iraq (con excepción de la Región del Kurdistán).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9"/>
        <w:gridCol w:w="2191"/>
      </w:tblGrid>
      <w:tr w:rsidR="00DF5DA5" w:rsidRPr="00DF5DA5" w14:paraId="439C6976" w14:textId="77777777" w:rsidTr="006F2414">
        <w:tc>
          <w:tcPr>
            <w:tcW w:w="5179" w:type="dxa"/>
            <w:tcBorders>
              <w:top w:val="single" w:sz="4" w:space="0" w:color="auto"/>
              <w:bottom w:val="single" w:sz="12" w:space="0" w:color="auto"/>
            </w:tcBorders>
            <w:shd w:val="clear" w:color="auto" w:fill="auto"/>
            <w:vAlign w:val="bottom"/>
          </w:tcPr>
          <w:p w14:paraId="55D44604" w14:textId="77777777" w:rsidR="00DF5DA5" w:rsidRPr="00DF5DA5" w:rsidRDefault="00DF5DA5" w:rsidP="00DF5DA5">
            <w:pPr>
              <w:pStyle w:val="SingleTxtG"/>
              <w:spacing w:before="80" w:after="80" w:line="200" w:lineRule="exact"/>
              <w:ind w:left="0" w:right="0"/>
              <w:jc w:val="left"/>
              <w:rPr>
                <w:i/>
                <w:sz w:val="16"/>
              </w:rPr>
            </w:pPr>
            <w:r w:rsidRPr="00DF5DA5">
              <w:rPr>
                <w:i/>
                <w:sz w:val="16"/>
              </w:rPr>
              <w:t>Indicadores educativos (con exclusión de la Región del Kurdistán)</w:t>
            </w:r>
          </w:p>
        </w:tc>
        <w:tc>
          <w:tcPr>
            <w:tcW w:w="2191" w:type="dxa"/>
            <w:tcBorders>
              <w:top w:val="single" w:sz="4" w:space="0" w:color="auto"/>
              <w:bottom w:val="single" w:sz="12" w:space="0" w:color="auto"/>
            </w:tcBorders>
            <w:shd w:val="clear" w:color="auto" w:fill="auto"/>
            <w:vAlign w:val="bottom"/>
          </w:tcPr>
          <w:p w14:paraId="4B8EE2B7" w14:textId="77777777" w:rsidR="00DF5DA5" w:rsidRPr="00DF5DA5" w:rsidRDefault="00DF5DA5" w:rsidP="00DF5DA5">
            <w:pPr>
              <w:pStyle w:val="SingleTxtG"/>
              <w:spacing w:before="80" w:after="80" w:line="200" w:lineRule="exact"/>
              <w:ind w:left="0" w:right="0"/>
              <w:jc w:val="right"/>
              <w:rPr>
                <w:i/>
                <w:sz w:val="16"/>
              </w:rPr>
            </w:pPr>
            <w:r w:rsidRPr="00DF5DA5">
              <w:rPr>
                <w:i/>
                <w:sz w:val="16"/>
              </w:rPr>
              <w:t>Curso 2017</w:t>
            </w:r>
            <w:r>
              <w:rPr>
                <w:i/>
                <w:sz w:val="16"/>
              </w:rPr>
              <w:t>/</w:t>
            </w:r>
            <w:r w:rsidRPr="00DF5DA5">
              <w:rPr>
                <w:i/>
                <w:sz w:val="16"/>
              </w:rPr>
              <w:t>18</w:t>
            </w:r>
          </w:p>
        </w:tc>
      </w:tr>
      <w:tr w:rsidR="00DF5DA5" w:rsidRPr="00DF5DA5" w14:paraId="216F65F1" w14:textId="77777777" w:rsidTr="006F2414">
        <w:tc>
          <w:tcPr>
            <w:tcW w:w="5179" w:type="dxa"/>
            <w:tcBorders>
              <w:top w:val="single" w:sz="12" w:space="0" w:color="auto"/>
            </w:tcBorders>
            <w:shd w:val="clear" w:color="auto" w:fill="auto"/>
            <w:vAlign w:val="center"/>
          </w:tcPr>
          <w:p w14:paraId="6286ABAE" w14:textId="77777777" w:rsidR="00DF5DA5" w:rsidRPr="00DF5DA5" w:rsidRDefault="00DF5DA5" w:rsidP="00DF5DA5">
            <w:pPr>
              <w:pStyle w:val="SingleTxtG"/>
              <w:spacing w:before="40" w:after="40" w:line="220" w:lineRule="exact"/>
              <w:ind w:left="0" w:right="0"/>
              <w:jc w:val="left"/>
              <w:rPr>
                <w:sz w:val="18"/>
              </w:rPr>
            </w:pPr>
            <w:r w:rsidRPr="00DF5DA5">
              <w:rPr>
                <w:sz w:val="18"/>
              </w:rPr>
              <w:t>Centros educativos</w:t>
            </w:r>
          </w:p>
        </w:tc>
        <w:tc>
          <w:tcPr>
            <w:tcW w:w="2191" w:type="dxa"/>
            <w:tcBorders>
              <w:top w:val="single" w:sz="12" w:space="0" w:color="auto"/>
            </w:tcBorders>
            <w:shd w:val="clear" w:color="auto" w:fill="auto"/>
            <w:vAlign w:val="bottom"/>
          </w:tcPr>
          <w:p w14:paraId="63752DEA" w14:textId="77777777" w:rsidR="00DF5DA5" w:rsidRPr="00DF5DA5" w:rsidRDefault="00DF5DA5" w:rsidP="00063D69">
            <w:pPr>
              <w:pStyle w:val="SingleTxtG"/>
              <w:spacing w:before="40" w:after="40" w:line="220" w:lineRule="exact"/>
              <w:ind w:left="0" w:right="0"/>
              <w:jc w:val="right"/>
              <w:rPr>
                <w:sz w:val="18"/>
              </w:rPr>
            </w:pPr>
            <w:r w:rsidRPr="00DF5DA5">
              <w:rPr>
                <w:sz w:val="18"/>
              </w:rPr>
              <w:t>23</w:t>
            </w:r>
            <w:r>
              <w:rPr>
                <w:sz w:val="18"/>
              </w:rPr>
              <w:t xml:space="preserve"> </w:t>
            </w:r>
            <w:r w:rsidRPr="00DF5DA5">
              <w:rPr>
                <w:sz w:val="18"/>
              </w:rPr>
              <w:t>450</w:t>
            </w:r>
          </w:p>
        </w:tc>
      </w:tr>
      <w:tr w:rsidR="00DF5DA5" w:rsidRPr="00DF5DA5" w14:paraId="5ED8A318" w14:textId="77777777" w:rsidTr="006F2414">
        <w:tc>
          <w:tcPr>
            <w:tcW w:w="5179" w:type="dxa"/>
            <w:shd w:val="clear" w:color="auto" w:fill="auto"/>
            <w:vAlign w:val="center"/>
          </w:tcPr>
          <w:p w14:paraId="49A692A9" w14:textId="77777777" w:rsidR="00DF5DA5" w:rsidRPr="00DF5DA5" w:rsidRDefault="00DF5DA5" w:rsidP="00DF5DA5">
            <w:pPr>
              <w:pStyle w:val="SingleTxtG"/>
              <w:spacing w:before="40" w:after="40" w:line="220" w:lineRule="exact"/>
              <w:ind w:left="0" w:right="0"/>
              <w:jc w:val="left"/>
              <w:rPr>
                <w:sz w:val="18"/>
              </w:rPr>
            </w:pPr>
            <w:r w:rsidRPr="00DF5DA5">
              <w:rPr>
                <w:sz w:val="18"/>
              </w:rPr>
              <w:t>Edificios públicos</w:t>
            </w:r>
          </w:p>
        </w:tc>
        <w:tc>
          <w:tcPr>
            <w:tcW w:w="2191" w:type="dxa"/>
            <w:shd w:val="clear" w:color="auto" w:fill="auto"/>
            <w:vAlign w:val="bottom"/>
          </w:tcPr>
          <w:p w14:paraId="16553B82" w14:textId="77777777" w:rsidR="00DF5DA5" w:rsidRPr="00DF5DA5" w:rsidRDefault="00DF5DA5" w:rsidP="00063D69">
            <w:pPr>
              <w:pStyle w:val="SingleTxtG"/>
              <w:spacing w:before="40" w:after="40" w:line="220" w:lineRule="exact"/>
              <w:ind w:left="0" w:right="0"/>
              <w:jc w:val="right"/>
              <w:rPr>
                <w:sz w:val="18"/>
              </w:rPr>
            </w:pPr>
            <w:r w:rsidRPr="00DF5DA5">
              <w:rPr>
                <w:sz w:val="18"/>
              </w:rPr>
              <w:t>14</w:t>
            </w:r>
            <w:r>
              <w:rPr>
                <w:sz w:val="18"/>
              </w:rPr>
              <w:t xml:space="preserve"> </w:t>
            </w:r>
            <w:r w:rsidRPr="00DF5DA5">
              <w:rPr>
                <w:sz w:val="18"/>
              </w:rPr>
              <w:t>977</w:t>
            </w:r>
          </w:p>
        </w:tc>
      </w:tr>
      <w:tr w:rsidR="00DF5DA5" w:rsidRPr="00DF5DA5" w14:paraId="446F7EB7" w14:textId="77777777" w:rsidTr="006F2414">
        <w:tc>
          <w:tcPr>
            <w:tcW w:w="5179" w:type="dxa"/>
            <w:shd w:val="clear" w:color="auto" w:fill="auto"/>
            <w:vAlign w:val="center"/>
          </w:tcPr>
          <w:p w14:paraId="37F5CAC0" w14:textId="77777777" w:rsidR="00DF5DA5" w:rsidRPr="00DF5DA5" w:rsidRDefault="00DF5DA5" w:rsidP="00DF5DA5">
            <w:pPr>
              <w:pStyle w:val="SingleTxtG"/>
              <w:spacing w:before="40" w:after="40" w:line="220" w:lineRule="exact"/>
              <w:ind w:left="0" w:right="0"/>
              <w:jc w:val="left"/>
              <w:rPr>
                <w:sz w:val="18"/>
              </w:rPr>
            </w:pPr>
            <w:r w:rsidRPr="00DF5DA5">
              <w:rPr>
                <w:sz w:val="18"/>
              </w:rPr>
              <w:t>Profesores</w:t>
            </w:r>
          </w:p>
        </w:tc>
        <w:tc>
          <w:tcPr>
            <w:tcW w:w="2191" w:type="dxa"/>
            <w:shd w:val="clear" w:color="auto" w:fill="auto"/>
            <w:vAlign w:val="bottom"/>
          </w:tcPr>
          <w:p w14:paraId="6B700B54" w14:textId="77777777" w:rsidR="00DF5DA5" w:rsidRPr="00DF5DA5" w:rsidRDefault="00DF5DA5" w:rsidP="00063D69">
            <w:pPr>
              <w:pStyle w:val="SingleTxtG"/>
              <w:spacing w:before="40" w:after="40" w:line="220" w:lineRule="exact"/>
              <w:ind w:left="0" w:right="0"/>
              <w:jc w:val="right"/>
              <w:rPr>
                <w:sz w:val="18"/>
              </w:rPr>
            </w:pPr>
            <w:r w:rsidRPr="00DF5DA5">
              <w:rPr>
                <w:sz w:val="18"/>
              </w:rPr>
              <w:t>450</w:t>
            </w:r>
            <w:r>
              <w:rPr>
                <w:sz w:val="18"/>
              </w:rPr>
              <w:t xml:space="preserve"> </w:t>
            </w:r>
            <w:r w:rsidRPr="00DF5DA5">
              <w:rPr>
                <w:sz w:val="18"/>
              </w:rPr>
              <w:t>841</w:t>
            </w:r>
          </w:p>
        </w:tc>
      </w:tr>
      <w:tr w:rsidR="00DF5DA5" w:rsidRPr="00DF5DA5" w14:paraId="6B76B9F1" w14:textId="77777777" w:rsidTr="006F2414">
        <w:tc>
          <w:tcPr>
            <w:tcW w:w="5179" w:type="dxa"/>
            <w:shd w:val="clear" w:color="auto" w:fill="auto"/>
            <w:vAlign w:val="center"/>
          </w:tcPr>
          <w:p w14:paraId="045D0D39" w14:textId="77777777" w:rsidR="00DF5DA5" w:rsidRPr="00DF5DA5" w:rsidRDefault="00DF5DA5" w:rsidP="00DF5DA5">
            <w:pPr>
              <w:pStyle w:val="SingleTxtG"/>
              <w:spacing w:before="40" w:after="40" w:line="220" w:lineRule="exact"/>
              <w:ind w:left="0" w:right="0"/>
              <w:jc w:val="left"/>
              <w:rPr>
                <w:sz w:val="18"/>
              </w:rPr>
            </w:pPr>
            <w:r w:rsidRPr="00DF5DA5">
              <w:rPr>
                <w:sz w:val="18"/>
              </w:rPr>
              <w:t>Tasa neta de matriculación en la enseñanza primaria</w:t>
            </w:r>
          </w:p>
        </w:tc>
        <w:tc>
          <w:tcPr>
            <w:tcW w:w="2191" w:type="dxa"/>
            <w:shd w:val="clear" w:color="auto" w:fill="auto"/>
            <w:vAlign w:val="bottom"/>
          </w:tcPr>
          <w:p w14:paraId="00D0F5EA" w14:textId="77777777" w:rsidR="00DF5DA5" w:rsidRPr="00DF5DA5" w:rsidRDefault="00DF5DA5" w:rsidP="00063D69">
            <w:pPr>
              <w:pStyle w:val="SingleTxtG"/>
              <w:spacing w:before="40" w:after="40" w:line="220" w:lineRule="exact"/>
              <w:ind w:left="0" w:right="0"/>
              <w:jc w:val="right"/>
              <w:rPr>
                <w:sz w:val="18"/>
              </w:rPr>
            </w:pPr>
            <w:r w:rsidRPr="00DF5DA5">
              <w:rPr>
                <w:sz w:val="18"/>
              </w:rPr>
              <w:t>94 %</w:t>
            </w:r>
          </w:p>
        </w:tc>
      </w:tr>
      <w:tr w:rsidR="00DF5DA5" w:rsidRPr="00DF5DA5" w14:paraId="54CE63E1" w14:textId="77777777" w:rsidTr="006F2414">
        <w:tc>
          <w:tcPr>
            <w:tcW w:w="5179" w:type="dxa"/>
            <w:shd w:val="clear" w:color="auto" w:fill="auto"/>
            <w:vAlign w:val="center"/>
          </w:tcPr>
          <w:p w14:paraId="44C84BA3" w14:textId="77777777" w:rsidR="00DF5DA5" w:rsidRPr="00DF5DA5" w:rsidRDefault="00DF5DA5" w:rsidP="00DF5DA5">
            <w:pPr>
              <w:pStyle w:val="SingleTxtG"/>
              <w:spacing w:before="40" w:after="40" w:line="220" w:lineRule="exact"/>
              <w:ind w:left="0" w:right="0"/>
              <w:jc w:val="left"/>
              <w:rPr>
                <w:sz w:val="18"/>
              </w:rPr>
            </w:pPr>
            <w:r w:rsidRPr="00DF5DA5">
              <w:rPr>
                <w:sz w:val="18"/>
              </w:rPr>
              <w:t>Tasa neta de matriculación en la enseñanza secundaria</w:t>
            </w:r>
          </w:p>
        </w:tc>
        <w:tc>
          <w:tcPr>
            <w:tcW w:w="2191" w:type="dxa"/>
            <w:shd w:val="clear" w:color="auto" w:fill="auto"/>
            <w:vAlign w:val="bottom"/>
          </w:tcPr>
          <w:p w14:paraId="530A7F9C" w14:textId="77777777" w:rsidR="00DF5DA5" w:rsidRPr="00DF5DA5" w:rsidRDefault="00DF5DA5" w:rsidP="00063D69">
            <w:pPr>
              <w:pStyle w:val="SingleTxtG"/>
              <w:spacing w:before="40" w:after="40" w:line="220" w:lineRule="exact"/>
              <w:ind w:left="0" w:right="0"/>
              <w:jc w:val="right"/>
              <w:rPr>
                <w:sz w:val="18"/>
              </w:rPr>
            </w:pPr>
            <w:r w:rsidRPr="00DF5DA5">
              <w:rPr>
                <w:sz w:val="18"/>
              </w:rPr>
              <w:t>56 %</w:t>
            </w:r>
          </w:p>
        </w:tc>
      </w:tr>
      <w:tr w:rsidR="00DF5DA5" w:rsidRPr="00DF5DA5" w14:paraId="06930866" w14:textId="77777777" w:rsidTr="006F2414">
        <w:tc>
          <w:tcPr>
            <w:tcW w:w="5179" w:type="dxa"/>
            <w:shd w:val="clear" w:color="auto" w:fill="auto"/>
            <w:vAlign w:val="center"/>
          </w:tcPr>
          <w:p w14:paraId="0CDA9146" w14:textId="77777777" w:rsidR="00DF5DA5" w:rsidRPr="00DF5DA5" w:rsidRDefault="00DF5DA5" w:rsidP="00DF5DA5">
            <w:pPr>
              <w:pStyle w:val="SingleTxtG"/>
              <w:spacing w:before="40" w:after="40" w:line="220" w:lineRule="exact"/>
              <w:ind w:left="0" w:right="0"/>
              <w:jc w:val="left"/>
              <w:rPr>
                <w:sz w:val="18"/>
              </w:rPr>
            </w:pPr>
            <w:r w:rsidRPr="00DF5DA5">
              <w:rPr>
                <w:sz w:val="18"/>
              </w:rPr>
              <w:t>Tasa bruta de matriculación en la enseñanza primaria</w:t>
            </w:r>
          </w:p>
        </w:tc>
        <w:tc>
          <w:tcPr>
            <w:tcW w:w="2191" w:type="dxa"/>
            <w:shd w:val="clear" w:color="auto" w:fill="auto"/>
            <w:vAlign w:val="bottom"/>
          </w:tcPr>
          <w:p w14:paraId="3803D870" w14:textId="77777777" w:rsidR="00DF5DA5" w:rsidRPr="00DF5DA5" w:rsidRDefault="00DF5DA5" w:rsidP="00063D69">
            <w:pPr>
              <w:pStyle w:val="SingleTxtG"/>
              <w:spacing w:before="40" w:after="40" w:line="220" w:lineRule="exact"/>
              <w:ind w:left="0" w:right="0"/>
              <w:jc w:val="right"/>
              <w:rPr>
                <w:sz w:val="18"/>
              </w:rPr>
            </w:pPr>
            <w:r w:rsidRPr="00DF5DA5">
              <w:rPr>
                <w:sz w:val="18"/>
              </w:rPr>
              <w:t>107 %</w:t>
            </w:r>
          </w:p>
        </w:tc>
      </w:tr>
      <w:tr w:rsidR="00DF5DA5" w:rsidRPr="00DF5DA5" w14:paraId="76E7672A" w14:textId="77777777" w:rsidTr="006F2414">
        <w:tc>
          <w:tcPr>
            <w:tcW w:w="5179" w:type="dxa"/>
            <w:tcBorders>
              <w:bottom w:val="single" w:sz="12" w:space="0" w:color="auto"/>
            </w:tcBorders>
            <w:shd w:val="clear" w:color="auto" w:fill="auto"/>
            <w:vAlign w:val="center"/>
          </w:tcPr>
          <w:p w14:paraId="51B5DE03" w14:textId="77777777" w:rsidR="00DF5DA5" w:rsidRPr="00DF5DA5" w:rsidRDefault="00DF5DA5" w:rsidP="00DF5DA5">
            <w:pPr>
              <w:pStyle w:val="SingleTxtG"/>
              <w:spacing w:before="40" w:after="40" w:line="220" w:lineRule="exact"/>
              <w:ind w:left="0" w:right="0"/>
              <w:jc w:val="left"/>
              <w:rPr>
                <w:sz w:val="18"/>
              </w:rPr>
            </w:pPr>
            <w:r w:rsidRPr="00DF5DA5">
              <w:rPr>
                <w:sz w:val="18"/>
              </w:rPr>
              <w:t>Tasa bruta de matriculación en la enseñanza secundaria</w:t>
            </w:r>
          </w:p>
        </w:tc>
        <w:tc>
          <w:tcPr>
            <w:tcW w:w="2191" w:type="dxa"/>
            <w:tcBorders>
              <w:bottom w:val="single" w:sz="12" w:space="0" w:color="auto"/>
            </w:tcBorders>
            <w:shd w:val="clear" w:color="auto" w:fill="auto"/>
            <w:vAlign w:val="bottom"/>
          </w:tcPr>
          <w:p w14:paraId="4912F254" w14:textId="77777777" w:rsidR="00DF5DA5" w:rsidRPr="00DF5DA5" w:rsidRDefault="00DF5DA5" w:rsidP="00063D69">
            <w:pPr>
              <w:pStyle w:val="SingleTxtG"/>
              <w:spacing w:before="40" w:after="40" w:line="220" w:lineRule="exact"/>
              <w:ind w:left="0" w:right="0"/>
              <w:jc w:val="right"/>
              <w:rPr>
                <w:sz w:val="18"/>
              </w:rPr>
            </w:pPr>
            <w:r w:rsidRPr="00DF5DA5">
              <w:rPr>
                <w:sz w:val="18"/>
              </w:rPr>
              <w:t>67 %</w:t>
            </w:r>
          </w:p>
        </w:tc>
      </w:tr>
    </w:tbl>
    <w:p w14:paraId="266DB09E" w14:textId="77777777" w:rsidR="008A38B9" w:rsidRPr="00DF5DA5" w:rsidRDefault="008A38B9" w:rsidP="00DF5DA5">
      <w:pPr>
        <w:pStyle w:val="SingleTxtG"/>
        <w:spacing w:before="120" w:after="240"/>
        <w:ind w:left="1304"/>
        <w:rPr>
          <w:sz w:val="18"/>
          <w:szCs w:val="18"/>
        </w:rPr>
      </w:pPr>
      <w:r w:rsidRPr="00DF5DA5">
        <w:rPr>
          <w:i/>
          <w:iCs/>
          <w:sz w:val="18"/>
          <w:szCs w:val="18"/>
        </w:rPr>
        <w:t>Fuente</w:t>
      </w:r>
      <w:r w:rsidRPr="00DF5DA5">
        <w:rPr>
          <w:i/>
          <w:sz w:val="18"/>
          <w:szCs w:val="18"/>
        </w:rPr>
        <w:t>:</w:t>
      </w:r>
      <w:r w:rsidRPr="00DF5DA5">
        <w:rPr>
          <w:sz w:val="18"/>
          <w:szCs w:val="18"/>
        </w:rPr>
        <w:t xml:space="preserve"> Ministerio de Educación.</w:t>
      </w:r>
    </w:p>
    <w:p w14:paraId="591D68B3" w14:textId="77777777" w:rsidR="008A38B9" w:rsidRDefault="008A38B9" w:rsidP="00DF5DA5">
      <w:pPr>
        <w:pStyle w:val="SingleTxtG"/>
      </w:pPr>
      <w:r w:rsidRPr="008A38B9">
        <w:t>67.</w:t>
      </w:r>
      <w:r w:rsidRPr="008A38B9">
        <w:tab/>
        <w:t>En el cuadro siguiente figuran indicadores sobre la educación en la Región del Kurdistán.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9"/>
        <w:gridCol w:w="2191"/>
      </w:tblGrid>
      <w:tr w:rsidR="00DF5DA5" w:rsidRPr="00DF5DA5" w14:paraId="3C5A7075" w14:textId="77777777" w:rsidTr="00075FB7">
        <w:tc>
          <w:tcPr>
            <w:tcW w:w="5179" w:type="dxa"/>
            <w:tcBorders>
              <w:top w:val="single" w:sz="4" w:space="0" w:color="auto"/>
              <w:bottom w:val="single" w:sz="12" w:space="0" w:color="auto"/>
            </w:tcBorders>
            <w:shd w:val="clear" w:color="auto" w:fill="auto"/>
            <w:vAlign w:val="bottom"/>
          </w:tcPr>
          <w:p w14:paraId="584689EC" w14:textId="77777777" w:rsidR="00DF5DA5" w:rsidRPr="00DF5DA5" w:rsidRDefault="00DF5DA5" w:rsidP="00DF5DA5">
            <w:pPr>
              <w:pStyle w:val="SingleTxtG"/>
              <w:spacing w:before="80" w:after="80" w:line="200" w:lineRule="exact"/>
              <w:ind w:left="0" w:right="0"/>
              <w:jc w:val="left"/>
              <w:rPr>
                <w:i/>
                <w:sz w:val="16"/>
              </w:rPr>
            </w:pPr>
            <w:r w:rsidRPr="00DF5DA5">
              <w:rPr>
                <w:i/>
                <w:sz w:val="16"/>
              </w:rPr>
              <w:t>Indicadores educativos de la Región del Kurdistán</w:t>
            </w:r>
          </w:p>
        </w:tc>
        <w:tc>
          <w:tcPr>
            <w:tcW w:w="2191" w:type="dxa"/>
            <w:tcBorders>
              <w:top w:val="single" w:sz="4" w:space="0" w:color="auto"/>
              <w:bottom w:val="single" w:sz="12" w:space="0" w:color="auto"/>
            </w:tcBorders>
            <w:shd w:val="clear" w:color="auto" w:fill="auto"/>
            <w:vAlign w:val="bottom"/>
          </w:tcPr>
          <w:p w14:paraId="2525F5FB" w14:textId="77777777" w:rsidR="00DF5DA5" w:rsidRPr="00DF5DA5" w:rsidRDefault="00DF5DA5" w:rsidP="00DF5DA5">
            <w:pPr>
              <w:pStyle w:val="SingleTxtG"/>
              <w:spacing w:before="80" w:after="80" w:line="200" w:lineRule="exact"/>
              <w:ind w:left="0" w:right="0"/>
              <w:jc w:val="right"/>
              <w:rPr>
                <w:i/>
                <w:sz w:val="16"/>
              </w:rPr>
            </w:pPr>
            <w:r w:rsidRPr="00DF5DA5">
              <w:rPr>
                <w:i/>
                <w:sz w:val="16"/>
              </w:rPr>
              <w:t>Curso 2017</w:t>
            </w:r>
            <w:r>
              <w:rPr>
                <w:i/>
                <w:sz w:val="16"/>
              </w:rPr>
              <w:t>/</w:t>
            </w:r>
            <w:r w:rsidRPr="00DF5DA5">
              <w:rPr>
                <w:i/>
                <w:sz w:val="16"/>
              </w:rPr>
              <w:t>18</w:t>
            </w:r>
          </w:p>
        </w:tc>
      </w:tr>
      <w:tr w:rsidR="00DF5DA5" w:rsidRPr="00DF5DA5" w14:paraId="198C9F3E" w14:textId="77777777" w:rsidTr="00075FB7">
        <w:tc>
          <w:tcPr>
            <w:tcW w:w="5179" w:type="dxa"/>
            <w:tcBorders>
              <w:top w:val="single" w:sz="12" w:space="0" w:color="auto"/>
            </w:tcBorders>
            <w:shd w:val="clear" w:color="auto" w:fill="auto"/>
            <w:vAlign w:val="center"/>
          </w:tcPr>
          <w:p w14:paraId="7498FCE9" w14:textId="77777777" w:rsidR="00DF5DA5" w:rsidRPr="00DF5DA5" w:rsidRDefault="00DF5DA5" w:rsidP="00DF5DA5">
            <w:pPr>
              <w:pStyle w:val="SingleTxtG"/>
              <w:spacing w:before="40" w:after="40" w:line="220" w:lineRule="exact"/>
              <w:ind w:left="0" w:right="0"/>
              <w:jc w:val="left"/>
              <w:rPr>
                <w:sz w:val="18"/>
              </w:rPr>
            </w:pPr>
            <w:r w:rsidRPr="00DF5DA5">
              <w:rPr>
                <w:sz w:val="18"/>
              </w:rPr>
              <w:t>Centros educativos</w:t>
            </w:r>
          </w:p>
        </w:tc>
        <w:tc>
          <w:tcPr>
            <w:tcW w:w="2191" w:type="dxa"/>
            <w:tcBorders>
              <w:top w:val="single" w:sz="12" w:space="0" w:color="auto"/>
            </w:tcBorders>
            <w:shd w:val="clear" w:color="auto" w:fill="auto"/>
            <w:vAlign w:val="center"/>
          </w:tcPr>
          <w:p w14:paraId="2C2B70A1" w14:textId="77777777" w:rsidR="00DF5DA5" w:rsidRPr="00DF5DA5" w:rsidRDefault="00DF5DA5" w:rsidP="00DF5DA5">
            <w:pPr>
              <w:pStyle w:val="SingleTxtG"/>
              <w:spacing w:before="40" w:after="40" w:line="220" w:lineRule="exact"/>
              <w:ind w:left="0" w:right="0"/>
              <w:jc w:val="right"/>
              <w:rPr>
                <w:sz w:val="18"/>
              </w:rPr>
            </w:pPr>
            <w:r w:rsidRPr="00DF5DA5">
              <w:rPr>
                <w:sz w:val="18"/>
              </w:rPr>
              <w:t>6</w:t>
            </w:r>
            <w:r w:rsidR="00075FB7">
              <w:rPr>
                <w:sz w:val="18"/>
              </w:rPr>
              <w:t xml:space="preserve"> </w:t>
            </w:r>
            <w:r w:rsidRPr="00DF5DA5">
              <w:rPr>
                <w:sz w:val="18"/>
              </w:rPr>
              <w:t>635</w:t>
            </w:r>
          </w:p>
        </w:tc>
      </w:tr>
      <w:tr w:rsidR="00DF5DA5" w:rsidRPr="00DF5DA5" w14:paraId="261BD13C" w14:textId="77777777" w:rsidTr="00075FB7">
        <w:tc>
          <w:tcPr>
            <w:tcW w:w="5179" w:type="dxa"/>
            <w:shd w:val="clear" w:color="auto" w:fill="auto"/>
            <w:vAlign w:val="center"/>
          </w:tcPr>
          <w:p w14:paraId="42C5BD54" w14:textId="77777777" w:rsidR="00DF5DA5" w:rsidRPr="00DF5DA5" w:rsidRDefault="00DF5DA5" w:rsidP="00DF5DA5">
            <w:pPr>
              <w:pStyle w:val="SingleTxtG"/>
              <w:spacing w:before="40" w:after="40" w:line="220" w:lineRule="exact"/>
              <w:ind w:left="0" w:right="0"/>
              <w:jc w:val="left"/>
              <w:rPr>
                <w:sz w:val="18"/>
              </w:rPr>
            </w:pPr>
            <w:r w:rsidRPr="00DF5DA5">
              <w:rPr>
                <w:sz w:val="18"/>
              </w:rPr>
              <w:t>Edificios públicos</w:t>
            </w:r>
          </w:p>
        </w:tc>
        <w:tc>
          <w:tcPr>
            <w:tcW w:w="2191" w:type="dxa"/>
            <w:shd w:val="clear" w:color="auto" w:fill="auto"/>
            <w:vAlign w:val="center"/>
          </w:tcPr>
          <w:p w14:paraId="36FD1502" w14:textId="77777777" w:rsidR="00DF5DA5" w:rsidRPr="00DF5DA5" w:rsidRDefault="00DF5DA5" w:rsidP="00DF5DA5">
            <w:pPr>
              <w:pStyle w:val="SingleTxtG"/>
              <w:spacing w:before="40" w:after="40" w:line="220" w:lineRule="exact"/>
              <w:ind w:left="0" w:right="0"/>
              <w:jc w:val="right"/>
              <w:rPr>
                <w:sz w:val="18"/>
              </w:rPr>
            </w:pPr>
            <w:r w:rsidRPr="00DF5DA5">
              <w:rPr>
                <w:sz w:val="18"/>
              </w:rPr>
              <w:t>5</w:t>
            </w:r>
            <w:r w:rsidR="00075FB7">
              <w:rPr>
                <w:sz w:val="18"/>
              </w:rPr>
              <w:t xml:space="preserve"> </w:t>
            </w:r>
            <w:r w:rsidRPr="00DF5DA5">
              <w:rPr>
                <w:sz w:val="18"/>
              </w:rPr>
              <w:t>178</w:t>
            </w:r>
          </w:p>
        </w:tc>
      </w:tr>
      <w:tr w:rsidR="00DF5DA5" w:rsidRPr="00DF5DA5" w14:paraId="3A98D397" w14:textId="77777777" w:rsidTr="00075FB7">
        <w:tc>
          <w:tcPr>
            <w:tcW w:w="5179" w:type="dxa"/>
            <w:shd w:val="clear" w:color="auto" w:fill="auto"/>
            <w:vAlign w:val="center"/>
          </w:tcPr>
          <w:p w14:paraId="1436A6AB" w14:textId="77777777" w:rsidR="00DF5DA5" w:rsidRPr="00DF5DA5" w:rsidRDefault="00DF5DA5" w:rsidP="00DF5DA5">
            <w:pPr>
              <w:pStyle w:val="SingleTxtG"/>
              <w:spacing w:before="40" w:after="40" w:line="220" w:lineRule="exact"/>
              <w:ind w:left="0" w:right="0"/>
              <w:jc w:val="left"/>
              <w:rPr>
                <w:sz w:val="18"/>
              </w:rPr>
            </w:pPr>
            <w:r w:rsidRPr="00DF5DA5">
              <w:rPr>
                <w:sz w:val="18"/>
              </w:rPr>
              <w:t>Profesores</w:t>
            </w:r>
          </w:p>
        </w:tc>
        <w:tc>
          <w:tcPr>
            <w:tcW w:w="2191" w:type="dxa"/>
            <w:shd w:val="clear" w:color="auto" w:fill="auto"/>
            <w:vAlign w:val="center"/>
          </w:tcPr>
          <w:p w14:paraId="0FA4A69F" w14:textId="77777777" w:rsidR="00DF5DA5" w:rsidRPr="00DF5DA5" w:rsidRDefault="00DF5DA5" w:rsidP="00DF5DA5">
            <w:pPr>
              <w:pStyle w:val="SingleTxtG"/>
              <w:spacing w:before="40" w:after="40" w:line="220" w:lineRule="exact"/>
              <w:ind w:left="0" w:right="0"/>
              <w:jc w:val="right"/>
              <w:rPr>
                <w:sz w:val="18"/>
              </w:rPr>
            </w:pPr>
            <w:r w:rsidRPr="00DF5DA5">
              <w:rPr>
                <w:sz w:val="18"/>
              </w:rPr>
              <w:t>128</w:t>
            </w:r>
            <w:r w:rsidR="00075FB7">
              <w:rPr>
                <w:sz w:val="18"/>
              </w:rPr>
              <w:t xml:space="preserve"> </w:t>
            </w:r>
            <w:r w:rsidRPr="00DF5DA5">
              <w:rPr>
                <w:sz w:val="18"/>
              </w:rPr>
              <w:t>421</w:t>
            </w:r>
          </w:p>
        </w:tc>
      </w:tr>
      <w:tr w:rsidR="00DF5DA5" w:rsidRPr="00DF5DA5" w14:paraId="36792955" w14:textId="77777777" w:rsidTr="00075FB7">
        <w:tc>
          <w:tcPr>
            <w:tcW w:w="5179" w:type="dxa"/>
            <w:shd w:val="clear" w:color="auto" w:fill="auto"/>
            <w:vAlign w:val="center"/>
          </w:tcPr>
          <w:p w14:paraId="13FA19AE" w14:textId="77777777" w:rsidR="00DF5DA5" w:rsidRPr="00DF5DA5" w:rsidRDefault="00DF5DA5" w:rsidP="00DF5DA5">
            <w:pPr>
              <w:pStyle w:val="SingleTxtG"/>
              <w:spacing w:before="40" w:after="40" w:line="220" w:lineRule="exact"/>
              <w:ind w:left="0" w:right="0"/>
              <w:jc w:val="left"/>
              <w:rPr>
                <w:sz w:val="18"/>
              </w:rPr>
            </w:pPr>
            <w:r w:rsidRPr="00DF5DA5">
              <w:rPr>
                <w:sz w:val="18"/>
              </w:rPr>
              <w:t>Tasa neta de matriculación en la enseñanza primaria</w:t>
            </w:r>
          </w:p>
        </w:tc>
        <w:tc>
          <w:tcPr>
            <w:tcW w:w="2191" w:type="dxa"/>
            <w:shd w:val="clear" w:color="auto" w:fill="auto"/>
            <w:vAlign w:val="center"/>
          </w:tcPr>
          <w:p w14:paraId="7CB7E92C" w14:textId="77777777" w:rsidR="00DF5DA5" w:rsidRPr="00DF5DA5" w:rsidRDefault="00DF5DA5" w:rsidP="00DF5DA5">
            <w:pPr>
              <w:pStyle w:val="SingleTxtG"/>
              <w:spacing w:before="40" w:after="40" w:line="220" w:lineRule="exact"/>
              <w:ind w:left="0" w:right="0"/>
              <w:jc w:val="right"/>
              <w:rPr>
                <w:sz w:val="18"/>
              </w:rPr>
            </w:pPr>
            <w:r w:rsidRPr="00DF5DA5">
              <w:rPr>
                <w:sz w:val="18"/>
              </w:rPr>
              <w:t>1</w:t>
            </w:r>
            <w:r w:rsidR="00075FB7">
              <w:rPr>
                <w:sz w:val="18"/>
              </w:rPr>
              <w:t xml:space="preserve"> </w:t>
            </w:r>
            <w:r w:rsidRPr="00DF5DA5">
              <w:rPr>
                <w:sz w:val="18"/>
              </w:rPr>
              <w:t>630</w:t>
            </w:r>
            <w:r w:rsidR="00075FB7">
              <w:rPr>
                <w:sz w:val="18"/>
              </w:rPr>
              <w:t xml:space="preserve"> </w:t>
            </w:r>
            <w:r w:rsidRPr="00DF5DA5">
              <w:rPr>
                <w:sz w:val="18"/>
              </w:rPr>
              <w:t>789</w:t>
            </w:r>
          </w:p>
        </w:tc>
      </w:tr>
      <w:tr w:rsidR="00DF5DA5" w:rsidRPr="00DF5DA5" w14:paraId="3F76BB96" w14:textId="77777777" w:rsidTr="00075FB7">
        <w:tc>
          <w:tcPr>
            <w:tcW w:w="5179" w:type="dxa"/>
            <w:shd w:val="clear" w:color="auto" w:fill="auto"/>
            <w:vAlign w:val="center"/>
          </w:tcPr>
          <w:p w14:paraId="61336E87" w14:textId="77777777" w:rsidR="00DF5DA5" w:rsidRPr="00DF5DA5" w:rsidRDefault="00DF5DA5" w:rsidP="00DF5DA5">
            <w:pPr>
              <w:pStyle w:val="SingleTxtG"/>
              <w:spacing w:before="40" w:after="40" w:line="220" w:lineRule="exact"/>
              <w:ind w:left="0" w:right="0"/>
              <w:jc w:val="left"/>
              <w:rPr>
                <w:sz w:val="18"/>
              </w:rPr>
            </w:pPr>
            <w:r w:rsidRPr="00DF5DA5">
              <w:rPr>
                <w:sz w:val="18"/>
              </w:rPr>
              <w:t>Tasa neta de matriculación en la enseñanza preparatoria</w:t>
            </w:r>
          </w:p>
        </w:tc>
        <w:tc>
          <w:tcPr>
            <w:tcW w:w="2191" w:type="dxa"/>
            <w:shd w:val="clear" w:color="auto" w:fill="auto"/>
            <w:vAlign w:val="center"/>
          </w:tcPr>
          <w:p w14:paraId="0D242A48" w14:textId="77777777" w:rsidR="00DF5DA5" w:rsidRPr="00DF5DA5" w:rsidRDefault="00DF5DA5" w:rsidP="00DF5DA5">
            <w:pPr>
              <w:pStyle w:val="SingleTxtG"/>
              <w:spacing w:before="40" w:after="40" w:line="220" w:lineRule="exact"/>
              <w:ind w:left="0" w:right="0"/>
              <w:jc w:val="right"/>
              <w:rPr>
                <w:sz w:val="18"/>
              </w:rPr>
            </w:pPr>
            <w:r w:rsidRPr="00DF5DA5">
              <w:rPr>
                <w:sz w:val="18"/>
              </w:rPr>
              <w:t>86</w:t>
            </w:r>
            <w:r w:rsidR="00075FB7">
              <w:rPr>
                <w:sz w:val="18"/>
              </w:rPr>
              <w:t xml:space="preserve"> </w:t>
            </w:r>
            <w:r w:rsidRPr="00DF5DA5">
              <w:rPr>
                <w:sz w:val="18"/>
              </w:rPr>
              <w:t>665</w:t>
            </w:r>
          </w:p>
        </w:tc>
      </w:tr>
      <w:tr w:rsidR="00DF5DA5" w:rsidRPr="00DF5DA5" w14:paraId="31A29ED1" w14:textId="77777777" w:rsidTr="00075FB7">
        <w:tc>
          <w:tcPr>
            <w:tcW w:w="5179" w:type="dxa"/>
            <w:shd w:val="clear" w:color="auto" w:fill="auto"/>
            <w:vAlign w:val="center"/>
          </w:tcPr>
          <w:p w14:paraId="49074282" w14:textId="77777777" w:rsidR="00DF5DA5" w:rsidRPr="00DF5DA5" w:rsidRDefault="00DF5DA5" w:rsidP="00DF5DA5">
            <w:pPr>
              <w:pStyle w:val="SingleTxtG"/>
              <w:spacing w:before="40" w:after="40" w:line="220" w:lineRule="exact"/>
              <w:ind w:left="0" w:right="0"/>
              <w:jc w:val="left"/>
              <w:rPr>
                <w:sz w:val="18"/>
              </w:rPr>
            </w:pPr>
            <w:r w:rsidRPr="00DF5DA5">
              <w:rPr>
                <w:sz w:val="18"/>
              </w:rPr>
              <w:t>Tasa bruta de matriculación en la enseñanza primaria</w:t>
            </w:r>
          </w:p>
        </w:tc>
        <w:tc>
          <w:tcPr>
            <w:tcW w:w="2191" w:type="dxa"/>
            <w:shd w:val="clear" w:color="auto" w:fill="auto"/>
            <w:vAlign w:val="center"/>
          </w:tcPr>
          <w:p w14:paraId="368F46F9" w14:textId="77777777" w:rsidR="00DF5DA5" w:rsidRPr="00DF5DA5" w:rsidRDefault="00DF5DA5" w:rsidP="00DF5DA5">
            <w:pPr>
              <w:pStyle w:val="SingleTxtG"/>
              <w:spacing w:before="40" w:after="40" w:line="220" w:lineRule="exact"/>
              <w:ind w:left="0" w:right="0"/>
              <w:jc w:val="right"/>
              <w:rPr>
                <w:sz w:val="18"/>
              </w:rPr>
            </w:pPr>
            <w:r w:rsidRPr="00DF5DA5">
              <w:rPr>
                <w:sz w:val="18"/>
              </w:rPr>
              <w:t>1</w:t>
            </w:r>
            <w:r w:rsidR="00075FB7">
              <w:rPr>
                <w:sz w:val="18"/>
              </w:rPr>
              <w:t xml:space="preserve"> </w:t>
            </w:r>
            <w:r w:rsidRPr="00DF5DA5">
              <w:rPr>
                <w:sz w:val="18"/>
              </w:rPr>
              <w:t>319</w:t>
            </w:r>
            <w:r w:rsidR="00075FB7">
              <w:rPr>
                <w:sz w:val="18"/>
              </w:rPr>
              <w:t xml:space="preserve"> </w:t>
            </w:r>
            <w:r w:rsidRPr="00DF5DA5">
              <w:rPr>
                <w:sz w:val="18"/>
              </w:rPr>
              <w:t>127</w:t>
            </w:r>
          </w:p>
        </w:tc>
      </w:tr>
      <w:tr w:rsidR="00DF5DA5" w:rsidRPr="00DF5DA5" w14:paraId="0AE8D6BB" w14:textId="77777777" w:rsidTr="00075FB7">
        <w:tc>
          <w:tcPr>
            <w:tcW w:w="5179" w:type="dxa"/>
            <w:tcBorders>
              <w:bottom w:val="single" w:sz="12" w:space="0" w:color="auto"/>
            </w:tcBorders>
            <w:shd w:val="clear" w:color="auto" w:fill="auto"/>
            <w:vAlign w:val="center"/>
          </w:tcPr>
          <w:p w14:paraId="46B38208" w14:textId="77777777" w:rsidR="00DF5DA5" w:rsidRPr="00DF5DA5" w:rsidRDefault="00DF5DA5" w:rsidP="00DF5DA5">
            <w:pPr>
              <w:pStyle w:val="SingleTxtG"/>
              <w:spacing w:before="40" w:after="40" w:line="220" w:lineRule="exact"/>
              <w:ind w:left="0" w:right="0"/>
              <w:jc w:val="left"/>
              <w:rPr>
                <w:sz w:val="18"/>
              </w:rPr>
            </w:pPr>
            <w:r w:rsidRPr="00DF5DA5">
              <w:rPr>
                <w:sz w:val="18"/>
              </w:rPr>
              <w:t>Tasa neta de matriculación en la enseñanza preparatoria</w:t>
            </w:r>
          </w:p>
        </w:tc>
        <w:tc>
          <w:tcPr>
            <w:tcW w:w="2191" w:type="dxa"/>
            <w:tcBorders>
              <w:bottom w:val="single" w:sz="12" w:space="0" w:color="auto"/>
            </w:tcBorders>
            <w:shd w:val="clear" w:color="auto" w:fill="auto"/>
            <w:vAlign w:val="center"/>
          </w:tcPr>
          <w:p w14:paraId="6F903908" w14:textId="77777777" w:rsidR="00DF5DA5" w:rsidRPr="00DF5DA5" w:rsidRDefault="00DF5DA5" w:rsidP="00DF5DA5">
            <w:pPr>
              <w:pStyle w:val="SingleTxtG"/>
              <w:spacing w:before="40" w:after="40" w:line="220" w:lineRule="exact"/>
              <w:ind w:left="0" w:right="0"/>
              <w:jc w:val="right"/>
              <w:rPr>
                <w:sz w:val="18"/>
              </w:rPr>
            </w:pPr>
            <w:r w:rsidRPr="00DF5DA5">
              <w:rPr>
                <w:sz w:val="18"/>
              </w:rPr>
              <w:t>311</w:t>
            </w:r>
            <w:r w:rsidR="00075FB7">
              <w:rPr>
                <w:sz w:val="18"/>
              </w:rPr>
              <w:t xml:space="preserve"> </w:t>
            </w:r>
            <w:r w:rsidRPr="00DF5DA5">
              <w:rPr>
                <w:sz w:val="18"/>
              </w:rPr>
              <w:t>984</w:t>
            </w:r>
          </w:p>
        </w:tc>
      </w:tr>
    </w:tbl>
    <w:p w14:paraId="218269ED" w14:textId="77777777" w:rsidR="008A38B9" w:rsidRDefault="008A38B9" w:rsidP="006F2414">
      <w:pPr>
        <w:pStyle w:val="SingleTxtG"/>
        <w:keepNext/>
        <w:keepLines/>
        <w:spacing w:before="240"/>
      </w:pPr>
      <w:r w:rsidRPr="008A38B9">
        <w:lastRenderedPageBreak/>
        <w:t>68.</w:t>
      </w:r>
      <w:r w:rsidRPr="008A38B9">
        <w:tab/>
        <w:t>A continuación figuran indicadores relativos a la educación en el Iraq durante el curso 2017-2018.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6"/>
        <w:gridCol w:w="1338"/>
        <w:gridCol w:w="1339"/>
        <w:gridCol w:w="1338"/>
        <w:gridCol w:w="1339"/>
      </w:tblGrid>
      <w:tr w:rsidR="00075FB7" w:rsidRPr="00075FB7" w14:paraId="1D8EC592" w14:textId="77777777" w:rsidTr="00625457">
        <w:tc>
          <w:tcPr>
            <w:tcW w:w="2016" w:type="dxa"/>
            <w:tcBorders>
              <w:top w:val="single" w:sz="4" w:space="0" w:color="auto"/>
              <w:bottom w:val="single" w:sz="12" w:space="0" w:color="auto"/>
            </w:tcBorders>
            <w:shd w:val="clear" w:color="auto" w:fill="auto"/>
            <w:vAlign w:val="bottom"/>
          </w:tcPr>
          <w:p w14:paraId="23266019" w14:textId="77777777" w:rsidR="00075FB7" w:rsidRPr="00075FB7" w:rsidRDefault="00075FB7" w:rsidP="006F2414">
            <w:pPr>
              <w:pStyle w:val="SingleTxtG"/>
              <w:keepNext/>
              <w:keepLines/>
              <w:spacing w:before="80" w:after="80" w:line="200" w:lineRule="exact"/>
              <w:ind w:left="0" w:right="0"/>
              <w:jc w:val="left"/>
              <w:rPr>
                <w:i/>
                <w:sz w:val="16"/>
              </w:rPr>
            </w:pPr>
            <w:r w:rsidRPr="00075FB7">
              <w:rPr>
                <w:i/>
                <w:sz w:val="16"/>
              </w:rPr>
              <w:t>Etapa</w:t>
            </w:r>
          </w:p>
        </w:tc>
        <w:tc>
          <w:tcPr>
            <w:tcW w:w="1338" w:type="dxa"/>
            <w:tcBorders>
              <w:top w:val="single" w:sz="4" w:space="0" w:color="auto"/>
              <w:bottom w:val="single" w:sz="12" w:space="0" w:color="auto"/>
            </w:tcBorders>
            <w:shd w:val="clear" w:color="auto" w:fill="auto"/>
            <w:vAlign w:val="bottom"/>
          </w:tcPr>
          <w:p w14:paraId="12415F00" w14:textId="77777777" w:rsidR="00075FB7" w:rsidRPr="00075FB7" w:rsidRDefault="00075FB7" w:rsidP="00625457">
            <w:pPr>
              <w:pStyle w:val="SingleTxtG"/>
              <w:keepNext/>
              <w:keepLines/>
              <w:spacing w:before="80" w:after="80" w:line="200" w:lineRule="exact"/>
              <w:ind w:left="0" w:right="0"/>
              <w:jc w:val="right"/>
              <w:rPr>
                <w:i/>
                <w:sz w:val="16"/>
              </w:rPr>
            </w:pPr>
            <w:r w:rsidRPr="00075FB7">
              <w:rPr>
                <w:i/>
                <w:sz w:val="16"/>
              </w:rPr>
              <w:t>Núm</w:t>
            </w:r>
            <w:r>
              <w:rPr>
                <w:i/>
                <w:sz w:val="16"/>
              </w:rPr>
              <w:t>ero</w:t>
            </w:r>
            <w:r w:rsidRPr="00075FB7">
              <w:rPr>
                <w:i/>
                <w:sz w:val="16"/>
              </w:rPr>
              <w:t xml:space="preserve"> </w:t>
            </w:r>
            <w:r>
              <w:rPr>
                <w:i/>
                <w:sz w:val="16"/>
              </w:rPr>
              <w:br/>
            </w:r>
            <w:r w:rsidRPr="00075FB7">
              <w:rPr>
                <w:i/>
                <w:sz w:val="16"/>
              </w:rPr>
              <w:t>de centros</w:t>
            </w:r>
          </w:p>
        </w:tc>
        <w:tc>
          <w:tcPr>
            <w:tcW w:w="1339" w:type="dxa"/>
            <w:tcBorders>
              <w:top w:val="single" w:sz="4" w:space="0" w:color="auto"/>
              <w:bottom w:val="single" w:sz="12" w:space="0" w:color="auto"/>
            </w:tcBorders>
            <w:shd w:val="clear" w:color="auto" w:fill="auto"/>
            <w:vAlign w:val="bottom"/>
          </w:tcPr>
          <w:p w14:paraId="70E63426" w14:textId="77777777" w:rsidR="00075FB7" w:rsidRPr="00075FB7" w:rsidRDefault="00075FB7" w:rsidP="00625457">
            <w:pPr>
              <w:pStyle w:val="SingleTxtG"/>
              <w:keepNext/>
              <w:keepLines/>
              <w:spacing w:before="80" w:after="80" w:line="200" w:lineRule="exact"/>
              <w:ind w:left="0" w:right="0"/>
              <w:jc w:val="right"/>
              <w:rPr>
                <w:i/>
                <w:sz w:val="16"/>
              </w:rPr>
            </w:pPr>
            <w:r w:rsidRPr="00075FB7">
              <w:rPr>
                <w:i/>
                <w:sz w:val="16"/>
              </w:rPr>
              <w:t>Núm</w:t>
            </w:r>
            <w:r>
              <w:rPr>
                <w:i/>
                <w:sz w:val="16"/>
              </w:rPr>
              <w:t>ero</w:t>
            </w:r>
            <w:r w:rsidRPr="00075FB7">
              <w:rPr>
                <w:i/>
                <w:sz w:val="16"/>
              </w:rPr>
              <w:t xml:space="preserve"> de </w:t>
            </w:r>
            <w:r>
              <w:rPr>
                <w:i/>
                <w:sz w:val="16"/>
              </w:rPr>
              <w:br/>
            </w:r>
            <w:r w:rsidRPr="00075FB7">
              <w:rPr>
                <w:i/>
                <w:sz w:val="16"/>
              </w:rPr>
              <w:t>edificios públicos</w:t>
            </w:r>
          </w:p>
        </w:tc>
        <w:tc>
          <w:tcPr>
            <w:tcW w:w="1338" w:type="dxa"/>
            <w:tcBorders>
              <w:top w:val="single" w:sz="4" w:space="0" w:color="auto"/>
              <w:bottom w:val="single" w:sz="12" w:space="0" w:color="auto"/>
            </w:tcBorders>
            <w:shd w:val="clear" w:color="auto" w:fill="auto"/>
            <w:vAlign w:val="bottom"/>
          </w:tcPr>
          <w:p w14:paraId="4A6B9C00" w14:textId="77777777" w:rsidR="00075FB7" w:rsidRPr="00075FB7" w:rsidRDefault="00075FB7" w:rsidP="00625457">
            <w:pPr>
              <w:pStyle w:val="SingleTxtG"/>
              <w:keepNext/>
              <w:keepLines/>
              <w:spacing w:before="80" w:after="80" w:line="200" w:lineRule="exact"/>
              <w:ind w:left="0" w:right="0"/>
              <w:jc w:val="right"/>
              <w:rPr>
                <w:i/>
                <w:sz w:val="16"/>
              </w:rPr>
            </w:pPr>
            <w:r w:rsidRPr="00075FB7">
              <w:rPr>
                <w:i/>
                <w:sz w:val="16"/>
              </w:rPr>
              <w:t>Núm</w:t>
            </w:r>
            <w:r>
              <w:rPr>
                <w:i/>
                <w:sz w:val="16"/>
              </w:rPr>
              <w:t>ero</w:t>
            </w:r>
            <w:r w:rsidRPr="00075FB7">
              <w:rPr>
                <w:i/>
                <w:sz w:val="16"/>
              </w:rPr>
              <w:t xml:space="preserve"> </w:t>
            </w:r>
            <w:r>
              <w:rPr>
                <w:i/>
                <w:sz w:val="16"/>
              </w:rPr>
              <w:br/>
            </w:r>
            <w:r w:rsidRPr="00075FB7">
              <w:rPr>
                <w:i/>
                <w:sz w:val="16"/>
              </w:rPr>
              <w:t>de alumnos</w:t>
            </w:r>
          </w:p>
        </w:tc>
        <w:tc>
          <w:tcPr>
            <w:tcW w:w="1339" w:type="dxa"/>
            <w:tcBorders>
              <w:top w:val="single" w:sz="4" w:space="0" w:color="auto"/>
              <w:bottom w:val="single" w:sz="12" w:space="0" w:color="auto"/>
            </w:tcBorders>
            <w:shd w:val="clear" w:color="auto" w:fill="auto"/>
            <w:vAlign w:val="bottom"/>
          </w:tcPr>
          <w:p w14:paraId="1D4C9221" w14:textId="77777777" w:rsidR="00075FB7" w:rsidRPr="00075FB7" w:rsidRDefault="00075FB7" w:rsidP="00625457">
            <w:pPr>
              <w:pStyle w:val="SingleTxtG"/>
              <w:keepNext/>
              <w:keepLines/>
              <w:spacing w:before="80" w:after="80" w:line="200" w:lineRule="exact"/>
              <w:ind w:left="0" w:right="0"/>
              <w:jc w:val="right"/>
              <w:rPr>
                <w:i/>
                <w:sz w:val="16"/>
              </w:rPr>
            </w:pPr>
            <w:r w:rsidRPr="00075FB7">
              <w:rPr>
                <w:i/>
                <w:sz w:val="16"/>
              </w:rPr>
              <w:t>Núm</w:t>
            </w:r>
            <w:r>
              <w:rPr>
                <w:i/>
                <w:sz w:val="16"/>
              </w:rPr>
              <w:t>ero</w:t>
            </w:r>
            <w:r w:rsidRPr="00075FB7">
              <w:rPr>
                <w:i/>
                <w:sz w:val="16"/>
              </w:rPr>
              <w:t xml:space="preserve"> </w:t>
            </w:r>
            <w:r>
              <w:rPr>
                <w:i/>
                <w:sz w:val="16"/>
              </w:rPr>
              <w:br/>
            </w:r>
            <w:r w:rsidRPr="00075FB7">
              <w:rPr>
                <w:i/>
                <w:sz w:val="16"/>
              </w:rPr>
              <w:t>de profesores</w:t>
            </w:r>
          </w:p>
        </w:tc>
      </w:tr>
      <w:tr w:rsidR="00075FB7" w:rsidRPr="00075FB7" w14:paraId="4F0F486E" w14:textId="77777777" w:rsidTr="00075FB7">
        <w:tc>
          <w:tcPr>
            <w:tcW w:w="2016" w:type="dxa"/>
            <w:tcBorders>
              <w:top w:val="single" w:sz="12" w:space="0" w:color="auto"/>
            </w:tcBorders>
            <w:shd w:val="clear" w:color="auto" w:fill="auto"/>
          </w:tcPr>
          <w:p w14:paraId="093E33C1" w14:textId="77777777" w:rsidR="00075FB7" w:rsidRPr="00075FB7" w:rsidRDefault="00075FB7" w:rsidP="006F2414">
            <w:pPr>
              <w:pStyle w:val="SingleTxtG"/>
              <w:keepNext/>
              <w:keepLines/>
              <w:spacing w:before="40" w:after="40" w:line="220" w:lineRule="exact"/>
              <w:ind w:left="0" w:right="0"/>
              <w:jc w:val="left"/>
              <w:rPr>
                <w:sz w:val="18"/>
              </w:rPr>
            </w:pPr>
            <w:r w:rsidRPr="00075FB7">
              <w:rPr>
                <w:sz w:val="18"/>
              </w:rPr>
              <w:t>Jardín de infancia</w:t>
            </w:r>
          </w:p>
        </w:tc>
        <w:tc>
          <w:tcPr>
            <w:tcW w:w="1338" w:type="dxa"/>
            <w:tcBorders>
              <w:top w:val="single" w:sz="12" w:space="0" w:color="auto"/>
            </w:tcBorders>
            <w:shd w:val="clear" w:color="auto" w:fill="auto"/>
          </w:tcPr>
          <w:p w14:paraId="3254320E"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w:t>
            </w:r>
            <w:r>
              <w:rPr>
                <w:sz w:val="18"/>
              </w:rPr>
              <w:t xml:space="preserve"> </w:t>
            </w:r>
            <w:r w:rsidRPr="00075FB7">
              <w:rPr>
                <w:sz w:val="18"/>
              </w:rPr>
              <w:t>195</w:t>
            </w:r>
          </w:p>
        </w:tc>
        <w:tc>
          <w:tcPr>
            <w:tcW w:w="1339" w:type="dxa"/>
            <w:tcBorders>
              <w:top w:val="single" w:sz="12" w:space="0" w:color="auto"/>
            </w:tcBorders>
            <w:shd w:val="clear" w:color="auto" w:fill="auto"/>
          </w:tcPr>
          <w:p w14:paraId="63110CBD"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693</w:t>
            </w:r>
          </w:p>
        </w:tc>
        <w:tc>
          <w:tcPr>
            <w:tcW w:w="1338" w:type="dxa"/>
            <w:tcBorders>
              <w:top w:val="single" w:sz="12" w:space="0" w:color="auto"/>
            </w:tcBorders>
            <w:shd w:val="clear" w:color="auto" w:fill="auto"/>
          </w:tcPr>
          <w:p w14:paraId="20229DB5"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202</w:t>
            </w:r>
            <w:r>
              <w:rPr>
                <w:sz w:val="18"/>
              </w:rPr>
              <w:t xml:space="preserve"> </w:t>
            </w:r>
            <w:r w:rsidRPr="00075FB7">
              <w:rPr>
                <w:sz w:val="18"/>
              </w:rPr>
              <w:t>937</w:t>
            </w:r>
          </w:p>
        </w:tc>
        <w:tc>
          <w:tcPr>
            <w:tcW w:w="1339" w:type="dxa"/>
            <w:tcBorders>
              <w:top w:val="single" w:sz="12" w:space="0" w:color="auto"/>
            </w:tcBorders>
            <w:shd w:val="clear" w:color="auto" w:fill="auto"/>
          </w:tcPr>
          <w:p w14:paraId="6B08E392"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8</w:t>
            </w:r>
            <w:r>
              <w:rPr>
                <w:sz w:val="18"/>
              </w:rPr>
              <w:t xml:space="preserve"> </w:t>
            </w:r>
            <w:r w:rsidRPr="00075FB7">
              <w:rPr>
                <w:sz w:val="18"/>
              </w:rPr>
              <w:t>304</w:t>
            </w:r>
          </w:p>
        </w:tc>
      </w:tr>
      <w:tr w:rsidR="00075FB7" w:rsidRPr="00075FB7" w14:paraId="2A20A5B6" w14:textId="77777777" w:rsidTr="00075FB7">
        <w:tc>
          <w:tcPr>
            <w:tcW w:w="2016" w:type="dxa"/>
            <w:shd w:val="clear" w:color="auto" w:fill="auto"/>
          </w:tcPr>
          <w:p w14:paraId="185A8F7C" w14:textId="77777777" w:rsidR="00075FB7" w:rsidRPr="00075FB7" w:rsidRDefault="00075FB7" w:rsidP="006F2414">
            <w:pPr>
              <w:pStyle w:val="SingleTxtG"/>
              <w:keepNext/>
              <w:keepLines/>
              <w:spacing w:before="40" w:after="40" w:line="220" w:lineRule="exact"/>
              <w:ind w:left="0" w:right="0"/>
              <w:jc w:val="left"/>
              <w:rPr>
                <w:sz w:val="18"/>
              </w:rPr>
            </w:pPr>
            <w:r w:rsidRPr="00075FB7">
              <w:rPr>
                <w:sz w:val="18"/>
              </w:rPr>
              <w:t>Enseñanza primaria</w:t>
            </w:r>
          </w:p>
        </w:tc>
        <w:tc>
          <w:tcPr>
            <w:tcW w:w="1338" w:type="dxa"/>
            <w:shd w:val="clear" w:color="auto" w:fill="auto"/>
          </w:tcPr>
          <w:p w14:paraId="653F549F"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15</w:t>
            </w:r>
            <w:r>
              <w:rPr>
                <w:sz w:val="18"/>
              </w:rPr>
              <w:t xml:space="preserve"> </w:t>
            </w:r>
            <w:r w:rsidRPr="00075FB7">
              <w:rPr>
                <w:sz w:val="18"/>
              </w:rPr>
              <w:t>965</w:t>
            </w:r>
          </w:p>
        </w:tc>
        <w:tc>
          <w:tcPr>
            <w:tcW w:w="1339" w:type="dxa"/>
            <w:shd w:val="clear" w:color="auto" w:fill="auto"/>
          </w:tcPr>
          <w:p w14:paraId="499E4A07"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11</w:t>
            </w:r>
            <w:r>
              <w:rPr>
                <w:sz w:val="18"/>
              </w:rPr>
              <w:t xml:space="preserve"> </w:t>
            </w:r>
            <w:r w:rsidRPr="00075FB7">
              <w:rPr>
                <w:sz w:val="18"/>
              </w:rPr>
              <w:t>736</w:t>
            </w:r>
          </w:p>
        </w:tc>
        <w:tc>
          <w:tcPr>
            <w:tcW w:w="1338" w:type="dxa"/>
            <w:shd w:val="clear" w:color="auto" w:fill="auto"/>
          </w:tcPr>
          <w:p w14:paraId="588AC875"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6</w:t>
            </w:r>
            <w:r>
              <w:rPr>
                <w:sz w:val="18"/>
              </w:rPr>
              <w:t xml:space="preserve"> </w:t>
            </w:r>
            <w:r w:rsidRPr="00075FB7">
              <w:rPr>
                <w:sz w:val="18"/>
              </w:rPr>
              <w:t>197</w:t>
            </w:r>
            <w:r>
              <w:rPr>
                <w:sz w:val="18"/>
              </w:rPr>
              <w:t xml:space="preserve"> </w:t>
            </w:r>
            <w:r w:rsidRPr="00075FB7">
              <w:rPr>
                <w:sz w:val="18"/>
              </w:rPr>
              <w:t>870</w:t>
            </w:r>
          </w:p>
        </w:tc>
        <w:tc>
          <w:tcPr>
            <w:tcW w:w="1339" w:type="dxa"/>
            <w:shd w:val="clear" w:color="auto" w:fill="auto"/>
          </w:tcPr>
          <w:p w14:paraId="5F390924"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286</w:t>
            </w:r>
            <w:r>
              <w:rPr>
                <w:sz w:val="18"/>
              </w:rPr>
              <w:t xml:space="preserve"> </w:t>
            </w:r>
            <w:r w:rsidRPr="00075FB7">
              <w:rPr>
                <w:sz w:val="18"/>
              </w:rPr>
              <w:t>097</w:t>
            </w:r>
          </w:p>
        </w:tc>
      </w:tr>
      <w:tr w:rsidR="00075FB7" w:rsidRPr="00075FB7" w14:paraId="56D45FDB" w14:textId="77777777" w:rsidTr="00075FB7">
        <w:tc>
          <w:tcPr>
            <w:tcW w:w="2016" w:type="dxa"/>
            <w:shd w:val="clear" w:color="auto" w:fill="auto"/>
          </w:tcPr>
          <w:p w14:paraId="418205B8" w14:textId="77777777" w:rsidR="00075FB7" w:rsidRPr="00075FB7" w:rsidRDefault="00075FB7" w:rsidP="006F2414">
            <w:pPr>
              <w:pStyle w:val="SingleTxtG"/>
              <w:keepNext/>
              <w:keepLines/>
              <w:spacing w:before="40" w:after="40" w:line="220" w:lineRule="exact"/>
              <w:ind w:left="0" w:right="0"/>
              <w:jc w:val="left"/>
              <w:rPr>
                <w:sz w:val="18"/>
              </w:rPr>
            </w:pPr>
            <w:r w:rsidRPr="00075FB7">
              <w:rPr>
                <w:sz w:val="18"/>
              </w:rPr>
              <w:t>Enseñanza secundaria</w:t>
            </w:r>
          </w:p>
        </w:tc>
        <w:tc>
          <w:tcPr>
            <w:tcW w:w="1338" w:type="dxa"/>
            <w:shd w:val="clear" w:color="auto" w:fill="auto"/>
          </w:tcPr>
          <w:p w14:paraId="34222C13"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7</w:t>
            </w:r>
            <w:r>
              <w:rPr>
                <w:sz w:val="18"/>
              </w:rPr>
              <w:t xml:space="preserve"> </w:t>
            </w:r>
            <w:r w:rsidRPr="00075FB7">
              <w:rPr>
                <w:sz w:val="18"/>
              </w:rPr>
              <w:t>505</w:t>
            </w:r>
          </w:p>
        </w:tc>
        <w:tc>
          <w:tcPr>
            <w:tcW w:w="1339" w:type="dxa"/>
            <w:shd w:val="clear" w:color="auto" w:fill="auto"/>
          </w:tcPr>
          <w:p w14:paraId="1E01B2A4"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4</w:t>
            </w:r>
            <w:r>
              <w:rPr>
                <w:sz w:val="18"/>
              </w:rPr>
              <w:t xml:space="preserve"> </w:t>
            </w:r>
            <w:r w:rsidRPr="00075FB7">
              <w:rPr>
                <w:sz w:val="18"/>
              </w:rPr>
              <w:t>050</w:t>
            </w:r>
          </w:p>
        </w:tc>
        <w:tc>
          <w:tcPr>
            <w:tcW w:w="1338" w:type="dxa"/>
            <w:shd w:val="clear" w:color="auto" w:fill="auto"/>
          </w:tcPr>
          <w:p w14:paraId="422EF9F8"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w:t>
            </w:r>
            <w:r>
              <w:rPr>
                <w:sz w:val="18"/>
              </w:rPr>
              <w:t xml:space="preserve"> </w:t>
            </w:r>
            <w:r w:rsidRPr="00075FB7">
              <w:rPr>
                <w:sz w:val="18"/>
              </w:rPr>
              <w:t>933</w:t>
            </w:r>
            <w:r>
              <w:rPr>
                <w:sz w:val="18"/>
              </w:rPr>
              <w:t xml:space="preserve"> </w:t>
            </w:r>
            <w:r w:rsidRPr="00075FB7">
              <w:rPr>
                <w:sz w:val="18"/>
              </w:rPr>
              <w:t>539</w:t>
            </w:r>
          </w:p>
        </w:tc>
        <w:tc>
          <w:tcPr>
            <w:tcW w:w="1339" w:type="dxa"/>
            <w:shd w:val="clear" w:color="auto" w:fill="auto"/>
          </w:tcPr>
          <w:p w14:paraId="1F38885F"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164</w:t>
            </w:r>
            <w:r>
              <w:rPr>
                <w:sz w:val="18"/>
              </w:rPr>
              <w:t xml:space="preserve"> </w:t>
            </w:r>
            <w:r w:rsidRPr="00075FB7">
              <w:rPr>
                <w:sz w:val="18"/>
              </w:rPr>
              <w:t>744</w:t>
            </w:r>
          </w:p>
        </w:tc>
      </w:tr>
      <w:tr w:rsidR="00075FB7" w:rsidRPr="00075FB7" w14:paraId="7C01002B" w14:textId="77777777" w:rsidTr="00075FB7">
        <w:tc>
          <w:tcPr>
            <w:tcW w:w="2016" w:type="dxa"/>
            <w:shd w:val="clear" w:color="auto" w:fill="auto"/>
          </w:tcPr>
          <w:p w14:paraId="2C6E2901" w14:textId="77777777" w:rsidR="00075FB7" w:rsidRPr="00075FB7" w:rsidRDefault="00075FB7" w:rsidP="006F2414">
            <w:pPr>
              <w:pStyle w:val="SingleTxtG"/>
              <w:keepNext/>
              <w:keepLines/>
              <w:spacing w:before="40" w:after="40" w:line="220" w:lineRule="exact"/>
              <w:ind w:left="0" w:right="0"/>
              <w:jc w:val="left"/>
              <w:rPr>
                <w:sz w:val="18"/>
              </w:rPr>
            </w:pPr>
            <w:r w:rsidRPr="00075FB7">
              <w:rPr>
                <w:sz w:val="18"/>
              </w:rPr>
              <w:t>Formación profesional</w:t>
            </w:r>
          </w:p>
        </w:tc>
        <w:tc>
          <w:tcPr>
            <w:tcW w:w="1338" w:type="dxa"/>
            <w:shd w:val="clear" w:color="auto" w:fill="auto"/>
          </w:tcPr>
          <w:p w14:paraId="1927DA0A"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318</w:t>
            </w:r>
          </w:p>
        </w:tc>
        <w:tc>
          <w:tcPr>
            <w:tcW w:w="1339" w:type="dxa"/>
            <w:shd w:val="clear" w:color="auto" w:fill="auto"/>
          </w:tcPr>
          <w:p w14:paraId="28E480D5"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225</w:t>
            </w:r>
          </w:p>
        </w:tc>
        <w:tc>
          <w:tcPr>
            <w:tcW w:w="1338" w:type="dxa"/>
            <w:shd w:val="clear" w:color="auto" w:fill="auto"/>
          </w:tcPr>
          <w:p w14:paraId="612F44FE"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51</w:t>
            </w:r>
            <w:r>
              <w:rPr>
                <w:sz w:val="18"/>
              </w:rPr>
              <w:t xml:space="preserve"> </w:t>
            </w:r>
            <w:r w:rsidRPr="00075FB7">
              <w:rPr>
                <w:sz w:val="18"/>
              </w:rPr>
              <w:t>034</w:t>
            </w:r>
          </w:p>
        </w:tc>
        <w:tc>
          <w:tcPr>
            <w:tcW w:w="1339" w:type="dxa"/>
            <w:shd w:val="clear" w:color="auto" w:fill="auto"/>
          </w:tcPr>
          <w:p w14:paraId="6D76A767"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11</w:t>
            </w:r>
            <w:r>
              <w:rPr>
                <w:sz w:val="18"/>
              </w:rPr>
              <w:t xml:space="preserve"> </w:t>
            </w:r>
            <w:r w:rsidRPr="00075FB7">
              <w:rPr>
                <w:sz w:val="18"/>
              </w:rPr>
              <w:t>289</w:t>
            </w:r>
          </w:p>
        </w:tc>
      </w:tr>
      <w:tr w:rsidR="00075FB7" w:rsidRPr="00075FB7" w14:paraId="72880C36" w14:textId="77777777" w:rsidTr="00075FB7">
        <w:tc>
          <w:tcPr>
            <w:tcW w:w="2016" w:type="dxa"/>
            <w:tcBorders>
              <w:bottom w:val="single" w:sz="4" w:space="0" w:color="auto"/>
            </w:tcBorders>
            <w:shd w:val="clear" w:color="auto" w:fill="auto"/>
          </w:tcPr>
          <w:p w14:paraId="4D70653C" w14:textId="77777777" w:rsidR="00075FB7" w:rsidRPr="00075FB7" w:rsidRDefault="00075FB7" w:rsidP="006F2414">
            <w:pPr>
              <w:pStyle w:val="SingleTxtG"/>
              <w:keepNext/>
              <w:keepLines/>
              <w:spacing w:before="40" w:after="40" w:line="220" w:lineRule="exact"/>
              <w:ind w:left="0" w:right="0"/>
              <w:jc w:val="left"/>
              <w:rPr>
                <w:sz w:val="18"/>
              </w:rPr>
            </w:pPr>
            <w:r w:rsidRPr="00075FB7">
              <w:rPr>
                <w:sz w:val="18"/>
              </w:rPr>
              <w:t>Institutos</w:t>
            </w:r>
          </w:p>
        </w:tc>
        <w:tc>
          <w:tcPr>
            <w:tcW w:w="1338" w:type="dxa"/>
            <w:tcBorders>
              <w:bottom w:val="single" w:sz="4" w:space="0" w:color="auto"/>
            </w:tcBorders>
            <w:shd w:val="clear" w:color="auto" w:fill="auto"/>
          </w:tcPr>
          <w:p w14:paraId="6BE89320"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24</w:t>
            </w:r>
          </w:p>
        </w:tc>
        <w:tc>
          <w:tcPr>
            <w:tcW w:w="1339" w:type="dxa"/>
            <w:tcBorders>
              <w:bottom w:val="single" w:sz="4" w:space="0" w:color="auto"/>
            </w:tcBorders>
            <w:shd w:val="clear" w:color="auto" w:fill="auto"/>
          </w:tcPr>
          <w:p w14:paraId="546114C8"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20</w:t>
            </w:r>
          </w:p>
        </w:tc>
        <w:tc>
          <w:tcPr>
            <w:tcW w:w="1338" w:type="dxa"/>
            <w:tcBorders>
              <w:bottom w:val="single" w:sz="4" w:space="0" w:color="auto"/>
            </w:tcBorders>
            <w:shd w:val="clear" w:color="auto" w:fill="auto"/>
          </w:tcPr>
          <w:p w14:paraId="2B6714B3"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9</w:t>
            </w:r>
            <w:r>
              <w:rPr>
                <w:sz w:val="18"/>
              </w:rPr>
              <w:t xml:space="preserve"> </w:t>
            </w:r>
            <w:r w:rsidRPr="00075FB7">
              <w:rPr>
                <w:sz w:val="18"/>
              </w:rPr>
              <w:t>720</w:t>
            </w:r>
          </w:p>
        </w:tc>
        <w:tc>
          <w:tcPr>
            <w:tcW w:w="1339" w:type="dxa"/>
            <w:tcBorders>
              <w:bottom w:val="single" w:sz="4" w:space="0" w:color="auto"/>
            </w:tcBorders>
            <w:shd w:val="clear" w:color="auto" w:fill="auto"/>
          </w:tcPr>
          <w:p w14:paraId="2C91DAEA" w14:textId="77777777" w:rsidR="00075FB7" w:rsidRPr="00075FB7" w:rsidRDefault="00075FB7" w:rsidP="006F2414">
            <w:pPr>
              <w:pStyle w:val="SingleTxtG"/>
              <w:keepNext/>
              <w:keepLines/>
              <w:spacing w:before="40" w:after="40" w:line="220" w:lineRule="exact"/>
              <w:ind w:left="0" w:right="0"/>
              <w:jc w:val="right"/>
              <w:rPr>
                <w:sz w:val="18"/>
              </w:rPr>
            </w:pPr>
            <w:r w:rsidRPr="00075FB7">
              <w:rPr>
                <w:sz w:val="18"/>
              </w:rPr>
              <w:t>1</w:t>
            </w:r>
            <w:r>
              <w:rPr>
                <w:sz w:val="18"/>
              </w:rPr>
              <w:t xml:space="preserve"> </w:t>
            </w:r>
            <w:r w:rsidRPr="00075FB7">
              <w:rPr>
                <w:sz w:val="18"/>
              </w:rPr>
              <w:t>191</w:t>
            </w:r>
          </w:p>
        </w:tc>
      </w:tr>
      <w:tr w:rsidR="00075FB7" w:rsidRPr="00075FB7" w14:paraId="1F4C94CE" w14:textId="77777777" w:rsidTr="00075FB7">
        <w:tc>
          <w:tcPr>
            <w:tcW w:w="2016" w:type="dxa"/>
            <w:tcBorders>
              <w:top w:val="single" w:sz="4" w:space="0" w:color="auto"/>
              <w:bottom w:val="single" w:sz="12" w:space="0" w:color="auto"/>
            </w:tcBorders>
            <w:shd w:val="clear" w:color="auto" w:fill="auto"/>
          </w:tcPr>
          <w:p w14:paraId="68495F36" w14:textId="77777777" w:rsidR="00075FB7" w:rsidRPr="00075FB7" w:rsidRDefault="00075FB7" w:rsidP="006F2414">
            <w:pPr>
              <w:pStyle w:val="SingleTxtG"/>
              <w:keepNext/>
              <w:keepLines/>
              <w:spacing w:before="80" w:after="80" w:line="220" w:lineRule="exact"/>
              <w:ind w:left="284" w:right="0"/>
              <w:jc w:val="left"/>
              <w:rPr>
                <w:b/>
                <w:bCs/>
                <w:sz w:val="18"/>
              </w:rPr>
            </w:pPr>
            <w:r w:rsidRPr="00075FB7">
              <w:rPr>
                <w:b/>
                <w:bCs/>
                <w:sz w:val="18"/>
              </w:rPr>
              <w:t>Total</w:t>
            </w:r>
          </w:p>
        </w:tc>
        <w:tc>
          <w:tcPr>
            <w:tcW w:w="1338" w:type="dxa"/>
            <w:tcBorders>
              <w:top w:val="single" w:sz="4" w:space="0" w:color="auto"/>
              <w:bottom w:val="single" w:sz="12" w:space="0" w:color="auto"/>
            </w:tcBorders>
            <w:shd w:val="clear" w:color="auto" w:fill="auto"/>
          </w:tcPr>
          <w:p w14:paraId="61D69486" w14:textId="77777777" w:rsidR="00075FB7" w:rsidRPr="00075FB7" w:rsidRDefault="00075FB7" w:rsidP="006F2414">
            <w:pPr>
              <w:pStyle w:val="SingleTxtG"/>
              <w:keepNext/>
              <w:keepLines/>
              <w:spacing w:before="80" w:after="80" w:line="220" w:lineRule="exact"/>
              <w:ind w:left="0" w:right="0"/>
              <w:jc w:val="right"/>
              <w:rPr>
                <w:b/>
                <w:bCs/>
                <w:sz w:val="18"/>
              </w:rPr>
            </w:pPr>
            <w:r w:rsidRPr="00075FB7">
              <w:rPr>
                <w:b/>
                <w:bCs/>
                <w:sz w:val="18"/>
              </w:rPr>
              <w:t>25 007</w:t>
            </w:r>
          </w:p>
        </w:tc>
        <w:tc>
          <w:tcPr>
            <w:tcW w:w="1339" w:type="dxa"/>
            <w:tcBorders>
              <w:top w:val="single" w:sz="4" w:space="0" w:color="auto"/>
              <w:bottom w:val="single" w:sz="12" w:space="0" w:color="auto"/>
            </w:tcBorders>
            <w:shd w:val="clear" w:color="auto" w:fill="auto"/>
          </w:tcPr>
          <w:p w14:paraId="000CC6D4" w14:textId="77777777" w:rsidR="00075FB7" w:rsidRPr="00075FB7" w:rsidRDefault="00075FB7" w:rsidP="006F2414">
            <w:pPr>
              <w:pStyle w:val="SingleTxtG"/>
              <w:keepNext/>
              <w:keepLines/>
              <w:spacing w:before="80" w:after="80" w:line="220" w:lineRule="exact"/>
              <w:ind w:left="0" w:right="0"/>
              <w:jc w:val="right"/>
              <w:rPr>
                <w:b/>
                <w:bCs/>
                <w:sz w:val="18"/>
              </w:rPr>
            </w:pPr>
            <w:r w:rsidRPr="00075FB7">
              <w:rPr>
                <w:b/>
                <w:bCs/>
                <w:sz w:val="18"/>
              </w:rPr>
              <w:t>16 724</w:t>
            </w:r>
          </w:p>
        </w:tc>
        <w:tc>
          <w:tcPr>
            <w:tcW w:w="1338" w:type="dxa"/>
            <w:tcBorders>
              <w:top w:val="single" w:sz="4" w:space="0" w:color="auto"/>
              <w:bottom w:val="single" w:sz="12" w:space="0" w:color="auto"/>
            </w:tcBorders>
            <w:shd w:val="clear" w:color="auto" w:fill="auto"/>
          </w:tcPr>
          <w:p w14:paraId="053466F2" w14:textId="77777777" w:rsidR="00075FB7" w:rsidRPr="00075FB7" w:rsidRDefault="00075FB7" w:rsidP="006F2414">
            <w:pPr>
              <w:pStyle w:val="SingleTxtG"/>
              <w:keepNext/>
              <w:keepLines/>
              <w:spacing w:before="80" w:after="80" w:line="220" w:lineRule="exact"/>
              <w:ind w:left="0" w:right="0"/>
              <w:jc w:val="right"/>
              <w:rPr>
                <w:b/>
                <w:bCs/>
                <w:sz w:val="18"/>
              </w:rPr>
            </w:pPr>
            <w:r w:rsidRPr="00075FB7">
              <w:rPr>
                <w:b/>
                <w:bCs/>
                <w:sz w:val="18"/>
              </w:rPr>
              <w:t>9 395 100</w:t>
            </w:r>
          </w:p>
        </w:tc>
        <w:tc>
          <w:tcPr>
            <w:tcW w:w="1339" w:type="dxa"/>
            <w:tcBorders>
              <w:top w:val="single" w:sz="4" w:space="0" w:color="auto"/>
              <w:bottom w:val="single" w:sz="12" w:space="0" w:color="auto"/>
            </w:tcBorders>
            <w:shd w:val="clear" w:color="auto" w:fill="auto"/>
          </w:tcPr>
          <w:p w14:paraId="465E00AC" w14:textId="77777777" w:rsidR="00075FB7" w:rsidRPr="00075FB7" w:rsidRDefault="00075FB7" w:rsidP="006F2414">
            <w:pPr>
              <w:pStyle w:val="SingleTxtG"/>
              <w:keepNext/>
              <w:keepLines/>
              <w:spacing w:before="80" w:after="80" w:line="220" w:lineRule="exact"/>
              <w:ind w:left="0" w:right="0"/>
              <w:jc w:val="right"/>
              <w:rPr>
                <w:b/>
                <w:bCs/>
                <w:sz w:val="18"/>
              </w:rPr>
            </w:pPr>
            <w:r w:rsidRPr="00075FB7">
              <w:rPr>
                <w:b/>
                <w:bCs/>
                <w:sz w:val="18"/>
              </w:rPr>
              <w:t>471 625</w:t>
            </w:r>
          </w:p>
        </w:tc>
      </w:tr>
    </w:tbl>
    <w:p w14:paraId="57F56DB0" w14:textId="77777777" w:rsidR="008A38B9" w:rsidRDefault="008A38B9" w:rsidP="00075FB7">
      <w:pPr>
        <w:pStyle w:val="SingleTxtG"/>
        <w:spacing w:before="120" w:after="240"/>
        <w:ind w:left="1304"/>
        <w:rPr>
          <w:sz w:val="18"/>
          <w:szCs w:val="18"/>
        </w:rPr>
      </w:pPr>
      <w:r w:rsidRPr="00075FB7">
        <w:rPr>
          <w:i/>
          <w:iCs/>
          <w:sz w:val="18"/>
          <w:szCs w:val="18"/>
        </w:rPr>
        <w:t>Fuente</w:t>
      </w:r>
      <w:r w:rsidRPr="00B978C9">
        <w:rPr>
          <w:i/>
          <w:sz w:val="18"/>
          <w:szCs w:val="18"/>
        </w:rPr>
        <w:t>:</w:t>
      </w:r>
      <w:r w:rsidRPr="00075FB7">
        <w:rPr>
          <w:sz w:val="18"/>
          <w:szCs w:val="18"/>
        </w:rPr>
        <w:t xml:space="preserve"> Ministerio de Educación.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4"/>
        <w:gridCol w:w="700"/>
        <w:gridCol w:w="671"/>
        <w:gridCol w:w="644"/>
        <w:gridCol w:w="560"/>
        <w:gridCol w:w="560"/>
        <w:gridCol w:w="1001"/>
      </w:tblGrid>
      <w:tr w:rsidR="00075FB7" w:rsidRPr="00075FB7" w14:paraId="6B97E090" w14:textId="77777777" w:rsidTr="00584F9D">
        <w:tc>
          <w:tcPr>
            <w:tcW w:w="3234" w:type="dxa"/>
            <w:tcBorders>
              <w:top w:val="single" w:sz="4" w:space="0" w:color="auto"/>
              <w:bottom w:val="single" w:sz="12" w:space="0" w:color="auto"/>
            </w:tcBorders>
            <w:shd w:val="clear" w:color="auto" w:fill="auto"/>
            <w:vAlign w:val="bottom"/>
          </w:tcPr>
          <w:p w14:paraId="7D7DE462" w14:textId="77777777" w:rsidR="00075FB7" w:rsidRPr="00075FB7" w:rsidRDefault="00075FB7" w:rsidP="00075FB7">
            <w:pPr>
              <w:pStyle w:val="SingleTxtG"/>
              <w:spacing w:before="80" w:after="80" w:line="200" w:lineRule="exact"/>
              <w:ind w:left="0" w:right="0"/>
              <w:jc w:val="left"/>
              <w:rPr>
                <w:i/>
                <w:sz w:val="16"/>
              </w:rPr>
            </w:pPr>
            <w:r w:rsidRPr="00075FB7">
              <w:rPr>
                <w:i/>
                <w:sz w:val="16"/>
              </w:rPr>
              <w:t>Indicador</w:t>
            </w:r>
          </w:p>
        </w:tc>
        <w:tc>
          <w:tcPr>
            <w:tcW w:w="700" w:type="dxa"/>
            <w:tcBorders>
              <w:top w:val="single" w:sz="4" w:space="0" w:color="auto"/>
              <w:bottom w:val="single" w:sz="12" w:space="0" w:color="auto"/>
            </w:tcBorders>
            <w:shd w:val="clear" w:color="auto" w:fill="auto"/>
            <w:vAlign w:val="bottom"/>
          </w:tcPr>
          <w:p w14:paraId="61AF6F92" w14:textId="77777777" w:rsidR="00075FB7" w:rsidRPr="00075FB7" w:rsidRDefault="00075FB7" w:rsidP="00625457">
            <w:pPr>
              <w:pStyle w:val="SingleTxtG"/>
              <w:spacing w:before="80" w:after="80" w:line="200" w:lineRule="exact"/>
              <w:ind w:left="0" w:right="0"/>
              <w:jc w:val="right"/>
              <w:rPr>
                <w:i/>
                <w:sz w:val="16"/>
              </w:rPr>
            </w:pPr>
            <w:r w:rsidRPr="00075FB7">
              <w:rPr>
                <w:i/>
                <w:sz w:val="16"/>
              </w:rPr>
              <w:t>2011</w:t>
            </w:r>
          </w:p>
        </w:tc>
        <w:tc>
          <w:tcPr>
            <w:tcW w:w="671" w:type="dxa"/>
            <w:tcBorders>
              <w:top w:val="single" w:sz="4" w:space="0" w:color="auto"/>
              <w:bottom w:val="single" w:sz="12" w:space="0" w:color="auto"/>
            </w:tcBorders>
            <w:shd w:val="clear" w:color="auto" w:fill="auto"/>
            <w:vAlign w:val="bottom"/>
          </w:tcPr>
          <w:p w14:paraId="22582A81" w14:textId="77777777" w:rsidR="00075FB7" w:rsidRPr="00075FB7" w:rsidRDefault="00075FB7" w:rsidP="00625457">
            <w:pPr>
              <w:pStyle w:val="SingleTxtG"/>
              <w:spacing w:before="80" w:after="80" w:line="200" w:lineRule="exact"/>
              <w:ind w:left="0" w:right="0"/>
              <w:jc w:val="right"/>
              <w:rPr>
                <w:i/>
                <w:sz w:val="16"/>
              </w:rPr>
            </w:pPr>
            <w:r w:rsidRPr="00075FB7">
              <w:rPr>
                <w:i/>
                <w:sz w:val="16"/>
              </w:rPr>
              <w:t>2012</w:t>
            </w:r>
          </w:p>
        </w:tc>
        <w:tc>
          <w:tcPr>
            <w:tcW w:w="644" w:type="dxa"/>
            <w:tcBorders>
              <w:top w:val="single" w:sz="4" w:space="0" w:color="auto"/>
              <w:bottom w:val="single" w:sz="12" w:space="0" w:color="auto"/>
            </w:tcBorders>
            <w:shd w:val="clear" w:color="auto" w:fill="auto"/>
            <w:vAlign w:val="bottom"/>
          </w:tcPr>
          <w:p w14:paraId="2B635102" w14:textId="77777777" w:rsidR="00075FB7" w:rsidRPr="00075FB7" w:rsidRDefault="00075FB7" w:rsidP="00625457">
            <w:pPr>
              <w:pStyle w:val="SingleTxtG"/>
              <w:spacing w:before="80" w:after="80" w:line="200" w:lineRule="exact"/>
              <w:ind w:left="0" w:right="0"/>
              <w:jc w:val="right"/>
              <w:rPr>
                <w:i/>
                <w:sz w:val="16"/>
              </w:rPr>
            </w:pPr>
            <w:r w:rsidRPr="00075FB7">
              <w:rPr>
                <w:i/>
                <w:sz w:val="16"/>
              </w:rPr>
              <w:t>2013</w:t>
            </w:r>
          </w:p>
        </w:tc>
        <w:tc>
          <w:tcPr>
            <w:tcW w:w="560" w:type="dxa"/>
            <w:tcBorders>
              <w:top w:val="single" w:sz="4" w:space="0" w:color="auto"/>
              <w:bottom w:val="single" w:sz="12" w:space="0" w:color="auto"/>
            </w:tcBorders>
            <w:shd w:val="clear" w:color="auto" w:fill="auto"/>
            <w:vAlign w:val="bottom"/>
          </w:tcPr>
          <w:p w14:paraId="1C2791C5" w14:textId="77777777" w:rsidR="00075FB7" w:rsidRPr="00075FB7" w:rsidRDefault="00075FB7" w:rsidP="00625457">
            <w:pPr>
              <w:pStyle w:val="SingleTxtG"/>
              <w:spacing w:before="80" w:after="80" w:line="200" w:lineRule="exact"/>
              <w:ind w:left="0" w:right="0"/>
              <w:jc w:val="right"/>
              <w:rPr>
                <w:i/>
                <w:sz w:val="16"/>
              </w:rPr>
            </w:pPr>
            <w:r w:rsidRPr="00075FB7">
              <w:rPr>
                <w:i/>
                <w:sz w:val="16"/>
              </w:rPr>
              <w:t>2014</w:t>
            </w:r>
          </w:p>
        </w:tc>
        <w:tc>
          <w:tcPr>
            <w:tcW w:w="560" w:type="dxa"/>
            <w:tcBorders>
              <w:top w:val="single" w:sz="4" w:space="0" w:color="auto"/>
              <w:bottom w:val="single" w:sz="12" w:space="0" w:color="auto"/>
            </w:tcBorders>
            <w:shd w:val="clear" w:color="auto" w:fill="auto"/>
            <w:vAlign w:val="bottom"/>
          </w:tcPr>
          <w:p w14:paraId="350FF674" w14:textId="77777777" w:rsidR="00075FB7" w:rsidRPr="00075FB7" w:rsidRDefault="00075FB7" w:rsidP="00625457">
            <w:pPr>
              <w:pStyle w:val="SingleTxtG"/>
              <w:spacing w:before="80" w:after="80" w:line="200" w:lineRule="exact"/>
              <w:ind w:left="0" w:right="0"/>
              <w:jc w:val="right"/>
              <w:rPr>
                <w:i/>
                <w:sz w:val="16"/>
              </w:rPr>
            </w:pPr>
            <w:r w:rsidRPr="00075FB7">
              <w:rPr>
                <w:i/>
                <w:sz w:val="16"/>
              </w:rPr>
              <w:t>2016</w:t>
            </w:r>
          </w:p>
        </w:tc>
        <w:tc>
          <w:tcPr>
            <w:tcW w:w="1001" w:type="dxa"/>
            <w:tcBorders>
              <w:top w:val="single" w:sz="4" w:space="0" w:color="auto"/>
              <w:bottom w:val="single" w:sz="12" w:space="0" w:color="auto"/>
            </w:tcBorders>
            <w:shd w:val="clear" w:color="auto" w:fill="auto"/>
            <w:vAlign w:val="bottom"/>
          </w:tcPr>
          <w:p w14:paraId="406E8959" w14:textId="77777777" w:rsidR="00075FB7" w:rsidRPr="00075FB7" w:rsidRDefault="00075FB7" w:rsidP="00625457">
            <w:pPr>
              <w:pStyle w:val="SingleTxtG"/>
              <w:spacing w:before="80" w:after="80" w:line="200" w:lineRule="exact"/>
              <w:ind w:left="0" w:right="0"/>
              <w:jc w:val="right"/>
              <w:rPr>
                <w:i/>
                <w:sz w:val="16"/>
              </w:rPr>
            </w:pPr>
            <w:r w:rsidRPr="00075FB7">
              <w:rPr>
                <w:i/>
                <w:sz w:val="16"/>
              </w:rPr>
              <w:t>Índice de variación </w:t>
            </w:r>
            <w:r w:rsidR="00584F9D">
              <w:rPr>
                <w:i/>
                <w:sz w:val="16"/>
              </w:rPr>
              <w:t>(</w:t>
            </w:r>
            <w:r w:rsidRPr="00075FB7">
              <w:rPr>
                <w:i/>
                <w:sz w:val="16"/>
              </w:rPr>
              <w:t>%</w:t>
            </w:r>
            <w:r w:rsidR="00584F9D">
              <w:rPr>
                <w:i/>
                <w:sz w:val="16"/>
              </w:rPr>
              <w:t>)</w:t>
            </w:r>
          </w:p>
        </w:tc>
      </w:tr>
      <w:tr w:rsidR="00075FB7" w:rsidRPr="00075FB7" w14:paraId="2F0EFAD9" w14:textId="77777777" w:rsidTr="00584F9D">
        <w:tc>
          <w:tcPr>
            <w:tcW w:w="3234" w:type="dxa"/>
            <w:tcBorders>
              <w:top w:val="single" w:sz="12" w:space="0" w:color="auto"/>
            </w:tcBorders>
            <w:shd w:val="clear" w:color="auto" w:fill="auto"/>
            <w:vAlign w:val="center"/>
          </w:tcPr>
          <w:p w14:paraId="3C8EEE39" w14:textId="77777777" w:rsidR="00075FB7" w:rsidRPr="00075FB7" w:rsidRDefault="00075FB7" w:rsidP="00075FB7">
            <w:pPr>
              <w:pStyle w:val="SingleTxtG"/>
              <w:spacing w:before="40" w:after="40" w:line="220" w:lineRule="exact"/>
              <w:ind w:left="0" w:right="0"/>
              <w:jc w:val="left"/>
              <w:rPr>
                <w:sz w:val="18"/>
              </w:rPr>
            </w:pPr>
            <w:r w:rsidRPr="00075FB7">
              <w:rPr>
                <w:sz w:val="18"/>
              </w:rPr>
              <w:t>Variación en las tasas de alfabetización de mujeres y hombres (15 a 24 años)</w:t>
            </w:r>
          </w:p>
        </w:tc>
        <w:tc>
          <w:tcPr>
            <w:tcW w:w="700" w:type="dxa"/>
            <w:tcBorders>
              <w:top w:val="single" w:sz="12" w:space="0" w:color="auto"/>
            </w:tcBorders>
            <w:shd w:val="clear" w:color="auto" w:fill="auto"/>
            <w:vAlign w:val="bottom"/>
          </w:tcPr>
          <w:p w14:paraId="5255C890" w14:textId="77777777" w:rsidR="00075FB7" w:rsidRPr="00075FB7" w:rsidRDefault="00075FB7" w:rsidP="00075FB7">
            <w:pPr>
              <w:pStyle w:val="SingleTxtG"/>
              <w:spacing w:before="40" w:after="40" w:line="220" w:lineRule="exact"/>
              <w:ind w:left="0" w:right="0"/>
              <w:jc w:val="right"/>
              <w:rPr>
                <w:sz w:val="18"/>
              </w:rPr>
            </w:pPr>
            <w:r w:rsidRPr="00075FB7">
              <w:rPr>
                <w:sz w:val="18"/>
              </w:rPr>
              <w:t>0,91</w:t>
            </w:r>
          </w:p>
        </w:tc>
        <w:tc>
          <w:tcPr>
            <w:tcW w:w="671" w:type="dxa"/>
            <w:tcBorders>
              <w:top w:val="single" w:sz="12" w:space="0" w:color="auto"/>
            </w:tcBorders>
            <w:shd w:val="clear" w:color="auto" w:fill="auto"/>
            <w:vAlign w:val="bottom"/>
          </w:tcPr>
          <w:p w14:paraId="3FFC1D92" w14:textId="77777777" w:rsidR="00075FB7" w:rsidRPr="00075FB7" w:rsidRDefault="00075FB7" w:rsidP="00075FB7">
            <w:pPr>
              <w:pStyle w:val="SingleTxtG"/>
              <w:spacing w:before="40" w:after="40" w:line="220" w:lineRule="exact"/>
              <w:ind w:left="0" w:right="0"/>
              <w:jc w:val="right"/>
              <w:rPr>
                <w:sz w:val="18"/>
              </w:rPr>
            </w:pPr>
            <w:r w:rsidRPr="00075FB7">
              <w:rPr>
                <w:sz w:val="18"/>
              </w:rPr>
              <w:t>0,91</w:t>
            </w:r>
          </w:p>
        </w:tc>
        <w:tc>
          <w:tcPr>
            <w:tcW w:w="644" w:type="dxa"/>
            <w:tcBorders>
              <w:top w:val="single" w:sz="12" w:space="0" w:color="auto"/>
            </w:tcBorders>
            <w:shd w:val="clear" w:color="auto" w:fill="auto"/>
            <w:vAlign w:val="bottom"/>
          </w:tcPr>
          <w:p w14:paraId="46073B09" w14:textId="77777777" w:rsidR="00075FB7" w:rsidRPr="00075FB7" w:rsidRDefault="00075FB7" w:rsidP="00075FB7">
            <w:pPr>
              <w:pStyle w:val="SingleTxtG"/>
              <w:spacing w:before="40" w:after="40" w:line="220" w:lineRule="exact"/>
              <w:ind w:left="0" w:right="0"/>
              <w:jc w:val="right"/>
              <w:rPr>
                <w:sz w:val="18"/>
              </w:rPr>
            </w:pPr>
            <w:r w:rsidRPr="00075FB7">
              <w:rPr>
                <w:sz w:val="18"/>
              </w:rPr>
              <w:t>-</w:t>
            </w:r>
          </w:p>
        </w:tc>
        <w:tc>
          <w:tcPr>
            <w:tcW w:w="560" w:type="dxa"/>
            <w:tcBorders>
              <w:top w:val="single" w:sz="12" w:space="0" w:color="auto"/>
            </w:tcBorders>
            <w:shd w:val="clear" w:color="auto" w:fill="auto"/>
            <w:vAlign w:val="bottom"/>
          </w:tcPr>
          <w:p w14:paraId="1E70AFAC" w14:textId="77777777" w:rsidR="00075FB7" w:rsidRPr="00075FB7" w:rsidRDefault="00075FB7" w:rsidP="00075FB7">
            <w:pPr>
              <w:pStyle w:val="SingleTxtG"/>
              <w:spacing w:before="40" w:after="40" w:line="220" w:lineRule="exact"/>
              <w:ind w:left="0" w:right="0"/>
              <w:jc w:val="right"/>
              <w:rPr>
                <w:sz w:val="18"/>
              </w:rPr>
            </w:pPr>
            <w:r w:rsidRPr="00075FB7">
              <w:rPr>
                <w:sz w:val="18"/>
              </w:rPr>
              <w:t>0,93</w:t>
            </w:r>
          </w:p>
        </w:tc>
        <w:tc>
          <w:tcPr>
            <w:tcW w:w="560" w:type="dxa"/>
            <w:tcBorders>
              <w:top w:val="single" w:sz="12" w:space="0" w:color="auto"/>
            </w:tcBorders>
            <w:shd w:val="clear" w:color="auto" w:fill="auto"/>
            <w:vAlign w:val="bottom"/>
          </w:tcPr>
          <w:p w14:paraId="6410266F" w14:textId="77777777" w:rsidR="00075FB7" w:rsidRPr="00075FB7" w:rsidRDefault="00075FB7" w:rsidP="00075FB7">
            <w:pPr>
              <w:pStyle w:val="SingleTxtG"/>
              <w:spacing w:before="40" w:after="40" w:line="220" w:lineRule="exact"/>
              <w:ind w:left="0" w:right="0"/>
              <w:jc w:val="right"/>
              <w:rPr>
                <w:sz w:val="18"/>
              </w:rPr>
            </w:pPr>
            <w:r w:rsidRPr="00075FB7">
              <w:rPr>
                <w:sz w:val="18"/>
              </w:rPr>
              <w:t>0,94</w:t>
            </w:r>
          </w:p>
        </w:tc>
        <w:tc>
          <w:tcPr>
            <w:tcW w:w="1001" w:type="dxa"/>
            <w:tcBorders>
              <w:top w:val="single" w:sz="12" w:space="0" w:color="auto"/>
            </w:tcBorders>
            <w:shd w:val="clear" w:color="auto" w:fill="auto"/>
            <w:vAlign w:val="bottom"/>
          </w:tcPr>
          <w:p w14:paraId="5A9F5F11" w14:textId="77777777" w:rsidR="00075FB7" w:rsidRPr="00075FB7" w:rsidRDefault="00075FB7" w:rsidP="00075FB7">
            <w:pPr>
              <w:pStyle w:val="SingleTxtG"/>
              <w:spacing w:before="40" w:after="40" w:line="220" w:lineRule="exact"/>
              <w:ind w:left="0" w:right="0"/>
              <w:jc w:val="right"/>
              <w:rPr>
                <w:sz w:val="18"/>
              </w:rPr>
            </w:pPr>
            <w:r w:rsidRPr="00075FB7">
              <w:rPr>
                <w:sz w:val="18"/>
              </w:rPr>
              <w:t>0,5</w:t>
            </w:r>
          </w:p>
        </w:tc>
      </w:tr>
      <w:tr w:rsidR="00075FB7" w:rsidRPr="00075FB7" w14:paraId="082E96BC" w14:textId="77777777" w:rsidTr="00584F9D">
        <w:tc>
          <w:tcPr>
            <w:tcW w:w="3234" w:type="dxa"/>
            <w:shd w:val="clear" w:color="auto" w:fill="auto"/>
            <w:vAlign w:val="center"/>
          </w:tcPr>
          <w:p w14:paraId="6CBA3158" w14:textId="77777777" w:rsidR="00075FB7" w:rsidRPr="00075FB7" w:rsidRDefault="00075FB7" w:rsidP="00075FB7">
            <w:pPr>
              <w:pStyle w:val="SingleTxtG"/>
              <w:spacing w:before="40" w:after="40" w:line="220" w:lineRule="exact"/>
              <w:ind w:left="0" w:right="0"/>
              <w:jc w:val="left"/>
              <w:rPr>
                <w:sz w:val="18"/>
              </w:rPr>
            </w:pPr>
            <w:r w:rsidRPr="00075FB7">
              <w:rPr>
                <w:sz w:val="18"/>
              </w:rPr>
              <w:t>Índice de feminización en la educación primaria</w:t>
            </w:r>
          </w:p>
        </w:tc>
        <w:tc>
          <w:tcPr>
            <w:tcW w:w="700" w:type="dxa"/>
            <w:shd w:val="clear" w:color="auto" w:fill="auto"/>
            <w:vAlign w:val="bottom"/>
          </w:tcPr>
          <w:p w14:paraId="3E03E6FE" w14:textId="77777777" w:rsidR="00075FB7" w:rsidRPr="00075FB7" w:rsidRDefault="00075FB7" w:rsidP="00075FB7">
            <w:pPr>
              <w:pStyle w:val="SingleTxtG"/>
              <w:spacing w:before="40" w:after="40" w:line="220" w:lineRule="exact"/>
              <w:ind w:left="0" w:right="0"/>
              <w:jc w:val="right"/>
              <w:rPr>
                <w:sz w:val="18"/>
              </w:rPr>
            </w:pPr>
            <w:r w:rsidRPr="00075FB7">
              <w:rPr>
                <w:sz w:val="18"/>
              </w:rPr>
              <w:t>0,94</w:t>
            </w:r>
          </w:p>
        </w:tc>
        <w:tc>
          <w:tcPr>
            <w:tcW w:w="671" w:type="dxa"/>
            <w:shd w:val="clear" w:color="auto" w:fill="auto"/>
            <w:vAlign w:val="bottom"/>
          </w:tcPr>
          <w:p w14:paraId="36C17903" w14:textId="77777777" w:rsidR="00075FB7" w:rsidRPr="00075FB7" w:rsidRDefault="00075FB7" w:rsidP="00075FB7">
            <w:pPr>
              <w:pStyle w:val="SingleTxtG"/>
              <w:spacing w:before="40" w:after="40" w:line="220" w:lineRule="exact"/>
              <w:ind w:left="0" w:right="0"/>
              <w:jc w:val="right"/>
              <w:rPr>
                <w:sz w:val="18"/>
              </w:rPr>
            </w:pPr>
            <w:r w:rsidRPr="00075FB7">
              <w:rPr>
                <w:sz w:val="18"/>
              </w:rPr>
              <w:t>0,96</w:t>
            </w:r>
          </w:p>
        </w:tc>
        <w:tc>
          <w:tcPr>
            <w:tcW w:w="644" w:type="dxa"/>
            <w:shd w:val="clear" w:color="auto" w:fill="auto"/>
            <w:vAlign w:val="bottom"/>
          </w:tcPr>
          <w:p w14:paraId="374C40A8" w14:textId="77777777" w:rsidR="00075FB7" w:rsidRPr="00075FB7" w:rsidRDefault="00075FB7" w:rsidP="00075FB7">
            <w:pPr>
              <w:pStyle w:val="SingleTxtG"/>
              <w:spacing w:before="40" w:after="40" w:line="220" w:lineRule="exact"/>
              <w:ind w:left="0" w:right="0"/>
              <w:jc w:val="right"/>
              <w:rPr>
                <w:sz w:val="18"/>
              </w:rPr>
            </w:pPr>
            <w:r w:rsidRPr="00075FB7">
              <w:rPr>
                <w:sz w:val="18"/>
              </w:rPr>
              <w:t>0,92</w:t>
            </w:r>
          </w:p>
        </w:tc>
        <w:tc>
          <w:tcPr>
            <w:tcW w:w="560" w:type="dxa"/>
            <w:shd w:val="clear" w:color="auto" w:fill="auto"/>
            <w:vAlign w:val="bottom"/>
          </w:tcPr>
          <w:p w14:paraId="03593B56" w14:textId="77777777" w:rsidR="00075FB7" w:rsidRPr="00075FB7" w:rsidRDefault="00075FB7" w:rsidP="00075FB7">
            <w:pPr>
              <w:pStyle w:val="SingleTxtG"/>
              <w:spacing w:before="40" w:after="40" w:line="220" w:lineRule="exact"/>
              <w:ind w:left="0" w:right="0"/>
              <w:jc w:val="right"/>
              <w:rPr>
                <w:sz w:val="18"/>
              </w:rPr>
            </w:pPr>
            <w:r w:rsidRPr="00075FB7">
              <w:rPr>
                <w:sz w:val="18"/>
              </w:rPr>
              <w:t>0,91</w:t>
            </w:r>
          </w:p>
        </w:tc>
        <w:tc>
          <w:tcPr>
            <w:tcW w:w="560" w:type="dxa"/>
            <w:shd w:val="clear" w:color="auto" w:fill="auto"/>
            <w:vAlign w:val="bottom"/>
          </w:tcPr>
          <w:p w14:paraId="1145FE9A" w14:textId="77777777" w:rsidR="00075FB7" w:rsidRPr="00075FB7" w:rsidRDefault="00075FB7" w:rsidP="00075FB7">
            <w:pPr>
              <w:pStyle w:val="SingleTxtG"/>
              <w:spacing w:before="40" w:after="40" w:line="220" w:lineRule="exact"/>
              <w:ind w:left="0" w:right="0"/>
              <w:jc w:val="right"/>
              <w:rPr>
                <w:sz w:val="18"/>
              </w:rPr>
            </w:pPr>
            <w:r w:rsidRPr="00075FB7">
              <w:rPr>
                <w:sz w:val="18"/>
              </w:rPr>
              <w:t>0,98</w:t>
            </w:r>
          </w:p>
        </w:tc>
        <w:tc>
          <w:tcPr>
            <w:tcW w:w="1001" w:type="dxa"/>
            <w:shd w:val="clear" w:color="auto" w:fill="auto"/>
            <w:vAlign w:val="bottom"/>
          </w:tcPr>
          <w:p w14:paraId="454521CD" w14:textId="77777777" w:rsidR="00075FB7" w:rsidRPr="00075FB7" w:rsidRDefault="00075FB7" w:rsidP="00075FB7">
            <w:pPr>
              <w:pStyle w:val="SingleTxtG"/>
              <w:spacing w:before="40" w:after="40" w:line="220" w:lineRule="exact"/>
              <w:ind w:left="0" w:right="0"/>
              <w:jc w:val="right"/>
              <w:rPr>
                <w:sz w:val="18"/>
              </w:rPr>
            </w:pPr>
            <w:r w:rsidRPr="00075FB7">
              <w:rPr>
                <w:sz w:val="18"/>
              </w:rPr>
              <w:t>3,8</w:t>
            </w:r>
          </w:p>
        </w:tc>
      </w:tr>
      <w:tr w:rsidR="00075FB7" w:rsidRPr="00075FB7" w14:paraId="4AFB43B9" w14:textId="77777777" w:rsidTr="00584F9D">
        <w:tc>
          <w:tcPr>
            <w:tcW w:w="3234" w:type="dxa"/>
            <w:tcBorders>
              <w:bottom w:val="single" w:sz="12" w:space="0" w:color="auto"/>
            </w:tcBorders>
            <w:shd w:val="clear" w:color="auto" w:fill="auto"/>
            <w:vAlign w:val="center"/>
          </w:tcPr>
          <w:p w14:paraId="7E5954ED" w14:textId="77777777" w:rsidR="00075FB7" w:rsidRPr="00075FB7" w:rsidRDefault="00075FB7" w:rsidP="00075FB7">
            <w:pPr>
              <w:pStyle w:val="SingleTxtG"/>
              <w:spacing w:before="40" w:after="40" w:line="220" w:lineRule="exact"/>
              <w:ind w:left="0" w:right="0"/>
              <w:jc w:val="left"/>
              <w:rPr>
                <w:sz w:val="18"/>
              </w:rPr>
            </w:pPr>
            <w:r w:rsidRPr="00075FB7">
              <w:rPr>
                <w:sz w:val="18"/>
              </w:rPr>
              <w:t>Índice de feminización en la educación secundaria</w:t>
            </w:r>
          </w:p>
        </w:tc>
        <w:tc>
          <w:tcPr>
            <w:tcW w:w="700" w:type="dxa"/>
            <w:tcBorders>
              <w:bottom w:val="single" w:sz="12" w:space="0" w:color="auto"/>
            </w:tcBorders>
            <w:shd w:val="clear" w:color="auto" w:fill="auto"/>
            <w:vAlign w:val="bottom"/>
          </w:tcPr>
          <w:p w14:paraId="441C15DD" w14:textId="77777777" w:rsidR="00075FB7" w:rsidRPr="00075FB7" w:rsidRDefault="00075FB7" w:rsidP="00075FB7">
            <w:pPr>
              <w:pStyle w:val="SingleTxtG"/>
              <w:spacing w:before="40" w:after="40" w:line="220" w:lineRule="exact"/>
              <w:ind w:left="0" w:right="0"/>
              <w:jc w:val="right"/>
              <w:rPr>
                <w:sz w:val="18"/>
              </w:rPr>
            </w:pPr>
            <w:r w:rsidRPr="00075FB7">
              <w:rPr>
                <w:sz w:val="18"/>
              </w:rPr>
              <w:t>0,85</w:t>
            </w:r>
          </w:p>
        </w:tc>
        <w:tc>
          <w:tcPr>
            <w:tcW w:w="671" w:type="dxa"/>
            <w:tcBorders>
              <w:bottom w:val="single" w:sz="12" w:space="0" w:color="auto"/>
            </w:tcBorders>
            <w:shd w:val="clear" w:color="auto" w:fill="auto"/>
            <w:vAlign w:val="bottom"/>
          </w:tcPr>
          <w:p w14:paraId="047F8C3E" w14:textId="77777777" w:rsidR="00075FB7" w:rsidRPr="00075FB7" w:rsidRDefault="00075FB7" w:rsidP="00075FB7">
            <w:pPr>
              <w:pStyle w:val="SingleTxtG"/>
              <w:spacing w:before="40" w:after="40" w:line="220" w:lineRule="exact"/>
              <w:ind w:left="0" w:right="0"/>
              <w:jc w:val="right"/>
              <w:rPr>
                <w:sz w:val="18"/>
              </w:rPr>
            </w:pPr>
            <w:r w:rsidRPr="00075FB7">
              <w:rPr>
                <w:sz w:val="18"/>
              </w:rPr>
              <w:t>0,92</w:t>
            </w:r>
          </w:p>
        </w:tc>
        <w:tc>
          <w:tcPr>
            <w:tcW w:w="644" w:type="dxa"/>
            <w:tcBorders>
              <w:bottom w:val="single" w:sz="12" w:space="0" w:color="auto"/>
            </w:tcBorders>
            <w:shd w:val="clear" w:color="auto" w:fill="auto"/>
            <w:vAlign w:val="bottom"/>
          </w:tcPr>
          <w:p w14:paraId="2C33C88B" w14:textId="77777777" w:rsidR="00075FB7" w:rsidRPr="00075FB7" w:rsidRDefault="00075FB7" w:rsidP="00075FB7">
            <w:pPr>
              <w:pStyle w:val="SingleTxtG"/>
              <w:spacing w:before="40" w:after="40" w:line="220" w:lineRule="exact"/>
              <w:ind w:left="0" w:right="0"/>
              <w:jc w:val="right"/>
              <w:rPr>
                <w:sz w:val="18"/>
              </w:rPr>
            </w:pPr>
            <w:r w:rsidRPr="00075FB7">
              <w:rPr>
                <w:sz w:val="18"/>
              </w:rPr>
              <w:t>-</w:t>
            </w:r>
          </w:p>
        </w:tc>
        <w:tc>
          <w:tcPr>
            <w:tcW w:w="560" w:type="dxa"/>
            <w:tcBorders>
              <w:bottom w:val="single" w:sz="12" w:space="0" w:color="auto"/>
            </w:tcBorders>
            <w:shd w:val="clear" w:color="auto" w:fill="auto"/>
            <w:vAlign w:val="bottom"/>
          </w:tcPr>
          <w:p w14:paraId="59A141CE" w14:textId="77777777" w:rsidR="00075FB7" w:rsidRPr="00075FB7" w:rsidRDefault="00075FB7" w:rsidP="00075FB7">
            <w:pPr>
              <w:pStyle w:val="SingleTxtG"/>
              <w:spacing w:before="40" w:after="40" w:line="220" w:lineRule="exact"/>
              <w:ind w:left="0" w:right="0"/>
              <w:jc w:val="right"/>
              <w:rPr>
                <w:sz w:val="18"/>
              </w:rPr>
            </w:pPr>
            <w:r w:rsidRPr="00075FB7">
              <w:rPr>
                <w:sz w:val="18"/>
              </w:rPr>
              <w:t>1</w:t>
            </w:r>
          </w:p>
        </w:tc>
        <w:tc>
          <w:tcPr>
            <w:tcW w:w="560" w:type="dxa"/>
            <w:tcBorders>
              <w:bottom w:val="single" w:sz="12" w:space="0" w:color="auto"/>
            </w:tcBorders>
            <w:shd w:val="clear" w:color="auto" w:fill="auto"/>
            <w:vAlign w:val="bottom"/>
          </w:tcPr>
          <w:p w14:paraId="1A66565A" w14:textId="77777777" w:rsidR="00075FB7" w:rsidRPr="00075FB7" w:rsidRDefault="00075FB7" w:rsidP="00075FB7">
            <w:pPr>
              <w:pStyle w:val="SingleTxtG"/>
              <w:spacing w:before="40" w:after="40" w:line="220" w:lineRule="exact"/>
              <w:ind w:left="0" w:right="0"/>
              <w:jc w:val="right"/>
              <w:rPr>
                <w:sz w:val="18"/>
              </w:rPr>
            </w:pPr>
            <w:r w:rsidRPr="00075FB7">
              <w:rPr>
                <w:sz w:val="18"/>
              </w:rPr>
              <w:t>0,94</w:t>
            </w:r>
          </w:p>
        </w:tc>
        <w:tc>
          <w:tcPr>
            <w:tcW w:w="1001" w:type="dxa"/>
            <w:tcBorders>
              <w:bottom w:val="single" w:sz="12" w:space="0" w:color="auto"/>
            </w:tcBorders>
            <w:shd w:val="clear" w:color="auto" w:fill="auto"/>
            <w:vAlign w:val="bottom"/>
          </w:tcPr>
          <w:p w14:paraId="630B7E5B" w14:textId="77777777" w:rsidR="00075FB7" w:rsidRPr="00075FB7" w:rsidRDefault="00075FB7" w:rsidP="00075FB7">
            <w:pPr>
              <w:pStyle w:val="SingleTxtG"/>
              <w:spacing w:before="40" w:after="40" w:line="220" w:lineRule="exact"/>
              <w:ind w:left="0" w:right="0"/>
              <w:jc w:val="right"/>
              <w:rPr>
                <w:sz w:val="18"/>
              </w:rPr>
            </w:pPr>
            <w:r w:rsidRPr="00075FB7">
              <w:rPr>
                <w:sz w:val="18"/>
              </w:rPr>
              <w:t>- 3</w:t>
            </w:r>
          </w:p>
        </w:tc>
      </w:tr>
    </w:tbl>
    <w:p w14:paraId="2461E1CE" w14:textId="77777777" w:rsidR="008A38B9" w:rsidRPr="008A38B9" w:rsidRDefault="008A38B9" w:rsidP="00075FB7">
      <w:pPr>
        <w:pStyle w:val="SingleTxtG"/>
        <w:spacing w:before="240"/>
      </w:pPr>
      <w:r w:rsidRPr="008A38B9">
        <w:t>69.</w:t>
      </w:r>
      <w:r w:rsidRPr="008A38B9">
        <w:tab/>
        <w:t>En el cuadro siguiente figuran datos sobre la alfabetización y las tasas de matriculación en las etapas de enseñanza primaria y secundaria entre 2011 y 2016.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0"/>
        <w:gridCol w:w="1173"/>
        <w:gridCol w:w="1173"/>
        <w:gridCol w:w="1174"/>
      </w:tblGrid>
      <w:tr w:rsidR="00075FB7" w:rsidRPr="00075FB7" w14:paraId="7819B267" w14:textId="77777777" w:rsidTr="00625457">
        <w:tc>
          <w:tcPr>
            <w:tcW w:w="3850" w:type="dxa"/>
            <w:tcBorders>
              <w:top w:val="single" w:sz="4" w:space="0" w:color="auto"/>
              <w:bottom w:val="single" w:sz="12" w:space="0" w:color="auto"/>
            </w:tcBorders>
            <w:shd w:val="clear" w:color="auto" w:fill="auto"/>
            <w:vAlign w:val="bottom"/>
          </w:tcPr>
          <w:p w14:paraId="5A206E41" w14:textId="77777777" w:rsidR="00075FB7" w:rsidRPr="00075FB7" w:rsidRDefault="00075FB7" w:rsidP="00075FB7">
            <w:pPr>
              <w:pStyle w:val="SingleTxtG"/>
              <w:spacing w:before="80" w:after="80" w:line="200" w:lineRule="exact"/>
              <w:ind w:left="0" w:right="0"/>
              <w:jc w:val="left"/>
              <w:rPr>
                <w:i/>
                <w:sz w:val="16"/>
              </w:rPr>
            </w:pPr>
            <w:r w:rsidRPr="00075FB7">
              <w:rPr>
                <w:i/>
                <w:sz w:val="16"/>
              </w:rPr>
              <w:t>Núm</w:t>
            </w:r>
            <w:r w:rsidR="0053592A">
              <w:rPr>
                <w:i/>
                <w:sz w:val="16"/>
              </w:rPr>
              <w:t>ero</w:t>
            </w:r>
            <w:r w:rsidRPr="00075FB7">
              <w:rPr>
                <w:i/>
                <w:sz w:val="16"/>
              </w:rPr>
              <w:t xml:space="preserve"> de desertores escolares</w:t>
            </w:r>
          </w:p>
        </w:tc>
        <w:tc>
          <w:tcPr>
            <w:tcW w:w="1173" w:type="dxa"/>
            <w:tcBorders>
              <w:top w:val="single" w:sz="4" w:space="0" w:color="auto"/>
              <w:bottom w:val="single" w:sz="12" w:space="0" w:color="auto"/>
            </w:tcBorders>
            <w:shd w:val="clear" w:color="auto" w:fill="auto"/>
            <w:vAlign w:val="bottom"/>
          </w:tcPr>
          <w:p w14:paraId="2932AC53" w14:textId="77777777" w:rsidR="00075FB7" w:rsidRPr="00075FB7" w:rsidRDefault="00075FB7" w:rsidP="00625457">
            <w:pPr>
              <w:pStyle w:val="SingleTxtG"/>
              <w:spacing w:before="80" w:after="80" w:line="200" w:lineRule="exact"/>
              <w:ind w:left="0" w:right="0"/>
              <w:jc w:val="right"/>
              <w:rPr>
                <w:i/>
                <w:sz w:val="16"/>
              </w:rPr>
            </w:pPr>
            <w:r w:rsidRPr="00075FB7">
              <w:rPr>
                <w:i/>
                <w:sz w:val="16"/>
              </w:rPr>
              <w:t>Hombres</w:t>
            </w:r>
          </w:p>
        </w:tc>
        <w:tc>
          <w:tcPr>
            <w:tcW w:w="1173" w:type="dxa"/>
            <w:tcBorders>
              <w:top w:val="single" w:sz="4" w:space="0" w:color="auto"/>
              <w:bottom w:val="single" w:sz="12" w:space="0" w:color="auto"/>
            </w:tcBorders>
            <w:shd w:val="clear" w:color="auto" w:fill="auto"/>
            <w:vAlign w:val="bottom"/>
          </w:tcPr>
          <w:p w14:paraId="1809B788" w14:textId="77777777" w:rsidR="00075FB7" w:rsidRPr="00075FB7" w:rsidRDefault="00075FB7" w:rsidP="00625457">
            <w:pPr>
              <w:pStyle w:val="SingleTxtG"/>
              <w:spacing w:before="80" w:after="80" w:line="200" w:lineRule="exact"/>
              <w:ind w:left="0" w:right="0"/>
              <w:jc w:val="right"/>
              <w:rPr>
                <w:i/>
                <w:sz w:val="16"/>
              </w:rPr>
            </w:pPr>
            <w:r w:rsidRPr="00075FB7">
              <w:rPr>
                <w:i/>
                <w:sz w:val="16"/>
              </w:rPr>
              <w:t>Mujeres</w:t>
            </w:r>
          </w:p>
        </w:tc>
        <w:tc>
          <w:tcPr>
            <w:tcW w:w="1174" w:type="dxa"/>
            <w:tcBorders>
              <w:top w:val="single" w:sz="4" w:space="0" w:color="auto"/>
              <w:bottom w:val="single" w:sz="12" w:space="0" w:color="auto"/>
            </w:tcBorders>
            <w:shd w:val="clear" w:color="auto" w:fill="auto"/>
            <w:vAlign w:val="bottom"/>
          </w:tcPr>
          <w:p w14:paraId="47D2ABE8" w14:textId="77777777" w:rsidR="00075FB7" w:rsidRPr="00075FB7" w:rsidRDefault="00075FB7" w:rsidP="00625457">
            <w:pPr>
              <w:pStyle w:val="SingleTxtG"/>
              <w:spacing w:before="80" w:after="80" w:line="200" w:lineRule="exact"/>
              <w:ind w:left="0" w:right="0"/>
              <w:jc w:val="right"/>
              <w:rPr>
                <w:i/>
                <w:sz w:val="16"/>
              </w:rPr>
            </w:pPr>
            <w:r w:rsidRPr="00075FB7">
              <w:rPr>
                <w:i/>
                <w:sz w:val="16"/>
              </w:rPr>
              <w:t>Total</w:t>
            </w:r>
          </w:p>
        </w:tc>
      </w:tr>
      <w:tr w:rsidR="00075FB7" w:rsidRPr="00075FB7" w14:paraId="7051BF48" w14:textId="77777777" w:rsidTr="00075FB7">
        <w:tc>
          <w:tcPr>
            <w:tcW w:w="3850" w:type="dxa"/>
            <w:tcBorders>
              <w:top w:val="single" w:sz="12" w:space="0" w:color="auto"/>
            </w:tcBorders>
            <w:shd w:val="clear" w:color="auto" w:fill="auto"/>
            <w:vAlign w:val="center"/>
          </w:tcPr>
          <w:p w14:paraId="0CDE126E" w14:textId="77777777" w:rsidR="00075FB7" w:rsidRPr="00075FB7" w:rsidRDefault="00075FB7" w:rsidP="00075FB7">
            <w:pPr>
              <w:pStyle w:val="SingleTxtG"/>
              <w:spacing w:before="40" w:after="40" w:line="220" w:lineRule="exact"/>
              <w:ind w:left="0" w:right="0"/>
              <w:jc w:val="left"/>
              <w:rPr>
                <w:sz w:val="18"/>
              </w:rPr>
            </w:pPr>
            <w:r w:rsidRPr="00075FB7">
              <w:rPr>
                <w:sz w:val="18"/>
              </w:rPr>
              <w:t>En los centros públicos de educación primaria</w:t>
            </w:r>
          </w:p>
        </w:tc>
        <w:tc>
          <w:tcPr>
            <w:tcW w:w="1173" w:type="dxa"/>
            <w:tcBorders>
              <w:top w:val="single" w:sz="12" w:space="0" w:color="auto"/>
            </w:tcBorders>
            <w:shd w:val="clear" w:color="auto" w:fill="auto"/>
            <w:vAlign w:val="center"/>
          </w:tcPr>
          <w:p w14:paraId="3E75C6ED" w14:textId="77777777" w:rsidR="00075FB7" w:rsidRPr="00075FB7" w:rsidRDefault="00075FB7" w:rsidP="00075FB7">
            <w:pPr>
              <w:pStyle w:val="SingleTxtG"/>
              <w:spacing w:before="40" w:after="40" w:line="220" w:lineRule="exact"/>
              <w:ind w:left="0" w:right="0"/>
              <w:jc w:val="right"/>
              <w:rPr>
                <w:sz w:val="18"/>
              </w:rPr>
            </w:pPr>
            <w:r w:rsidRPr="00075FB7">
              <w:rPr>
                <w:sz w:val="18"/>
              </w:rPr>
              <w:t>68</w:t>
            </w:r>
            <w:r w:rsidR="00716B46">
              <w:rPr>
                <w:sz w:val="18"/>
              </w:rPr>
              <w:t xml:space="preserve"> </w:t>
            </w:r>
            <w:r w:rsidRPr="00075FB7">
              <w:rPr>
                <w:sz w:val="18"/>
              </w:rPr>
              <w:t>961</w:t>
            </w:r>
          </w:p>
        </w:tc>
        <w:tc>
          <w:tcPr>
            <w:tcW w:w="1173" w:type="dxa"/>
            <w:tcBorders>
              <w:top w:val="single" w:sz="12" w:space="0" w:color="auto"/>
            </w:tcBorders>
            <w:shd w:val="clear" w:color="auto" w:fill="auto"/>
            <w:vAlign w:val="center"/>
          </w:tcPr>
          <w:p w14:paraId="475D3815" w14:textId="77777777" w:rsidR="00075FB7" w:rsidRPr="00075FB7" w:rsidRDefault="00075FB7" w:rsidP="00075FB7">
            <w:pPr>
              <w:pStyle w:val="SingleTxtG"/>
              <w:spacing w:before="40" w:after="40" w:line="220" w:lineRule="exact"/>
              <w:ind w:left="0" w:right="0"/>
              <w:jc w:val="right"/>
              <w:rPr>
                <w:sz w:val="18"/>
              </w:rPr>
            </w:pPr>
            <w:r w:rsidRPr="00075FB7">
              <w:rPr>
                <w:sz w:val="18"/>
              </w:rPr>
              <w:t>62</w:t>
            </w:r>
            <w:r w:rsidR="00716B46">
              <w:rPr>
                <w:sz w:val="18"/>
              </w:rPr>
              <w:t xml:space="preserve"> </w:t>
            </w:r>
            <w:r w:rsidRPr="00075FB7">
              <w:rPr>
                <w:sz w:val="18"/>
              </w:rPr>
              <w:t>507</w:t>
            </w:r>
          </w:p>
        </w:tc>
        <w:tc>
          <w:tcPr>
            <w:tcW w:w="1174" w:type="dxa"/>
            <w:tcBorders>
              <w:top w:val="single" w:sz="12" w:space="0" w:color="auto"/>
            </w:tcBorders>
            <w:shd w:val="clear" w:color="auto" w:fill="auto"/>
            <w:vAlign w:val="center"/>
          </w:tcPr>
          <w:p w14:paraId="5E3D4A21" w14:textId="77777777" w:rsidR="00075FB7" w:rsidRPr="00075FB7" w:rsidRDefault="00075FB7" w:rsidP="00075FB7">
            <w:pPr>
              <w:pStyle w:val="SingleTxtG"/>
              <w:spacing w:before="40" w:after="40" w:line="220" w:lineRule="exact"/>
              <w:ind w:left="0" w:right="0"/>
              <w:jc w:val="right"/>
              <w:rPr>
                <w:sz w:val="18"/>
              </w:rPr>
            </w:pPr>
            <w:r w:rsidRPr="00075FB7">
              <w:rPr>
                <w:sz w:val="18"/>
              </w:rPr>
              <w:t>131</w:t>
            </w:r>
            <w:r w:rsidR="00716B46">
              <w:rPr>
                <w:sz w:val="18"/>
              </w:rPr>
              <w:t xml:space="preserve"> </w:t>
            </w:r>
            <w:r w:rsidRPr="00075FB7">
              <w:rPr>
                <w:sz w:val="18"/>
              </w:rPr>
              <w:t>468</w:t>
            </w:r>
          </w:p>
        </w:tc>
      </w:tr>
      <w:tr w:rsidR="00075FB7" w:rsidRPr="00075FB7" w14:paraId="3718C7AD" w14:textId="77777777" w:rsidTr="00075FB7">
        <w:tc>
          <w:tcPr>
            <w:tcW w:w="3850" w:type="dxa"/>
            <w:shd w:val="clear" w:color="auto" w:fill="auto"/>
            <w:vAlign w:val="center"/>
          </w:tcPr>
          <w:p w14:paraId="0B24318F" w14:textId="77777777" w:rsidR="00075FB7" w:rsidRPr="00075FB7" w:rsidRDefault="00075FB7" w:rsidP="00075FB7">
            <w:pPr>
              <w:pStyle w:val="SingleTxtG"/>
              <w:spacing w:before="40" w:after="40" w:line="220" w:lineRule="exact"/>
              <w:ind w:left="0" w:right="0"/>
              <w:jc w:val="left"/>
              <w:rPr>
                <w:sz w:val="18"/>
              </w:rPr>
            </w:pPr>
            <w:r w:rsidRPr="00075FB7">
              <w:rPr>
                <w:sz w:val="18"/>
              </w:rPr>
              <w:t>En los centros públicos de educación primaria</w:t>
            </w:r>
          </w:p>
        </w:tc>
        <w:tc>
          <w:tcPr>
            <w:tcW w:w="1173" w:type="dxa"/>
            <w:shd w:val="clear" w:color="auto" w:fill="auto"/>
            <w:vAlign w:val="center"/>
          </w:tcPr>
          <w:p w14:paraId="068DECEE" w14:textId="77777777" w:rsidR="00075FB7" w:rsidRPr="00075FB7" w:rsidRDefault="00075FB7" w:rsidP="00075FB7">
            <w:pPr>
              <w:pStyle w:val="SingleTxtG"/>
              <w:spacing w:before="40" w:after="40" w:line="220" w:lineRule="exact"/>
              <w:ind w:left="0" w:right="0"/>
              <w:jc w:val="right"/>
              <w:rPr>
                <w:sz w:val="18"/>
              </w:rPr>
            </w:pPr>
            <w:r w:rsidRPr="00075FB7">
              <w:rPr>
                <w:sz w:val="18"/>
              </w:rPr>
              <w:t>36</w:t>
            </w:r>
            <w:r w:rsidR="00716B46">
              <w:rPr>
                <w:sz w:val="18"/>
              </w:rPr>
              <w:t xml:space="preserve"> </w:t>
            </w:r>
            <w:r w:rsidRPr="00075FB7">
              <w:rPr>
                <w:sz w:val="18"/>
              </w:rPr>
              <w:t>140</w:t>
            </w:r>
          </w:p>
        </w:tc>
        <w:tc>
          <w:tcPr>
            <w:tcW w:w="1173" w:type="dxa"/>
            <w:shd w:val="clear" w:color="auto" w:fill="auto"/>
            <w:vAlign w:val="center"/>
          </w:tcPr>
          <w:p w14:paraId="0DC71FDC" w14:textId="77777777" w:rsidR="00075FB7" w:rsidRPr="00075FB7" w:rsidRDefault="00075FB7" w:rsidP="00075FB7">
            <w:pPr>
              <w:pStyle w:val="SingleTxtG"/>
              <w:spacing w:before="40" w:after="40" w:line="220" w:lineRule="exact"/>
              <w:ind w:left="0" w:right="0"/>
              <w:jc w:val="right"/>
              <w:rPr>
                <w:sz w:val="18"/>
              </w:rPr>
            </w:pPr>
            <w:r w:rsidRPr="00075FB7">
              <w:rPr>
                <w:sz w:val="18"/>
              </w:rPr>
              <w:t>32</w:t>
            </w:r>
            <w:r w:rsidR="00716B46">
              <w:rPr>
                <w:sz w:val="18"/>
              </w:rPr>
              <w:t xml:space="preserve"> </w:t>
            </w:r>
            <w:r w:rsidRPr="00075FB7">
              <w:rPr>
                <w:sz w:val="18"/>
              </w:rPr>
              <w:t>450</w:t>
            </w:r>
          </w:p>
        </w:tc>
        <w:tc>
          <w:tcPr>
            <w:tcW w:w="1174" w:type="dxa"/>
            <w:shd w:val="clear" w:color="auto" w:fill="auto"/>
            <w:vAlign w:val="center"/>
          </w:tcPr>
          <w:p w14:paraId="2B1DF3A5" w14:textId="77777777" w:rsidR="00075FB7" w:rsidRPr="00075FB7" w:rsidRDefault="00075FB7" w:rsidP="00075FB7">
            <w:pPr>
              <w:pStyle w:val="SingleTxtG"/>
              <w:spacing w:before="40" w:after="40" w:line="220" w:lineRule="exact"/>
              <w:ind w:left="0" w:right="0"/>
              <w:jc w:val="right"/>
              <w:rPr>
                <w:sz w:val="18"/>
              </w:rPr>
            </w:pPr>
            <w:r w:rsidRPr="00075FB7">
              <w:rPr>
                <w:sz w:val="18"/>
              </w:rPr>
              <w:t>68</w:t>
            </w:r>
            <w:r w:rsidR="00716B46">
              <w:rPr>
                <w:sz w:val="18"/>
              </w:rPr>
              <w:t xml:space="preserve"> </w:t>
            </w:r>
            <w:r w:rsidRPr="00075FB7">
              <w:rPr>
                <w:sz w:val="18"/>
              </w:rPr>
              <w:t>594</w:t>
            </w:r>
          </w:p>
        </w:tc>
      </w:tr>
      <w:tr w:rsidR="00075FB7" w:rsidRPr="00075FB7" w14:paraId="7E1CBB04" w14:textId="77777777" w:rsidTr="00075FB7">
        <w:tc>
          <w:tcPr>
            <w:tcW w:w="3850" w:type="dxa"/>
            <w:tcBorders>
              <w:bottom w:val="single" w:sz="12" w:space="0" w:color="auto"/>
            </w:tcBorders>
            <w:shd w:val="clear" w:color="auto" w:fill="auto"/>
            <w:vAlign w:val="center"/>
          </w:tcPr>
          <w:p w14:paraId="4CB0FD4E" w14:textId="77777777" w:rsidR="00075FB7" w:rsidRPr="00075FB7" w:rsidRDefault="00075FB7" w:rsidP="00075FB7">
            <w:pPr>
              <w:pStyle w:val="SingleTxtG"/>
              <w:spacing w:before="40" w:after="40" w:line="220" w:lineRule="exact"/>
              <w:ind w:left="0" w:right="0"/>
              <w:jc w:val="left"/>
              <w:rPr>
                <w:sz w:val="18"/>
              </w:rPr>
            </w:pPr>
            <w:r w:rsidRPr="00075FB7">
              <w:rPr>
                <w:sz w:val="18"/>
              </w:rPr>
              <w:t>En los centros de formación profesional</w:t>
            </w:r>
          </w:p>
        </w:tc>
        <w:tc>
          <w:tcPr>
            <w:tcW w:w="1173" w:type="dxa"/>
            <w:tcBorders>
              <w:bottom w:val="single" w:sz="12" w:space="0" w:color="auto"/>
            </w:tcBorders>
            <w:shd w:val="clear" w:color="auto" w:fill="auto"/>
            <w:vAlign w:val="center"/>
          </w:tcPr>
          <w:p w14:paraId="3CF281C9" w14:textId="77777777" w:rsidR="00075FB7" w:rsidRPr="00075FB7" w:rsidRDefault="00075FB7" w:rsidP="00075FB7">
            <w:pPr>
              <w:pStyle w:val="SingleTxtG"/>
              <w:spacing w:before="40" w:after="40" w:line="220" w:lineRule="exact"/>
              <w:ind w:left="0" w:right="0"/>
              <w:jc w:val="right"/>
              <w:rPr>
                <w:sz w:val="18"/>
              </w:rPr>
            </w:pPr>
            <w:r w:rsidRPr="00075FB7">
              <w:rPr>
                <w:sz w:val="18"/>
              </w:rPr>
              <w:t>2</w:t>
            </w:r>
            <w:r w:rsidR="00716B46">
              <w:rPr>
                <w:sz w:val="18"/>
              </w:rPr>
              <w:t xml:space="preserve"> </w:t>
            </w:r>
            <w:r w:rsidRPr="00075FB7">
              <w:rPr>
                <w:sz w:val="18"/>
              </w:rPr>
              <w:t>447</w:t>
            </w:r>
          </w:p>
        </w:tc>
        <w:tc>
          <w:tcPr>
            <w:tcW w:w="1173" w:type="dxa"/>
            <w:tcBorders>
              <w:bottom w:val="single" w:sz="12" w:space="0" w:color="auto"/>
            </w:tcBorders>
            <w:shd w:val="clear" w:color="auto" w:fill="auto"/>
            <w:vAlign w:val="center"/>
          </w:tcPr>
          <w:p w14:paraId="3E69DDCD" w14:textId="77777777" w:rsidR="00075FB7" w:rsidRPr="00075FB7" w:rsidRDefault="00075FB7" w:rsidP="00075FB7">
            <w:pPr>
              <w:pStyle w:val="SingleTxtG"/>
              <w:spacing w:before="40" w:after="40" w:line="220" w:lineRule="exact"/>
              <w:ind w:left="0" w:right="0"/>
              <w:jc w:val="right"/>
              <w:rPr>
                <w:sz w:val="18"/>
              </w:rPr>
            </w:pPr>
            <w:r w:rsidRPr="00075FB7">
              <w:rPr>
                <w:sz w:val="18"/>
              </w:rPr>
              <w:t>1</w:t>
            </w:r>
            <w:r w:rsidR="00716B46">
              <w:rPr>
                <w:sz w:val="18"/>
              </w:rPr>
              <w:t xml:space="preserve"> </w:t>
            </w:r>
            <w:r w:rsidRPr="00075FB7">
              <w:rPr>
                <w:sz w:val="18"/>
              </w:rPr>
              <w:t>223</w:t>
            </w:r>
          </w:p>
        </w:tc>
        <w:tc>
          <w:tcPr>
            <w:tcW w:w="1174" w:type="dxa"/>
            <w:tcBorders>
              <w:bottom w:val="single" w:sz="12" w:space="0" w:color="auto"/>
            </w:tcBorders>
            <w:shd w:val="clear" w:color="auto" w:fill="auto"/>
            <w:vAlign w:val="center"/>
          </w:tcPr>
          <w:p w14:paraId="7E6EDCE2" w14:textId="77777777" w:rsidR="00075FB7" w:rsidRPr="00075FB7" w:rsidRDefault="00075FB7" w:rsidP="00075FB7">
            <w:pPr>
              <w:pStyle w:val="SingleTxtG"/>
              <w:spacing w:before="40" w:after="40" w:line="220" w:lineRule="exact"/>
              <w:ind w:left="0" w:right="0"/>
              <w:jc w:val="right"/>
              <w:rPr>
                <w:sz w:val="18"/>
              </w:rPr>
            </w:pPr>
            <w:r w:rsidRPr="00075FB7">
              <w:rPr>
                <w:sz w:val="18"/>
              </w:rPr>
              <w:t>3</w:t>
            </w:r>
            <w:r w:rsidR="00716B46">
              <w:rPr>
                <w:sz w:val="18"/>
              </w:rPr>
              <w:t xml:space="preserve"> </w:t>
            </w:r>
            <w:r w:rsidRPr="00075FB7">
              <w:rPr>
                <w:sz w:val="18"/>
              </w:rPr>
              <w:t>670</w:t>
            </w:r>
          </w:p>
        </w:tc>
      </w:tr>
    </w:tbl>
    <w:p w14:paraId="2F3F7E77" w14:textId="77777777" w:rsidR="00625457" w:rsidRDefault="00625457" w:rsidP="00625457">
      <w:pPr>
        <w:pStyle w:val="SingleTxtG"/>
        <w:spacing w:before="120" w:after="240"/>
        <w:ind w:left="1304"/>
      </w:pPr>
      <w:r w:rsidRPr="00075FB7">
        <w:rPr>
          <w:i/>
          <w:iCs/>
          <w:sz w:val="18"/>
          <w:szCs w:val="18"/>
        </w:rPr>
        <w:t>Fuente</w:t>
      </w:r>
      <w:r w:rsidRPr="00075FB7">
        <w:rPr>
          <w:i/>
          <w:sz w:val="18"/>
          <w:szCs w:val="18"/>
        </w:rPr>
        <w:t>:</w:t>
      </w:r>
      <w:r w:rsidRPr="00075FB7">
        <w:rPr>
          <w:sz w:val="18"/>
          <w:szCs w:val="18"/>
        </w:rPr>
        <w:t xml:space="preserve"> Indicadores estadísticos sobre la situación económica y social en el Iraq (2011-2015).</w:t>
      </w:r>
    </w:p>
    <w:p w14:paraId="31E3785E" w14:textId="77777777" w:rsidR="008A38B9" w:rsidRPr="008A38B9" w:rsidRDefault="008A38B9" w:rsidP="00075FB7">
      <w:pPr>
        <w:pStyle w:val="SingleTxtG"/>
        <w:spacing w:before="240"/>
      </w:pPr>
      <w:r w:rsidRPr="008A38B9">
        <w:t>70.</w:t>
      </w:r>
      <w:r w:rsidRPr="008A38B9">
        <w:tab/>
        <w:t>Número de desertores escolares en el curso 2016</w:t>
      </w:r>
      <w:r w:rsidR="00625457">
        <w:t>/</w:t>
      </w:r>
      <w:r w:rsidRPr="008A38B9">
        <w:t>17.</w:t>
      </w:r>
    </w:p>
    <w:p w14:paraId="7E8D7F84" w14:textId="77777777" w:rsidR="008A38B9" w:rsidRPr="00075FB7" w:rsidRDefault="008A38B9" w:rsidP="00075FB7">
      <w:pPr>
        <w:pStyle w:val="SingleTxtG"/>
        <w:ind w:left="1304"/>
        <w:rPr>
          <w:sz w:val="18"/>
          <w:szCs w:val="18"/>
        </w:rPr>
      </w:pPr>
      <w:r w:rsidRPr="00075FB7">
        <w:rPr>
          <w:i/>
          <w:iCs/>
          <w:sz w:val="18"/>
          <w:szCs w:val="18"/>
        </w:rPr>
        <w:t>Fuente</w:t>
      </w:r>
      <w:r w:rsidRPr="00625457">
        <w:rPr>
          <w:i/>
          <w:sz w:val="18"/>
          <w:szCs w:val="18"/>
        </w:rPr>
        <w:t>:</w:t>
      </w:r>
      <w:r w:rsidRPr="00075FB7">
        <w:rPr>
          <w:sz w:val="18"/>
          <w:szCs w:val="18"/>
        </w:rPr>
        <w:t xml:space="preserve"> Ministerio de Educación.</w:t>
      </w:r>
    </w:p>
    <w:p w14:paraId="1561F533" w14:textId="77777777" w:rsidR="008A38B9" w:rsidRDefault="008A38B9" w:rsidP="00075FB7">
      <w:pPr>
        <w:pStyle w:val="SingleTxtG"/>
      </w:pPr>
      <w:r w:rsidRPr="008A38B9">
        <w:t>71.</w:t>
      </w:r>
      <w:r w:rsidRPr="008A38B9">
        <w:tab/>
        <w:t>En el cuadro siguiente figuran datos sobre el número de colegios universitarios, institutos públicos y privados y centros técnicos en el Estado en el curso 2016</w:t>
      </w:r>
      <w:r w:rsidR="00625457">
        <w:t>/</w:t>
      </w:r>
      <w:r w:rsidRPr="008A38B9">
        <w:t>17.</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552314" w:rsidRPr="00552314" w14:paraId="2F5F6E01" w14:textId="77777777" w:rsidTr="00552314">
        <w:tc>
          <w:tcPr>
            <w:tcW w:w="2456" w:type="dxa"/>
            <w:tcBorders>
              <w:top w:val="single" w:sz="4" w:space="0" w:color="auto"/>
              <w:bottom w:val="single" w:sz="12" w:space="0" w:color="auto"/>
            </w:tcBorders>
            <w:shd w:val="clear" w:color="auto" w:fill="auto"/>
            <w:vAlign w:val="bottom"/>
          </w:tcPr>
          <w:p w14:paraId="6A085DF2" w14:textId="77777777" w:rsidR="00552314" w:rsidRPr="00552314" w:rsidRDefault="00552314" w:rsidP="00552314">
            <w:pPr>
              <w:pStyle w:val="SingleTxtG"/>
              <w:spacing w:before="80" w:after="80" w:line="200" w:lineRule="exact"/>
              <w:ind w:left="0" w:right="0"/>
              <w:jc w:val="left"/>
              <w:rPr>
                <w:i/>
                <w:sz w:val="16"/>
              </w:rPr>
            </w:pPr>
            <w:r w:rsidRPr="00552314">
              <w:rPr>
                <w:i/>
                <w:sz w:val="16"/>
              </w:rPr>
              <w:t>Tipo de universidad o facultad</w:t>
            </w:r>
          </w:p>
        </w:tc>
        <w:tc>
          <w:tcPr>
            <w:tcW w:w="2457" w:type="dxa"/>
            <w:tcBorders>
              <w:top w:val="single" w:sz="4" w:space="0" w:color="auto"/>
              <w:bottom w:val="single" w:sz="12" w:space="0" w:color="auto"/>
            </w:tcBorders>
            <w:shd w:val="clear" w:color="auto" w:fill="auto"/>
            <w:vAlign w:val="center"/>
          </w:tcPr>
          <w:p w14:paraId="5E090480" w14:textId="77777777" w:rsidR="00552314" w:rsidRPr="00552314" w:rsidRDefault="00552314" w:rsidP="00552314">
            <w:pPr>
              <w:pStyle w:val="SingleTxtG"/>
              <w:spacing w:before="80" w:after="80" w:line="200" w:lineRule="exact"/>
              <w:ind w:left="0" w:right="0"/>
              <w:jc w:val="right"/>
              <w:rPr>
                <w:i/>
                <w:sz w:val="16"/>
              </w:rPr>
            </w:pPr>
            <w:r w:rsidRPr="00552314">
              <w:rPr>
                <w:i/>
                <w:sz w:val="16"/>
              </w:rPr>
              <w:t>Núm</w:t>
            </w:r>
            <w:r>
              <w:rPr>
                <w:i/>
                <w:sz w:val="16"/>
              </w:rPr>
              <w:t>ero</w:t>
            </w:r>
          </w:p>
        </w:tc>
        <w:tc>
          <w:tcPr>
            <w:tcW w:w="2457" w:type="dxa"/>
            <w:tcBorders>
              <w:top w:val="single" w:sz="4" w:space="0" w:color="auto"/>
              <w:bottom w:val="single" w:sz="12" w:space="0" w:color="auto"/>
            </w:tcBorders>
            <w:shd w:val="clear" w:color="auto" w:fill="auto"/>
            <w:vAlign w:val="center"/>
          </w:tcPr>
          <w:p w14:paraId="1AFE7872" w14:textId="77777777" w:rsidR="00552314" w:rsidRPr="00552314" w:rsidRDefault="00552314" w:rsidP="00552314">
            <w:pPr>
              <w:pStyle w:val="SingleTxtG"/>
              <w:spacing w:before="80" w:after="80" w:line="200" w:lineRule="exact"/>
              <w:ind w:left="0" w:right="0"/>
              <w:jc w:val="right"/>
              <w:rPr>
                <w:i/>
                <w:sz w:val="16"/>
              </w:rPr>
            </w:pPr>
            <w:r w:rsidRPr="00552314">
              <w:rPr>
                <w:i/>
                <w:sz w:val="16"/>
              </w:rPr>
              <w:t>Núm</w:t>
            </w:r>
            <w:r>
              <w:rPr>
                <w:i/>
                <w:sz w:val="16"/>
              </w:rPr>
              <w:t>ero</w:t>
            </w:r>
            <w:r w:rsidRPr="00552314">
              <w:rPr>
                <w:i/>
                <w:sz w:val="16"/>
              </w:rPr>
              <w:t xml:space="preserve"> de alumnos</w:t>
            </w:r>
          </w:p>
        </w:tc>
      </w:tr>
      <w:tr w:rsidR="00552314" w:rsidRPr="00552314" w14:paraId="23A15E6A" w14:textId="77777777" w:rsidTr="00A4737A">
        <w:tc>
          <w:tcPr>
            <w:tcW w:w="2456" w:type="dxa"/>
            <w:tcBorders>
              <w:top w:val="single" w:sz="12" w:space="0" w:color="auto"/>
            </w:tcBorders>
            <w:shd w:val="clear" w:color="auto" w:fill="auto"/>
            <w:vAlign w:val="center"/>
          </w:tcPr>
          <w:p w14:paraId="7B0BE5DD" w14:textId="77777777" w:rsidR="00552314" w:rsidRPr="00552314" w:rsidRDefault="00552314" w:rsidP="00552314">
            <w:pPr>
              <w:pStyle w:val="SingleTxtG"/>
              <w:spacing w:before="40" w:after="40" w:line="220" w:lineRule="exact"/>
              <w:ind w:left="0" w:right="0"/>
              <w:jc w:val="left"/>
              <w:rPr>
                <w:sz w:val="18"/>
              </w:rPr>
            </w:pPr>
            <w:r w:rsidRPr="00552314">
              <w:rPr>
                <w:sz w:val="18"/>
              </w:rPr>
              <w:t>Universidades públicas</w:t>
            </w:r>
          </w:p>
        </w:tc>
        <w:tc>
          <w:tcPr>
            <w:tcW w:w="2457" w:type="dxa"/>
            <w:tcBorders>
              <w:top w:val="single" w:sz="12" w:space="0" w:color="auto"/>
            </w:tcBorders>
            <w:shd w:val="clear" w:color="auto" w:fill="auto"/>
            <w:vAlign w:val="center"/>
          </w:tcPr>
          <w:p w14:paraId="127E56C2" w14:textId="77777777" w:rsidR="00552314" w:rsidRPr="00552314" w:rsidRDefault="00552314" w:rsidP="00552314">
            <w:pPr>
              <w:pStyle w:val="SingleTxtG"/>
              <w:spacing w:before="40" w:after="40" w:line="220" w:lineRule="exact"/>
              <w:ind w:left="0" w:right="0"/>
              <w:jc w:val="right"/>
              <w:rPr>
                <w:sz w:val="18"/>
              </w:rPr>
            </w:pPr>
            <w:r w:rsidRPr="00552314">
              <w:rPr>
                <w:sz w:val="18"/>
              </w:rPr>
              <w:t>29</w:t>
            </w:r>
          </w:p>
        </w:tc>
        <w:tc>
          <w:tcPr>
            <w:tcW w:w="2457" w:type="dxa"/>
            <w:tcBorders>
              <w:top w:val="single" w:sz="12" w:space="0" w:color="auto"/>
            </w:tcBorders>
            <w:shd w:val="clear" w:color="auto" w:fill="auto"/>
            <w:vAlign w:val="center"/>
          </w:tcPr>
          <w:p w14:paraId="13D3138A" w14:textId="77777777" w:rsidR="00552314" w:rsidRPr="00552314" w:rsidRDefault="00552314" w:rsidP="00552314">
            <w:pPr>
              <w:pStyle w:val="SingleTxtG"/>
              <w:spacing w:before="40" w:after="40" w:line="220" w:lineRule="exact"/>
              <w:ind w:left="0" w:right="0"/>
              <w:jc w:val="right"/>
              <w:rPr>
                <w:sz w:val="18"/>
              </w:rPr>
            </w:pPr>
            <w:r w:rsidRPr="00552314">
              <w:rPr>
                <w:sz w:val="18"/>
              </w:rPr>
              <w:t>434</w:t>
            </w:r>
            <w:r>
              <w:rPr>
                <w:sz w:val="18"/>
              </w:rPr>
              <w:t xml:space="preserve"> </w:t>
            </w:r>
            <w:r w:rsidRPr="00552314">
              <w:rPr>
                <w:sz w:val="18"/>
              </w:rPr>
              <w:t>851</w:t>
            </w:r>
          </w:p>
        </w:tc>
      </w:tr>
      <w:tr w:rsidR="00552314" w:rsidRPr="00552314" w14:paraId="258C360D" w14:textId="77777777" w:rsidTr="00A4737A">
        <w:tc>
          <w:tcPr>
            <w:tcW w:w="2456" w:type="dxa"/>
            <w:shd w:val="clear" w:color="auto" w:fill="auto"/>
            <w:vAlign w:val="center"/>
          </w:tcPr>
          <w:p w14:paraId="00AFD4B7" w14:textId="77777777" w:rsidR="00552314" w:rsidRPr="00552314" w:rsidRDefault="00552314" w:rsidP="00552314">
            <w:pPr>
              <w:pStyle w:val="SingleTxtG"/>
              <w:spacing w:before="40" w:after="40" w:line="220" w:lineRule="exact"/>
              <w:ind w:left="0" w:right="0"/>
              <w:jc w:val="left"/>
              <w:rPr>
                <w:sz w:val="18"/>
              </w:rPr>
            </w:pPr>
            <w:r w:rsidRPr="00552314">
              <w:rPr>
                <w:sz w:val="18"/>
              </w:rPr>
              <w:t>Facultades privadas</w:t>
            </w:r>
          </w:p>
        </w:tc>
        <w:tc>
          <w:tcPr>
            <w:tcW w:w="2457" w:type="dxa"/>
            <w:shd w:val="clear" w:color="auto" w:fill="auto"/>
            <w:vAlign w:val="center"/>
          </w:tcPr>
          <w:p w14:paraId="7480198A" w14:textId="77777777" w:rsidR="00552314" w:rsidRPr="00552314" w:rsidRDefault="00552314" w:rsidP="00552314">
            <w:pPr>
              <w:pStyle w:val="SingleTxtG"/>
              <w:spacing w:before="40" w:after="40" w:line="220" w:lineRule="exact"/>
              <w:ind w:left="0" w:right="0"/>
              <w:jc w:val="right"/>
              <w:rPr>
                <w:sz w:val="18"/>
              </w:rPr>
            </w:pPr>
            <w:r w:rsidRPr="00552314">
              <w:rPr>
                <w:sz w:val="18"/>
              </w:rPr>
              <w:t>60</w:t>
            </w:r>
          </w:p>
        </w:tc>
        <w:tc>
          <w:tcPr>
            <w:tcW w:w="2457" w:type="dxa"/>
            <w:shd w:val="clear" w:color="auto" w:fill="auto"/>
            <w:vAlign w:val="center"/>
          </w:tcPr>
          <w:p w14:paraId="7160B1A7" w14:textId="77777777" w:rsidR="00552314" w:rsidRPr="00552314" w:rsidRDefault="00552314" w:rsidP="00552314">
            <w:pPr>
              <w:pStyle w:val="SingleTxtG"/>
              <w:spacing w:before="40" w:after="40" w:line="220" w:lineRule="exact"/>
              <w:ind w:left="0" w:right="0"/>
              <w:jc w:val="right"/>
              <w:rPr>
                <w:sz w:val="18"/>
              </w:rPr>
            </w:pPr>
            <w:r w:rsidRPr="00552314">
              <w:rPr>
                <w:sz w:val="18"/>
              </w:rPr>
              <w:t>126</w:t>
            </w:r>
            <w:r>
              <w:rPr>
                <w:sz w:val="18"/>
              </w:rPr>
              <w:t xml:space="preserve"> </w:t>
            </w:r>
            <w:r w:rsidRPr="00552314">
              <w:rPr>
                <w:sz w:val="18"/>
              </w:rPr>
              <w:t>612</w:t>
            </w:r>
          </w:p>
        </w:tc>
      </w:tr>
      <w:tr w:rsidR="00552314" w:rsidRPr="00552314" w14:paraId="4640FC19" w14:textId="77777777" w:rsidTr="00A4737A">
        <w:tc>
          <w:tcPr>
            <w:tcW w:w="2456" w:type="dxa"/>
            <w:shd w:val="clear" w:color="auto" w:fill="auto"/>
            <w:vAlign w:val="center"/>
          </w:tcPr>
          <w:p w14:paraId="0F02573C" w14:textId="77777777" w:rsidR="00552314" w:rsidRPr="00552314" w:rsidRDefault="00552314" w:rsidP="00552314">
            <w:pPr>
              <w:pStyle w:val="SingleTxtG"/>
              <w:spacing w:before="40" w:after="40" w:line="220" w:lineRule="exact"/>
              <w:ind w:left="0" w:right="0"/>
              <w:jc w:val="left"/>
              <w:rPr>
                <w:sz w:val="18"/>
              </w:rPr>
            </w:pPr>
            <w:r w:rsidRPr="00552314">
              <w:rPr>
                <w:sz w:val="18"/>
              </w:rPr>
              <w:t>Facultades técnicas</w:t>
            </w:r>
          </w:p>
        </w:tc>
        <w:tc>
          <w:tcPr>
            <w:tcW w:w="2457" w:type="dxa"/>
            <w:shd w:val="clear" w:color="auto" w:fill="auto"/>
            <w:vAlign w:val="center"/>
          </w:tcPr>
          <w:p w14:paraId="67D94959" w14:textId="77777777" w:rsidR="00552314" w:rsidRPr="00552314" w:rsidRDefault="00552314" w:rsidP="00552314">
            <w:pPr>
              <w:pStyle w:val="SingleTxtG"/>
              <w:spacing w:before="40" w:after="40" w:line="220" w:lineRule="exact"/>
              <w:ind w:left="0" w:right="0"/>
              <w:jc w:val="right"/>
              <w:rPr>
                <w:sz w:val="18"/>
              </w:rPr>
            </w:pPr>
            <w:r w:rsidRPr="00552314">
              <w:rPr>
                <w:sz w:val="18"/>
              </w:rPr>
              <w:t>17</w:t>
            </w:r>
          </w:p>
        </w:tc>
        <w:tc>
          <w:tcPr>
            <w:tcW w:w="2457" w:type="dxa"/>
            <w:shd w:val="clear" w:color="auto" w:fill="auto"/>
            <w:vAlign w:val="center"/>
          </w:tcPr>
          <w:p w14:paraId="15DFD026" w14:textId="77777777" w:rsidR="00552314" w:rsidRPr="00552314" w:rsidRDefault="00552314" w:rsidP="00552314">
            <w:pPr>
              <w:pStyle w:val="SingleTxtG"/>
              <w:spacing w:before="40" w:after="40" w:line="220" w:lineRule="exact"/>
              <w:ind w:left="0" w:right="0"/>
              <w:jc w:val="right"/>
              <w:rPr>
                <w:sz w:val="18"/>
              </w:rPr>
            </w:pPr>
            <w:r w:rsidRPr="00552314">
              <w:rPr>
                <w:sz w:val="18"/>
              </w:rPr>
              <w:t>15</w:t>
            </w:r>
            <w:r>
              <w:rPr>
                <w:sz w:val="18"/>
              </w:rPr>
              <w:t xml:space="preserve"> </w:t>
            </w:r>
            <w:r w:rsidRPr="00552314">
              <w:rPr>
                <w:sz w:val="18"/>
              </w:rPr>
              <w:t>369</w:t>
            </w:r>
          </w:p>
        </w:tc>
      </w:tr>
      <w:tr w:rsidR="00552314" w:rsidRPr="00552314" w14:paraId="06391510" w14:textId="77777777" w:rsidTr="00A4737A">
        <w:tc>
          <w:tcPr>
            <w:tcW w:w="2456" w:type="dxa"/>
            <w:tcBorders>
              <w:bottom w:val="single" w:sz="12" w:space="0" w:color="auto"/>
            </w:tcBorders>
            <w:shd w:val="clear" w:color="auto" w:fill="auto"/>
            <w:vAlign w:val="center"/>
          </w:tcPr>
          <w:p w14:paraId="4614310F" w14:textId="77777777" w:rsidR="00552314" w:rsidRPr="00552314" w:rsidRDefault="00552314" w:rsidP="00552314">
            <w:pPr>
              <w:pStyle w:val="SingleTxtG"/>
              <w:spacing w:before="40" w:after="40" w:line="220" w:lineRule="exact"/>
              <w:ind w:left="0" w:right="0"/>
              <w:jc w:val="left"/>
              <w:rPr>
                <w:sz w:val="18"/>
              </w:rPr>
            </w:pPr>
            <w:r w:rsidRPr="00552314">
              <w:rPr>
                <w:sz w:val="18"/>
              </w:rPr>
              <w:t>Institutos técnicos</w:t>
            </w:r>
          </w:p>
        </w:tc>
        <w:tc>
          <w:tcPr>
            <w:tcW w:w="2457" w:type="dxa"/>
            <w:tcBorders>
              <w:bottom w:val="single" w:sz="12" w:space="0" w:color="auto"/>
            </w:tcBorders>
            <w:shd w:val="clear" w:color="auto" w:fill="auto"/>
            <w:vAlign w:val="center"/>
          </w:tcPr>
          <w:p w14:paraId="0FAAEE75" w14:textId="77777777" w:rsidR="00552314" w:rsidRPr="00552314" w:rsidRDefault="00552314" w:rsidP="00552314">
            <w:pPr>
              <w:pStyle w:val="SingleTxtG"/>
              <w:spacing w:before="40" w:after="40" w:line="220" w:lineRule="exact"/>
              <w:ind w:left="0" w:right="0"/>
              <w:jc w:val="right"/>
              <w:rPr>
                <w:sz w:val="18"/>
              </w:rPr>
            </w:pPr>
            <w:r w:rsidRPr="00552314">
              <w:rPr>
                <w:sz w:val="18"/>
              </w:rPr>
              <w:t>28</w:t>
            </w:r>
          </w:p>
        </w:tc>
        <w:tc>
          <w:tcPr>
            <w:tcW w:w="2457" w:type="dxa"/>
            <w:tcBorders>
              <w:bottom w:val="single" w:sz="12" w:space="0" w:color="auto"/>
            </w:tcBorders>
            <w:shd w:val="clear" w:color="auto" w:fill="auto"/>
            <w:vAlign w:val="center"/>
          </w:tcPr>
          <w:p w14:paraId="2B8AC876" w14:textId="77777777" w:rsidR="00552314" w:rsidRPr="00552314" w:rsidRDefault="00552314" w:rsidP="00552314">
            <w:pPr>
              <w:pStyle w:val="SingleTxtG"/>
              <w:spacing w:before="40" w:after="40" w:line="220" w:lineRule="exact"/>
              <w:ind w:left="0" w:right="0"/>
              <w:jc w:val="right"/>
              <w:rPr>
                <w:sz w:val="18"/>
              </w:rPr>
            </w:pPr>
            <w:r w:rsidRPr="00552314">
              <w:rPr>
                <w:sz w:val="18"/>
              </w:rPr>
              <w:t>70</w:t>
            </w:r>
            <w:r>
              <w:rPr>
                <w:sz w:val="18"/>
              </w:rPr>
              <w:t xml:space="preserve"> </w:t>
            </w:r>
            <w:r w:rsidRPr="00552314">
              <w:rPr>
                <w:sz w:val="18"/>
              </w:rPr>
              <w:t>938</w:t>
            </w:r>
          </w:p>
        </w:tc>
      </w:tr>
    </w:tbl>
    <w:p w14:paraId="56E9B125" w14:textId="77777777" w:rsidR="008A38B9" w:rsidRPr="00552314" w:rsidRDefault="008A38B9" w:rsidP="000150D9">
      <w:pPr>
        <w:pStyle w:val="SingleTxtG"/>
        <w:spacing w:before="120" w:after="240"/>
        <w:ind w:firstLine="170"/>
        <w:jc w:val="left"/>
        <w:rPr>
          <w:sz w:val="18"/>
          <w:szCs w:val="18"/>
        </w:rPr>
      </w:pPr>
      <w:r w:rsidRPr="00552314">
        <w:rPr>
          <w:i/>
          <w:iCs/>
          <w:sz w:val="18"/>
          <w:szCs w:val="18"/>
        </w:rPr>
        <w:t>Fuente</w:t>
      </w:r>
      <w:r w:rsidRPr="00552314">
        <w:rPr>
          <w:i/>
          <w:sz w:val="18"/>
          <w:szCs w:val="18"/>
        </w:rPr>
        <w:t>:</w:t>
      </w:r>
      <w:r w:rsidRPr="00552314">
        <w:rPr>
          <w:sz w:val="18"/>
          <w:szCs w:val="18"/>
        </w:rPr>
        <w:t xml:space="preserve"> Ministerio de Planificación: Formación universitaria y técnica en el Iraq 2016-2017.</w:t>
      </w:r>
    </w:p>
    <w:p w14:paraId="5E3DCA55" w14:textId="77777777" w:rsidR="008A38B9" w:rsidRDefault="008A38B9" w:rsidP="00A4737A">
      <w:pPr>
        <w:pStyle w:val="SingleTxtG"/>
        <w:keepNext/>
        <w:keepLines/>
      </w:pPr>
      <w:r w:rsidRPr="008A38B9">
        <w:lastRenderedPageBreak/>
        <w:t>72.</w:t>
      </w:r>
      <w:r w:rsidRPr="008A38B9">
        <w:tab/>
        <w:t>A continuación figuran datos sobre el número de alumnos matriculados en la enseñanza superior en el curso académico 2014</w:t>
      </w:r>
      <w:r w:rsidR="00625457">
        <w:t>/</w:t>
      </w:r>
      <w:r w:rsidRPr="008A38B9">
        <w:t>15, desglosados por nivel de estudios.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A4737A" w:rsidRPr="00A4737A" w14:paraId="54B28818" w14:textId="77777777" w:rsidTr="00A4737A">
        <w:tc>
          <w:tcPr>
            <w:tcW w:w="3685" w:type="dxa"/>
            <w:tcBorders>
              <w:top w:val="single" w:sz="4" w:space="0" w:color="auto"/>
              <w:bottom w:val="single" w:sz="12" w:space="0" w:color="auto"/>
            </w:tcBorders>
            <w:shd w:val="clear" w:color="auto" w:fill="auto"/>
            <w:vAlign w:val="bottom"/>
          </w:tcPr>
          <w:p w14:paraId="0387FC52" w14:textId="77777777" w:rsidR="00A4737A" w:rsidRPr="00A4737A" w:rsidRDefault="00A4737A" w:rsidP="00A4737A">
            <w:pPr>
              <w:pStyle w:val="SingleTxtG"/>
              <w:keepNext/>
              <w:keepLines/>
              <w:spacing w:before="80" w:after="80" w:line="200" w:lineRule="exact"/>
              <w:ind w:left="0" w:right="0"/>
              <w:jc w:val="left"/>
              <w:rPr>
                <w:i/>
                <w:sz w:val="16"/>
              </w:rPr>
            </w:pPr>
            <w:r w:rsidRPr="00A4737A">
              <w:rPr>
                <w:i/>
                <w:sz w:val="16"/>
              </w:rPr>
              <w:t>Nivel</w:t>
            </w:r>
          </w:p>
        </w:tc>
        <w:tc>
          <w:tcPr>
            <w:tcW w:w="3685" w:type="dxa"/>
            <w:tcBorders>
              <w:top w:val="single" w:sz="4" w:space="0" w:color="auto"/>
              <w:bottom w:val="single" w:sz="12" w:space="0" w:color="auto"/>
            </w:tcBorders>
            <w:shd w:val="clear" w:color="auto" w:fill="auto"/>
            <w:vAlign w:val="bottom"/>
          </w:tcPr>
          <w:p w14:paraId="12E77650" w14:textId="77777777" w:rsidR="00A4737A" w:rsidRPr="00A4737A" w:rsidRDefault="00A4737A" w:rsidP="00A4737A">
            <w:pPr>
              <w:pStyle w:val="SingleTxtG"/>
              <w:keepNext/>
              <w:keepLines/>
              <w:spacing w:before="80" w:after="80" w:line="200" w:lineRule="exact"/>
              <w:ind w:left="0" w:right="0"/>
              <w:jc w:val="right"/>
              <w:rPr>
                <w:i/>
                <w:sz w:val="16"/>
              </w:rPr>
            </w:pPr>
            <w:r w:rsidRPr="00A4737A">
              <w:rPr>
                <w:i/>
                <w:sz w:val="16"/>
              </w:rPr>
              <w:t>Núm</w:t>
            </w:r>
            <w:r>
              <w:rPr>
                <w:i/>
                <w:sz w:val="16"/>
              </w:rPr>
              <w:t>ero</w:t>
            </w:r>
            <w:r w:rsidRPr="00A4737A">
              <w:rPr>
                <w:i/>
                <w:sz w:val="16"/>
              </w:rPr>
              <w:t xml:space="preserve"> de alumnos</w:t>
            </w:r>
          </w:p>
        </w:tc>
      </w:tr>
      <w:tr w:rsidR="00A4737A" w:rsidRPr="00A4737A" w14:paraId="5520E2DB" w14:textId="77777777" w:rsidTr="00A4737A">
        <w:tc>
          <w:tcPr>
            <w:tcW w:w="3685" w:type="dxa"/>
            <w:tcBorders>
              <w:top w:val="single" w:sz="12" w:space="0" w:color="auto"/>
            </w:tcBorders>
            <w:shd w:val="clear" w:color="auto" w:fill="auto"/>
            <w:vAlign w:val="center"/>
          </w:tcPr>
          <w:p w14:paraId="601BE0ED" w14:textId="77777777" w:rsidR="00A4737A" w:rsidRPr="00A4737A" w:rsidRDefault="00A4737A" w:rsidP="00A4737A">
            <w:pPr>
              <w:pStyle w:val="SingleTxtG"/>
              <w:keepNext/>
              <w:keepLines/>
              <w:spacing w:before="40" w:after="40" w:line="220" w:lineRule="exact"/>
              <w:ind w:left="0" w:right="0"/>
              <w:jc w:val="left"/>
              <w:rPr>
                <w:sz w:val="18"/>
              </w:rPr>
            </w:pPr>
            <w:r w:rsidRPr="00A4737A">
              <w:rPr>
                <w:sz w:val="18"/>
              </w:rPr>
              <w:t>Grado</w:t>
            </w:r>
          </w:p>
        </w:tc>
        <w:tc>
          <w:tcPr>
            <w:tcW w:w="3685" w:type="dxa"/>
            <w:tcBorders>
              <w:top w:val="single" w:sz="12" w:space="0" w:color="auto"/>
            </w:tcBorders>
            <w:shd w:val="clear" w:color="auto" w:fill="auto"/>
            <w:vAlign w:val="center"/>
          </w:tcPr>
          <w:p w14:paraId="2890C6A1" w14:textId="77777777" w:rsidR="00A4737A" w:rsidRPr="00A4737A" w:rsidRDefault="00A4737A" w:rsidP="00A4737A">
            <w:pPr>
              <w:pStyle w:val="SingleTxtG"/>
              <w:keepNext/>
              <w:keepLines/>
              <w:spacing w:before="40" w:after="40" w:line="220" w:lineRule="exact"/>
              <w:ind w:left="0" w:right="0"/>
              <w:jc w:val="right"/>
              <w:rPr>
                <w:sz w:val="18"/>
              </w:rPr>
            </w:pPr>
            <w:r w:rsidRPr="00A4737A">
              <w:rPr>
                <w:sz w:val="18"/>
              </w:rPr>
              <w:t>1</w:t>
            </w:r>
            <w:r w:rsidR="00240240">
              <w:rPr>
                <w:sz w:val="18"/>
              </w:rPr>
              <w:t xml:space="preserve"> </w:t>
            </w:r>
            <w:r w:rsidRPr="00A4737A">
              <w:rPr>
                <w:sz w:val="18"/>
              </w:rPr>
              <w:t>112</w:t>
            </w:r>
          </w:p>
        </w:tc>
      </w:tr>
      <w:tr w:rsidR="00A4737A" w:rsidRPr="00A4737A" w14:paraId="31CC8671" w14:textId="77777777" w:rsidTr="00A4737A">
        <w:tc>
          <w:tcPr>
            <w:tcW w:w="3685" w:type="dxa"/>
            <w:shd w:val="clear" w:color="auto" w:fill="auto"/>
            <w:vAlign w:val="center"/>
          </w:tcPr>
          <w:p w14:paraId="69ABD9A0" w14:textId="77777777" w:rsidR="00A4737A" w:rsidRPr="00A4737A" w:rsidRDefault="00A4737A" w:rsidP="00A4737A">
            <w:pPr>
              <w:pStyle w:val="SingleTxtG"/>
              <w:keepNext/>
              <w:keepLines/>
              <w:spacing w:before="40" w:after="40" w:line="220" w:lineRule="exact"/>
              <w:ind w:left="0" w:right="0"/>
              <w:jc w:val="left"/>
              <w:rPr>
                <w:sz w:val="18"/>
              </w:rPr>
            </w:pPr>
            <w:r w:rsidRPr="00A4737A">
              <w:rPr>
                <w:sz w:val="18"/>
              </w:rPr>
              <w:t>Posgrado</w:t>
            </w:r>
          </w:p>
        </w:tc>
        <w:tc>
          <w:tcPr>
            <w:tcW w:w="3685" w:type="dxa"/>
            <w:shd w:val="clear" w:color="auto" w:fill="auto"/>
            <w:vAlign w:val="center"/>
          </w:tcPr>
          <w:p w14:paraId="00C8C8D0" w14:textId="77777777" w:rsidR="00A4737A" w:rsidRPr="00A4737A" w:rsidRDefault="00A4737A" w:rsidP="00A4737A">
            <w:pPr>
              <w:pStyle w:val="SingleTxtG"/>
              <w:keepNext/>
              <w:keepLines/>
              <w:spacing w:before="40" w:after="40" w:line="220" w:lineRule="exact"/>
              <w:ind w:left="0" w:right="0"/>
              <w:jc w:val="right"/>
              <w:rPr>
                <w:sz w:val="18"/>
              </w:rPr>
            </w:pPr>
            <w:r w:rsidRPr="00A4737A">
              <w:rPr>
                <w:sz w:val="18"/>
              </w:rPr>
              <w:t>15</w:t>
            </w:r>
            <w:r w:rsidR="00240240">
              <w:rPr>
                <w:sz w:val="18"/>
              </w:rPr>
              <w:t xml:space="preserve"> </w:t>
            </w:r>
            <w:r w:rsidRPr="00A4737A">
              <w:rPr>
                <w:sz w:val="18"/>
              </w:rPr>
              <w:t>534</w:t>
            </w:r>
          </w:p>
        </w:tc>
      </w:tr>
      <w:tr w:rsidR="00A4737A" w:rsidRPr="00A4737A" w14:paraId="45406952" w14:textId="77777777" w:rsidTr="00A4737A">
        <w:tc>
          <w:tcPr>
            <w:tcW w:w="3685" w:type="dxa"/>
            <w:tcBorders>
              <w:bottom w:val="single" w:sz="4" w:space="0" w:color="auto"/>
            </w:tcBorders>
            <w:shd w:val="clear" w:color="auto" w:fill="auto"/>
            <w:vAlign w:val="center"/>
          </w:tcPr>
          <w:p w14:paraId="0E4E5D58" w14:textId="77777777" w:rsidR="00A4737A" w:rsidRPr="00A4737A" w:rsidRDefault="00A4737A" w:rsidP="00A4737A">
            <w:pPr>
              <w:pStyle w:val="SingleTxtG"/>
              <w:keepNext/>
              <w:keepLines/>
              <w:spacing w:before="40" w:after="40" w:line="220" w:lineRule="exact"/>
              <w:ind w:left="0" w:right="0"/>
              <w:jc w:val="left"/>
              <w:rPr>
                <w:sz w:val="18"/>
              </w:rPr>
            </w:pPr>
            <w:r w:rsidRPr="00A4737A">
              <w:rPr>
                <w:sz w:val="18"/>
              </w:rPr>
              <w:t>Doctorado</w:t>
            </w:r>
          </w:p>
        </w:tc>
        <w:tc>
          <w:tcPr>
            <w:tcW w:w="3685" w:type="dxa"/>
            <w:tcBorders>
              <w:bottom w:val="single" w:sz="4" w:space="0" w:color="auto"/>
            </w:tcBorders>
            <w:shd w:val="clear" w:color="auto" w:fill="auto"/>
            <w:vAlign w:val="center"/>
          </w:tcPr>
          <w:p w14:paraId="6F5FB219" w14:textId="77777777" w:rsidR="00A4737A" w:rsidRPr="00A4737A" w:rsidRDefault="00A4737A" w:rsidP="00A4737A">
            <w:pPr>
              <w:pStyle w:val="SingleTxtG"/>
              <w:keepNext/>
              <w:keepLines/>
              <w:spacing w:before="40" w:after="40" w:line="220" w:lineRule="exact"/>
              <w:ind w:left="0" w:right="0"/>
              <w:jc w:val="right"/>
              <w:rPr>
                <w:sz w:val="18"/>
              </w:rPr>
            </w:pPr>
            <w:r w:rsidRPr="00A4737A">
              <w:rPr>
                <w:sz w:val="18"/>
              </w:rPr>
              <w:t>8</w:t>
            </w:r>
            <w:r w:rsidR="00240240">
              <w:rPr>
                <w:sz w:val="18"/>
              </w:rPr>
              <w:t xml:space="preserve"> </w:t>
            </w:r>
            <w:r w:rsidRPr="00A4737A">
              <w:rPr>
                <w:sz w:val="18"/>
              </w:rPr>
              <w:t>302</w:t>
            </w:r>
          </w:p>
        </w:tc>
      </w:tr>
      <w:tr w:rsidR="00A4737A" w:rsidRPr="00A4737A" w14:paraId="2EA4AF13" w14:textId="77777777" w:rsidTr="00A4737A">
        <w:tc>
          <w:tcPr>
            <w:tcW w:w="3685" w:type="dxa"/>
            <w:tcBorders>
              <w:top w:val="single" w:sz="4" w:space="0" w:color="auto"/>
              <w:bottom w:val="single" w:sz="12" w:space="0" w:color="auto"/>
            </w:tcBorders>
            <w:shd w:val="clear" w:color="auto" w:fill="auto"/>
            <w:vAlign w:val="center"/>
          </w:tcPr>
          <w:p w14:paraId="5315572A" w14:textId="77777777" w:rsidR="00A4737A" w:rsidRPr="00A4737A" w:rsidRDefault="00A4737A" w:rsidP="00A4737A">
            <w:pPr>
              <w:pStyle w:val="SingleTxtG"/>
              <w:spacing w:before="80" w:after="80" w:line="220" w:lineRule="exact"/>
              <w:ind w:left="284" w:right="0"/>
              <w:jc w:val="left"/>
              <w:rPr>
                <w:b/>
                <w:bCs/>
                <w:sz w:val="18"/>
              </w:rPr>
            </w:pPr>
            <w:r w:rsidRPr="00A4737A">
              <w:rPr>
                <w:b/>
                <w:bCs/>
                <w:sz w:val="18"/>
              </w:rPr>
              <w:t>Total</w:t>
            </w:r>
          </w:p>
        </w:tc>
        <w:tc>
          <w:tcPr>
            <w:tcW w:w="3685" w:type="dxa"/>
            <w:tcBorders>
              <w:top w:val="single" w:sz="4" w:space="0" w:color="auto"/>
              <w:bottom w:val="single" w:sz="12" w:space="0" w:color="auto"/>
            </w:tcBorders>
            <w:shd w:val="clear" w:color="auto" w:fill="auto"/>
            <w:vAlign w:val="center"/>
          </w:tcPr>
          <w:p w14:paraId="74BDC111" w14:textId="77777777" w:rsidR="00A4737A" w:rsidRPr="00A4737A" w:rsidRDefault="00A4737A" w:rsidP="00A4737A">
            <w:pPr>
              <w:pStyle w:val="SingleTxtG"/>
              <w:spacing w:before="80" w:after="80" w:line="220" w:lineRule="exact"/>
              <w:ind w:left="0" w:right="0"/>
              <w:jc w:val="right"/>
              <w:rPr>
                <w:b/>
                <w:bCs/>
                <w:sz w:val="18"/>
              </w:rPr>
            </w:pPr>
            <w:r w:rsidRPr="00A4737A">
              <w:rPr>
                <w:b/>
                <w:bCs/>
                <w:sz w:val="18"/>
              </w:rPr>
              <w:t>24</w:t>
            </w:r>
            <w:r w:rsidR="00240240">
              <w:rPr>
                <w:b/>
                <w:bCs/>
                <w:sz w:val="18"/>
              </w:rPr>
              <w:t xml:space="preserve"> </w:t>
            </w:r>
            <w:r w:rsidRPr="00A4737A">
              <w:rPr>
                <w:b/>
                <w:bCs/>
                <w:sz w:val="18"/>
              </w:rPr>
              <w:t>948</w:t>
            </w:r>
          </w:p>
        </w:tc>
      </w:tr>
    </w:tbl>
    <w:p w14:paraId="7EDD3627" w14:textId="77777777" w:rsidR="008A38B9" w:rsidRPr="00A4737A" w:rsidRDefault="008A38B9" w:rsidP="00A4737A">
      <w:pPr>
        <w:pStyle w:val="SingleTxtG"/>
        <w:spacing w:before="120" w:after="240"/>
        <w:ind w:left="1304"/>
        <w:rPr>
          <w:sz w:val="18"/>
          <w:szCs w:val="18"/>
        </w:rPr>
      </w:pPr>
      <w:r w:rsidRPr="00A4737A">
        <w:rPr>
          <w:i/>
          <w:sz w:val="18"/>
          <w:szCs w:val="18"/>
        </w:rPr>
        <w:t>Fuente:</w:t>
      </w:r>
      <w:r w:rsidRPr="00A4737A">
        <w:rPr>
          <w:sz w:val="18"/>
          <w:szCs w:val="18"/>
        </w:rPr>
        <w:t xml:space="preserve"> Boletín estadístico.</w:t>
      </w:r>
    </w:p>
    <w:p w14:paraId="07737699" w14:textId="77777777" w:rsidR="008A38B9" w:rsidRDefault="008A38B9" w:rsidP="00A4737A">
      <w:pPr>
        <w:pStyle w:val="SingleTxtG"/>
      </w:pPr>
      <w:r w:rsidRPr="008A38B9">
        <w:t>73.</w:t>
      </w:r>
      <w:r w:rsidRPr="008A38B9">
        <w:tab/>
        <w:t>En el cuadro siguiente figuran datos sobre el alumnado de las etapas del sistema educativo en la Región del Kurdistán durante el curso académico 2015</w:t>
      </w:r>
      <w:r w:rsidR="00625457">
        <w:t>/</w:t>
      </w:r>
      <w:r w:rsidRPr="008A38B9">
        <w:t>16.</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A4737A" w:rsidRPr="00A4737A" w14:paraId="28191183" w14:textId="77777777" w:rsidTr="00A4737A">
        <w:tc>
          <w:tcPr>
            <w:tcW w:w="2456" w:type="dxa"/>
            <w:tcBorders>
              <w:top w:val="single" w:sz="4" w:space="0" w:color="auto"/>
              <w:bottom w:val="single" w:sz="12" w:space="0" w:color="auto"/>
            </w:tcBorders>
            <w:shd w:val="clear" w:color="auto" w:fill="auto"/>
            <w:vAlign w:val="bottom"/>
          </w:tcPr>
          <w:p w14:paraId="73998BF1" w14:textId="77777777" w:rsidR="00A4737A" w:rsidRPr="00A4737A" w:rsidRDefault="00A4737A" w:rsidP="00A4737A">
            <w:pPr>
              <w:pStyle w:val="SingleTxtG"/>
              <w:spacing w:before="80" w:after="80" w:line="200" w:lineRule="exact"/>
              <w:ind w:left="0" w:right="0"/>
              <w:jc w:val="left"/>
              <w:rPr>
                <w:i/>
                <w:sz w:val="16"/>
              </w:rPr>
            </w:pPr>
            <w:r w:rsidRPr="00A4737A">
              <w:rPr>
                <w:i/>
                <w:sz w:val="16"/>
              </w:rPr>
              <w:t>Etapa de enseñanza</w:t>
            </w:r>
          </w:p>
        </w:tc>
        <w:tc>
          <w:tcPr>
            <w:tcW w:w="2457" w:type="dxa"/>
            <w:tcBorders>
              <w:top w:val="single" w:sz="4" w:space="0" w:color="auto"/>
              <w:bottom w:val="single" w:sz="12" w:space="0" w:color="auto"/>
            </w:tcBorders>
            <w:shd w:val="clear" w:color="auto" w:fill="auto"/>
            <w:vAlign w:val="center"/>
          </w:tcPr>
          <w:p w14:paraId="649A9DE0" w14:textId="77777777" w:rsidR="00A4737A" w:rsidRPr="00A4737A" w:rsidRDefault="00A4737A" w:rsidP="00A4737A">
            <w:pPr>
              <w:pStyle w:val="SingleTxtG"/>
              <w:spacing w:before="80" w:after="80" w:line="200" w:lineRule="exact"/>
              <w:ind w:left="0" w:right="0"/>
              <w:jc w:val="right"/>
              <w:rPr>
                <w:i/>
                <w:sz w:val="16"/>
              </w:rPr>
            </w:pPr>
            <w:r w:rsidRPr="00A4737A">
              <w:rPr>
                <w:i/>
                <w:sz w:val="16"/>
              </w:rPr>
              <w:t>Mujeres</w:t>
            </w:r>
          </w:p>
        </w:tc>
        <w:tc>
          <w:tcPr>
            <w:tcW w:w="2457" w:type="dxa"/>
            <w:tcBorders>
              <w:top w:val="single" w:sz="4" w:space="0" w:color="auto"/>
              <w:bottom w:val="single" w:sz="12" w:space="0" w:color="auto"/>
            </w:tcBorders>
            <w:shd w:val="clear" w:color="auto" w:fill="auto"/>
            <w:vAlign w:val="center"/>
          </w:tcPr>
          <w:p w14:paraId="1AA787FF" w14:textId="77777777" w:rsidR="00A4737A" w:rsidRPr="00A4737A" w:rsidRDefault="00A4737A" w:rsidP="00A4737A">
            <w:pPr>
              <w:pStyle w:val="SingleTxtG"/>
              <w:spacing w:before="80" w:after="80" w:line="200" w:lineRule="exact"/>
              <w:ind w:left="0" w:right="0"/>
              <w:jc w:val="right"/>
              <w:rPr>
                <w:i/>
                <w:sz w:val="16"/>
              </w:rPr>
            </w:pPr>
            <w:r w:rsidRPr="00A4737A">
              <w:rPr>
                <w:i/>
                <w:sz w:val="16"/>
              </w:rPr>
              <w:t>Hombres</w:t>
            </w:r>
          </w:p>
        </w:tc>
      </w:tr>
      <w:tr w:rsidR="00A4737A" w:rsidRPr="00A4737A" w14:paraId="2191EF4D" w14:textId="77777777" w:rsidTr="00A4737A">
        <w:tc>
          <w:tcPr>
            <w:tcW w:w="2456" w:type="dxa"/>
            <w:tcBorders>
              <w:top w:val="single" w:sz="12" w:space="0" w:color="auto"/>
            </w:tcBorders>
            <w:shd w:val="clear" w:color="auto" w:fill="auto"/>
            <w:vAlign w:val="center"/>
          </w:tcPr>
          <w:p w14:paraId="64C19A31" w14:textId="77777777" w:rsidR="00A4737A" w:rsidRPr="00A4737A" w:rsidRDefault="00A4737A" w:rsidP="00A4737A">
            <w:pPr>
              <w:pStyle w:val="SingleTxtG"/>
              <w:spacing w:before="40" w:after="40" w:line="220" w:lineRule="exact"/>
              <w:ind w:left="0" w:right="0"/>
              <w:jc w:val="left"/>
              <w:rPr>
                <w:sz w:val="18"/>
              </w:rPr>
            </w:pPr>
            <w:r w:rsidRPr="00A4737A">
              <w:rPr>
                <w:sz w:val="18"/>
              </w:rPr>
              <w:t>Primaria</w:t>
            </w:r>
          </w:p>
        </w:tc>
        <w:tc>
          <w:tcPr>
            <w:tcW w:w="2457" w:type="dxa"/>
            <w:tcBorders>
              <w:top w:val="single" w:sz="12" w:space="0" w:color="auto"/>
            </w:tcBorders>
            <w:shd w:val="clear" w:color="auto" w:fill="auto"/>
            <w:vAlign w:val="center"/>
          </w:tcPr>
          <w:p w14:paraId="72452E34" w14:textId="77777777" w:rsidR="00A4737A" w:rsidRPr="00A4737A" w:rsidRDefault="00A4737A" w:rsidP="00A4737A">
            <w:pPr>
              <w:pStyle w:val="SingleTxtG"/>
              <w:spacing w:before="40" w:after="40" w:line="220" w:lineRule="exact"/>
              <w:ind w:left="0" w:right="0"/>
              <w:jc w:val="right"/>
              <w:rPr>
                <w:sz w:val="18"/>
              </w:rPr>
            </w:pPr>
            <w:r w:rsidRPr="00A4737A">
              <w:rPr>
                <w:sz w:val="18"/>
              </w:rPr>
              <w:t>79</w:t>
            </w:r>
            <w:r>
              <w:rPr>
                <w:sz w:val="18"/>
              </w:rPr>
              <w:t xml:space="preserve"> </w:t>
            </w:r>
            <w:r w:rsidRPr="00A4737A">
              <w:rPr>
                <w:sz w:val="18"/>
              </w:rPr>
              <w:t>687</w:t>
            </w:r>
          </w:p>
        </w:tc>
        <w:tc>
          <w:tcPr>
            <w:tcW w:w="2457" w:type="dxa"/>
            <w:tcBorders>
              <w:top w:val="single" w:sz="12" w:space="0" w:color="auto"/>
            </w:tcBorders>
            <w:shd w:val="clear" w:color="auto" w:fill="auto"/>
            <w:vAlign w:val="center"/>
          </w:tcPr>
          <w:p w14:paraId="630A6A03" w14:textId="77777777" w:rsidR="00A4737A" w:rsidRPr="00A4737A" w:rsidRDefault="00A4737A" w:rsidP="00A4737A">
            <w:pPr>
              <w:pStyle w:val="SingleTxtG"/>
              <w:spacing w:before="40" w:after="40" w:line="220" w:lineRule="exact"/>
              <w:ind w:left="0" w:right="0"/>
              <w:jc w:val="right"/>
              <w:rPr>
                <w:sz w:val="18"/>
              </w:rPr>
            </w:pPr>
            <w:r w:rsidRPr="00A4737A">
              <w:rPr>
                <w:sz w:val="18"/>
              </w:rPr>
              <w:t>83</w:t>
            </w:r>
            <w:r>
              <w:rPr>
                <w:sz w:val="18"/>
              </w:rPr>
              <w:t xml:space="preserve"> </w:t>
            </w:r>
            <w:r w:rsidRPr="00A4737A">
              <w:rPr>
                <w:sz w:val="18"/>
              </w:rPr>
              <w:t>565</w:t>
            </w:r>
          </w:p>
        </w:tc>
      </w:tr>
      <w:tr w:rsidR="00A4737A" w:rsidRPr="00A4737A" w14:paraId="06CE505C" w14:textId="77777777" w:rsidTr="00A4737A">
        <w:tc>
          <w:tcPr>
            <w:tcW w:w="2456" w:type="dxa"/>
            <w:shd w:val="clear" w:color="auto" w:fill="auto"/>
            <w:vAlign w:val="center"/>
          </w:tcPr>
          <w:p w14:paraId="76961A43" w14:textId="77777777" w:rsidR="00A4737A" w:rsidRPr="00A4737A" w:rsidRDefault="00A4737A" w:rsidP="00A4737A">
            <w:pPr>
              <w:pStyle w:val="SingleTxtG"/>
              <w:spacing w:before="40" w:after="40" w:line="220" w:lineRule="exact"/>
              <w:ind w:left="0" w:right="0"/>
              <w:jc w:val="left"/>
              <w:rPr>
                <w:sz w:val="18"/>
              </w:rPr>
            </w:pPr>
            <w:r w:rsidRPr="00A4737A">
              <w:rPr>
                <w:sz w:val="18"/>
              </w:rPr>
              <w:t>Medio</w:t>
            </w:r>
          </w:p>
        </w:tc>
        <w:tc>
          <w:tcPr>
            <w:tcW w:w="2457" w:type="dxa"/>
            <w:shd w:val="clear" w:color="auto" w:fill="auto"/>
            <w:vAlign w:val="center"/>
          </w:tcPr>
          <w:p w14:paraId="777A6C81" w14:textId="77777777" w:rsidR="00A4737A" w:rsidRPr="00A4737A" w:rsidRDefault="00A4737A" w:rsidP="00A4737A">
            <w:pPr>
              <w:pStyle w:val="SingleTxtG"/>
              <w:spacing w:before="40" w:after="40" w:line="220" w:lineRule="exact"/>
              <w:ind w:left="0" w:right="0"/>
              <w:jc w:val="right"/>
              <w:rPr>
                <w:sz w:val="18"/>
              </w:rPr>
            </w:pPr>
            <w:r w:rsidRPr="00A4737A">
              <w:rPr>
                <w:sz w:val="18"/>
              </w:rPr>
              <w:t>50</w:t>
            </w:r>
            <w:r>
              <w:rPr>
                <w:sz w:val="18"/>
              </w:rPr>
              <w:t xml:space="preserve"> </w:t>
            </w:r>
            <w:r w:rsidRPr="00A4737A">
              <w:rPr>
                <w:sz w:val="18"/>
              </w:rPr>
              <w:t>924</w:t>
            </w:r>
          </w:p>
        </w:tc>
        <w:tc>
          <w:tcPr>
            <w:tcW w:w="2457" w:type="dxa"/>
            <w:shd w:val="clear" w:color="auto" w:fill="auto"/>
            <w:vAlign w:val="center"/>
          </w:tcPr>
          <w:p w14:paraId="2EA18DEC" w14:textId="77777777" w:rsidR="00A4737A" w:rsidRPr="00A4737A" w:rsidRDefault="00A4737A" w:rsidP="00A4737A">
            <w:pPr>
              <w:pStyle w:val="SingleTxtG"/>
              <w:spacing w:before="40" w:after="40" w:line="220" w:lineRule="exact"/>
              <w:ind w:left="0" w:right="0"/>
              <w:jc w:val="right"/>
              <w:rPr>
                <w:sz w:val="18"/>
              </w:rPr>
            </w:pPr>
            <w:r w:rsidRPr="00A4737A">
              <w:rPr>
                <w:sz w:val="18"/>
              </w:rPr>
              <w:t>47</w:t>
            </w:r>
            <w:r>
              <w:rPr>
                <w:sz w:val="18"/>
              </w:rPr>
              <w:t xml:space="preserve"> </w:t>
            </w:r>
            <w:r w:rsidRPr="00A4737A">
              <w:rPr>
                <w:sz w:val="18"/>
              </w:rPr>
              <w:t>375</w:t>
            </w:r>
          </w:p>
        </w:tc>
      </w:tr>
      <w:tr w:rsidR="00A4737A" w:rsidRPr="00A4737A" w14:paraId="3FDF9B0B" w14:textId="77777777" w:rsidTr="00A4737A">
        <w:tc>
          <w:tcPr>
            <w:tcW w:w="2456" w:type="dxa"/>
            <w:shd w:val="clear" w:color="auto" w:fill="auto"/>
            <w:vAlign w:val="center"/>
          </w:tcPr>
          <w:p w14:paraId="33ED80AF" w14:textId="77777777" w:rsidR="00A4737A" w:rsidRPr="00A4737A" w:rsidRDefault="00A4737A" w:rsidP="00A4737A">
            <w:pPr>
              <w:pStyle w:val="SingleTxtG"/>
              <w:spacing w:before="40" w:after="40" w:line="220" w:lineRule="exact"/>
              <w:ind w:left="0" w:right="0"/>
              <w:jc w:val="left"/>
              <w:rPr>
                <w:sz w:val="18"/>
              </w:rPr>
            </w:pPr>
            <w:r w:rsidRPr="00A4737A">
              <w:rPr>
                <w:sz w:val="18"/>
              </w:rPr>
              <w:t>Formación profesional</w:t>
            </w:r>
          </w:p>
        </w:tc>
        <w:tc>
          <w:tcPr>
            <w:tcW w:w="2457" w:type="dxa"/>
            <w:shd w:val="clear" w:color="auto" w:fill="auto"/>
            <w:vAlign w:val="center"/>
          </w:tcPr>
          <w:p w14:paraId="396E9A4F" w14:textId="77777777" w:rsidR="00A4737A" w:rsidRPr="00A4737A" w:rsidRDefault="00A4737A" w:rsidP="00A4737A">
            <w:pPr>
              <w:pStyle w:val="SingleTxtG"/>
              <w:spacing w:before="40" w:after="40" w:line="220" w:lineRule="exact"/>
              <w:ind w:left="0" w:right="0"/>
              <w:jc w:val="right"/>
              <w:rPr>
                <w:sz w:val="18"/>
              </w:rPr>
            </w:pPr>
            <w:r w:rsidRPr="00A4737A">
              <w:rPr>
                <w:sz w:val="18"/>
              </w:rPr>
              <w:t>823</w:t>
            </w:r>
          </w:p>
        </w:tc>
        <w:tc>
          <w:tcPr>
            <w:tcW w:w="2457" w:type="dxa"/>
            <w:shd w:val="clear" w:color="auto" w:fill="auto"/>
            <w:vAlign w:val="center"/>
          </w:tcPr>
          <w:p w14:paraId="63228F48" w14:textId="77777777" w:rsidR="00A4737A" w:rsidRPr="00A4737A" w:rsidRDefault="00A4737A" w:rsidP="00A4737A">
            <w:pPr>
              <w:pStyle w:val="SingleTxtG"/>
              <w:spacing w:before="40" w:after="40" w:line="220" w:lineRule="exact"/>
              <w:ind w:left="0" w:right="0"/>
              <w:jc w:val="right"/>
              <w:rPr>
                <w:sz w:val="18"/>
              </w:rPr>
            </w:pPr>
            <w:r w:rsidRPr="00A4737A">
              <w:rPr>
                <w:sz w:val="18"/>
              </w:rPr>
              <w:t>1</w:t>
            </w:r>
            <w:r>
              <w:rPr>
                <w:sz w:val="18"/>
              </w:rPr>
              <w:t xml:space="preserve"> </w:t>
            </w:r>
            <w:r w:rsidRPr="00A4737A">
              <w:rPr>
                <w:sz w:val="18"/>
              </w:rPr>
              <w:t>679</w:t>
            </w:r>
          </w:p>
        </w:tc>
      </w:tr>
      <w:tr w:rsidR="00A4737A" w:rsidRPr="00A4737A" w14:paraId="68ECAA31" w14:textId="77777777" w:rsidTr="00A4737A">
        <w:tc>
          <w:tcPr>
            <w:tcW w:w="2456" w:type="dxa"/>
            <w:shd w:val="clear" w:color="auto" w:fill="auto"/>
            <w:vAlign w:val="center"/>
          </w:tcPr>
          <w:p w14:paraId="004BBF54" w14:textId="77777777" w:rsidR="00A4737A" w:rsidRPr="00A4737A" w:rsidRDefault="00A4737A" w:rsidP="00A4737A">
            <w:pPr>
              <w:pStyle w:val="SingleTxtG"/>
              <w:spacing w:before="40" w:after="40" w:line="220" w:lineRule="exact"/>
              <w:ind w:left="0" w:right="0"/>
              <w:jc w:val="left"/>
              <w:rPr>
                <w:sz w:val="18"/>
              </w:rPr>
            </w:pPr>
            <w:r w:rsidRPr="00A4737A">
              <w:rPr>
                <w:sz w:val="18"/>
              </w:rPr>
              <w:t>Preparatoria</w:t>
            </w:r>
          </w:p>
        </w:tc>
        <w:tc>
          <w:tcPr>
            <w:tcW w:w="2457" w:type="dxa"/>
            <w:shd w:val="clear" w:color="auto" w:fill="auto"/>
            <w:vAlign w:val="center"/>
          </w:tcPr>
          <w:p w14:paraId="74F7B42E" w14:textId="77777777" w:rsidR="00A4737A" w:rsidRPr="00A4737A" w:rsidRDefault="00A4737A" w:rsidP="00A4737A">
            <w:pPr>
              <w:pStyle w:val="SingleTxtG"/>
              <w:spacing w:before="40" w:after="40" w:line="220" w:lineRule="exact"/>
              <w:ind w:left="0" w:right="0"/>
              <w:jc w:val="right"/>
              <w:rPr>
                <w:sz w:val="18"/>
              </w:rPr>
            </w:pPr>
            <w:r w:rsidRPr="00A4737A">
              <w:rPr>
                <w:sz w:val="18"/>
              </w:rPr>
              <w:t>3</w:t>
            </w:r>
            <w:r>
              <w:rPr>
                <w:sz w:val="18"/>
              </w:rPr>
              <w:t xml:space="preserve"> </w:t>
            </w:r>
            <w:r w:rsidRPr="00A4737A">
              <w:rPr>
                <w:sz w:val="18"/>
              </w:rPr>
              <w:t>309</w:t>
            </w:r>
          </w:p>
        </w:tc>
        <w:tc>
          <w:tcPr>
            <w:tcW w:w="2457" w:type="dxa"/>
            <w:shd w:val="clear" w:color="auto" w:fill="auto"/>
            <w:vAlign w:val="center"/>
          </w:tcPr>
          <w:p w14:paraId="5DC85188" w14:textId="77777777" w:rsidR="00A4737A" w:rsidRPr="00A4737A" w:rsidRDefault="00A4737A" w:rsidP="00A4737A">
            <w:pPr>
              <w:pStyle w:val="SingleTxtG"/>
              <w:spacing w:before="40" w:after="40" w:line="220" w:lineRule="exact"/>
              <w:ind w:left="0" w:right="0"/>
              <w:jc w:val="right"/>
              <w:rPr>
                <w:sz w:val="18"/>
              </w:rPr>
            </w:pPr>
            <w:r w:rsidRPr="00A4737A">
              <w:rPr>
                <w:sz w:val="18"/>
              </w:rPr>
              <w:t>3</w:t>
            </w:r>
            <w:r>
              <w:rPr>
                <w:sz w:val="18"/>
              </w:rPr>
              <w:t xml:space="preserve"> </w:t>
            </w:r>
            <w:r w:rsidRPr="00A4737A">
              <w:rPr>
                <w:sz w:val="18"/>
              </w:rPr>
              <w:t>257</w:t>
            </w:r>
          </w:p>
        </w:tc>
      </w:tr>
      <w:tr w:rsidR="00A4737A" w:rsidRPr="00A4737A" w14:paraId="3CF0E2BA" w14:textId="77777777" w:rsidTr="00A4737A">
        <w:tc>
          <w:tcPr>
            <w:tcW w:w="2456" w:type="dxa"/>
            <w:shd w:val="clear" w:color="auto" w:fill="auto"/>
            <w:vAlign w:val="center"/>
          </w:tcPr>
          <w:p w14:paraId="5A4A0732" w14:textId="77777777" w:rsidR="00A4737A" w:rsidRPr="00A4737A" w:rsidRDefault="00A4737A" w:rsidP="00A4737A">
            <w:pPr>
              <w:pStyle w:val="SingleTxtG"/>
              <w:spacing w:before="40" w:after="40" w:line="220" w:lineRule="exact"/>
              <w:ind w:left="0" w:right="0"/>
              <w:jc w:val="left"/>
              <w:rPr>
                <w:sz w:val="18"/>
              </w:rPr>
            </w:pPr>
            <w:r w:rsidRPr="00A4737A">
              <w:rPr>
                <w:sz w:val="18"/>
              </w:rPr>
              <w:t>Instituto</w:t>
            </w:r>
          </w:p>
        </w:tc>
        <w:tc>
          <w:tcPr>
            <w:tcW w:w="2457" w:type="dxa"/>
            <w:shd w:val="clear" w:color="auto" w:fill="auto"/>
            <w:vAlign w:val="center"/>
          </w:tcPr>
          <w:p w14:paraId="6502EA7E" w14:textId="77777777" w:rsidR="00A4737A" w:rsidRPr="00A4737A" w:rsidRDefault="00A4737A" w:rsidP="00A4737A">
            <w:pPr>
              <w:pStyle w:val="SingleTxtG"/>
              <w:spacing w:before="40" w:after="40" w:line="220" w:lineRule="exact"/>
              <w:ind w:left="0" w:right="0"/>
              <w:jc w:val="right"/>
              <w:rPr>
                <w:sz w:val="18"/>
              </w:rPr>
            </w:pPr>
            <w:r w:rsidRPr="00A4737A">
              <w:rPr>
                <w:sz w:val="18"/>
              </w:rPr>
              <w:t>998</w:t>
            </w:r>
          </w:p>
        </w:tc>
        <w:tc>
          <w:tcPr>
            <w:tcW w:w="2457" w:type="dxa"/>
            <w:shd w:val="clear" w:color="auto" w:fill="auto"/>
            <w:vAlign w:val="center"/>
          </w:tcPr>
          <w:p w14:paraId="3BEAE21A" w14:textId="77777777" w:rsidR="00A4737A" w:rsidRPr="00A4737A" w:rsidRDefault="00A4737A" w:rsidP="00A4737A">
            <w:pPr>
              <w:pStyle w:val="SingleTxtG"/>
              <w:spacing w:before="40" w:after="40" w:line="220" w:lineRule="exact"/>
              <w:ind w:left="0" w:right="0"/>
              <w:jc w:val="right"/>
              <w:rPr>
                <w:sz w:val="18"/>
              </w:rPr>
            </w:pPr>
            <w:r w:rsidRPr="00A4737A">
              <w:rPr>
                <w:sz w:val="18"/>
              </w:rPr>
              <w:t>2</w:t>
            </w:r>
            <w:r>
              <w:rPr>
                <w:sz w:val="18"/>
              </w:rPr>
              <w:t xml:space="preserve"> </w:t>
            </w:r>
            <w:r w:rsidRPr="00A4737A">
              <w:rPr>
                <w:sz w:val="18"/>
              </w:rPr>
              <w:t>618</w:t>
            </w:r>
          </w:p>
        </w:tc>
      </w:tr>
      <w:tr w:rsidR="00A4737A" w:rsidRPr="00A4737A" w14:paraId="312C212D" w14:textId="77777777" w:rsidTr="00A4737A">
        <w:tc>
          <w:tcPr>
            <w:tcW w:w="2456" w:type="dxa"/>
            <w:tcBorders>
              <w:bottom w:val="single" w:sz="4" w:space="0" w:color="auto"/>
            </w:tcBorders>
            <w:shd w:val="clear" w:color="auto" w:fill="auto"/>
            <w:vAlign w:val="center"/>
          </w:tcPr>
          <w:p w14:paraId="0036C6E7" w14:textId="77777777" w:rsidR="00A4737A" w:rsidRPr="00A4737A" w:rsidRDefault="00A4737A" w:rsidP="00A4737A">
            <w:pPr>
              <w:pStyle w:val="SingleTxtG"/>
              <w:spacing w:before="40" w:after="40" w:line="220" w:lineRule="exact"/>
              <w:ind w:left="0" w:right="0"/>
              <w:jc w:val="left"/>
              <w:rPr>
                <w:sz w:val="18"/>
              </w:rPr>
            </w:pPr>
            <w:r w:rsidRPr="00A4737A">
              <w:rPr>
                <w:sz w:val="18"/>
              </w:rPr>
              <w:t>Aprendizaje acelerado</w:t>
            </w:r>
          </w:p>
        </w:tc>
        <w:tc>
          <w:tcPr>
            <w:tcW w:w="2457" w:type="dxa"/>
            <w:tcBorders>
              <w:bottom w:val="single" w:sz="4" w:space="0" w:color="auto"/>
            </w:tcBorders>
            <w:shd w:val="clear" w:color="auto" w:fill="auto"/>
            <w:vAlign w:val="center"/>
          </w:tcPr>
          <w:p w14:paraId="50792A6A" w14:textId="77777777" w:rsidR="00A4737A" w:rsidRPr="00A4737A" w:rsidRDefault="00A4737A" w:rsidP="00A4737A">
            <w:pPr>
              <w:pStyle w:val="SingleTxtG"/>
              <w:spacing w:before="40" w:after="40" w:line="220" w:lineRule="exact"/>
              <w:ind w:left="0" w:right="0"/>
              <w:jc w:val="right"/>
              <w:rPr>
                <w:sz w:val="18"/>
              </w:rPr>
            </w:pPr>
            <w:r w:rsidRPr="00A4737A">
              <w:rPr>
                <w:sz w:val="18"/>
              </w:rPr>
              <w:t>327</w:t>
            </w:r>
          </w:p>
        </w:tc>
        <w:tc>
          <w:tcPr>
            <w:tcW w:w="2457" w:type="dxa"/>
            <w:tcBorders>
              <w:bottom w:val="single" w:sz="4" w:space="0" w:color="auto"/>
            </w:tcBorders>
            <w:shd w:val="clear" w:color="auto" w:fill="auto"/>
            <w:vAlign w:val="center"/>
          </w:tcPr>
          <w:p w14:paraId="535CFB93" w14:textId="77777777" w:rsidR="00A4737A" w:rsidRPr="00A4737A" w:rsidRDefault="00A4737A" w:rsidP="00A4737A">
            <w:pPr>
              <w:pStyle w:val="SingleTxtG"/>
              <w:spacing w:before="40" w:after="40" w:line="220" w:lineRule="exact"/>
              <w:ind w:left="0" w:right="0"/>
              <w:jc w:val="right"/>
              <w:rPr>
                <w:sz w:val="18"/>
              </w:rPr>
            </w:pPr>
            <w:r w:rsidRPr="00A4737A">
              <w:rPr>
                <w:sz w:val="18"/>
              </w:rPr>
              <w:t>511</w:t>
            </w:r>
          </w:p>
        </w:tc>
      </w:tr>
      <w:tr w:rsidR="00A4737A" w:rsidRPr="00A4737A" w14:paraId="5094A4B5" w14:textId="77777777" w:rsidTr="00A4737A">
        <w:tc>
          <w:tcPr>
            <w:tcW w:w="2456" w:type="dxa"/>
            <w:tcBorders>
              <w:top w:val="single" w:sz="4" w:space="0" w:color="auto"/>
              <w:bottom w:val="single" w:sz="12" w:space="0" w:color="auto"/>
            </w:tcBorders>
            <w:shd w:val="clear" w:color="auto" w:fill="auto"/>
            <w:vAlign w:val="center"/>
          </w:tcPr>
          <w:p w14:paraId="05018EF9" w14:textId="77777777" w:rsidR="00A4737A" w:rsidRPr="00A4737A" w:rsidRDefault="00A4737A" w:rsidP="00A4737A">
            <w:pPr>
              <w:pStyle w:val="SingleTxtG"/>
              <w:spacing w:before="80" w:after="80" w:line="220" w:lineRule="exact"/>
              <w:ind w:left="284" w:right="0"/>
              <w:jc w:val="left"/>
              <w:rPr>
                <w:b/>
                <w:bCs/>
                <w:sz w:val="18"/>
              </w:rPr>
            </w:pPr>
            <w:r w:rsidRPr="00A4737A">
              <w:rPr>
                <w:b/>
                <w:bCs/>
                <w:sz w:val="18"/>
              </w:rPr>
              <w:t>Total</w:t>
            </w:r>
          </w:p>
        </w:tc>
        <w:tc>
          <w:tcPr>
            <w:tcW w:w="2457" w:type="dxa"/>
            <w:tcBorders>
              <w:top w:val="single" w:sz="4" w:space="0" w:color="auto"/>
              <w:bottom w:val="single" w:sz="12" w:space="0" w:color="auto"/>
            </w:tcBorders>
            <w:shd w:val="clear" w:color="auto" w:fill="auto"/>
            <w:vAlign w:val="center"/>
          </w:tcPr>
          <w:p w14:paraId="27D68ED8" w14:textId="77777777" w:rsidR="00A4737A" w:rsidRPr="00A4737A" w:rsidRDefault="00A4737A" w:rsidP="00A4737A">
            <w:pPr>
              <w:pStyle w:val="SingleTxtG"/>
              <w:spacing w:before="80" w:after="80" w:line="220" w:lineRule="exact"/>
              <w:ind w:left="0" w:right="0"/>
              <w:jc w:val="right"/>
              <w:rPr>
                <w:b/>
                <w:bCs/>
                <w:sz w:val="18"/>
              </w:rPr>
            </w:pPr>
            <w:r w:rsidRPr="00A4737A">
              <w:rPr>
                <w:b/>
                <w:bCs/>
                <w:sz w:val="18"/>
              </w:rPr>
              <w:t>136</w:t>
            </w:r>
            <w:r>
              <w:rPr>
                <w:b/>
                <w:bCs/>
                <w:sz w:val="18"/>
              </w:rPr>
              <w:t xml:space="preserve"> </w:t>
            </w:r>
            <w:r w:rsidRPr="00A4737A">
              <w:rPr>
                <w:b/>
                <w:bCs/>
                <w:sz w:val="18"/>
              </w:rPr>
              <w:t>068</w:t>
            </w:r>
          </w:p>
        </w:tc>
        <w:tc>
          <w:tcPr>
            <w:tcW w:w="2457" w:type="dxa"/>
            <w:tcBorders>
              <w:top w:val="single" w:sz="4" w:space="0" w:color="auto"/>
              <w:bottom w:val="single" w:sz="12" w:space="0" w:color="auto"/>
            </w:tcBorders>
            <w:shd w:val="clear" w:color="auto" w:fill="auto"/>
            <w:vAlign w:val="center"/>
          </w:tcPr>
          <w:p w14:paraId="6D32CAA2" w14:textId="77777777" w:rsidR="00A4737A" w:rsidRPr="00A4737A" w:rsidRDefault="00A4737A" w:rsidP="00A4737A">
            <w:pPr>
              <w:pStyle w:val="SingleTxtG"/>
              <w:spacing w:before="80" w:after="80" w:line="220" w:lineRule="exact"/>
              <w:ind w:left="0" w:right="0"/>
              <w:jc w:val="right"/>
              <w:rPr>
                <w:b/>
                <w:bCs/>
                <w:sz w:val="18"/>
              </w:rPr>
            </w:pPr>
            <w:r w:rsidRPr="00A4737A">
              <w:rPr>
                <w:b/>
                <w:bCs/>
                <w:sz w:val="18"/>
              </w:rPr>
              <w:t>139</w:t>
            </w:r>
            <w:r>
              <w:rPr>
                <w:b/>
                <w:bCs/>
                <w:sz w:val="18"/>
              </w:rPr>
              <w:t xml:space="preserve"> </w:t>
            </w:r>
            <w:r w:rsidRPr="00A4737A">
              <w:rPr>
                <w:b/>
                <w:bCs/>
                <w:sz w:val="18"/>
              </w:rPr>
              <w:t>005</w:t>
            </w:r>
          </w:p>
        </w:tc>
      </w:tr>
    </w:tbl>
    <w:p w14:paraId="717F9755" w14:textId="77777777" w:rsidR="008A38B9" w:rsidRPr="00A4737A" w:rsidRDefault="008A38B9" w:rsidP="000150D9">
      <w:pPr>
        <w:pStyle w:val="SingleTxtG"/>
        <w:spacing w:before="120" w:after="240"/>
        <w:ind w:firstLine="170"/>
        <w:jc w:val="left"/>
        <w:rPr>
          <w:sz w:val="18"/>
          <w:szCs w:val="18"/>
        </w:rPr>
      </w:pPr>
      <w:r w:rsidRPr="00A4737A">
        <w:rPr>
          <w:i/>
          <w:iCs/>
          <w:sz w:val="18"/>
          <w:szCs w:val="18"/>
        </w:rPr>
        <w:t>Fuente</w:t>
      </w:r>
      <w:r w:rsidRPr="00A4737A">
        <w:rPr>
          <w:i/>
          <w:sz w:val="18"/>
          <w:szCs w:val="18"/>
        </w:rPr>
        <w:t>:</w:t>
      </w:r>
      <w:r w:rsidRPr="00A4737A">
        <w:rPr>
          <w:sz w:val="18"/>
          <w:szCs w:val="18"/>
        </w:rPr>
        <w:t xml:space="preserve"> Proyecto de plan estratégico de desarrollo p</w:t>
      </w:r>
      <w:bookmarkStart w:id="2" w:name="_GoBack"/>
      <w:bookmarkEnd w:id="2"/>
      <w:r w:rsidRPr="00A4737A">
        <w:rPr>
          <w:sz w:val="18"/>
          <w:szCs w:val="18"/>
        </w:rPr>
        <w:t>ara la Región del Kurdistán 2012-2016.</w:t>
      </w:r>
    </w:p>
    <w:p w14:paraId="46DD8114" w14:textId="77777777" w:rsidR="008A38B9" w:rsidRPr="008A38B9" w:rsidRDefault="008A38B9" w:rsidP="00A4737A">
      <w:pPr>
        <w:pStyle w:val="SingleTxtG"/>
      </w:pPr>
      <w:r w:rsidRPr="008A38B9">
        <w:t>74.</w:t>
      </w:r>
      <w:r w:rsidRPr="008A38B9">
        <w:tab/>
        <w:t>En 2015, el gasto en educación supuso el 21,4 % del gasto público.</w:t>
      </w:r>
    </w:p>
    <w:p w14:paraId="3AADB701" w14:textId="77777777" w:rsidR="008A38B9" w:rsidRPr="008A38B9" w:rsidRDefault="00A4737A" w:rsidP="00A4737A">
      <w:pPr>
        <w:pStyle w:val="HChG"/>
      </w:pPr>
      <w:r>
        <w:tab/>
      </w:r>
      <w:r w:rsidR="008A38B9" w:rsidRPr="008A38B9">
        <w:tab/>
        <w:t>Estructura constitucional y política del Estado</w:t>
      </w:r>
    </w:p>
    <w:p w14:paraId="355279EE" w14:textId="77777777" w:rsidR="008A38B9" w:rsidRPr="008A38B9" w:rsidRDefault="008A38B9" w:rsidP="00A4737A">
      <w:pPr>
        <w:pStyle w:val="SingleTxtG"/>
        <w:rPr>
          <w:b/>
          <w:bCs/>
        </w:rPr>
      </w:pPr>
      <w:r w:rsidRPr="008A38B9">
        <w:t>75.</w:t>
      </w:r>
      <w:r w:rsidRPr="008A38B9">
        <w:tab/>
        <w:t>Bandera de la República del Iraq: La Ley núm. 33/1986, modificada mediante la Ley núm. 6/1991 y la Ley núm. 9/2008, determinan las características de la bandera nacional del Iraq.</w:t>
      </w:r>
    </w:p>
    <w:p w14:paraId="381C6DC3" w14:textId="77777777" w:rsidR="008A38B9" w:rsidRPr="008A38B9" w:rsidRDefault="008A38B9" w:rsidP="00A4737A">
      <w:pPr>
        <w:spacing w:line="240" w:lineRule="auto"/>
        <w:ind w:left="1134"/>
        <w:rPr>
          <w:b/>
          <w:bCs/>
          <w:rtl/>
        </w:rPr>
      </w:pPr>
      <w:r w:rsidRPr="008A38B9">
        <w:rPr>
          <w:b/>
          <w:bCs/>
          <w:lang w:val="en-GB"/>
        </w:rPr>
        <w:drawing>
          <wp:inline distT="0" distB="0" distL="0" distR="0" wp14:anchorId="726B320E" wp14:editId="156C30EF">
            <wp:extent cx="3438659" cy="2289676"/>
            <wp:effectExtent l="133350" t="76200" r="85725" b="130175"/>
            <wp:docPr id="5" name="صورة 2" descr="C:\Users\s\Pictures\العلم الراق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ictures\العلم الراقي.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046" cy="22979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5ABA490" w14:textId="77777777" w:rsidR="008A38B9" w:rsidRPr="008A38B9" w:rsidRDefault="008A38B9" w:rsidP="00240240">
      <w:pPr>
        <w:pStyle w:val="SingleTxtG"/>
        <w:spacing w:before="240"/>
      </w:pPr>
      <w:r w:rsidRPr="008A38B9">
        <w:t>76.</w:t>
      </w:r>
      <w:r w:rsidRPr="008A38B9">
        <w:tab/>
        <w:t xml:space="preserve">Forma del Estado y sistema de gobierno </w:t>
      </w:r>
    </w:p>
    <w:p w14:paraId="14D4F02C" w14:textId="77777777" w:rsidR="008A38B9" w:rsidRPr="008A38B9" w:rsidRDefault="008A38B9" w:rsidP="00A4737A">
      <w:pPr>
        <w:pStyle w:val="Bullet1G"/>
      </w:pPr>
      <w:r w:rsidRPr="008A38B9">
        <w:t xml:space="preserve">La República del Iraq es un Estado federal único, independiente y plenamente soberano. Su sistema de gobierno es la república parlamentaria y democrática. El Iraq es un país multiétnico, multiconfesional y multidoctrinal, Estado Miembro de </w:t>
      </w:r>
      <w:r w:rsidRPr="008A38B9">
        <w:lastRenderedPageBreak/>
        <w:t>las Naciones Unidas y miembro fundador activo de la Liga de los Estados Árabes, la Organización de Cooperación Islámica y el Movimiento de los Países No Alineados.</w:t>
      </w:r>
    </w:p>
    <w:p w14:paraId="480E82E1" w14:textId="77777777" w:rsidR="008A38B9" w:rsidRPr="008A38B9" w:rsidRDefault="008A38B9" w:rsidP="00A4737A">
      <w:pPr>
        <w:pStyle w:val="Bullet1G"/>
      </w:pPr>
      <w:r w:rsidRPr="008A38B9">
        <w:t xml:space="preserve">El Iraq se fundó en 1921 con un sistema de gobierno monárquico. El 14 de julio de 1958 se instauró la república. Desde entonces, el Iraq fue ampliamente reconocido como uno de los países más avanzados de Oriente Medio. Se acudía a él desde toda la región en pos de educación universitaria de excelencia y de la mejor atención sanitaria. El Iraq se situaba a la sazón en los puestos más altos en todos los indicadores de bienestar humano, en particular en las tasas de mortalidad neonatal, escolarización y consumo de alimento en hogares, así como en los niveles salariales y las tasas de empleo. El Grupo Banco Mundial clasificó el Iraq entre los Estados con ingresos medianos altos. Después, el Estado fue el único en Oriente Medio cuyo nivel de vida no mejoró. Años de represión, guerra, bloqueo e inestabilidad arrollaron el bienestar social y el sufrimiento resultante se dejó sentir en todo el espectro social. La dictadura cayó en la primavera de 2003. El 19 de mayo de 2003, el Embajador norteamericano Paul Bremer pasó a encabezar la autoridad civil de la Coalición, primer órgano de gobierno legalmente constituido en el país tras la caída del régimen anterior. La Coalición gobernó el Estado hasta que fue disuelta en virtud de la resolución 1483 (2003) del Consejo de Seguridad. El 30 de junio de 2004 se formó el primer Gobierno de transición, que asumió el poder, la soberanía y la administración del Estado en virtud de la resolución 1546 (2004) del Consejo de Seguridad. Se le encomendó dirigir el país y constituir un consejo nacional de transición compuesto por 100 personas, entre ellas miembros del Consejo de Gobierno que no hubieran ejercido cargos. Los miembros del Consejo Nacional, al que se confirieron facultades restringidas de vigilancia, fueron elegidos en un congreso en el que participaron 1.000 personalidades iraquíes de todas las tendencias políticas y religiosas. El 30 de enero de 2005 se celebraron votaciones para elegir a los 275 miembros de la Asamblea Nacional, cuyo mandato principal era elaborar una Constitución permanente para el país y organizar elecciones parlamentarias, que en efecto se celebraron el 15 de diciembre de 2005. La Constitución Permanente se sometió a referéndum el 15 de octubre de 2005 en aplicación de lo dispuesto en la Ley de la Administración del Estado Iraquí durante el Período de Transición y condujo a una revisión exhaustiva del ordenamiento jurídico en concordancia con el nuevo orden político, económico y social del país. Tras el desplome de la dictadura, la República del Iraq experimentó una profunda transformación política e inició una nueva etapa democrática. La Constitución aprobada en referéndum fue publicada en el </w:t>
      </w:r>
      <w:r w:rsidRPr="008A38B9">
        <w:rPr>
          <w:i/>
          <w:iCs/>
        </w:rPr>
        <w:t>Boletín Oficial</w:t>
      </w:r>
      <w:r w:rsidRPr="008A38B9">
        <w:t xml:space="preserve"> del Estado núm. 4012, de 28 de diciembre de 2005, y constituye el primer documento legislativo sancionado por una asamblea constituyente electa y aprobado en plebiscito nacional en el país desde 1924. La Constitución define el orden político, económico y social del nuevo Estado iraquí. Según su artículo 1, </w:t>
      </w:r>
      <w:r w:rsidR="001D4448">
        <w:t>“</w:t>
      </w:r>
      <w:r w:rsidRPr="008A38B9">
        <w:t>la República del Iraq es un Estado federal único, independiente y plenamente soberano. Su sistema de gobierno es la república parlamentaria y democrática. Esta Constitución asegura la unidad del Iraq</w:t>
      </w:r>
      <w:r w:rsidR="00A4737A">
        <w:t>”</w:t>
      </w:r>
      <w:r w:rsidRPr="008A38B9">
        <w:t>.</w:t>
      </w:r>
    </w:p>
    <w:p w14:paraId="6FBFC2BC" w14:textId="77777777" w:rsidR="008A38B9" w:rsidRPr="008A38B9" w:rsidRDefault="008A38B9" w:rsidP="00A4737A">
      <w:pPr>
        <w:pStyle w:val="SingleTxtG"/>
      </w:pPr>
      <w:r w:rsidRPr="008A38B9">
        <w:tab/>
        <w:t xml:space="preserve">Como afirma el artículo 5 de la Constitución, el Estado de derecho sustenta el orden democrático del Iraq. </w:t>
      </w:r>
      <w:r w:rsidR="00A4737A">
        <w:t>“</w:t>
      </w:r>
      <w:r w:rsidRPr="008A38B9">
        <w:t>Los poderes y su legitimidad emanan del pueblo, que los ejerce mediante sufragio universal secreto y a través de las instituciones constitucionales</w:t>
      </w:r>
      <w:r w:rsidR="001D4448">
        <w:t>”</w:t>
      </w:r>
      <w:r w:rsidRPr="008A38B9">
        <w:t xml:space="preserve">. El artículo 6 establece el principio de alternancia pacífica y democrática en el poder: </w:t>
      </w:r>
      <w:r w:rsidR="001D4448">
        <w:t>“</w:t>
      </w:r>
      <w:r w:rsidRPr="008A38B9">
        <w:t>La alternancia en el poder es pacífica y se articula mediante las vías democráticas señaladas en esta Constitución</w:t>
      </w:r>
      <w:r w:rsidR="00A4737A">
        <w:t>”</w:t>
      </w:r>
      <w:r w:rsidRPr="008A38B9">
        <w:t>.</w:t>
      </w:r>
    </w:p>
    <w:p w14:paraId="2A9E8DB3" w14:textId="77777777" w:rsidR="008A38B9" w:rsidRPr="008A38B9" w:rsidRDefault="008A38B9" w:rsidP="00A4737A">
      <w:pPr>
        <w:pStyle w:val="SingleTxtG"/>
      </w:pPr>
      <w:r w:rsidRPr="008A38B9">
        <w:tab/>
        <w:t>Los artículos 2 y 3 de la Constitución determinan el orden jurídico del Estado y los derechos de las minorías:</w:t>
      </w:r>
    </w:p>
    <w:p w14:paraId="1FAED8FB" w14:textId="77777777" w:rsidR="008A38B9" w:rsidRPr="008A38B9" w:rsidRDefault="008A38B9" w:rsidP="00A4737A">
      <w:pPr>
        <w:pStyle w:val="SingleTxtG"/>
      </w:pPr>
      <w:r w:rsidRPr="008A38B9">
        <w:tab/>
      </w:r>
      <w:r w:rsidR="00A4737A">
        <w:t>“</w:t>
      </w:r>
      <w:r w:rsidRPr="008A38B9">
        <w:t>1.</w:t>
      </w:r>
      <w:r w:rsidR="00006DFE">
        <w:tab/>
      </w:r>
      <w:r w:rsidRPr="008A38B9">
        <w:t xml:space="preserve">El islam es la religión oficial del Estado y una fuente fundamental de su ordenamiento jurídico. Por ello, no se promulgará ley alguna: </w:t>
      </w:r>
    </w:p>
    <w:p w14:paraId="11C6DD91" w14:textId="77777777" w:rsidR="008A38B9" w:rsidRPr="008A38B9" w:rsidRDefault="008A38B9" w:rsidP="00A4737A">
      <w:pPr>
        <w:pStyle w:val="SingleTxtG"/>
      </w:pPr>
      <w:r w:rsidRPr="008A38B9">
        <w:tab/>
        <w:t>a)</w:t>
      </w:r>
      <w:r w:rsidRPr="008A38B9">
        <w:tab/>
        <w:t xml:space="preserve">Contraria a los principios del islam; </w:t>
      </w:r>
    </w:p>
    <w:p w14:paraId="152EC8FD" w14:textId="77777777" w:rsidR="008A38B9" w:rsidRPr="008A38B9" w:rsidRDefault="008A38B9" w:rsidP="00A4737A">
      <w:pPr>
        <w:pStyle w:val="SingleTxtG"/>
      </w:pPr>
      <w:r w:rsidRPr="008A38B9">
        <w:tab/>
        <w:t>b)</w:t>
      </w:r>
      <w:r w:rsidRPr="008A38B9">
        <w:tab/>
        <w:t xml:space="preserve">Contraria a los principios democráticos; </w:t>
      </w:r>
    </w:p>
    <w:p w14:paraId="3EE14610" w14:textId="77777777" w:rsidR="008A38B9" w:rsidRPr="008A38B9" w:rsidRDefault="008A38B9" w:rsidP="00A4737A">
      <w:pPr>
        <w:pStyle w:val="SingleTxtG"/>
      </w:pPr>
      <w:r w:rsidRPr="008A38B9">
        <w:lastRenderedPageBreak/>
        <w:tab/>
        <w:t>c)</w:t>
      </w:r>
      <w:r w:rsidRPr="008A38B9">
        <w:tab/>
        <w:t xml:space="preserve">Que vulnere los derechos y libertades fundamentales consagrados en esta Constitución. </w:t>
      </w:r>
    </w:p>
    <w:p w14:paraId="63499779" w14:textId="77777777" w:rsidR="008A38B9" w:rsidRPr="008A38B9" w:rsidRDefault="008A38B9" w:rsidP="00A4737A">
      <w:pPr>
        <w:pStyle w:val="SingleTxtG"/>
      </w:pPr>
      <w:r w:rsidRPr="008A38B9">
        <w:tab/>
        <w:t>2.</w:t>
      </w:r>
      <w:r w:rsidR="00A4737A">
        <w:tab/>
      </w:r>
      <w:r w:rsidRPr="008A38B9">
        <w:t>La Constitución preserva la identidad islámica de la mayoría del pueblo iraquí y al tiempo asegura el disfrute universal de los derechos religiosos y la libertad de creencia y práctica religiosas, en particular a los cristianos, los yazidíes y los sabeos mandeos</w:t>
      </w:r>
      <w:r w:rsidR="00A4737A">
        <w:t>”</w:t>
      </w:r>
      <w:r w:rsidRPr="008A38B9">
        <w:t xml:space="preserve">. </w:t>
      </w:r>
    </w:p>
    <w:p w14:paraId="1944D79F" w14:textId="77777777" w:rsidR="008A38B9" w:rsidRPr="008A38B9" w:rsidRDefault="008A38B9" w:rsidP="00A4737A">
      <w:pPr>
        <w:pStyle w:val="SingleTxtG"/>
      </w:pPr>
      <w:r w:rsidRPr="008A38B9">
        <w:tab/>
        <w:t xml:space="preserve">El artículo 3 de la Constitución dispone lo siguiente: </w:t>
      </w:r>
      <w:r w:rsidR="00A4737A">
        <w:t>“</w:t>
      </w:r>
      <w:r w:rsidRPr="008A38B9">
        <w:t>El Iraq es un país multiétnico, multirreligioso y multidoctrinal, miembro fundador y activo de la Liga de los Estados Árabes comprometido a observar su Carta, y parte integrante del mundo islámico</w:t>
      </w:r>
      <w:r w:rsidR="00A4737A">
        <w:t>”</w:t>
      </w:r>
      <w:r w:rsidRPr="008A38B9">
        <w:t>.</w:t>
      </w:r>
    </w:p>
    <w:p w14:paraId="0110C05D" w14:textId="77777777" w:rsidR="008A38B9" w:rsidRPr="008A38B9" w:rsidRDefault="008A38B9" w:rsidP="00A4737A">
      <w:pPr>
        <w:pStyle w:val="SingleTxtG"/>
      </w:pPr>
      <w:r w:rsidRPr="008A38B9">
        <w:t>77.</w:t>
      </w:r>
      <w:r w:rsidRPr="008A38B9">
        <w:tab/>
      </w:r>
      <w:r w:rsidRPr="00A4737A">
        <w:rPr>
          <w:b/>
          <w:bCs/>
        </w:rPr>
        <w:t xml:space="preserve">División de poderes en el Iraq </w:t>
      </w:r>
    </w:p>
    <w:p w14:paraId="7AB05BD7" w14:textId="77777777" w:rsidR="008A38B9" w:rsidRPr="008A38B9" w:rsidRDefault="00006DFE" w:rsidP="00A4737A">
      <w:pPr>
        <w:pStyle w:val="SingleTxtG"/>
      </w:pPr>
      <w:r>
        <w:tab/>
      </w:r>
      <w:r w:rsidR="008A38B9" w:rsidRPr="008A38B9">
        <w:t>El Gobierno federal se compone de los poderes legislativo, ejecutivo y judicial y ejerce las competencias y funciones que le han sido conferidas en la observancia del principio de separación de poderes (art. 47 de la Constitución).</w:t>
      </w:r>
    </w:p>
    <w:p w14:paraId="5AC03FD1" w14:textId="77777777" w:rsidR="008A38B9" w:rsidRPr="008A38B9" w:rsidRDefault="008A38B9" w:rsidP="00A4737A">
      <w:pPr>
        <w:pStyle w:val="SingleTxtG"/>
      </w:pPr>
      <w:r w:rsidRPr="008A38B9">
        <w:t>78.</w:t>
      </w:r>
      <w:r w:rsidRPr="008A38B9">
        <w:tab/>
      </w:r>
      <w:r w:rsidR="00A4737A">
        <w:rPr>
          <w:b/>
          <w:bCs/>
        </w:rPr>
        <w:t>I</w:t>
      </w:r>
      <w:r w:rsidR="00A4737A" w:rsidRPr="00A4737A">
        <w:rPr>
          <w:b/>
          <w:bCs/>
        </w:rPr>
        <w:t>.</w:t>
      </w:r>
      <w:r w:rsidR="0053592A">
        <w:rPr>
          <w:b/>
          <w:bCs/>
        </w:rPr>
        <w:t xml:space="preserve"> </w:t>
      </w:r>
      <w:r w:rsidRPr="00A4737A">
        <w:rPr>
          <w:b/>
          <w:bCs/>
        </w:rPr>
        <w:t>El poder legislativo</w:t>
      </w:r>
    </w:p>
    <w:p w14:paraId="1C5D0BEC" w14:textId="77777777" w:rsidR="008A38B9" w:rsidRPr="008A38B9" w:rsidRDefault="008A38B9" w:rsidP="00A4737A">
      <w:pPr>
        <w:pStyle w:val="SingleTxtG"/>
      </w:pPr>
      <w:r w:rsidRPr="008A38B9">
        <w:tab/>
        <w:t>El poder legislativo federal se compone de la Cámara de Representantes y la Cámara Federal (art. 48 de la Constitución). La Cámara de Representantes comprende un escaño por cada 100.000 habitantes. Los miembros de la Cámara representan a la totalidad del pueblo iraquí y son elegidos mediante sufragio universal, secreto y directo. Se velará por que el resto de los componentes del pueblo iraquí estén representados. Los candidatos a la Cámara de Representantes serán iraquíes con plena capacidad jurídica. La ley determinará los requisitos para el ejercicio del derecho activo y pasivo de sufragio y regulará cuantos otros aspectos atañan a la elección de los miembros de esa Cámara. No menos de un cuarto de los miembros de la Cámara serán mujeres (</w:t>
      </w:r>
      <w:r w:rsidR="00006DFE">
        <w:rPr>
          <w:i/>
        </w:rPr>
        <w:t>i</w:t>
      </w:r>
      <w:r w:rsidRPr="00006DFE">
        <w:rPr>
          <w:i/>
        </w:rPr>
        <w:t>dem</w:t>
      </w:r>
      <w:r w:rsidR="00006DFE" w:rsidRPr="00006DFE">
        <w:rPr>
          <w:i/>
        </w:rPr>
        <w:t>.</w:t>
      </w:r>
      <w:r w:rsidRPr="008A38B9">
        <w:t>, art. 49).</w:t>
      </w:r>
    </w:p>
    <w:p w14:paraId="389F0BCA" w14:textId="77777777" w:rsidR="008A38B9" w:rsidRPr="008A38B9" w:rsidRDefault="008A38B9" w:rsidP="00A4737A">
      <w:pPr>
        <w:pStyle w:val="SingleTxtG"/>
      </w:pPr>
      <w:r w:rsidRPr="008A38B9">
        <w:t>79.</w:t>
      </w:r>
      <w:r w:rsidRPr="008A38B9">
        <w:tab/>
      </w:r>
      <w:r w:rsidRPr="009E4B05">
        <w:rPr>
          <w:b/>
          <w:bCs/>
        </w:rPr>
        <w:t>Atribuciones de la Cámara de Representantes:</w:t>
      </w:r>
      <w:r w:rsidRPr="008A38B9">
        <w:t xml:space="preserve"> El artículo 61 de la Constitución confiere a la Cámara de Representantes las atribuciones siguientes:</w:t>
      </w:r>
    </w:p>
    <w:p w14:paraId="489420EB" w14:textId="77777777" w:rsidR="008A38B9" w:rsidRPr="008A38B9" w:rsidRDefault="008A38B9" w:rsidP="00A4737A">
      <w:pPr>
        <w:pStyle w:val="SingleTxtG"/>
      </w:pPr>
      <w:r w:rsidRPr="008A38B9">
        <w:tab/>
        <w:t>1.</w:t>
      </w:r>
      <w:r w:rsidR="00A4737A">
        <w:tab/>
      </w:r>
      <w:r w:rsidRPr="008A38B9">
        <w:t xml:space="preserve">Legislar las leyes federales; </w:t>
      </w:r>
    </w:p>
    <w:p w14:paraId="75BFBDB8" w14:textId="77777777" w:rsidR="008A38B9" w:rsidRPr="008A38B9" w:rsidRDefault="008A38B9" w:rsidP="00A4737A">
      <w:pPr>
        <w:pStyle w:val="SingleTxtG"/>
      </w:pPr>
      <w:r w:rsidRPr="008A38B9">
        <w:tab/>
        <w:t>2.</w:t>
      </w:r>
      <w:r w:rsidR="00A4737A">
        <w:tab/>
      </w:r>
      <w:r w:rsidRPr="008A38B9">
        <w:t xml:space="preserve">Vigilar el desempeño del poder ejecutivo; </w:t>
      </w:r>
    </w:p>
    <w:p w14:paraId="57DE40B1" w14:textId="77777777" w:rsidR="008A38B9" w:rsidRPr="008A38B9" w:rsidRDefault="008A38B9" w:rsidP="00A4737A">
      <w:pPr>
        <w:pStyle w:val="SingleTxtG"/>
      </w:pPr>
      <w:r w:rsidRPr="008A38B9">
        <w:tab/>
        <w:t>3.</w:t>
      </w:r>
      <w:r w:rsidR="00A4737A">
        <w:tab/>
      </w:r>
      <w:r w:rsidRPr="008A38B9">
        <w:t xml:space="preserve">Elegir al Presidente de la República; </w:t>
      </w:r>
    </w:p>
    <w:p w14:paraId="0464A218" w14:textId="77777777" w:rsidR="008A38B9" w:rsidRPr="008A38B9" w:rsidRDefault="008A38B9" w:rsidP="00A4737A">
      <w:pPr>
        <w:pStyle w:val="SingleTxtG"/>
      </w:pPr>
      <w:r w:rsidRPr="008A38B9">
        <w:tab/>
        <w:t>4.</w:t>
      </w:r>
      <w:r w:rsidR="00A4737A">
        <w:tab/>
      </w:r>
      <w:r w:rsidRPr="008A38B9">
        <w:t xml:space="preserve">Regular la adhesión a los convenios y tratados internacionales por ley aprobada por mayoría de dos tercios de los miembros de la Cámara; </w:t>
      </w:r>
    </w:p>
    <w:p w14:paraId="23AB1364" w14:textId="77777777" w:rsidR="008A38B9" w:rsidRPr="008A38B9" w:rsidRDefault="008A38B9" w:rsidP="00A4737A">
      <w:pPr>
        <w:pStyle w:val="SingleTxtG"/>
      </w:pPr>
      <w:r w:rsidRPr="008A38B9">
        <w:tab/>
        <w:t>5.</w:t>
      </w:r>
      <w:r w:rsidR="00A4737A">
        <w:tab/>
      </w:r>
      <w:r w:rsidRPr="008A38B9">
        <w:t xml:space="preserve">Sancionar el nombramiento de: </w:t>
      </w:r>
    </w:p>
    <w:p w14:paraId="75139E4B" w14:textId="77777777" w:rsidR="008A38B9" w:rsidRPr="008A38B9" w:rsidRDefault="008A38B9" w:rsidP="00A4737A">
      <w:pPr>
        <w:pStyle w:val="Bullet1G"/>
      </w:pPr>
      <w:r w:rsidRPr="008A38B9">
        <w:t xml:space="preserve">El Presidente, los Magistrados del Tribunal Federal de Casación, el Fiscal General del Estado y el Presidente de la Comisión de Control Judicial, por mayoría absoluta y a propuesta del Consejo Superior de la Magistratura; </w:t>
      </w:r>
    </w:p>
    <w:p w14:paraId="0CACA194" w14:textId="77777777" w:rsidR="008A38B9" w:rsidRPr="008A38B9" w:rsidRDefault="008A38B9" w:rsidP="00A4737A">
      <w:pPr>
        <w:pStyle w:val="Bullet1G"/>
      </w:pPr>
      <w:r w:rsidRPr="008A38B9">
        <w:t xml:space="preserve">Los embajadores y funcionarios de rango superior, a propuesta del Consejo de Ministros; </w:t>
      </w:r>
    </w:p>
    <w:p w14:paraId="55BF67D5" w14:textId="77777777" w:rsidR="008A38B9" w:rsidRPr="008A38B9" w:rsidRDefault="008A38B9" w:rsidP="00A4737A">
      <w:pPr>
        <w:pStyle w:val="Bullet1G"/>
      </w:pPr>
      <w:r w:rsidRPr="008A38B9">
        <w:t>El Jefe del Estado Mayor del Ejército y sus ayudantes, los Jefes de División y oficiales de rango superior y el Jefe de los Servicios de Inteligencia, a propuesta del Consejo de Ministros;</w:t>
      </w:r>
    </w:p>
    <w:p w14:paraId="2AFF31A5" w14:textId="77777777" w:rsidR="008A38B9" w:rsidRPr="008A38B9" w:rsidRDefault="008A38B9" w:rsidP="00A4737A">
      <w:pPr>
        <w:pStyle w:val="SingleTxtG"/>
      </w:pPr>
      <w:r w:rsidRPr="008A38B9">
        <w:tab/>
        <w:t xml:space="preserve">6. </w:t>
      </w:r>
    </w:p>
    <w:p w14:paraId="1B204390" w14:textId="77777777" w:rsidR="008A38B9" w:rsidRPr="008A38B9" w:rsidRDefault="008A38B9" w:rsidP="00A4737A">
      <w:pPr>
        <w:pStyle w:val="Bullet1G"/>
      </w:pPr>
      <w:r w:rsidRPr="008A38B9">
        <w:t xml:space="preserve">Exigir cuentas al Presidente de la República a petición causada de la mayoría absoluta de los miembros de la Cámara de Representantes; </w:t>
      </w:r>
    </w:p>
    <w:p w14:paraId="3FCC9CC4" w14:textId="77777777" w:rsidR="008A38B9" w:rsidRPr="008A38B9" w:rsidRDefault="008A38B9" w:rsidP="00A4737A">
      <w:pPr>
        <w:pStyle w:val="Bullet1G"/>
      </w:pPr>
      <w:r w:rsidRPr="008A38B9">
        <w:t xml:space="preserve">Amnistiar, a petición de la mayoría absoluta de los miembros de la Cámara de Representantes, al Presidente de la República condenado por el Tribunal Supremo Federal en los siguientes supuestos: </w:t>
      </w:r>
    </w:p>
    <w:p w14:paraId="27A6E08C" w14:textId="77777777" w:rsidR="008A38B9" w:rsidRPr="008A38B9" w:rsidRDefault="008A38B9" w:rsidP="00A4737A">
      <w:pPr>
        <w:pStyle w:val="Bullet2G"/>
      </w:pPr>
      <w:r w:rsidRPr="008A38B9">
        <w:tab/>
        <w:t xml:space="preserve">Incumplir el juramento de acatar la Constitución; </w:t>
      </w:r>
    </w:p>
    <w:p w14:paraId="4801306D" w14:textId="77777777" w:rsidR="008A38B9" w:rsidRPr="008A38B9" w:rsidRDefault="008A38B9" w:rsidP="00A4737A">
      <w:pPr>
        <w:pStyle w:val="Bullet2G"/>
      </w:pPr>
      <w:r w:rsidRPr="008A38B9">
        <w:tab/>
        <w:t xml:space="preserve">Atentar contra la Constitución; </w:t>
      </w:r>
    </w:p>
    <w:p w14:paraId="70ABB011" w14:textId="77777777" w:rsidR="008A38B9" w:rsidRPr="008A38B9" w:rsidRDefault="008A38B9" w:rsidP="00A4737A">
      <w:pPr>
        <w:pStyle w:val="Bullet2G"/>
      </w:pPr>
      <w:r w:rsidRPr="008A38B9">
        <w:tab/>
        <w:t xml:space="preserve">Alta traición. </w:t>
      </w:r>
    </w:p>
    <w:p w14:paraId="058E80A7" w14:textId="77777777" w:rsidR="008A38B9" w:rsidRPr="008A38B9" w:rsidRDefault="008A38B9" w:rsidP="00A4737A">
      <w:pPr>
        <w:pStyle w:val="SingleTxtG"/>
        <w:keepNext/>
        <w:keepLines/>
      </w:pPr>
      <w:r w:rsidRPr="008A38B9">
        <w:lastRenderedPageBreak/>
        <w:t xml:space="preserve">7. </w:t>
      </w:r>
    </w:p>
    <w:p w14:paraId="46EA3F8A" w14:textId="77777777" w:rsidR="008A38B9" w:rsidRPr="008A38B9" w:rsidRDefault="008A38B9" w:rsidP="00A4737A">
      <w:pPr>
        <w:pStyle w:val="Bullet1G"/>
      </w:pPr>
      <w:r w:rsidRPr="008A38B9">
        <w:t xml:space="preserve">Los miembros de la Cámara de Representantes podrán interpelar al Primer Ministro y a los Ministros sobre los asuntos de su competencia. Cada interpelado podrá responder a las preguntas de los parlamentarios. Solo el parlamentario requirente podrá formular observaciones a la respuesta; </w:t>
      </w:r>
    </w:p>
    <w:p w14:paraId="239465CE" w14:textId="77777777" w:rsidR="008A38B9" w:rsidRPr="008A38B9" w:rsidRDefault="008A38B9" w:rsidP="00A4737A">
      <w:pPr>
        <w:pStyle w:val="Bullet1G"/>
      </w:pPr>
      <w:r w:rsidRPr="008A38B9">
        <w:t>Al menos 25 miembros de la Cámara de Representantes podrán solicitar como tema plenario de debate aclaraciones sobre la política o el desempeño del Consejo de Ministros o de un Ministerio concreto. La propuesta se entregará al Presidente de la Cámara y el Primer Ministro o un Ministro fijará una fecha de comparecencia y debate parlamentario;</w:t>
      </w:r>
    </w:p>
    <w:p w14:paraId="0F124D0E" w14:textId="77777777" w:rsidR="008A38B9" w:rsidRPr="008A38B9" w:rsidRDefault="008A38B9" w:rsidP="00A4737A">
      <w:pPr>
        <w:pStyle w:val="Bullet1G"/>
      </w:pPr>
      <w:r w:rsidRPr="008A38B9">
        <w:t xml:space="preserve">Los miembros de la Cámara de Representantes podrán, con el apoyo de 25 de ellos, interpelar al Primer Ministro y a los Ministros sobre los asuntos de su competencia. El debate no comenzará hasta transcurridos al menos </w:t>
      </w:r>
      <w:r w:rsidR="009E4B05">
        <w:t>siete</w:t>
      </w:r>
      <w:r w:rsidRPr="008A38B9">
        <w:t xml:space="preserve"> días desde la presentación de la interpelación parlamentaria;</w:t>
      </w:r>
    </w:p>
    <w:p w14:paraId="4C22D4EC" w14:textId="77777777" w:rsidR="008A38B9" w:rsidRPr="008A38B9" w:rsidRDefault="008A38B9" w:rsidP="00A4737A">
      <w:pPr>
        <w:pStyle w:val="SingleTxtG"/>
      </w:pPr>
      <w:r w:rsidRPr="008A38B9">
        <w:t>8.</w:t>
      </w:r>
    </w:p>
    <w:p w14:paraId="6F4F3C78" w14:textId="77777777" w:rsidR="008A38B9" w:rsidRPr="008A38B9" w:rsidRDefault="008A38B9" w:rsidP="00A4737A">
      <w:pPr>
        <w:pStyle w:val="Bullet1G"/>
      </w:pPr>
      <w:r w:rsidRPr="008A38B9">
        <w:t>La Cámara de Representantes podrá retirar la confianza a un Ministro por mayoría absoluta de sus miembros. El Ministro se considerará cesado desde la fecha en que se le retire la confianza. Solo podrá plantearse la retirada de la confianza a un Ministro con su beneplácito o por solicitud de la Cámara de Representantes, suscrita por 25 de sus miembros tras el debate de interpelación. La Cámara no se pronunciará hasta transcurridos al menos siete días desde la interpelación;</w:t>
      </w:r>
    </w:p>
    <w:p w14:paraId="4DCFC686" w14:textId="77777777" w:rsidR="008A38B9" w:rsidRPr="008A38B9" w:rsidRDefault="008A38B9" w:rsidP="00A4737A">
      <w:pPr>
        <w:pStyle w:val="Bullet1G"/>
      </w:pPr>
      <w:r w:rsidRPr="008A38B9">
        <w:t>El Presidente de la República podrá solicitar a la Cámara de Representantes que retire la confianza al Primer Ministro;</w:t>
      </w:r>
    </w:p>
    <w:p w14:paraId="36FFD121" w14:textId="77777777" w:rsidR="008A38B9" w:rsidRPr="008A38B9" w:rsidRDefault="008A38B9" w:rsidP="00A4737A">
      <w:pPr>
        <w:pStyle w:val="Bullet1G"/>
      </w:pPr>
      <w:r w:rsidRPr="008A38B9">
        <w:t xml:space="preserve">La Cámara de Representantes, a solicitud de un quinto de sus miembros, podrá retirar la confianza al Primer Ministro. La solicitud solo podrá presentarse una vez interpelado el Primer Ministro y transcurridos al menos siete días desde la presentación de la solicitud; </w:t>
      </w:r>
    </w:p>
    <w:p w14:paraId="0F06BFA6" w14:textId="77777777" w:rsidR="008A38B9" w:rsidRPr="008A38B9" w:rsidRDefault="008A38B9" w:rsidP="00A4737A">
      <w:pPr>
        <w:pStyle w:val="Bullet1G"/>
      </w:pPr>
      <w:r w:rsidRPr="008A38B9">
        <w:t xml:space="preserve">La Cámara de Representantes resolverá retirar la confianza al Primer Ministro con el voto favorable de la mayoría de sus miembros; </w:t>
      </w:r>
    </w:p>
    <w:p w14:paraId="10F302EC" w14:textId="77777777" w:rsidR="008A38B9" w:rsidRPr="008A38B9" w:rsidRDefault="008A38B9" w:rsidP="00A4737A">
      <w:pPr>
        <w:pStyle w:val="Bullet1G"/>
      </w:pPr>
      <w:r w:rsidRPr="008A38B9">
        <w:t xml:space="preserve">El Ministro se tiene por cesado tan pronto como el Primer Ministro le retira su confianza; </w:t>
      </w:r>
    </w:p>
    <w:p w14:paraId="55C3D360" w14:textId="77777777" w:rsidR="008A38B9" w:rsidRPr="008A38B9" w:rsidRDefault="008A38B9" w:rsidP="00A4737A">
      <w:pPr>
        <w:pStyle w:val="Bullet1G"/>
      </w:pPr>
      <w:r w:rsidRPr="008A38B9">
        <w:t>En caso de que la votación retire la confianza a todo el Consejo de Ministros, el Primer Ministro y los Ministros continuarán en sus puestos para gestionar las diligencias diarias por un tiempo máximo de 30 días hasta que, con arreglo a lo previsto en el artículo 67 de esta Constitución, se constituya un nuevo Consejo de Ministros;</w:t>
      </w:r>
    </w:p>
    <w:p w14:paraId="5490FA31" w14:textId="77777777" w:rsidR="008A38B9" w:rsidRPr="008A38B9" w:rsidRDefault="008A38B9" w:rsidP="00A4737A">
      <w:pPr>
        <w:pStyle w:val="Bullet1G"/>
      </w:pPr>
      <w:r w:rsidRPr="008A38B9">
        <w:t>La Cámara de Representantes podrá interpelar a los responsables de las comisiones independientes con arreglo al procedimiento descrito para la interpelación a los Ministros, salvo que para ello no se exige mayoría absoluta;</w:t>
      </w:r>
    </w:p>
    <w:p w14:paraId="58DB0E5A" w14:textId="77777777" w:rsidR="008A38B9" w:rsidRPr="008A38B9" w:rsidRDefault="008A38B9" w:rsidP="00A4737A">
      <w:pPr>
        <w:pStyle w:val="SingleTxtG"/>
      </w:pPr>
      <w:r w:rsidRPr="008A38B9">
        <w:t>9.</w:t>
      </w:r>
    </w:p>
    <w:p w14:paraId="66C289C1" w14:textId="77777777" w:rsidR="008A38B9" w:rsidRPr="008A38B9" w:rsidRDefault="008A38B9" w:rsidP="00A4737A">
      <w:pPr>
        <w:pStyle w:val="Bullet1G"/>
      </w:pPr>
      <w:r w:rsidRPr="008A38B9">
        <w:t xml:space="preserve">Sancionar la declaración de guerra y el estado de emergencia, con el voto favorable de dos tercios de sus miembros, a solicitud conjunta del Presidente de la República y el Primer Ministro; </w:t>
      </w:r>
    </w:p>
    <w:p w14:paraId="502BA301" w14:textId="77777777" w:rsidR="008A38B9" w:rsidRPr="008A38B9" w:rsidRDefault="008A38B9" w:rsidP="00A4737A">
      <w:pPr>
        <w:pStyle w:val="Bullet1G"/>
      </w:pPr>
      <w:r w:rsidRPr="008A38B9">
        <w:t xml:space="preserve">Declarar el estado de emergencia por un período de 30 días prorrogables. Cada prórroga se autorizará de manera independiente; </w:t>
      </w:r>
    </w:p>
    <w:p w14:paraId="35193ACD" w14:textId="77777777" w:rsidR="008A38B9" w:rsidRPr="008A38B9" w:rsidRDefault="008A38B9" w:rsidP="00A4737A">
      <w:pPr>
        <w:pStyle w:val="Bullet1G"/>
      </w:pPr>
      <w:r w:rsidRPr="008A38B9">
        <w:t>El Primer Ministro tendrá las facultades necesarias para dirigir los asuntos del país durante el estado de guerra o de emergencia. Una ley regulará estas competencias con sujeción a la Constitución</w:t>
      </w:r>
      <w:r w:rsidR="009E4B05">
        <w:t>;</w:t>
      </w:r>
    </w:p>
    <w:p w14:paraId="23F1915B" w14:textId="77777777" w:rsidR="008A38B9" w:rsidRPr="008A38B9" w:rsidRDefault="008A38B9" w:rsidP="00A4737A">
      <w:pPr>
        <w:pStyle w:val="Bullet1G"/>
      </w:pPr>
      <w:r w:rsidRPr="008A38B9">
        <w:t>El Primer Ministro informará a la Cámara de Representantes sobre las medidas tomadas durante el estado de guerra o de emergencia y sobre sus resultados en los 15 días siguientes a la finalización del estado de guerra o de emergencia.</w:t>
      </w:r>
    </w:p>
    <w:p w14:paraId="05622375" w14:textId="77777777" w:rsidR="008A38B9" w:rsidRPr="008A38B9" w:rsidRDefault="008A38B9" w:rsidP="00A4737A">
      <w:pPr>
        <w:pStyle w:val="SingleTxtG"/>
      </w:pPr>
      <w:r w:rsidRPr="008A38B9">
        <w:lastRenderedPageBreak/>
        <w:t>80.</w:t>
      </w:r>
      <w:r w:rsidRPr="008A38B9">
        <w:tab/>
      </w:r>
      <w:r w:rsidRPr="00A4737A">
        <w:rPr>
          <w:b/>
          <w:bCs/>
        </w:rPr>
        <w:t>Cámara Federal:</w:t>
      </w:r>
    </w:p>
    <w:p w14:paraId="20F6F95A" w14:textId="77777777" w:rsidR="008A38B9" w:rsidRPr="008A38B9" w:rsidRDefault="008A38B9" w:rsidP="00A4737A">
      <w:pPr>
        <w:pStyle w:val="SingleTxtG"/>
      </w:pPr>
      <w:r w:rsidRPr="008A38B9">
        <w:tab/>
      </w:r>
      <w:r w:rsidR="00A4737A">
        <w:t>“</w:t>
      </w:r>
      <w:r w:rsidRPr="008A38B9">
        <w:t>Se constituirá una cámara legislativa, denominada Cámara Federal, en la que estarán representadas las regiones y las provincias no incluidas en una región. Su constitución, los requisitos exigidos a sus miembros, sus competencias y cuanto le ataña se regulará en una ley que habrá de ser aprobada por mayoría de dos tercios de la Cámara de Representantes</w:t>
      </w:r>
      <w:r w:rsidR="00A4737A">
        <w:t>”</w:t>
      </w:r>
      <w:r w:rsidRPr="008A38B9">
        <w:t xml:space="preserve"> (art. 65 de la Constitución). </w:t>
      </w:r>
    </w:p>
    <w:p w14:paraId="3DC8ADDD" w14:textId="77777777" w:rsidR="008A38B9" w:rsidRPr="008A38B9" w:rsidRDefault="008A38B9" w:rsidP="00A4737A">
      <w:pPr>
        <w:pStyle w:val="SingleTxtG"/>
      </w:pPr>
      <w:r w:rsidRPr="008A38B9">
        <w:t>81.</w:t>
      </w:r>
      <w:r w:rsidRPr="008A38B9">
        <w:tab/>
      </w:r>
      <w:r w:rsidR="00FF2968" w:rsidRPr="00FF2968">
        <w:rPr>
          <w:b/>
          <w:bCs/>
        </w:rPr>
        <w:t>II.</w:t>
      </w:r>
      <w:r w:rsidR="0053592A">
        <w:rPr>
          <w:b/>
          <w:bCs/>
        </w:rPr>
        <w:t xml:space="preserve"> </w:t>
      </w:r>
      <w:r w:rsidRPr="00A4737A">
        <w:rPr>
          <w:b/>
          <w:bCs/>
        </w:rPr>
        <w:t>Poder ejecutivo:</w:t>
      </w:r>
    </w:p>
    <w:p w14:paraId="56C2CBA7" w14:textId="77777777" w:rsidR="008A38B9" w:rsidRPr="008A38B9" w:rsidRDefault="00A4737A" w:rsidP="00A4737A">
      <w:pPr>
        <w:pStyle w:val="SingleTxtG"/>
      </w:pPr>
      <w:r>
        <w:tab/>
        <w:t>“</w:t>
      </w:r>
      <w:r w:rsidR="008A38B9" w:rsidRPr="008A38B9">
        <w:t>El poder ejecutivo federal está compuesto por el Presidente de la República y el Consejo de Ministros y hará efectivo su mandato con sujeción a la Constitución y la ley</w:t>
      </w:r>
      <w:r>
        <w:t>”</w:t>
      </w:r>
      <w:r w:rsidR="008A38B9" w:rsidRPr="008A38B9">
        <w:t xml:space="preserve"> (art. 66 de la Constitución). </w:t>
      </w:r>
      <w:r>
        <w:t>“</w:t>
      </w:r>
      <w:r w:rsidR="008A38B9" w:rsidRPr="008A38B9">
        <w:t>El Presidente de la República es el Jefe del Estado y el símbolo de la unidad del país, cuya soberanía encarna. El Presidente también asegura la observancia de la Constitución y preserva la independencia, la soberanía, la unidad y la integridad territorial del Iraq</w:t>
      </w:r>
      <w:r>
        <w:t>”</w:t>
      </w:r>
      <w:r w:rsidR="008A38B9" w:rsidRPr="008A38B9">
        <w:t xml:space="preserve"> (</w:t>
      </w:r>
      <w:r w:rsidR="00AE6766" w:rsidRPr="00AE6766">
        <w:rPr>
          <w:i/>
        </w:rPr>
        <w:t>i</w:t>
      </w:r>
      <w:r w:rsidR="008A38B9" w:rsidRPr="00AE6766">
        <w:rPr>
          <w:i/>
        </w:rPr>
        <w:t>dem</w:t>
      </w:r>
      <w:r w:rsidR="00AE6766" w:rsidRPr="00AE6766">
        <w:rPr>
          <w:i/>
        </w:rPr>
        <w:t>.</w:t>
      </w:r>
      <w:r w:rsidR="008A38B9" w:rsidRPr="008A38B9">
        <w:t>, art. 67). Con arreglo a lo dispuesto en el artículo 73 de la Constitución, el Presidente de la República está facultado para:</w:t>
      </w:r>
    </w:p>
    <w:p w14:paraId="0A0BB3BE" w14:textId="77777777" w:rsidR="008A38B9" w:rsidRPr="008A38B9" w:rsidRDefault="008A38B9" w:rsidP="00A4737A">
      <w:pPr>
        <w:pStyle w:val="SingleTxtG"/>
      </w:pPr>
      <w:r w:rsidRPr="008A38B9">
        <w:tab/>
      </w:r>
      <w:r w:rsidR="00A4737A">
        <w:t>“</w:t>
      </w:r>
      <w:r w:rsidRPr="008A38B9">
        <w:t>1.</w:t>
      </w:r>
      <w:r w:rsidR="00A4737A">
        <w:tab/>
      </w:r>
      <w:r w:rsidRPr="008A38B9">
        <w:t xml:space="preserve">Otorgar indultos a propuesta del Primer Ministro. No podrán beneficiarse del indulto los condenados por cuestiones de derecho privado o por la comisión de crímenes internacionales o actos de terrorismo o de corrupción financiera o administrativa; </w:t>
      </w:r>
    </w:p>
    <w:p w14:paraId="7DFB2CFA" w14:textId="77777777" w:rsidR="008A38B9" w:rsidRPr="008A38B9" w:rsidRDefault="008A38B9" w:rsidP="00A4737A">
      <w:pPr>
        <w:pStyle w:val="SingleTxtG"/>
      </w:pPr>
      <w:r w:rsidRPr="008A38B9">
        <w:tab/>
        <w:t>2.</w:t>
      </w:r>
      <w:r w:rsidR="00A4737A">
        <w:tab/>
      </w:r>
      <w:r w:rsidRPr="008A38B9">
        <w:t xml:space="preserve">Ratificar los tratados y acuerdos internacionales aprobados por la Cámara de Representantes. Se consideran ratificados a los 15 días de su depósito; </w:t>
      </w:r>
    </w:p>
    <w:p w14:paraId="27F9726D" w14:textId="77777777" w:rsidR="008A38B9" w:rsidRPr="008A38B9" w:rsidRDefault="008A38B9" w:rsidP="00A4737A">
      <w:pPr>
        <w:pStyle w:val="SingleTxtG"/>
      </w:pPr>
      <w:r w:rsidRPr="008A38B9">
        <w:tab/>
        <w:t>3.</w:t>
      </w:r>
      <w:r w:rsidR="00A4737A">
        <w:tab/>
      </w:r>
      <w:r w:rsidRPr="008A38B9">
        <w:t xml:space="preserve">Ratificar las leyes aprobadas por la Cámara de Representantes. La ley se entiende ratificada a los 15 días de su depósito; </w:t>
      </w:r>
    </w:p>
    <w:p w14:paraId="27A77FF6" w14:textId="77777777" w:rsidR="008A38B9" w:rsidRPr="008A38B9" w:rsidRDefault="008A38B9" w:rsidP="00A4737A">
      <w:pPr>
        <w:pStyle w:val="SingleTxtG"/>
      </w:pPr>
      <w:r w:rsidRPr="008A38B9">
        <w:tab/>
        <w:t>4.</w:t>
      </w:r>
      <w:r w:rsidR="00A4737A">
        <w:tab/>
      </w:r>
      <w:r w:rsidRPr="008A38B9">
        <w:t xml:space="preserve">Convocar a la Cámara de Representantes a reunirse en los 15 días siguientes a la ratificación de los resultados del proceso electoral y en cualesquiera otros supuestos previstos en la Constitución; </w:t>
      </w:r>
    </w:p>
    <w:p w14:paraId="5FE4DB54" w14:textId="77777777" w:rsidR="008A38B9" w:rsidRPr="008A38B9" w:rsidRDefault="008A38B9" w:rsidP="00A4737A">
      <w:pPr>
        <w:pStyle w:val="SingleTxtG"/>
      </w:pPr>
      <w:r w:rsidRPr="008A38B9">
        <w:tab/>
        <w:t>5.</w:t>
      </w:r>
      <w:r w:rsidR="00A4737A">
        <w:tab/>
      </w:r>
      <w:r w:rsidRPr="008A38B9">
        <w:t xml:space="preserve">Conceder los títulos y dignidades por recomendación del Primer Ministro y con sujeción a la ley; </w:t>
      </w:r>
    </w:p>
    <w:p w14:paraId="69BF12FC" w14:textId="77777777" w:rsidR="008A38B9" w:rsidRPr="008A38B9" w:rsidRDefault="008A38B9" w:rsidP="00A4737A">
      <w:pPr>
        <w:pStyle w:val="SingleTxtG"/>
      </w:pPr>
      <w:r w:rsidRPr="008A38B9">
        <w:tab/>
        <w:t>6.</w:t>
      </w:r>
      <w:r w:rsidR="00A4737A">
        <w:tab/>
      </w:r>
      <w:r w:rsidRPr="008A38B9">
        <w:t xml:space="preserve">Manifestar el plácet a los embajadores; </w:t>
      </w:r>
    </w:p>
    <w:p w14:paraId="624835D8" w14:textId="77777777" w:rsidR="008A38B9" w:rsidRPr="008A38B9" w:rsidRDefault="008A38B9" w:rsidP="00A4737A">
      <w:pPr>
        <w:pStyle w:val="SingleTxtG"/>
      </w:pPr>
      <w:r w:rsidRPr="008A38B9">
        <w:tab/>
        <w:t>7.</w:t>
      </w:r>
      <w:r w:rsidR="00A4737A">
        <w:tab/>
      </w:r>
      <w:r w:rsidRPr="008A38B9">
        <w:t xml:space="preserve">Promulgar los decretos presidenciales; </w:t>
      </w:r>
    </w:p>
    <w:p w14:paraId="074699AE" w14:textId="77777777" w:rsidR="008A38B9" w:rsidRPr="008A38B9" w:rsidRDefault="008A38B9" w:rsidP="00A4737A">
      <w:pPr>
        <w:pStyle w:val="SingleTxtG"/>
      </w:pPr>
      <w:r w:rsidRPr="008A38B9">
        <w:tab/>
        <w:t>8.</w:t>
      </w:r>
      <w:r w:rsidR="00A4737A">
        <w:tab/>
      </w:r>
      <w:r w:rsidRPr="008A38B9">
        <w:t xml:space="preserve">Ratificar las condenas a muerte dictadas por los tribunales competentes; </w:t>
      </w:r>
    </w:p>
    <w:p w14:paraId="3A826581" w14:textId="77777777" w:rsidR="008A38B9" w:rsidRPr="008A38B9" w:rsidRDefault="008A38B9" w:rsidP="00A4737A">
      <w:pPr>
        <w:pStyle w:val="SingleTxtG"/>
      </w:pPr>
      <w:r w:rsidRPr="008A38B9">
        <w:tab/>
        <w:t>9.</w:t>
      </w:r>
      <w:r w:rsidR="00A4737A">
        <w:tab/>
      </w:r>
      <w:r w:rsidRPr="008A38B9">
        <w:t xml:space="preserve">Ejercer la jefatura superior de las Fuerzas Armadas a efectos honoríficos y ceremoniales; </w:t>
      </w:r>
    </w:p>
    <w:p w14:paraId="377CCFAB" w14:textId="77777777" w:rsidR="008A38B9" w:rsidRPr="008A38B9" w:rsidRDefault="008A38B9" w:rsidP="00A4737A">
      <w:pPr>
        <w:pStyle w:val="SingleTxtG"/>
      </w:pPr>
      <w:r w:rsidRPr="008A38B9">
        <w:tab/>
        <w:t>10.</w:t>
      </w:r>
      <w:r w:rsidR="00A4737A">
        <w:tab/>
      </w:r>
      <w:r w:rsidRPr="008A38B9">
        <w:t>Ejercer cualesquiera otras competencias presidenciales previstas en esta Constitución”.</w:t>
      </w:r>
    </w:p>
    <w:p w14:paraId="4A37A9BD" w14:textId="77777777" w:rsidR="008A38B9" w:rsidRPr="008A38B9" w:rsidRDefault="00A4737A" w:rsidP="00A4737A">
      <w:pPr>
        <w:pStyle w:val="SingleTxtG"/>
      </w:pPr>
      <w:r>
        <w:tab/>
      </w:r>
      <w:r w:rsidR="008A38B9" w:rsidRPr="008A38B9">
        <w:t xml:space="preserve">Debido a la naturaleza de la fase de transición por la que atraviesa el Iraq y su consiguiente coyuntura jurídica y constitucional, el artículo 138 de la Constitución prevé el establecimiento del </w:t>
      </w:r>
      <w:r>
        <w:t>“</w:t>
      </w:r>
      <w:r w:rsidR="008A38B9" w:rsidRPr="008A38B9">
        <w:t>Consejo de la Presidencia</w:t>
      </w:r>
      <w:r>
        <w:t>”</w:t>
      </w:r>
      <w:r w:rsidR="008A38B9" w:rsidRPr="008A38B9">
        <w:t xml:space="preserve">, expresión que reemplazará a </w:t>
      </w:r>
      <w:r>
        <w:t>“</w:t>
      </w:r>
      <w:r w:rsidR="008A38B9" w:rsidRPr="008A38B9">
        <w:t>Presidente de la República</w:t>
      </w:r>
      <w:r>
        <w:t>”</w:t>
      </w:r>
      <w:r w:rsidR="008A38B9" w:rsidRPr="008A38B9">
        <w:t xml:space="preserve"> a lo largo de todo el texto constitucional. Las disposiciones relativas al Presidente de la República quedarán restablecidas </w:t>
      </w:r>
      <w:r w:rsidR="00AE6766">
        <w:t xml:space="preserve">en </w:t>
      </w:r>
      <w:r w:rsidR="008A38B9" w:rsidRPr="008A38B9">
        <w:t>un mandato después de la entrada en vigor de la Constitución. La Cámara de Representantes elegirá, a partir de una lista única y por mayoría de dos tercios, al Jefe del Estado y a sus dos Vicepresidentes, que formarán el Consejo de la Presidencia. Este gozará de las facultades conferidas por la Constitución al Presidente de la República y tomará sus decisiones por consenso. Cualquiera de los miembros del Consejo de la Presidencia podrá delegar en los otros dos.</w:t>
      </w:r>
    </w:p>
    <w:p w14:paraId="54779099" w14:textId="77777777" w:rsidR="008A38B9" w:rsidRPr="008A38B9" w:rsidRDefault="008A38B9" w:rsidP="00A4737A">
      <w:pPr>
        <w:pStyle w:val="SingleTxtG"/>
      </w:pPr>
      <w:r w:rsidRPr="008A38B9">
        <w:t>82.</w:t>
      </w:r>
      <w:r w:rsidRPr="008A38B9">
        <w:tab/>
      </w:r>
      <w:r w:rsidRPr="00A4737A">
        <w:rPr>
          <w:b/>
          <w:bCs/>
        </w:rPr>
        <w:t>Consejo de Ministros:</w:t>
      </w:r>
    </w:p>
    <w:p w14:paraId="09F32EBA" w14:textId="77777777" w:rsidR="008A38B9" w:rsidRPr="008A38B9" w:rsidRDefault="00A4737A" w:rsidP="00A4737A">
      <w:pPr>
        <w:pStyle w:val="SingleTxtG"/>
      </w:pPr>
      <w:r>
        <w:tab/>
        <w:t>“</w:t>
      </w:r>
      <w:r w:rsidR="008A38B9" w:rsidRPr="008A38B9">
        <w:t>El Presidente de la República, en los 15 días posteriores a su designación, encargará al candidato electo del bloque parlamentario mayoritario que forme el Consejo de Ministros. El Primer Ministro designado nombrará a los miembros de su Consejo de Ministros en los 30 días siguientes a su designación. El Primer Ministro designado presentará a la Cámara de Representantes los nombres de los miembros de su Consejo de Ministros y el programa ministerial. El programa y cada Ministro obtendrán la confianza de la Cámara con el voto de la mayoría absoluta de sus miembros</w:t>
      </w:r>
      <w:r w:rsidR="00AE6766">
        <w:t>”</w:t>
      </w:r>
      <w:r w:rsidR="008A38B9" w:rsidRPr="008A38B9">
        <w:t xml:space="preserve"> (art. 76 de la Constitución).</w:t>
      </w:r>
    </w:p>
    <w:p w14:paraId="515453AF" w14:textId="77777777" w:rsidR="008A38B9" w:rsidRPr="008A38B9" w:rsidRDefault="00A4737A" w:rsidP="00A4737A">
      <w:pPr>
        <w:pStyle w:val="SingleTxtG"/>
      </w:pPr>
      <w:r>
        <w:lastRenderedPageBreak/>
        <w:tab/>
        <w:t>“</w:t>
      </w:r>
      <w:r w:rsidR="008A38B9" w:rsidRPr="008A38B9">
        <w:t>Al Primer Ministro se le exigen los mismos requisitos que al Presidente de la República, así como que haya cursado estudios universitarios o equivalentes y haya cumplido 35 años. A los Ministros se les exigen los mismos requisitos que a los miembros de la Cámara de Representantes, así como que hayan cursado estudios universitarios o equivalentes</w:t>
      </w:r>
      <w:r>
        <w:t>”</w:t>
      </w:r>
      <w:r w:rsidR="008A38B9" w:rsidRPr="008A38B9">
        <w:t xml:space="preserve"> (</w:t>
      </w:r>
      <w:r w:rsidR="00AE6766" w:rsidRPr="00AE6766">
        <w:rPr>
          <w:i/>
        </w:rPr>
        <w:t>i</w:t>
      </w:r>
      <w:r w:rsidR="008A38B9" w:rsidRPr="00AE6766">
        <w:rPr>
          <w:i/>
        </w:rPr>
        <w:t>dem</w:t>
      </w:r>
      <w:r w:rsidR="00AE6766" w:rsidRPr="00AE6766">
        <w:rPr>
          <w:i/>
        </w:rPr>
        <w:t>.</w:t>
      </w:r>
      <w:r w:rsidR="008A38B9" w:rsidRPr="008A38B9">
        <w:t xml:space="preserve">, art. 77). </w:t>
      </w:r>
      <w:r>
        <w:t>“</w:t>
      </w:r>
      <w:r w:rsidR="008A38B9" w:rsidRPr="008A38B9">
        <w:t>El Primer Ministro es la autoridad ejecutiva que responde de la política general del Estado y el Comandante en Jefe de las Fuerzas Armadas. Preside el Consejo de Ministros y sus reuniones y está facultado para destituir a los Ministros con la aprobación de la Cámara de Representantes</w:t>
      </w:r>
      <w:r>
        <w:t>”</w:t>
      </w:r>
      <w:r w:rsidR="008A38B9" w:rsidRPr="008A38B9">
        <w:t xml:space="preserve"> (</w:t>
      </w:r>
      <w:r w:rsidR="00AE6766" w:rsidRPr="00AE6766">
        <w:rPr>
          <w:i/>
        </w:rPr>
        <w:t>i</w:t>
      </w:r>
      <w:r w:rsidR="008A38B9" w:rsidRPr="00AE6766">
        <w:rPr>
          <w:i/>
        </w:rPr>
        <w:t>dem</w:t>
      </w:r>
      <w:r w:rsidR="00AE6766" w:rsidRPr="00AE6766">
        <w:rPr>
          <w:i/>
        </w:rPr>
        <w:t>.</w:t>
      </w:r>
      <w:r w:rsidR="008A38B9" w:rsidRPr="008A38B9">
        <w:t>, art. 78).</w:t>
      </w:r>
    </w:p>
    <w:p w14:paraId="2B1B50AB" w14:textId="77777777" w:rsidR="008A38B9" w:rsidRPr="008A38B9" w:rsidRDefault="00A4737A" w:rsidP="00A4737A">
      <w:pPr>
        <w:pStyle w:val="SingleTxtG"/>
      </w:pPr>
      <w:r>
        <w:tab/>
      </w:r>
      <w:r w:rsidR="008A38B9" w:rsidRPr="008A38B9">
        <w:t xml:space="preserve">De conformidad con el artículo 80, el Consejo de Ministros del Iraq ejerce las atribuciones siguientes al amparo de la Constitución iraquí en vigor: </w:t>
      </w:r>
    </w:p>
    <w:p w14:paraId="51F27FC5" w14:textId="77777777" w:rsidR="008A38B9" w:rsidRPr="008A38B9" w:rsidRDefault="008A38B9" w:rsidP="00A4737A">
      <w:pPr>
        <w:pStyle w:val="SingleTxtG"/>
      </w:pPr>
      <w:r w:rsidRPr="008A38B9">
        <w:tab/>
        <w:t>“1.</w:t>
      </w:r>
      <w:r w:rsidR="00A4737A">
        <w:tab/>
      </w:r>
      <w:r w:rsidRPr="008A38B9">
        <w:t>Planifica y ejecuta la política general del Estado y los planes públicos, así como supervisa la labor de los Ministerios y de las instancias no ministeriales;</w:t>
      </w:r>
    </w:p>
    <w:p w14:paraId="5F1C85A0" w14:textId="77777777" w:rsidR="008A38B9" w:rsidRPr="008A38B9" w:rsidRDefault="008A38B9" w:rsidP="00A4737A">
      <w:pPr>
        <w:pStyle w:val="SingleTxtG"/>
      </w:pPr>
      <w:r w:rsidRPr="008A38B9">
        <w:tab/>
        <w:t>2.</w:t>
      </w:r>
      <w:r w:rsidR="00A4737A">
        <w:tab/>
      </w:r>
      <w:r w:rsidRPr="008A38B9">
        <w:t>Propone los proyectos de ley;</w:t>
      </w:r>
    </w:p>
    <w:p w14:paraId="643F3BE4" w14:textId="77777777" w:rsidR="008A38B9" w:rsidRPr="008A38B9" w:rsidRDefault="008A38B9" w:rsidP="00A4737A">
      <w:pPr>
        <w:pStyle w:val="SingleTxtG"/>
      </w:pPr>
      <w:r w:rsidRPr="008A38B9">
        <w:tab/>
        <w:t>3.</w:t>
      </w:r>
      <w:r w:rsidR="00A4737A">
        <w:tab/>
      </w:r>
      <w:r w:rsidRPr="008A38B9">
        <w:t>Promulga los reglamentos, las directrices y las resoluciones encaminadas a hacer cumplir las leyes;</w:t>
      </w:r>
    </w:p>
    <w:p w14:paraId="68E981D4" w14:textId="77777777" w:rsidR="008A38B9" w:rsidRPr="008A38B9" w:rsidRDefault="008A38B9" w:rsidP="00A4737A">
      <w:pPr>
        <w:pStyle w:val="SingleTxtG"/>
      </w:pPr>
      <w:r w:rsidRPr="008A38B9">
        <w:tab/>
        <w:t>4.</w:t>
      </w:r>
      <w:r w:rsidR="00A4737A">
        <w:tab/>
      </w:r>
      <w:r w:rsidRPr="008A38B9">
        <w:t>Elabora el proyecto de presupuesto general, el balance final de cuentas y los planes de desarrollo;</w:t>
      </w:r>
    </w:p>
    <w:p w14:paraId="61268059" w14:textId="77777777" w:rsidR="008A38B9" w:rsidRPr="008A38B9" w:rsidRDefault="008A38B9" w:rsidP="00A4737A">
      <w:pPr>
        <w:pStyle w:val="SingleTxtG"/>
      </w:pPr>
      <w:r w:rsidRPr="008A38B9">
        <w:tab/>
        <w:t>5.</w:t>
      </w:r>
      <w:r w:rsidR="00A4737A">
        <w:tab/>
      </w:r>
      <w:r w:rsidRPr="008A38B9">
        <w:t>Recomienda a la Cámara de Representantes el nombramiento de los Viceministros, los embajadores, los funcionarios de rango superior, el Jefe del Estado Mayor y sus ayudantes, los Jefes de División y oficiales de rango superior, el Jefe de los Servicios de Inteligencia y los jefes de los servicios de seguridad;</w:t>
      </w:r>
    </w:p>
    <w:p w14:paraId="1D16CA79" w14:textId="77777777" w:rsidR="008A38B9" w:rsidRPr="008A38B9" w:rsidRDefault="008A38B9" w:rsidP="00A4737A">
      <w:pPr>
        <w:pStyle w:val="SingleTxtG"/>
      </w:pPr>
      <w:r w:rsidRPr="008A38B9">
        <w:tab/>
        <w:t>6.</w:t>
      </w:r>
      <w:r w:rsidR="00A4737A">
        <w:tab/>
      </w:r>
      <w:r w:rsidRPr="008A38B9">
        <w:t>Negocia los convenios y los tratados internacionales y los suscribe él o la persona por él autorizada”.</w:t>
      </w:r>
    </w:p>
    <w:p w14:paraId="0E624C44" w14:textId="77777777" w:rsidR="008A38B9" w:rsidRPr="008A38B9" w:rsidRDefault="008A38B9" w:rsidP="00A4737A">
      <w:pPr>
        <w:pStyle w:val="SingleTxtG"/>
      </w:pPr>
      <w:r w:rsidRPr="008A38B9">
        <w:t>83.</w:t>
      </w:r>
      <w:r w:rsidRPr="008A38B9">
        <w:tab/>
      </w:r>
      <w:r w:rsidR="00AE6766" w:rsidRPr="00AE6766">
        <w:rPr>
          <w:b/>
          <w:bCs/>
        </w:rPr>
        <w:t>III.</w:t>
      </w:r>
      <w:r w:rsidR="0053592A">
        <w:rPr>
          <w:b/>
          <w:bCs/>
        </w:rPr>
        <w:t xml:space="preserve"> </w:t>
      </w:r>
      <w:r w:rsidRPr="00A4737A">
        <w:rPr>
          <w:b/>
          <w:bCs/>
        </w:rPr>
        <w:t>Poder judicial:</w:t>
      </w:r>
    </w:p>
    <w:p w14:paraId="6C148B0B" w14:textId="77777777" w:rsidR="008A38B9" w:rsidRPr="008A38B9" w:rsidRDefault="008A38B9" w:rsidP="00847ECE">
      <w:pPr>
        <w:pStyle w:val="Bullet1G"/>
      </w:pPr>
      <w:r w:rsidRPr="008A38B9">
        <w:t xml:space="preserve">El poder judicial constituye el tercer grupo de instituciones constitucionales iraquíes. Según la Constitución del Iraq, se trata de un poder independiente: </w:t>
      </w:r>
      <w:r w:rsidR="00847ECE">
        <w:t>“</w:t>
      </w:r>
      <w:r w:rsidRPr="008A38B9">
        <w:t>El poder judicial es independiente y lo ejercen los órganos judiciales en sus diferentes jurisdicciones e instancias. Las sentencias se sujetarán a lo dispuesto en la ley</w:t>
      </w:r>
      <w:r w:rsidR="00847ECE">
        <w:t>”</w:t>
      </w:r>
      <w:r w:rsidRPr="008A38B9">
        <w:t xml:space="preserve"> (art. 87 de la Constitución). </w:t>
      </w:r>
      <w:r w:rsidR="00847ECE">
        <w:t>“</w:t>
      </w:r>
      <w:r w:rsidRPr="008A38B9">
        <w:t>Los jueces son independientes y solo se sujetan al imperio de la ley en el ejercicio de sus funciones. Ningún poder se injerirá en los asuntos o el funcionamiento de la justicia</w:t>
      </w:r>
      <w:r w:rsidR="00847ECE">
        <w:t>”</w:t>
      </w:r>
      <w:r w:rsidRPr="008A38B9">
        <w:t xml:space="preserve"> (</w:t>
      </w:r>
      <w:r w:rsidR="00847ECE" w:rsidRPr="00847ECE">
        <w:rPr>
          <w:i/>
        </w:rPr>
        <w:t>i</w:t>
      </w:r>
      <w:r w:rsidRPr="00847ECE">
        <w:rPr>
          <w:i/>
        </w:rPr>
        <w:t>dem</w:t>
      </w:r>
      <w:r w:rsidR="00847ECE" w:rsidRPr="00847ECE">
        <w:rPr>
          <w:i/>
        </w:rPr>
        <w:t>.</w:t>
      </w:r>
      <w:r w:rsidRPr="008A38B9">
        <w:t>, art. 88).</w:t>
      </w:r>
    </w:p>
    <w:p w14:paraId="6B2703A1" w14:textId="77777777" w:rsidR="008A38B9" w:rsidRPr="008A38B9" w:rsidRDefault="008A38B9" w:rsidP="00847ECE">
      <w:pPr>
        <w:pStyle w:val="Bullet1G"/>
      </w:pPr>
      <w:r w:rsidRPr="008A38B9">
        <w:t>El poder judicial federal se compone del Consejo Superior de la Magistratura, el Tribunal Supremo Federal, el Tribunal de Casación Federal, la Fiscalía, la Comisión de Control Judicial y el resto de los órganos jurisdiccionales federales. La ley regulará la labor de esos organismos</w:t>
      </w:r>
      <w:r w:rsidR="00621EBC">
        <w:t xml:space="preserve"> (</w:t>
      </w:r>
      <w:r w:rsidR="00621EBC" w:rsidRPr="00621EBC">
        <w:rPr>
          <w:i/>
        </w:rPr>
        <w:t>idem.</w:t>
      </w:r>
      <w:r w:rsidR="00621EBC">
        <w:t>, art. 89)</w:t>
      </w:r>
      <w:r w:rsidRPr="008A38B9">
        <w:t>;</w:t>
      </w:r>
    </w:p>
    <w:p w14:paraId="52C32136" w14:textId="77777777" w:rsidR="008A38B9" w:rsidRPr="008A38B9" w:rsidRDefault="008A38B9" w:rsidP="00847ECE">
      <w:pPr>
        <w:pStyle w:val="Bullet1G"/>
      </w:pPr>
      <w:r w:rsidRPr="008A38B9">
        <w:t>Los artículos 90 y 91 de la Constitución iraquí disponen que el Consejo Superior de la Magistratura gestione los asuntos que atañan a los organismos judiciales y, en particular, le encomiendan las funciones siguientes:</w:t>
      </w:r>
    </w:p>
    <w:p w14:paraId="22DDF9D9" w14:textId="77777777" w:rsidR="008A38B9" w:rsidRPr="008A38B9" w:rsidRDefault="008A38B9" w:rsidP="00847ECE">
      <w:pPr>
        <w:pStyle w:val="SingleTxtG"/>
        <w:ind w:left="1701"/>
      </w:pPr>
      <w:r w:rsidRPr="008A38B9">
        <w:tab/>
        <w:t>1.</w:t>
      </w:r>
      <w:r w:rsidR="00847ECE">
        <w:tab/>
      </w:r>
      <w:r w:rsidRPr="008A38B9">
        <w:t xml:space="preserve">Dirigir los asuntos judiciales y supervisar la labor de la justicia federal; </w:t>
      </w:r>
    </w:p>
    <w:p w14:paraId="38C6BC85" w14:textId="77777777" w:rsidR="008A38B9" w:rsidRPr="008A38B9" w:rsidRDefault="008A38B9" w:rsidP="00847ECE">
      <w:pPr>
        <w:pStyle w:val="SingleTxtG"/>
        <w:ind w:left="1701"/>
      </w:pPr>
      <w:r w:rsidRPr="008A38B9">
        <w:tab/>
        <w:t>2.</w:t>
      </w:r>
      <w:r w:rsidR="00847ECE">
        <w:tab/>
      </w:r>
      <w:r w:rsidRPr="008A38B9">
        <w:t xml:space="preserve">Proponer a la Cámara de Representantes, para que sancione su designación, los candidatos a ocupar los cargos de Presidente y Vocales del Tribunal de Casación Federal, Fiscal General del Estado y Presidente de la Comisión de Control Judicial; </w:t>
      </w:r>
    </w:p>
    <w:p w14:paraId="3B3B071E" w14:textId="77777777" w:rsidR="008A38B9" w:rsidRPr="008A38B9" w:rsidRDefault="008A38B9" w:rsidP="00847ECE">
      <w:pPr>
        <w:pStyle w:val="SingleTxtG"/>
        <w:ind w:left="1701"/>
      </w:pPr>
      <w:r w:rsidRPr="008A38B9">
        <w:tab/>
        <w:t>3.</w:t>
      </w:r>
      <w:r w:rsidR="00847ECE">
        <w:tab/>
      </w:r>
      <w:r w:rsidRPr="008A38B9">
        <w:t>Proponer el proyecto de presupuesto anual para el poder judicial federal y exponerlo a la Cámara de Representantes para que proceda a su aprobación.</w:t>
      </w:r>
    </w:p>
    <w:p w14:paraId="628CEAB4" w14:textId="77777777" w:rsidR="008A38B9" w:rsidRPr="008A38B9" w:rsidRDefault="008A38B9" w:rsidP="00847ECE">
      <w:pPr>
        <w:pStyle w:val="Bullet1G"/>
      </w:pPr>
      <w:r w:rsidRPr="008A38B9">
        <w:t xml:space="preserve">En los artículos 92 y 93 se determinan la constitución y las competencias del Tribunal Supremo Federal: </w:t>
      </w:r>
    </w:p>
    <w:p w14:paraId="5314EF4E" w14:textId="77777777" w:rsidR="008A38B9" w:rsidRPr="008A38B9" w:rsidRDefault="008A38B9" w:rsidP="00847ECE">
      <w:pPr>
        <w:pStyle w:val="SingleTxtG"/>
        <w:ind w:left="1701"/>
      </w:pPr>
      <w:r w:rsidRPr="008A38B9">
        <w:tab/>
        <w:t>1.</w:t>
      </w:r>
      <w:r w:rsidR="00847ECE">
        <w:tab/>
      </w:r>
      <w:r w:rsidRPr="008A38B9">
        <w:t xml:space="preserve">El Tribunal Supremo Federal es un órgano jurisdiccional financiera y administrativamente independiente; </w:t>
      </w:r>
    </w:p>
    <w:p w14:paraId="652D5D19" w14:textId="77777777" w:rsidR="008A38B9" w:rsidRPr="008A38B9" w:rsidRDefault="008A38B9" w:rsidP="00847ECE">
      <w:pPr>
        <w:pStyle w:val="SingleTxtG"/>
        <w:ind w:left="1701"/>
      </w:pPr>
      <w:r w:rsidRPr="008A38B9">
        <w:lastRenderedPageBreak/>
        <w:tab/>
        <w:t>2.</w:t>
      </w:r>
      <w:r w:rsidR="00847ECE">
        <w:tab/>
      </w:r>
      <w:r w:rsidRPr="008A38B9">
        <w:t xml:space="preserve">El Tribunal Supremo Federal está compuesto por Magistrados, peritos en derecho islámico y juristas cuyo número se determinará por ley. El modo de seleccionarlos y la labor encomendada al Tribunal se determinarán mediante ley aprobada por mayoría de dos tercios de la Cámara de Representantes. </w:t>
      </w:r>
    </w:p>
    <w:p w14:paraId="18597927" w14:textId="77777777" w:rsidR="008A38B9" w:rsidRPr="008A38B9" w:rsidRDefault="008A38B9" w:rsidP="00847ECE">
      <w:pPr>
        <w:pStyle w:val="SingleTxtG"/>
      </w:pPr>
      <w:r w:rsidRPr="008A38B9">
        <w:tab/>
        <w:t xml:space="preserve">El Tribunal se ocupa de: </w:t>
      </w:r>
    </w:p>
    <w:p w14:paraId="3B898451" w14:textId="77777777" w:rsidR="008A38B9" w:rsidRPr="008A38B9" w:rsidRDefault="008A38B9" w:rsidP="00847ECE">
      <w:pPr>
        <w:pStyle w:val="SingleTxtG"/>
      </w:pPr>
      <w:r w:rsidRPr="008A38B9">
        <w:tab/>
        <w:t>1.</w:t>
      </w:r>
      <w:r w:rsidR="00847ECE">
        <w:tab/>
      </w:r>
      <w:r w:rsidRPr="008A38B9">
        <w:t xml:space="preserve">Vigilar la constitucionalidad de las leyes y los reglamentos en vigor; </w:t>
      </w:r>
    </w:p>
    <w:p w14:paraId="25A5E547" w14:textId="77777777" w:rsidR="008A38B9" w:rsidRPr="008A38B9" w:rsidRDefault="008A38B9" w:rsidP="00847ECE">
      <w:pPr>
        <w:pStyle w:val="SingleTxtG"/>
      </w:pPr>
      <w:r w:rsidRPr="008A38B9">
        <w:tab/>
        <w:t>2.</w:t>
      </w:r>
      <w:r w:rsidR="00847ECE">
        <w:tab/>
      </w:r>
      <w:r w:rsidRPr="008A38B9">
        <w:t xml:space="preserve">Interpretar los textos constitucionales; </w:t>
      </w:r>
    </w:p>
    <w:p w14:paraId="6859A411" w14:textId="77777777" w:rsidR="008A38B9" w:rsidRPr="008A38B9" w:rsidRDefault="008A38B9" w:rsidP="00847ECE">
      <w:pPr>
        <w:pStyle w:val="SingleTxtG"/>
      </w:pPr>
      <w:r w:rsidRPr="008A38B9">
        <w:tab/>
        <w:t>3.</w:t>
      </w:r>
      <w:r w:rsidR="00847ECE">
        <w:tab/>
      </w:r>
      <w:r w:rsidRPr="008A38B9">
        <w:t xml:space="preserve">Resolver los litigios relativos a las leyes federales y a las resoluciones, los reglamentos, las directrices y las normas de procedimiento emanadas del poder federal. La ley ampara el derecho de los miembros del Consejo de Ministros, los particulares con interés legítimo y cualesquiera personas a solicitar la tutela directa del Tribunal Supremo Federal; </w:t>
      </w:r>
    </w:p>
    <w:p w14:paraId="51F800C2" w14:textId="77777777" w:rsidR="008A38B9" w:rsidRPr="008A38B9" w:rsidRDefault="008A38B9" w:rsidP="00847ECE">
      <w:pPr>
        <w:pStyle w:val="SingleTxtG"/>
      </w:pPr>
      <w:r w:rsidRPr="008A38B9">
        <w:tab/>
        <w:t>4.</w:t>
      </w:r>
      <w:r w:rsidR="00847ECE">
        <w:tab/>
      </w:r>
      <w:r w:rsidRPr="008A38B9">
        <w:t xml:space="preserve">Resolver los litigios entre el Gobierno federal y los gobiernos regionales, provinciales y municipales y las administraciones locales; </w:t>
      </w:r>
    </w:p>
    <w:p w14:paraId="3241F17D" w14:textId="77777777" w:rsidR="008A38B9" w:rsidRPr="008A38B9" w:rsidRDefault="008A38B9" w:rsidP="00847ECE">
      <w:pPr>
        <w:pStyle w:val="SingleTxtG"/>
      </w:pPr>
      <w:r w:rsidRPr="008A38B9">
        <w:tab/>
        <w:t>5.</w:t>
      </w:r>
      <w:r w:rsidR="00847ECE">
        <w:tab/>
      </w:r>
      <w:r w:rsidRPr="008A38B9">
        <w:t xml:space="preserve">Resolver los litigios que surjan entre los Gobiernos locales o provinciales entre sí; </w:t>
      </w:r>
    </w:p>
    <w:p w14:paraId="26DA082D" w14:textId="77777777" w:rsidR="008A38B9" w:rsidRPr="008A38B9" w:rsidRDefault="008A38B9" w:rsidP="00847ECE">
      <w:pPr>
        <w:pStyle w:val="SingleTxtG"/>
      </w:pPr>
      <w:r w:rsidRPr="008A38B9">
        <w:tab/>
        <w:t>6.</w:t>
      </w:r>
      <w:r w:rsidR="00847ECE">
        <w:tab/>
      </w:r>
      <w:r w:rsidRPr="008A38B9">
        <w:t xml:space="preserve">Sustanciar las acusaciones vertidas contra el Presidente de la República, el Presidente del Consejo de Ministros y los Ministros de conformidad con la ley que se promulgará al respecto; </w:t>
      </w:r>
    </w:p>
    <w:p w14:paraId="15786FEE" w14:textId="77777777" w:rsidR="008A38B9" w:rsidRPr="008A38B9" w:rsidRDefault="008A38B9" w:rsidP="00847ECE">
      <w:pPr>
        <w:pStyle w:val="SingleTxtG"/>
      </w:pPr>
      <w:r w:rsidRPr="008A38B9">
        <w:tab/>
        <w:t>7.</w:t>
      </w:r>
      <w:r w:rsidR="00847ECE">
        <w:tab/>
      </w:r>
      <w:r w:rsidRPr="008A38B9">
        <w:t xml:space="preserve">Ratificar los resultados definitivos de las elecciones generales a la Cámara de Representantes; </w:t>
      </w:r>
    </w:p>
    <w:p w14:paraId="486ABF2C" w14:textId="77777777" w:rsidR="008A38B9" w:rsidRPr="008A38B9" w:rsidRDefault="008A38B9" w:rsidP="00847ECE">
      <w:pPr>
        <w:pStyle w:val="SingleTxtG"/>
      </w:pPr>
      <w:r w:rsidRPr="008A38B9">
        <w:tab/>
        <w:t>8.</w:t>
      </w:r>
      <w:r w:rsidR="00847ECE">
        <w:tab/>
      </w:r>
      <w:r w:rsidRPr="008A38B9">
        <w:t>a)</w:t>
      </w:r>
      <w:r w:rsidR="00847ECE">
        <w:tab/>
      </w:r>
      <w:r w:rsidRPr="008A38B9">
        <w:t xml:space="preserve">Resolver los conflictos de competencia entre la justicia federal, los órganos judiciales regionales y de las provincias no incluidas en una región; </w:t>
      </w:r>
    </w:p>
    <w:p w14:paraId="4234E04A" w14:textId="77777777" w:rsidR="008A38B9" w:rsidRPr="008A38B9" w:rsidRDefault="008A38B9" w:rsidP="00847ECE">
      <w:pPr>
        <w:pStyle w:val="SingleTxtG"/>
      </w:pPr>
      <w:r w:rsidRPr="008A38B9">
        <w:tab/>
        <w:t>b)</w:t>
      </w:r>
      <w:r w:rsidR="00847ECE">
        <w:tab/>
      </w:r>
      <w:r w:rsidRPr="008A38B9">
        <w:t>Resolver los conflictos jurisdiccionales entre los órganos judiciales regionales y los municipales no dependientes de la Región.</w:t>
      </w:r>
    </w:p>
    <w:p w14:paraId="018D408B" w14:textId="77777777" w:rsidR="008A38B9" w:rsidRPr="008A38B9" w:rsidRDefault="00847ECE" w:rsidP="00847ECE">
      <w:pPr>
        <w:pStyle w:val="SingleTxtG"/>
      </w:pPr>
      <w:r>
        <w:tab/>
      </w:r>
      <w:r w:rsidR="008A38B9" w:rsidRPr="008A38B9">
        <w:t>Las resoluciones del Tribunal Supremo Federal son definitivas y vinculantes para todas las autoridades del Estado (art. 94). Se prohíbe los tribunales especiales o de excepción (art. 95). Los jueces no serán cesados salvo en las circunstancias previstas en la ley. La ley regulará las normas y las medidas disciplinarias que les sean aplicables (art. 97).</w:t>
      </w:r>
    </w:p>
    <w:p w14:paraId="22F1B6D1" w14:textId="77777777" w:rsidR="008A38B9" w:rsidRPr="008A38B9" w:rsidRDefault="00847ECE" w:rsidP="00847ECE">
      <w:pPr>
        <w:pStyle w:val="SingleTxtG"/>
      </w:pPr>
      <w:r>
        <w:tab/>
      </w:r>
      <w:r w:rsidR="008A38B9" w:rsidRPr="008A38B9">
        <w:t>Para consolidar la independencia del poder judicial, el artículo 98 prohíbe a los jueces y fiscales compaginar su cargo con otro en los poderes legislativo o ejecutivo o con cualquier otro tipo de empleo, así como afiliarse a partidos políticos u organizaciones con actividades políticas.</w:t>
      </w:r>
    </w:p>
    <w:p w14:paraId="2DFF2ABF" w14:textId="77777777" w:rsidR="008A38B9" w:rsidRPr="008A38B9" w:rsidRDefault="00847ECE" w:rsidP="00847ECE">
      <w:pPr>
        <w:pStyle w:val="SingleTxtG"/>
      </w:pPr>
      <w:r>
        <w:tab/>
      </w:r>
      <w:r w:rsidR="008A38B9" w:rsidRPr="008A38B9">
        <w:t>La jurisdicción militar se restringe, con sujeción a la ley, a los delitos de índole militar cometidos por miembros de las fuerzas armadas y de seguridad (art. 99).</w:t>
      </w:r>
    </w:p>
    <w:p w14:paraId="3117B6EB" w14:textId="77777777" w:rsidR="008A38B9" w:rsidRPr="008A38B9" w:rsidRDefault="00847ECE" w:rsidP="00847ECE">
      <w:pPr>
        <w:pStyle w:val="SingleTxtG"/>
      </w:pPr>
      <w:r>
        <w:tab/>
      </w:r>
      <w:r w:rsidR="008A38B9" w:rsidRPr="008A38B9">
        <w:t xml:space="preserve">Todo acto o decisión de carácter administrativo podrá ser recurrido (art. 100). </w:t>
      </w:r>
    </w:p>
    <w:p w14:paraId="75D1292D" w14:textId="77777777" w:rsidR="008A38B9" w:rsidRPr="008A38B9" w:rsidRDefault="00847ECE" w:rsidP="00847ECE">
      <w:pPr>
        <w:pStyle w:val="SingleTxtG"/>
      </w:pPr>
      <w:r>
        <w:tab/>
      </w:r>
      <w:r w:rsidR="008A38B9" w:rsidRPr="008A38B9">
        <w:t>Se establecerá por ley el Consejo de Estado, que desempeñará labores de justicia contencioso-administrativa, se pronunciará en relación con cuestiones jurídicas y representará al Estado y al resto de los organismos públicos ante las instancias judiciales, salvo que la ley disponga otra cosa (art. 101).</w:t>
      </w:r>
    </w:p>
    <w:p w14:paraId="742596B2" w14:textId="77777777" w:rsidR="008A38B9" w:rsidRDefault="008A38B9" w:rsidP="00847ECE">
      <w:pPr>
        <w:pStyle w:val="SingleTxtG"/>
      </w:pPr>
      <w:r w:rsidRPr="008A38B9">
        <w:t>84.</w:t>
      </w:r>
      <w:r w:rsidRPr="008A38B9">
        <w:tab/>
        <w:t xml:space="preserve">En el cuadro siguiente figuran datos sobre el número de jueces y fiscales en el Iraq, con excepción de las provincias no incluidas en una región.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25"/>
        <w:gridCol w:w="1172"/>
        <w:gridCol w:w="1173"/>
      </w:tblGrid>
      <w:tr w:rsidR="003B4F3C" w:rsidRPr="00847ECE" w14:paraId="2D6CEF66" w14:textId="77777777" w:rsidTr="003B4F3C">
        <w:tc>
          <w:tcPr>
            <w:tcW w:w="5025" w:type="dxa"/>
            <w:tcBorders>
              <w:top w:val="single" w:sz="4" w:space="0" w:color="auto"/>
            </w:tcBorders>
            <w:shd w:val="clear" w:color="auto" w:fill="auto"/>
            <w:vAlign w:val="bottom"/>
          </w:tcPr>
          <w:p w14:paraId="6113301C" w14:textId="77777777" w:rsidR="003B4F3C" w:rsidRPr="00847ECE" w:rsidRDefault="003B4F3C" w:rsidP="00971FE8">
            <w:pPr>
              <w:pStyle w:val="SingleTxtG"/>
              <w:keepNext/>
              <w:keepLines/>
              <w:spacing w:before="80" w:after="80" w:line="200" w:lineRule="exact"/>
              <w:ind w:left="0" w:right="0"/>
              <w:jc w:val="left"/>
              <w:rPr>
                <w:i/>
                <w:sz w:val="16"/>
              </w:rPr>
            </w:pPr>
          </w:p>
        </w:tc>
        <w:tc>
          <w:tcPr>
            <w:tcW w:w="2345" w:type="dxa"/>
            <w:gridSpan w:val="2"/>
            <w:tcBorders>
              <w:top w:val="single" w:sz="4" w:space="0" w:color="auto"/>
              <w:bottom w:val="single" w:sz="4" w:space="0" w:color="auto"/>
            </w:tcBorders>
            <w:shd w:val="clear" w:color="auto" w:fill="auto"/>
            <w:vAlign w:val="center"/>
          </w:tcPr>
          <w:p w14:paraId="38298F58" w14:textId="77777777" w:rsidR="003B4F3C" w:rsidRPr="00847ECE" w:rsidRDefault="003B4F3C" w:rsidP="00971FE8">
            <w:pPr>
              <w:pStyle w:val="SingleTxtG"/>
              <w:keepNext/>
              <w:keepLines/>
              <w:spacing w:before="80" w:after="80" w:line="200" w:lineRule="exact"/>
              <w:ind w:left="0" w:right="0"/>
              <w:jc w:val="center"/>
              <w:rPr>
                <w:i/>
                <w:sz w:val="16"/>
              </w:rPr>
            </w:pPr>
            <w:r>
              <w:rPr>
                <w:i/>
                <w:sz w:val="16"/>
              </w:rPr>
              <w:t>Año</w:t>
            </w:r>
          </w:p>
        </w:tc>
      </w:tr>
      <w:tr w:rsidR="00847ECE" w:rsidRPr="00847ECE" w14:paraId="56EF65A5" w14:textId="77777777" w:rsidTr="003B4F3C">
        <w:tc>
          <w:tcPr>
            <w:tcW w:w="5025" w:type="dxa"/>
            <w:tcBorders>
              <w:bottom w:val="single" w:sz="12" w:space="0" w:color="auto"/>
            </w:tcBorders>
            <w:shd w:val="clear" w:color="auto" w:fill="auto"/>
            <w:vAlign w:val="bottom"/>
          </w:tcPr>
          <w:p w14:paraId="4728DA05" w14:textId="77777777" w:rsidR="00847ECE" w:rsidRPr="00847ECE" w:rsidRDefault="00847ECE" w:rsidP="00971FE8">
            <w:pPr>
              <w:pStyle w:val="SingleTxtG"/>
              <w:keepNext/>
              <w:keepLines/>
              <w:spacing w:before="80" w:after="80" w:line="200" w:lineRule="exact"/>
              <w:ind w:left="0" w:right="0"/>
              <w:jc w:val="left"/>
              <w:rPr>
                <w:i/>
                <w:sz w:val="16"/>
              </w:rPr>
            </w:pPr>
            <w:r w:rsidRPr="00847ECE">
              <w:rPr>
                <w:i/>
                <w:sz w:val="16"/>
              </w:rPr>
              <w:t>Indicador</w:t>
            </w:r>
          </w:p>
        </w:tc>
        <w:tc>
          <w:tcPr>
            <w:tcW w:w="1172" w:type="dxa"/>
            <w:tcBorders>
              <w:top w:val="single" w:sz="4" w:space="0" w:color="auto"/>
              <w:bottom w:val="single" w:sz="12" w:space="0" w:color="auto"/>
            </w:tcBorders>
            <w:shd w:val="clear" w:color="auto" w:fill="auto"/>
            <w:vAlign w:val="center"/>
          </w:tcPr>
          <w:p w14:paraId="0540D3FA" w14:textId="77777777" w:rsidR="00847ECE" w:rsidRPr="00847ECE" w:rsidRDefault="00847ECE" w:rsidP="00971FE8">
            <w:pPr>
              <w:pStyle w:val="SingleTxtG"/>
              <w:keepNext/>
              <w:keepLines/>
              <w:spacing w:before="80" w:after="80" w:line="200" w:lineRule="exact"/>
              <w:ind w:left="0" w:right="0"/>
              <w:jc w:val="right"/>
              <w:rPr>
                <w:i/>
                <w:sz w:val="16"/>
              </w:rPr>
            </w:pPr>
            <w:r w:rsidRPr="00847ECE">
              <w:rPr>
                <w:i/>
                <w:sz w:val="16"/>
              </w:rPr>
              <w:t>2015</w:t>
            </w:r>
          </w:p>
        </w:tc>
        <w:tc>
          <w:tcPr>
            <w:tcW w:w="1173" w:type="dxa"/>
            <w:tcBorders>
              <w:top w:val="single" w:sz="4" w:space="0" w:color="auto"/>
              <w:bottom w:val="single" w:sz="12" w:space="0" w:color="auto"/>
            </w:tcBorders>
            <w:shd w:val="clear" w:color="auto" w:fill="auto"/>
            <w:vAlign w:val="center"/>
          </w:tcPr>
          <w:p w14:paraId="2310CF5A" w14:textId="77777777" w:rsidR="00847ECE" w:rsidRPr="00847ECE" w:rsidRDefault="00847ECE" w:rsidP="00971FE8">
            <w:pPr>
              <w:pStyle w:val="SingleTxtG"/>
              <w:keepNext/>
              <w:keepLines/>
              <w:spacing w:before="80" w:after="80" w:line="200" w:lineRule="exact"/>
              <w:ind w:left="0" w:right="0"/>
              <w:jc w:val="right"/>
              <w:rPr>
                <w:i/>
                <w:sz w:val="16"/>
              </w:rPr>
            </w:pPr>
            <w:r w:rsidRPr="00847ECE">
              <w:rPr>
                <w:i/>
                <w:sz w:val="16"/>
              </w:rPr>
              <w:t>2016</w:t>
            </w:r>
          </w:p>
        </w:tc>
      </w:tr>
      <w:tr w:rsidR="00847ECE" w:rsidRPr="00847ECE" w14:paraId="60E6BCCB" w14:textId="77777777" w:rsidTr="003B4F3C">
        <w:tc>
          <w:tcPr>
            <w:tcW w:w="5025" w:type="dxa"/>
            <w:tcBorders>
              <w:top w:val="single" w:sz="12" w:space="0" w:color="auto"/>
            </w:tcBorders>
            <w:shd w:val="clear" w:color="auto" w:fill="auto"/>
            <w:vAlign w:val="center"/>
          </w:tcPr>
          <w:p w14:paraId="391B3C64" w14:textId="77777777" w:rsidR="00847ECE" w:rsidRPr="00847ECE" w:rsidRDefault="00847ECE" w:rsidP="00971FE8">
            <w:pPr>
              <w:pStyle w:val="SingleTxtG"/>
              <w:keepNext/>
              <w:keepLines/>
              <w:spacing w:before="40" w:after="40" w:line="220" w:lineRule="exact"/>
              <w:ind w:left="0" w:right="0"/>
              <w:jc w:val="left"/>
              <w:rPr>
                <w:sz w:val="18"/>
              </w:rPr>
            </w:pPr>
            <w:r w:rsidRPr="00847ECE">
              <w:rPr>
                <w:sz w:val="18"/>
              </w:rPr>
              <w:t xml:space="preserve">Jueces en el Iraq (sin contar las provincias no incluidas en una región) </w:t>
            </w:r>
          </w:p>
        </w:tc>
        <w:tc>
          <w:tcPr>
            <w:tcW w:w="1172" w:type="dxa"/>
            <w:tcBorders>
              <w:top w:val="single" w:sz="12" w:space="0" w:color="auto"/>
            </w:tcBorders>
            <w:shd w:val="clear" w:color="auto" w:fill="auto"/>
            <w:vAlign w:val="bottom"/>
          </w:tcPr>
          <w:p w14:paraId="64E88CD0" w14:textId="77777777" w:rsidR="00847ECE" w:rsidRPr="00847ECE" w:rsidRDefault="00847ECE" w:rsidP="00971FE8">
            <w:pPr>
              <w:pStyle w:val="SingleTxtG"/>
              <w:keepNext/>
              <w:keepLines/>
              <w:spacing w:before="40" w:after="40" w:line="220" w:lineRule="exact"/>
              <w:ind w:left="0" w:right="0"/>
              <w:jc w:val="right"/>
              <w:rPr>
                <w:sz w:val="18"/>
              </w:rPr>
            </w:pPr>
            <w:r w:rsidRPr="00847ECE">
              <w:rPr>
                <w:sz w:val="18"/>
              </w:rPr>
              <w:t>1</w:t>
            </w:r>
            <w:r>
              <w:rPr>
                <w:sz w:val="18"/>
              </w:rPr>
              <w:t xml:space="preserve"> </w:t>
            </w:r>
            <w:r w:rsidRPr="00847ECE">
              <w:rPr>
                <w:sz w:val="18"/>
              </w:rPr>
              <w:t>058</w:t>
            </w:r>
          </w:p>
        </w:tc>
        <w:tc>
          <w:tcPr>
            <w:tcW w:w="1173" w:type="dxa"/>
            <w:tcBorders>
              <w:top w:val="single" w:sz="12" w:space="0" w:color="auto"/>
            </w:tcBorders>
            <w:shd w:val="clear" w:color="auto" w:fill="auto"/>
            <w:vAlign w:val="bottom"/>
          </w:tcPr>
          <w:p w14:paraId="486EE227" w14:textId="77777777" w:rsidR="00847ECE" w:rsidRPr="00847ECE" w:rsidRDefault="00847ECE" w:rsidP="00971FE8">
            <w:pPr>
              <w:pStyle w:val="SingleTxtG"/>
              <w:keepNext/>
              <w:keepLines/>
              <w:spacing w:before="40" w:after="40" w:line="220" w:lineRule="exact"/>
              <w:ind w:left="0" w:right="0"/>
              <w:jc w:val="right"/>
              <w:rPr>
                <w:sz w:val="18"/>
              </w:rPr>
            </w:pPr>
            <w:r w:rsidRPr="00847ECE">
              <w:rPr>
                <w:sz w:val="18"/>
              </w:rPr>
              <w:t>1</w:t>
            </w:r>
            <w:r>
              <w:rPr>
                <w:sz w:val="18"/>
              </w:rPr>
              <w:t xml:space="preserve"> </w:t>
            </w:r>
            <w:r w:rsidRPr="00847ECE">
              <w:rPr>
                <w:sz w:val="18"/>
              </w:rPr>
              <w:t>107</w:t>
            </w:r>
          </w:p>
        </w:tc>
      </w:tr>
      <w:tr w:rsidR="00847ECE" w:rsidRPr="00847ECE" w14:paraId="088AE26E" w14:textId="77777777" w:rsidTr="003B4F3C">
        <w:tc>
          <w:tcPr>
            <w:tcW w:w="5025" w:type="dxa"/>
            <w:tcBorders>
              <w:bottom w:val="single" w:sz="4" w:space="0" w:color="auto"/>
            </w:tcBorders>
            <w:shd w:val="clear" w:color="auto" w:fill="auto"/>
            <w:vAlign w:val="center"/>
          </w:tcPr>
          <w:p w14:paraId="0EE5B4A8" w14:textId="77777777" w:rsidR="00847ECE" w:rsidRPr="00847ECE" w:rsidRDefault="00847ECE" w:rsidP="00971FE8">
            <w:pPr>
              <w:pStyle w:val="SingleTxtG"/>
              <w:keepNext/>
              <w:keepLines/>
              <w:spacing w:before="40" w:after="40" w:line="220" w:lineRule="exact"/>
              <w:ind w:left="0" w:right="0"/>
              <w:jc w:val="left"/>
              <w:rPr>
                <w:sz w:val="18"/>
              </w:rPr>
            </w:pPr>
            <w:r w:rsidRPr="00847ECE">
              <w:rPr>
                <w:sz w:val="18"/>
              </w:rPr>
              <w:t xml:space="preserve">Fiscales en el Iraq (sin contar las provincias no incluidas en una región) </w:t>
            </w:r>
          </w:p>
        </w:tc>
        <w:tc>
          <w:tcPr>
            <w:tcW w:w="1172" w:type="dxa"/>
            <w:tcBorders>
              <w:bottom w:val="single" w:sz="4" w:space="0" w:color="auto"/>
            </w:tcBorders>
            <w:shd w:val="clear" w:color="auto" w:fill="auto"/>
            <w:vAlign w:val="bottom"/>
          </w:tcPr>
          <w:p w14:paraId="1D503CA4" w14:textId="77777777" w:rsidR="00847ECE" w:rsidRPr="00847ECE" w:rsidRDefault="00847ECE" w:rsidP="00971FE8">
            <w:pPr>
              <w:pStyle w:val="SingleTxtG"/>
              <w:keepNext/>
              <w:keepLines/>
              <w:spacing w:before="40" w:after="40" w:line="220" w:lineRule="exact"/>
              <w:ind w:left="0" w:right="0"/>
              <w:jc w:val="right"/>
              <w:rPr>
                <w:sz w:val="18"/>
              </w:rPr>
            </w:pPr>
            <w:r w:rsidRPr="00847ECE">
              <w:rPr>
                <w:sz w:val="18"/>
              </w:rPr>
              <w:t>474</w:t>
            </w:r>
          </w:p>
        </w:tc>
        <w:tc>
          <w:tcPr>
            <w:tcW w:w="1173" w:type="dxa"/>
            <w:tcBorders>
              <w:bottom w:val="single" w:sz="4" w:space="0" w:color="auto"/>
            </w:tcBorders>
            <w:shd w:val="clear" w:color="auto" w:fill="auto"/>
            <w:vAlign w:val="bottom"/>
          </w:tcPr>
          <w:p w14:paraId="2A332E7B" w14:textId="77777777" w:rsidR="00847ECE" w:rsidRPr="00847ECE" w:rsidRDefault="00847ECE" w:rsidP="00971FE8">
            <w:pPr>
              <w:pStyle w:val="SingleTxtG"/>
              <w:keepNext/>
              <w:keepLines/>
              <w:spacing w:before="40" w:after="40" w:line="220" w:lineRule="exact"/>
              <w:ind w:left="0" w:right="0"/>
              <w:jc w:val="right"/>
              <w:rPr>
                <w:sz w:val="18"/>
              </w:rPr>
            </w:pPr>
            <w:r w:rsidRPr="00847ECE">
              <w:rPr>
                <w:sz w:val="18"/>
              </w:rPr>
              <w:t>467</w:t>
            </w:r>
          </w:p>
        </w:tc>
      </w:tr>
      <w:tr w:rsidR="00847ECE" w:rsidRPr="00847ECE" w14:paraId="745A88B8" w14:textId="77777777" w:rsidTr="003B4F3C">
        <w:tc>
          <w:tcPr>
            <w:tcW w:w="5025" w:type="dxa"/>
            <w:tcBorders>
              <w:top w:val="single" w:sz="4" w:space="0" w:color="auto"/>
              <w:bottom w:val="single" w:sz="12" w:space="0" w:color="auto"/>
            </w:tcBorders>
            <w:shd w:val="clear" w:color="auto" w:fill="auto"/>
            <w:vAlign w:val="center"/>
          </w:tcPr>
          <w:p w14:paraId="531D3CD9" w14:textId="77777777" w:rsidR="00847ECE" w:rsidRPr="003B4F3C" w:rsidRDefault="00847ECE" w:rsidP="00971FE8">
            <w:pPr>
              <w:pStyle w:val="SingleTxtG"/>
              <w:keepNext/>
              <w:keepLines/>
              <w:spacing w:before="80" w:after="80" w:line="220" w:lineRule="exact"/>
              <w:ind w:left="284" w:right="0"/>
              <w:jc w:val="left"/>
              <w:rPr>
                <w:b/>
                <w:bCs/>
                <w:sz w:val="18"/>
              </w:rPr>
            </w:pPr>
            <w:r w:rsidRPr="003B4F3C">
              <w:rPr>
                <w:b/>
                <w:bCs/>
                <w:sz w:val="18"/>
              </w:rPr>
              <w:t>Total</w:t>
            </w:r>
          </w:p>
        </w:tc>
        <w:tc>
          <w:tcPr>
            <w:tcW w:w="1172" w:type="dxa"/>
            <w:tcBorders>
              <w:top w:val="single" w:sz="4" w:space="0" w:color="auto"/>
              <w:bottom w:val="single" w:sz="12" w:space="0" w:color="auto"/>
            </w:tcBorders>
            <w:shd w:val="clear" w:color="auto" w:fill="auto"/>
            <w:vAlign w:val="bottom"/>
          </w:tcPr>
          <w:p w14:paraId="23B43517" w14:textId="77777777" w:rsidR="00847ECE" w:rsidRPr="003B4F3C" w:rsidRDefault="00847ECE" w:rsidP="00971FE8">
            <w:pPr>
              <w:pStyle w:val="SingleTxtG"/>
              <w:keepNext/>
              <w:keepLines/>
              <w:spacing w:before="80" w:after="80" w:line="220" w:lineRule="exact"/>
              <w:ind w:left="0" w:right="0"/>
              <w:jc w:val="right"/>
              <w:rPr>
                <w:b/>
                <w:bCs/>
                <w:sz w:val="18"/>
              </w:rPr>
            </w:pPr>
            <w:r w:rsidRPr="003B4F3C">
              <w:rPr>
                <w:b/>
                <w:bCs/>
                <w:sz w:val="18"/>
              </w:rPr>
              <w:t>1 532</w:t>
            </w:r>
          </w:p>
        </w:tc>
        <w:tc>
          <w:tcPr>
            <w:tcW w:w="1173" w:type="dxa"/>
            <w:tcBorders>
              <w:top w:val="single" w:sz="4" w:space="0" w:color="auto"/>
              <w:bottom w:val="single" w:sz="12" w:space="0" w:color="auto"/>
            </w:tcBorders>
            <w:shd w:val="clear" w:color="auto" w:fill="auto"/>
            <w:vAlign w:val="bottom"/>
          </w:tcPr>
          <w:p w14:paraId="5365682E" w14:textId="77777777" w:rsidR="00847ECE" w:rsidRPr="003B4F3C" w:rsidRDefault="00847ECE" w:rsidP="00971FE8">
            <w:pPr>
              <w:pStyle w:val="SingleTxtG"/>
              <w:keepNext/>
              <w:keepLines/>
              <w:spacing w:before="80" w:after="80" w:line="220" w:lineRule="exact"/>
              <w:ind w:left="0" w:right="0"/>
              <w:jc w:val="right"/>
              <w:rPr>
                <w:b/>
                <w:bCs/>
                <w:sz w:val="18"/>
              </w:rPr>
            </w:pPr>
            <w:r w:rsidRPr="003B4F3C">
              <w:rPr>
                <w:b/>
                <w:bCs/>
                <w:sz w:val="18"/>
              </w:rPr>
              <w:t>1 574</w:t>
            </w:r>
          </w:p>
        </w:tc>
      </w:tr>
    </w:tbl>
    <w:p w14:paraId="503BFD25" w14:textId="77777777" w:rsidR="008A38B9" w:rsidRPr="003B4F3C" w:rsidRDefault="008A38B9" w:rsidP="003B4F3C">
      <w:pPr>
        <w:pStyle w:val="SingleTxtG"/>
        <w:spacing w:before="120" w:after="240"/>
        <w:ind w:left="1304"/>
        <w:rPr>
          <w:sz w:val="18"/>
          <w:szCs w:val="18"/>
        </w:rPr>
      </w:pPr>
      <w:r w:rsidRPr="003B4F3C">
        <w:rPr>
          <w:i/>
          <w:iCs/>
          <w:sz w:val="18"/>
          <w:szCs w:val="18"/>
        </w:rPr>
        <w:t>Fuente</w:t>
      </w:r>
      <w:r w:rsidRPr="003B4F3C">
        <w:rPr>
          <w:i/>
          <w:sz w:val="18"/>
          <w:szCs w:val="18"/>
        </w:rPr>
        <w:t>:</w:t>
      </w:r>
      <w:r w:rsidRPr="003B4F3C">
        <w:rPr>
          <w:sz w:val="18"/>
          <w:szCs w:val="18"/>
        </w:rPr>
        <w:t xml:space="preserve"> Ministerio de Planificación y </w:t>
      </w:r>
      <w:r w:rsidRPr="003B4F3C">
        <w:rPr>
          <w:i/>
          <w:iCs/>
          <w:sz w:val="18"/>
          <w:szCs w:val="18"/>
        </w:rPr>
        <w:t>Boletín estadístico</w:t>
      </w:r>
      <w:r w:rsidRPr="003B4F3C">
        <w:rPr>
          <w:sz w:val="18"/>
          <w:szCs w:val="18"/>
        </w:rPr>
        <w:t xml:space="preserve"> (2017).</w:t>
      </w:r>
    </w:p>
    <w:p w14:paraId="286B497D" w14:textId="77777777" w:rsidR="008A38B9" w:rsidRDefault="008A38B9" w:rsidP="003B4F3C">
      <w:pPr>
        <w:pStyle w:val="SingleTxtG"/>
      </w:pPr>
      <w:r w:rsidRPr="008A38B9">
        <w:t>85.</w:t>
      </w:r>
      <w:r w:rsidRPr="008A38B9">
        <w:tab/>
        <w:t>En el cuadro siguiente figuran las ratios de jueces y litigios en el Estado.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2"/>
        <w:gridCol w:w="1494"/>
        <w:gridCol w:w="1494"/>
      </w:tblGrid>
      <w:tr w:rsidR="003B4F3C" w:rsidRPr="003B4F3C" w14:paraId="513857DD" w14:textId="77777777" w:rsidTr="003F1477">
        <w:tc>
          <w:tcPr>
            <w:tcW w:w="4382" w:type="dxa"/>
            <w:tcBorders>
              <w:top w:val="single" w:sz="4" w:space="0" w:color="auto"/>
              <w:bottom w:val="single" w:sz="12" w:space="0" w:color="auto"/>
            </w:tcBorders>
            <w:shd w:val="clear" w:color="auto" w:fill="auto"/>
            <w:vAlign w:val="center"/>
          </w:tcPr>
          <w:p w14:paraId="36EEFA1B" w14:textId="77777777" w:rsidR="003B4F3C" w:rsidRPr="003B4F3C" w:rsidRDefault="003B4F3C" w:rsidP="003B4F3C">
            <w:pPr>
              <w:pStyle w:val="SingleTxtG"/>
              <w:spacing w:before="80" w:after="80" w:line="200" w:lineRule="exact"/>
              <w:ind w:left="0" w:right="0"/>
              <w:jc w:val="left"/>
              <w:rPr>
                <w:i/>
                <w:sz w:val="16"/>
              </w:rPr>
            </w:pPr>
            <w:r w:rsidRPr="003B4F3C">
              <w:rPr>
                <w:i/>
                <w:sz w:val="16"/>
              </w:rPr>
              <w:t>Indicador</w:t>
            </w:r>
          </w:p>
        </w:tc>
        <w:tc>
          <w:tcPr>
            <w:tcW w:w="1494" w:type="dxa"/>
            <w:tcBorders>
              <w:top w:val="single" w:sz="4" w:space="0" w:color="auto"/>
              <w:bottom w:val="single" w:sz="12" w:space="0" w:color="auto"/>
            </w:tcBorders>
            <w:shd w:val="clear" w:color="auto" w:fill="auto"/>
            <w:vAlign w:val="center"/>
          </w:tcPr>
          <w:p w14:paraId="08FDB268" w14:textId="77777777" w:rsidR="003B4F3C" w:rsidRPr="003B4F3C" w:rsidRDefault="003B4F3C" w:rsidP="003B4F3C">
            <w:pPr>
              <w:pStyle w:val="SingleTxtG"/>
              <w:spacing w:before="80" w:after="80" w:line="200" w:lineRule="exact"/>
              <w:ind w:left="0" w:right="0"/>
              <w:jc w:val="right"/>
              <w:rPr>
                <w:i/>
                <w:sz w:val="16"/>
              </w:rPr>
            </w:pPr>
            <w:r w:rsidRPr="003B4F3C">
              <w:rPr>
                <w:i/>
                <w:sz w:val="16"/>
              </w:rPr>
              <w:t>2015</w:t>
            </w:r>
          </w:p>
        </w:tc>
        <w:tc>
          <w:tcPr>
            <w:tcW w:w="1494" w:type="dxa"/>
            <w:tcBorders>
              <w:top w:val="single" w:sz="4" w:space="0" w:color="auto"/>
              <w:bottom w:val="single" w:sz="12" w:space="0" w:color="auto"/>
            </w:tcBorders>
            <w:shd w:val="clear" w:color="auto" w:fill="auto"/>
            <w:vAlign w:val="center"/>
          </w:tcPr>
          <w:p w14:paraId="07B1F608" w14:textId="77777777" w:rsidR="003B4F3C" w:rsidRPr="003B4F3C" w:rsidRDefault="003B4F3C" w:rsidP="003B4F3C">
            <w:pPr>
              <w:pStyle w:val="SingleTxtG"/>
              <w:spacing w:before="80" w:after="80" w:line="200" w:lineRule="exact"/>
              <w:ind w:left="0" w:right="0"/>
              <w:jc w:val="right"/>
              <w:rPr>
                <w:i/>
                <w:sz w:val="16"/>
              </w:rPr>
            </w:pPr>
            <w:r w:rsidRPr="003B4F3C">
              <w:rPr>
                <w:i/>
                <w:sz w:val="16"/>
              </w:rPr>
              <w:t>2016</w:t>
            </w:r>
          </w:p>
        </w:tc>
      </w:tr>
      <w:tr w:rsidR="003F1477" w:rsidRPr="003B4F3C" w14:paraId="3B652C84" w14:textId="77777777" w:rsidTr="003F1477">
        <w:tc>
          <w:tcPr>
            <w:tcW w:w="4382" w:type="dxa"/>
            <w:tcBorders>
              <w:top w:val="single" w:sz="12" w:space="0" w:color="auto"/>
            </w:tcBorders>
            <w:shd w:val="clear" w:color="auto" w:fill="auto"/>
            <w:vAlign w:val="center"/>
          </w:tcPr>
          <w:p w14:paraId="798F93A5" w14:textId="77777777" w:rsidR="003F1477" w:rsidRPr="003F1477" w:rsidRDefault="003F1477" w:rsidP="003F1477">
            <w:pPr>
              <w:pStyle w:val="SingleTxtG"/>
              <w:spacing w:before="40" w:after="40" w:line="220" w:lineRule="exact"/>
              <w:ind w:left="0" w:right="0"/>
              <w:jc w:val="left"/>
              <w:rPr>
                <w:sz w:val="18"/>
              </w:rPr>
            </w:pPr>
            <w:r w:rsidRPr="003F1477">
              <w:rPr>
                <w:sz w:val="18"/>
              </w:rPr>
              <w:t xml:space="preserve">Ratio redondeada de jueces por cada 100.000 habitantes </w:t>
            </w:r>
          </w:p>
        </w:tc>
        <w:tc>
          <w:tcPr>
            <w:tcW w:w="1494" w:type="dxa"/>
            <w:tcBorders>
              <w:top w:val="single" w:sz="12" w:space="0" w:color="auto"/>
            </w:tcBorders>
            <w:shd w:val="clear" w:color="auto" w:fill="auto"/>
            <w:vAlign w:val="center"/>
          </w:tcPr>
          <w:p w14:paraId="14202365" w14:textId="77777777" w:rsidR="003F1477" w:rsidRPr="003F1477" w:rsidRDefault="003F1477" w:rsidP="003F1477">
            <w:pPr>
              <w:pStyle w:val="SingleTxtG"/>
              <w:spacing w:before="40" w:after="40" w:line="220" w:lineRule="exact"/>
              <w:ind w:left="0" w:right="0"/>
              <w:jc w:val="right"/>
              <w:rPr>
                <w:sz w:val="18"/>
              </w:rPr>
            </w:pPr>
            <w:r w:rsidRPr="003F1477">
              <w:rPr>
                <w:sz w:val="18"/>
              </w:rPr>
              <w:t xml:space="preserve">De 4 a 5 </w:t>
            </w:r>
          </w:p>
        </w:tc>
        <w:tc>
          <w:tcPr>
            <w:tcW w:w="1494" w:type="dxa"/>
            <w:tcBorders>
              <w:top w:val="single" w:sz="12" w:space="0" w:color="auto"/>
            </w:tcBorders>
            <w:shd w:val="clear" w:color="auto" w:fill="auto"/>
            <w:vAlign w:val="center"/>
          </w:tcPr>
          <w:p w14:paraId="2FFA964F" w14:textId="77777777" w:rsidR="003F1477" w:rsidRPr="003F1477" w:rsidRDefault="003F1477" w:rsidP="003F1477">
            <w:pPr>
              <w:pStyle w:val="SingleTxtG"/>
              <w:spacing w:before="40" w:after="40" w:line="220" w:lineRule="exact"/>
              <w:ind w:left="0" w:right="0"/>
              <w:jc w:val="right"/>
              <w:rPr>
                <w:sz w:val="18"/>
              </w:rPr>
            </w:pPr>
            <w:r w:rsidRPr="003F1477">
              <w:rPr>
                <w:sz w:val="18"/>
              </w:rPr>
              <w:t xml:space="preserve">De 4 a 5 </w:t>
            </w:r>
          </w:p>
        </w:tc>
      </w:tr>
      <w:tr w:rsidR="003F1477" w:rsidRPr="003B4F3C" w14:paraId="26F21C7A" w14:textId="77777777" w:rsidTr="003F1477">
        <w:tc>
          <w:tcPr>
            <w:tcW w:w="4382" w:type="dxa"/>
            <w:shd w:val="clear" w:color="auto" w:fill="auto"/>
            <w:vAlign w:val="center"/>
          </w:tcPr>
          <w:p w14:paraId="3369994C" w14:textId="77777777" w:rsidR="003F1477" w:rsidRPr="003F1477" w:rsidRDefault="003F1477" w:rsidP="003F1477">
            <w:pPr>
              <w:pStyle w:val="SingleTxtG"/>
              <w:spacing w:before="40" w:after="40" w:line="220" w:lineRule="exact"/>
              <w:ind w:left="0" w:right="0"/>
              <w:jc w:val="left"/>
              <w:rPr>
                <w:sz w:val="18"/>
              </w:rPr>
            </w:pPr>
            <w:r w:rsidRPr="003F1477">
              <w:rPr>
                <w:sz w:val="18"/>
              </w:rPr>
              <w:t xml:space="preserve">Causas resueltas </w:t>
            </w:r>
          </w:p>
        </w:tc>
        <w:tc>
          <w:tcPr>
            <w:tcW w:w="1494" w:type="dxa"/>
            <w:shd w:val="clear" w:color="auto" w:fill="auto"/>
            <w:vAlign w:val="center"/>
          </w:tcPr>
          <w:p w14:paraId="752ACE2D" w14:textId="77777777" w:rsidR="003F1477" w:rsidRPr="003F1477" w:rsidRDefault="003F1477" w:rsidP="003F1477">
            <w:pPr>
              <w:pStyle w:val="SingleTxtG"/>
              <w:spacing w:before="40" w:after="40" w:line="220" w:lineRule="exact"/>
              <w:ind w:left="0" w:right="0"/>
              <w:jc w:val="right"/>
              <w:rPr>
                <w:sz w:val="18"/>
              </w:rPr>
            </w:pPr>
            <w:r w:rsidRPr="003F1477">
              <w:rPr>
                <w:sz w:val="18"/>
              </w:rPr>
              <w:t>1</w:t>
            </w:r>
            <w:r w:rsidR="00170EC7">
              <w:rPr>
                <w:sz w:val="18"/>
              </w:rPr>
              <w:t xml:space="preserve"> </w:t>
            </w:r>
            <w:r w:rsidRPr="003F1477">
              <w:rPr>
                <w:sz w:val="18"/>
              </w:rPr>
              <w:t>233</w:t>
            </w:r>
            <w:r w:rsidR="00170EC7">
              <w:rPr>
                <w:sz w:val="18"/>
              </w:rPr>
              <w:t xml:space="preserve"> </w:t>
            </w:r>
            <w:r w:rsidRPr="003F1477">
              <w:rPr>
                <w:sz w:val="18"/>
              </w:rPr>
              <w:t>004</w:t>
            </w:r>
          </w:p>
        </w:tc>
        <w:tc>
          <w:tcPr>
            <w:tcW w:w="1494" w:type="dxa"/>
            <w:shd w:val="clear" w:color="auto" w:fill="auto"/>
            <w:vAlign w:val="center"/>
          </w:tcPr>
          <w:p w14:paraId="06347ED3" w14:textId="77777777" w:rsidR="003F1477" w:rsidRPr="003F1477" w:rsidRDefault="003F1477" w:rsidP="003F1477">
            <w:pPr>
              <w:pStyle w:val="SingleTxtG"/>
              <w:spacing w:before="40" w:after="40" w:line="220" w:lineRule="exact"/>
              <w:ind w:left="0" w:right="0"/>
              <w:jc w:val="right"/>
              <w:rPr>
                <w:sz w:val="18"/>
              </w:rPr>
            </w:pPr>
            <w:r w:rsidRPr="003F1477">
              <w:rPr>
                <w:sz w:val="18"/>
              </w:rPr>
              <w:t>1</w:t>
            </w:r>
            <w:r w:rsidR="00170EC7">
              <w:rPr>
                <w:sz w:val="18"/>
              </w:rPr>
              <w:t xml:space="preserve"> </w:t>
            </w:r>
            <w:r w:rsidRPr="003F1477">
              <w:rPr>
                <w:sz w:val="18"/>
              </w:rPr>
              <w:t>424</w:t>
            </w:r>
            <w:r w:rsidR="00170EC7">
              <w:rPr>
                <w:sz w:val="18"/>
              </w:rPr>
              <w:t xml:space="preserve"> </w:t>
            </w:r>
            <w:r w:rsidRPr="003F1477">
              <w:rPr>
                <w:sz w:val="18"/>
              </w:rPr>
              <w:t>481</w:t>
            </w:r>
          </w:p>
        </w:tc>
      </w:tr>
      <w:tr w:rsidR="003F1477" w:rsidRPr="003B4F3C" w14:paraId="00C0140C" w14:textId="77777777" w:rsidTr="003F1477">
        <w:tc>
          <w:tcPr>
            <w:tcW w:w="4382" w:type="dxa"/>
            <w:tcBorders>
              <w:bottom w:val="single" w:sz="12" w:space="0" w:color="auto"/>
            </w:tcBorders>
            <w:shd w:val="clear" w:color="auto" w:fill="auto"/>
            <w:vAlign w:val="center"/>
          </w:tcPr>
          <w:p w14:paraId="313B3429" w14:textId="77777777" w:rsidR="003F1477" w:rsidRPr="003F1477" w:rsidRDefault="003F1477" w:rsidP="003F1477">
            <w:pPr>
              <w:pStyle w:val="SingleTxtG"/>
              <w:spacing w:before="40" w:after="40" w:line="220" w:lineRule="exact"/>
              <w:ind w:left="0" w:right="0"/>
              <w:jc w:val="left"/>
              <w:rPr>
                <w:sz w:val="18"/>
              </w:rPr>
            </w:pPr>
            <w:r w:rsidRPr="003F1477">
              <w:rPr>
                <w:sz w:val="18"/>
              </w:rPr>
              <w:t>Promedio de causas atendidas anualmente por cada juez</w:t>
            </w:r>
          </w:p>
        </w:tc>
        <w:tc>
          <w:tcPr>
            <w:tcW w:w="1494" w:type="dxa"/>
            <w:tcBorders>
              <w:bottom w:val="single" w:sz="12" w:space="0" w:color="auto"/>
            </w:tcBorders>
            <w:shd w:val="clear" w:color="auto" w:fill="auto"/>
            <w:vAlign w:val="center"/>
          </w:tcPr>
          <w:p w14:paraId="474CD971" w14:textId="77777777" w:rsidR="003F1477" w:rsidRPr="003F1477" w:rsidRDefault="003F1477" w:rsidP="003F1477">
            <w:pPr>
              <w:pStyle w:val="SingleTxtG"/>
              <w:spacing w:before="40" w:after="40" w:line="220" w:lineRule="exact"/>
              <w:ind w:left="0" w:right="0"/>
              <w:jc w:val="right"/>
              <w:rPr>
                <w:sz w:val="18"/>
              </w:rPr>
            </w:pPr>
            <w:r w:rsidRPr="003F1477">
              <w:rPr>
                <w:sz w:val="18"/>
              </w:rPr>
              <w:t>864</w:t>
            </w:r>
          </w:p>
        </w:tc>
        <w:tc>
          <w:tcPr>
            <w:tcW w:w="1494" w:type="dxa"/>
            <w:tcBorders>
              <w:bottom w:val="single" w:sz="12" w:space="0" w:color="auto"/>
            </w:tcBorders>
            <w:shd w:val="clear" w:color="auto" w:fill="auto"/>
            <w:vAlign w:val="center"/>
          </w:tcPr>
          <w:p w14:paraId="6A3EA801" w14:textId="77777777" w:rsidR="003F1477" w:rsidRPr="003F1477" w:rsidRDefault="003F1477" w:rsidP="003F1477">
            <w:pPr>
              <w:pStyle w:val="SingleTxtG"/>
              <w:spacing w:before="40" w:after="40" w:line="220" w:lineRule="exact"/>
              <w:ind w:left="0" w:right="0"/>
              <w:jc w:val="right"/>
              <w:rPr>
                <w:sz w:val="18"/>
              </w:rPr>
            </w:pPr>
            <w:r w:rsidRPr="003F1477">
              <w:rPr>
                <w:sz w:val="18"/>
              </w:rPr>
              <w:t>905</w:t>
            </w:r>
          </w:p>
        </w:tc>
      </w:tr>
    </w:tbl>
    <w:p w14:paraId="63CDB021" w14:textId="77777777" w:rsidR="008A38B9" w:rsidRPr="003F1477" w:rsidRDefault="008A38B9" w:rsidP="003F1477">
      <w:pPr>
        <w:pStyle w:val="SingleTxtG"/>
        <w:spacing w:before="120" w:after="240"/>
        <w:ind w:firstLine="170"/>
        <w:rPr>
          <w:sz w:val="18"/>
          <w:szCs w:val="18"/>
        </w:rPr>
      </w:pPr>
      <w:r w:rsidRPr="003F1477">
        <w:rPr>
          <w:i/>
          <w:iCs/>
          <w:sz w:val="18"/>
          <w:szCs w:val="18"/>
        </w:rPr>
        <w:t>Fuente</w:t>
      </w:r>
      <w:r w:rsidRPr="00170EC7">
        <w:rPr>
          <w:i/>
          <w:sz w:val="18"/>
          <w:szCs w:val="18"/>
        </w:rPr>
        <w:t>:</w:t>
      </w:r>
      <w:r w:rsidRPr="003F1477">
        <w:rPr>
          <w:sz w:val="18"/>
          <w:szCs w:val="18"/>
        </w:rPr>
        <w:t xml:space="preserve"> Ministerio de Planificación y </w:t>
      </w:r>
      <w:r w:rsidRPr="003F1477">
        <w:rPr>
          <w:i/>
          <w:iCs/>
          <w:sz w:val="18"/>
          <w:szCs w:val="18"/>
        </w:rPr>
        <w:t>Boletín estadístico</w:t>
      </w:r>
      <w:r w:rsidRPr="003F1477">
        <w:rPr>
          <w:sz w:val="18"/>
          <w:szCs w:val="18"/>
        </w:rPr>
        <w:t xml:space="preserve"> (2017).</w:t>
      </w:r>
    </w:p>
    <w:p w14:paraId="64EABC6D" w14:textId="77777777" w:rsidR="008A38B9" w:rsidRPr="008A38B9" w:rsidRDefault="008A38B9" w:rsidP="003F1477">
      <w:pPr>
        <w:pStyle w:val="SingleTxtG"/>
      </w:pPr>
      <w:r w:rsidRPr="008A38B9">
        <w:t>86.</w:t>
      </w:r>
      <w:r w:rsidRPr="008A38B9">
        <w:tab/>
      </w:r>
      <w:r w:rsidR="00BA2BE1" w:rsidRPr="00BA2BE1">
        <w:rPr>
          <w:b/>
          <w:bCs/>
        </w:rPr>
        <w:t>IV.</w:t>
      </w:r>
      <w:r w:rsidR="00BA2BE1">
        <w:t xml:space="preserve"> </w:t>
      </w:r>
      <w:r w:rsidRPr="003F1477">
        <w:rPr>
          <w:b/>
          <w:bCs/>
        </w:rPr>
        <w:t>Órganos independientes:</w:t>
      </w:r>
    </w:p>
    <w:p w14:paraId="1C4B901F" w14:textId="77777777" w:rsidR="008A38B9" w:rsidRPr="008A38B9" w:rsidRDefault="003F1477" w:rsidP="003F1477">
      <w:pPr>
        <w:pStyle w:val="SingleTxtG"/>
      </w:pPr>
      <w:r>
        <w:tab/>
      </w:r>
      <w:r w:rsidR="008A38B9" w:rsidRPr="008A38B9">
        <w:t xml:space="preserve">La Constitución iraquí prevé la constitución de comisiones independientes y no vinculadas a los tres poderes señalados, para evitar cualquier posible injerencia en sus decisiones. </w:t>
      </w:r>
      <w:r>
        <w:t>“</w:t>
      </w:r>
      <w:r w:rsidR="008A38B9" w:rsidRPr="008A38B9">
        <w:t>El Alto Comisionado de los Derechos Humanos, la Alta Comisión Electoral Independiente y la Comisión para la Integridad son organismos independientes y sujetos a la supervisión de la Cámara de Representantes cuyas funciones se regularán por ley</w:t>
      </w:r>
      <w:r>
        <w:t>”</w:t>
      </w:r>
      <w:r w:rsidR="008A38B9" w:rsidRPr="008A38B9">
        <w:t xml:space="preserve"> (art.</w:t>
      </w:r>
      <w:r>
        <w:t> </w:t>
      </w:r>
      <w:r w:rsidR="008A38B9" w:rsidRPr="008A38B9">
        <w:t>102).</w:t>
      </w:r>
    </w:p>
    <w:p w14:paraId="19E4A5AB" w14:textId="77777777" w:rsidR="008A38B9" w:rsidRPr="008A38B9" w:rsidRDefault="003F1477" w:rsidP="003F1477">
      <w:pPr>
        <w:pStyle w:val="SingleTxtG"/>
      </w:pPr>
      <w:r>
        <w:tab/>
        <w:t>“</w:t>
      </w:r>
      <w:r w:rsidR="008A38B9" w:rsidRPr="008A38B9">
        <w:t>El Banco Central del Iraq, la Oficina de Auditoría Financiera, la Autoridad de Difusión y Comunicaciones y las Oficinas de Legados Píos son instituciones financiera y administrativamente independientes. La ley regulará la labor de cada una de esas instituciones. El Banco Central del Iraq responde ante la Cámara de Representantes. La Oficina de Auditoría Financiera y la Autoridad de Difusión y Comunicaciones dependen funcionalmente de la Cámara de Representantes. Las oficinas de legados píos dependen del Consejo de Ministros</w:t>
      </w:r>
      <w:r>
        <w:t>”</w:t>
      </w:r>
      <w:r w:rsidR="008A38B9" w:rsidRPr="008A38B9">
        <w:t xml:space="preserve"> (art. 103). </w:t>
      </w:r>
    </w:p>
    <w:p w14:paraId="73B451A2" w14:textId="77777777" w:rsidR="008A38B9" w:rsidRPr="008A38B9" w:rsidRDefault="003F1477" w:rsidP="003F1477">
      <w:pPr>
        <w:pStyle w:val="SingleTxtG"/>
      </w:pPr>
      <w:r>
        <w:tab/>
        <w:t>“</w:t>
      </w:r>
      <w:r w:rsidR="008A38B9" w:rsidRPr="008A38B9">
        <w:t>Se constituirá la Fundación de los Mártires, que dependerá del Consejo de Ministros. Una ley regulará sus funciones y competencias</w:t>
      </w:r>
      <w:r>
        <w:t>”</w:t>
      </w:r>
      <w:r w:rsidR="008A38B9" w:rsidRPr="008A38B9">
        <w:t xml:space="preserve"> (art. 104). </w:t>
      </w:r>
      <w:r>
        <w:t>“</w:t>
      </w:r>
      <w:r w:rsidR="008A38B9" w:rsidRPr="008A38B9">
        <w:t>Se constituirá una comisión que vele por los derechos de las regiones y de las provincias no incluidas en una región y asegure su participación equitativa en la gestión de todos los organismos federales del Estado, en las becas y las misiones educativas al extranjero y en las delegaciones y conferencias regionales e internacionales. La comisión estará compuesta por representantes del Gobierno federal, de las regiones y de las provincias no incluidas en una región</w:t>
      </w:r>
      <w:r>
        <w:t>”</w:t>
      </w:r>
      <w:r w:rsidR="008A38B9" w:rsidRPr="008A38B9">
        <w:t xml:space="preserve"> (art.</w:t>
      </w:r>
      <w:r>
        <w:t> </w:t>
      </w:r>
      <w:r w:rsidR="008A38B9" w:rsidRPr="008A38B9">
        <w:t>10</w:t>
      </w:r>
      <w:r w:rsidR="009D5497">
        <w:t>5</w:t>
      </w:r>
      <w:r w:rsidR="008A38B9" w:rsidRPr="008A38B9">
        <w:t>).</w:t>
      </w:r>
    </w:p>
    <w:p w14:paraId="67AC9CC0" w14:textId="77777777" w:rsidR="008A38B9" w:rsidRPr="008A38B9" w:rsidRDefault="003F1477" w:rsidP="003F1477">
      <w:pPr>
        <w:pStyle w:val="SingleTxtG"/>
      </w:pPr>
      <w:r>
        <w:tab/>
        <w:t>“</w:t>
      </w:r>
      <w:r w:rsidR="008A38B9" w:rsidRPr="008A38B9">
        <w:t xml:space="preserve">Se constituirá mediante una ley de propósito una comisión pública para auditar la asignación de los ingresos federales. La comisión, que estará compuesta por los expertos y representantes del Gobierno federal, las regiones y las provincias, asumirá las siguientes responsabilidades: </w:t>
      </w:r>
    </w:p>
    <w:p w14:paraId="640656FA" w14:textId="77777777" w:rsidR="008A38B9" w:rsidRPr="008A38B9" w:rsidRDefault="008A38B9" w:rsidP="003F1477">
      <w:pPr>
        <w:pStyle w:val="SingleTxtG"/>
      </w:pPr>
      <w:r w:rsidRPr="008A38B9">
        <w:tab/>
        <w:t>1.</w:t>
      </w:r>
      <w:r w:rsidR="003F1477">
        <w:tab/>
      </w:r>
      <w:r w:rsidRPr="008A38B9">
        <w:t xml:space="preserve">Corroborar que las concesiones, las ayudas y los créditos internacionales se distribuyan de manera equitativa y con arreglo a la proporción que corresponda a cada región o provincia no incluida en una región; </w:t>
      </w:r>
    </w:p>
    <w:p w14:paraId="62439DDE" w14:textId="77777777" w:rsidR="008A38B9" w:rsidRPr="008A38B9" w:rsidRDefault="008A38B9" w:rsidP="003F1477">
      <w:pPr>
        <w:pStyle w:val="SingleTxtG"/>
      </w:pPr>
      <w:r w:rsidRPr="008A38B9">
        <w:tab/>
        <w:t>2.</w:t>
      </w:r>
      <w:r w:rsidR="003F1477">
        <w:tab/>
      </w:r>
      <w:r w:rsidRPr="008A38B9">
        <w:t xml:space="preserve">Corroborar que los recursos financieros federales se empleen y repartan de manera óptima; </w:t>
      </w:r>
    </w:p>
    <w:p w14:paraId="570C40D0" w14:textId="77777777" w:rsidR="008A38B9" w:rsidRPr="008A38B9" w:rsidRDefault="008A38B9" w:rsidP="003F1477">
      <w:pPr>
        <w:pStyle w:val="SingleTxtG"/>
      </w:pPr>
      <w:r w:rsidRPr="008A38B9">
        <w:tab/>
        <w:t>3.</w:t>
      </w:r>
      <w:r w:rsidR="003F1477">
        <w:tab/>
      </w:r>
      <w:r w:rsidRPr="008A38B9">
        <w:t>Asegurar la transparencia y la equidad en la asignación de fondos a los gobiernos regionales o de las provincias no incluidas en una región con arreglo a porcentajes previstos</w:t>
      </w:r>
      <w:r w:rsidR="003F1477">
        <w:t>”</w:t>
      </w:r>
      <w:r w:rsidRPr="008A38B9">
        <w:t xml:space="preserve"> (art. 106).</w:t>
      </w:r>
    </w:p>
    <w:p w14:paraId="0C1F4C60" w14:textId="77777777" w:rsidR="008A38B9" w:rsidRPr="008A38B9" w:rsidRDefault="003F1477" w:rsidP="003F1477">
      <w:pPr>
        <w:pStyle w:val="SingleTxtG"/>
      </w:pPr>
      <w:r>
        <w:lastRenderedPageBreak/>
        <w:tab/>
        <w:t>“</w:t>
      </w:r>
      <w:r w:rsidR="008A38B9" w:rsidRPr="008A38B9">
        <w:t>Se constituirá el Consejo Federal de la Función Pública, que gestionará el funcionariado federal, incluidos los nombramientos y las promociones. Una ley regulará su constitución y competencias</w:t>
      </w:r>
      <w:r>
        <w:t>”</w:t>
      </w:r>
      <w:r w:rsidR="008A38B9" w:rsidRPr="008A38B9">
        <w:t xml:space="preserve"> (art. 107).</w:t>
      </w:r>
    </w:p>
    <w:p w14:paraId="27C1A610" w14:textId="77777777" w:rsidR="008A38B9" w:rsidRPr="008A38B9" w:rsidRDefault="003F1477" w:rsidP="003F1477">
      <w:pPr>
        <w:pStyle w:val="SingleTxtG"/>
      </w:pPr>
      <w:r>
        <w:tab/>
        <w:t>“</w:t>
      </w:r>
      <w:r w:rsidR="008A38B9" w:rsidRPr="008A38B9">
        <w:t>Se podrá constituir mediante ley otras comisiones independientes si fuere necesario</w:t>
      </w:r>
      <w:r>
        <w:t>”</w:t>
      </w:r>
      <w:r w:rsidR="008A38B9" w:rsidRPr="008A38B9">
        <w:t xml:space="preserve"> (art. 108).</w:t>
      </w:r>
    </w:p>
    <w:p w14:paraId="4B0C8D94" w14:textId="77777777" w:rsidR="008A38B9" w:rsidRPr="008A38B9" w:rsidRDefault="003F1477" w:rsidP="003F1477">
      <w:pPr>
        <w:pStyle w:val="SingleTxtG"/>
      </w:pPr>
      <w:r>
        <w:tab/>
      </w:r>
      <w:r w:rsidR="008A38B9" w:rsidRPr="008A38B9">
        <w:t>El Iraq escogió en su Constitución en vigor la forma de Estado federal. El artículo</w:t>
      </w:r>
      <w:r>
        <w:t> </w:t>
      </w:r>
      <w:r w:rsidR="008A38B9" w:rsidRPr="008A38B9">
        <w:t xml:space="preserve">109 determina las competencias de los poderes federales como sigue: </w:t>
      </w:r>
      <w:r>
        <w:t>“</w:t>
      </w:r>
      <w:r w:rsidR="008A38B9" w:rsidRPr="008A38B9">
        <w:t>Las autoridades federales preservan la unidad, la integridad, la independencia y la soberanía del Iraq y su orden democrático y federal</w:t>
      </w:r>
      <w:r>
        <w:t>”</w:t>
      </w:r>
      <w:r w:rsidR="008A38B9" w:rsidRPr="008A38B9">
        <w:t xml:space="preserve">. El artículo 110 dispone seguidamente que </w:t>
      </w:r>
      <w:r>
        <w:t>“</w:t>
      </w:r>
      <w:r w:rsidR="008A38B9" w:rsidRPr="008A38B9">
        <w:t xml:space="preserve">el Gobierno federal tiene competencias exclusivas en las materias siguientes: </w:t>
      </w:r>
    </w:p>
    <w:p w14:paraId="3BA03178" w14:textId="77777777" w:rsidR="008A38B9" w:rsidRPr="008A38B9" w:rsidRDefault="008A38B9" w:rsidP="003F1477">
      <w:pPr>
        <w:pStyle w:val="SingleTxtG"/>
      </w:pPr>
      <w:r w:rsidRPr="008A38B9">
        <w:tab/>
        <w:t>1.</w:t>
      </w:r>
      <w:r w:rsidR="003F1477">
        <w:tab/>
      </w:r>
      <w:r w:rsidRPr="008A38B9">
        <w:t xml:space="preserve">Formular la política exterior, ejercer la representación diplomática del Estado, negociar, suscribir y ratificar los tratados y convenios internacionales y las políticas de deuda y formular la política exterior soberana en las esferas económica y comercial; </w:t>
      </w:r>
    </w:p>
    <w:p w14:paraId="0B96A61C" w14:textId="77777777" w:rsidR="008A38B9" w:rsidRPr="008A38B9" w:rsidRDefault="008A38B9" w:rsidP="003F1477">
      <w:pPr>
        <w:pStyle w:val="SingleTxtG"/>
      </w:pPr>
      <w:r w:rsidRPr="008A38B9">
        <w:tab/>
        <w:t>2.</w:t>
      </w:r>
      <w:r w:rsidR="003F1477">
        <w:tab/>
      </w:r>
      <w:r w:rsidRPr="008A38B9">
        <w:t xml:space="preserve">Formular y ejecutar la política de seguridad nacional con miras a garantizar la protección y la seguridad de las fronteras del Iraq y la defensa del Estado, en particular crear y dirigir fuerzas armadas; </w:t>
      </w:r>
    </w:p>
    <w:p w14:paraId="2D6F27A9" w14:textId="77777777" w:rsidR="008A38B9" w:rsidRPr="008A38B9" w:rsidRDefault="008A38B9" w:rsidP="003F1477">
      <w:pPr>
        <w:pStyle w:val="SingleTxtG"/>
      </w:pPr>
      <w:r w:rsidRPr="008A38B9">
        <w:tab/>
        <w:t>3.</w:t>
      </w:r>
      <w:r w:rsidR="003F1477">
        <w:tab/>
      </w:r>
      <w:r w:rsidRPr="008A38B9">
        <w:t xml:space="preserve">Formular la política fiscal y aduanera, emitir moneda, regular la política comercial transregional y transprovincial, elaborar los presupuestos generales del Estado, formular la política monetaria y crear y administrar el Banco Central; </w:t>
      </w:r>
    </w:p>
    <w:p w14:paraId="1C514DAC" w14:textId="77777777" w:rsidR="008A38B9" w:rsidRPr="008A38B9" w:rsidRDefault="008A38B9" w:rsidP="003F1477">
      <w:pPr>
        <w:pStyle w:val="SingleTxtG"/>
      </w:pPr>
      <w:r w:rsidRPr="008A38B9">
        <w:tab/>
        <w:t>4.</w:t>
      </w:r>
      <w:r w:rsidR="003F1477">
        <w:tab/>
      </w:r>
      <w:r w:rsidRPr="008A38B9">
        <w:t xml:space="preserve">Regular los estándares, pesos y medidas; </w:t>
      </w:r>
    </w:p>
    <w:p w14:paraId="761D79B3" w14:textId="77777777" w:rsidR="008A38B9" w:rsidRPr="008A38B9" w:rsidRDefault="008A38B9" w:rsidP="003F1477">
      <w:pPr>
        <w:pStyle w:val="SingleTxtG"/>
      </w:pPr>
      <w:r w:rsidRPr="008A38B9">
        <w:tab/>
        <w:t>5.</w:t>
      </w:r>
      <w:r w:rsidR="003F1477">
        <w:tab/>
      </w:r>
      <w:r w:rsidRPr="008A38B9">
        <w:t xml:space="preserve">Regular las cuestiones relativas a la nacionalidad, la naturalización, la residencia y el derecho a solicitar el estatuto de refugiado político; </w:t>
      </w:r>
    </w:p>
    <w:p w14:paraId="63D2CD66" w14:textId="77777777" w:rsidR="008A38B9" w:rsidRPr="008A38B9" w:rsidRDefault="008A38B9" w:rsidP="003F1477">
      <w:pPr>
        <w:pStyle w:val="SingleTxtG"/>
      </w:pPr>
      <w:r w:rsidRPr="008A38B9">
        <w:tab/>
        <w:t>6.</w:t>
      </w:r>
      <w:r w:rsidR="003F1477">
        <w:tab/>
      </w:r>
      <w:r w:rsidRPr="008A38B9">
        <w:t xml:space="preserve">Regular las políticas de asignación de frecuencias de radiofonía y el servicio de correos; </w:t>
      </w:r>
    </w:p>
    <w:p w14:paraId="291EA82F" w14:textId="77777777" w:rsidR="008A38B9" w:rsidRPr="008A38B9" w:rsidRDefault="008A38B9" w:rsidP="003F1477">
      <w:pPr>
        <w:pStyle w:val="SingleTxtG"/>
      </w:pPr>
      <w:r w:rsidRPr="008A38B9">
        <w:tab/>
        <w:t>7.</w:t>
      </w:r>
      <w:r w:rsidR="003F1477">
        <w:tab/>
      </w:r>
      <w:r w:rsidRPr="008A38B9">
        <w:t xml:space="preserve">Elaborar el proyecto de presupuestos generales y de inversión; </w:t>
      </w:r>
    </w:p>
    <w:p w14:paraId="1826DCA8" w14:textId="77777777" w:rsidR="008A38B9" w:rsidRPr="008A38B9" w:rsidRDefault="008A38B9" w:rsidP="003F1477">
      <w:pPr>
        <w:pStyle w:val="SingleTxtG"/>
      </w:pPr>
      <w:r w:rsidRPr="008A38B9">
        <w:tab/>
        <w:t>8.</w:t>
      </w:r>
      <w:r w:rsidR="003F1477">
        <w:tab/>
      </w:r>
      <w:r w:rsidRPr="008A38B9">
        <w:t xml:space="preserve">Planificar las políticas relativas a los recursos hídricos procedentes del exterior del Iraq y asegurar el caudal hídrico que arriba al Iraq; </w:t>
      </w:r>
    </w:p>
    <w:p w14:paraId="25EBDABF" w14:textId="77777777" w:rsidR="008A38B9" w:rsidRPr="008A38B9" w:rsidRDefault="008A38B9" w:rsidP="003F1477">
      <w:pPr>
        <w:pStyle w:val="SingleTxtG"/>
      </w:pPr>
      <w:r w:rsidRPr="008A38B9">
        <w:tab/>
        <w:t>9.</w:t>
      </w:r>
      <w:r w:rsidR="003F1477">
        <w:tab/>
      </w:r>
      <w:r w:rsidRPr="008A38B9">
        <w:t>Realizar el censo general de población</w:t>
      </w:r>
      <w:r w:rsidR="003F1477">
        <w:t>”</w:t>
      </w:r>
      <w:r w:rsidRPr="008A38B9">
        <w:t>.</w:t>
      </w:r>
    </w:p>
    <w:p w14:paraId="64339053" w14:textId="77777777" w:rsidR="008A38B9" w:rsidRPr="008A38B9" w:rsidRDefault="003F1477" w:rsidP="003F1477">
      <w:pPr>
        <w:pStyle w:val="SingleTxtG"/>
      </w:pPr>
      <w:r>
        <w:tab/>
      </w:r>
      <w:r w:rsidR="008A38B9" w:rsidRPr="008A38B9">
        <w:t xml:space="preserve">Los artículos 111 y 112 señalan que el petróleo y el gas son propiedad de todo el pueblo iraquí en todas las regiones y provincias. </w:t>
      </w:r>
      <w:r>
        <w:t>“</w:t>
      </w:r>
      <w:r w:rsidR="008A38B9" w:rsidRPr="008A38B9">
        <w:t>El Gobierno federal administra los recursos petrolíferos y gasísticos extraídos de los campos actualmente en explotación junto con los Gobiernos de las regiones y provincias productoras. Los beneficios obtenidos de esos recursos se repartirán de manera equitativa con arreglo a la distribución de la población. Las regiones que fueron injustamente privadas de esos recursos por el régimen anterior o resultaron perjudicadas tras su caída recibirán una cuota fija de esos beneficios durante un tiempo determinado, de modo que se asegure el desarrollo equilibrado en todas las zonas del país. La distribución de esos recursos se regulará por ley. El Gobierno federal y los Gobiernos de las regiones y las provincias productoras formularán juntos las políticas estratégicas para el desarrollo de la riqueza petrolera y gasística, en beneficio del pueblo iraquí, mediante las técnicas más avanzadas de mercado y en apoyo a la inversión</w:t>
      </w:r>
      <w:r>
        <w:t>”</w:t>
      </w:r>
      <w:r w:rsidR="008A38B9" w:rsidRPr="008A38B9">
        <w:t>.</w:t>
      </w:r>
    </w:p>
    <w:p w14:paraId="2934B02C" w14:textId="77777777" w:rsidR="008A38B9" w:rsidRPr="008A38B9" w:rsidRDefault="003F1477" w:rsidP="003F1477">
      <w:pPr>
        <w:pStyle w:val="SingleTxtG"/>
      </w:pPr>
      <w:r>
        <w:tab/>
        <w:t>“</w:t>
      </w:r>
      <w:r w:rsidR="008A38B9" w:rsidRPr="008A38B9">
        <w:t>Los monumentos, los emplazamientos arqueológicos, los edificios de interés cultural, los fondos manuscritos y el patrimonio numismático son tesoros nacionales y competencia de las autoridades federales, que los gestionarán con la colaboración de las regiones y provincias en los términos que establezca la ley</w:t>
      </w:r>
      <w:r>
        <w:t>”</w:t>
      </w:r>
      <w:r w:rsidR="008A38B9" w:rsidRPr="008A38B9">
        <w:t xml:space="preserve"> (art. 113).</w:t>
      </w:r>
    </w:p>
    <w:p w14:paraId="655750AA" w14:textId="77777777" w:rsidR="008A38B9" w:rsidRPr="008A38B9" w:rsidRDefault="003F1477" w:rsidP="003F1477">
      <w:pPr>
        <w:pStyle w:val="SingleTxtG"/>
      </w:pPr>
      <w:r>
        <w:tab/>
      </w:r>
      <w:r w:rsidR="008A38B9" w:rsidRPr="008A38B9">
        <w:t xml:space="preserve">Con miras a solucionar cualquier conflicto futuro, el artículo 114 dispone lo siguiente: </w:t>
      </w:r>
      <w:r>
        <w:t>“</w:t>
      </w:r>
      <w:r w:rsidR="008A38B9" w:rsidRPr="008A38B9">
        <w:t xml:space="preserve">Las autoridades federales y las autoridades regionales compartirán las siguientes competencias: </w:t>
      </w:r>
    </w:p>
    <w:p w14:paraId="61BE6AF0" w14:textId="77777777" w:rsidR="008A38B9" w:rsidRPr="008A38B9" w:rsidRDefault="008A38B9" w:rsidP="003F1477">
      <w:pPr>
        <w:pStyle w:val="SingleTxtG"/>
      </w:pPr>
      <w:r w:rsidRPr="008A38B9">
        <w:tab/>
        <w:t>1.</w:t>
      </w:r>
      <w:r w:rsidR="003F1477">
        <w:tab/>
      </w:r>
      <w:r w:rsidRPr="008A38B9">
        <w:t xml:space="preserve">Gestionar las aduanas en los términos que establezca la ley, en coordinación con los Gobiernos regionales y de las provincias no incluidas en una región; </w:t>
      </w:r>
    </w:p>
    <w:p w14:paraId="61196994" w14:textId="77777777" w:rsidR="008A38B9" w:rsidRPr="008A38B9" w:rsidRDefault="008A38B9" w:rsidP="003F1477">
      <w:pPr>
        <w:pStyle w:val="SingleTxtG"/>
      </w:pPr>
      <w:r w:rsidRPr="008A38B9">
        <w:tab/>
        <w:t>2.</w:t>
      </w:r>
      <w:r w:rsidR="003F1477">
        <w:tab/>
      </w:r>
      <w:r w:rsidRPr="008A38B9">
        <w:t xml:space="preserve">Regular las fuentes principales de energía eléctrica y distribuirla; </w:t>
      </w:r>
    </w:p>
    <w:p w14:paraId="26F43E4A" w14:textId="77777777" w:rsidR="008A38B9" w:rsidRPr="008A38B9" w:rsidRDefault="008A38B9" w:rsidP="003F1477">
      <w:pPr>
        <w:pStyle w:val="SingleTxtG"/>
      </w:pPr>
      <w:r w:rsidRPr="008A38B9">
        <w:lastRenderedPageBreak/>
        <w:tab/>
        <w:t>3.</w:t>
      </w:r>
      <w:r w:rsidR="003F1477">
        <w:tab/>
      </w:r>
      <w:r w:rsidRPr="008A38B9">
        <w:t xml:space="preserve">Formular junto con las autoridades regionales y de las provincias no incluidas en una región la política medioambiental con miras a proteger el entorno de la contaminación y preservar su limpieza; </w:t>
      </w:r>
    </w:p>
    <w:p w14:paraId="03066977" w14:textId="77777777" w:rsidR="008A38B9" w:rsidRPr="008A38B9" w:rsidRDefault="008A38B9" w:rsidP="003F1477">
      <w:pPr>
        <w:pStyle w:val="SingleTxtG"/>
      </w:pPr>
      <w:r w:rsidRPr="008A38B9">
        <w:tab/>
        <w:t>4.</w:t>
      </w:r>
      <w:r w:rsidR="003F1477">
        <w:tab/>
      </w:r>
      <w:r w:rsidRPr="008A38B9">
        <w:t xml:space="preserve">Formular las políticas de desarrollo y la planificación general; </w:t>
      </w:r>
    </w:p>
    <w:p w14:paraId="28089FC5" w14:textId="77777777" w:rsidR="008A38B9" w:rsidRPr="008A38B9" w:rsidRDefault="008A38B9" w:rsidP="003F1477">
      <w:pPr>
        <w:pStyle w:val="SingleTxtG"/>
      </w:pPr>
      <w:r w:rsidRPr="008A38B9">
        <w:tab/>
        <w:t>5.</w:t>
      </w:r>
      <w:r w:rsidR="003F1477">
        <w:tab/>
      </w:r>
      <w:r w:rsidRPr="008A38B9">
        <w:t xml:space="preserve">Formular la política de salud pública junto con las autoridades regionales y de las provincias no incluidas en una región; </w:t>
      </w:r>
    </w:p>
    <w:p w14:paraId="6DE6227B" w14:textId="77777777" w:rsidR="008A38B9" w:rsidRPr="008A38B9" w:rsidRDefault="008A38B9" w:rsidP="003F1477">
      <w:pPr>
        <w:pStyle w:val="SingleTxtG"/>
      </w:pPr>
      <w:r w:rsidRPr="008A38B9">
        <w:tab/>
        <w:t>6.</w:t>
      </w:r>
      <w:r w:rsidR="003F1477">
        <w:tab/>
      </w:r>
      <w:r w:rsidRPr="008A38B9">
        <w:t xml:space="preserve">Formular la política educativa pública con el asesoramiento de las autoridades regionales y de las provincias no incluidas en una región; </w:t>
      </w:r>
    </w:p>
    <w:p w14:paraId="30C5B854" w14:textId="77777777" w:rsidR="008A38B9" w:rsidRPr="008A38B9" w:rsidRDefault="008A38B9" w:rsidP="003F1477">
      <w:pPr>
        <w:pStyle w:val="SingleTxtG"/>
      </w:pPr>
      <w:r w:rsidRPr="008A38B9">
        <w:tab/>
        <w:t>7.</w:t>
      </w:r>
      <w:r w:rsidR="003F1477">
        <w:tab/>
      </w:r>
      <w:r w:rsidRPr="008A38B9">
        <w:t>Formular la política de recursos hídricos nacionales y regularla de modo que se asegure la distribución equitativa de esos recursos en los términos que establezca la ley</w:t>
      </w:r>
      <w:r w:rsidR="009D5497">
        <w:t>”</w:t>
      </w:r>
      <w:r w:rsidRPr="008A38B9">
        <w:t xml:space="preserve">. </w:t>
      </w:r>
    </w:p>
    <w:p w14:paraId="2C3D3ADE" w14:textId="77777777" w:rsidR="008A38B9" w:rsidRPr="008A38B9" w:rsidRDefault="003F1477" w:rsidP="003F1477">
      <w:pPr>
        <w:pStyle w:val="SingleTxtG"/>
      </w:pPr>
      <w:r>
        <w:tab/>
        <w:t>“</w:t>
      </w:r>
      <w:r w:rsidR="008A38B9" w:rsidRPr="008A38B9">
        <w:t>Todas las competencias que no sean exclusivas del Gobierno federal corresponden a las autoridades regionales y de las provincias no incluidas en una región. En caso de conflicto competencial en relación con las otras atribuciones compartidas entre el Gobierno federal y las regiones prevalecerá la legislación de las regiones y de las provincias no incluidas en una región</w:t>
      </w:r>
      <w:r>
        <w:t>”</w:t>
      </w:r>
      <w:r w:rsidR="008A38B9" w:rsidRPr="008A38B9">
        <w:t xml:space="preserve"> (art. 115)</w:t>
      </w:r>
    </w:p>
    <w:p w14:paraId="44083402" w14:textId="77777777" w:rsidR="008A38B9" w:rsidRPr="008A38B9" w:rsidRDefault="003F1477" w:rsidP="003F1477">
      <w:pPr>
        <w:pStyle w:val="SingleTxtG"/>
      </w:pPr>
      <w:r>
        <w:tab/>
      </w:r>
      <w:r w:rsidR="008A38B9" w:rsidRPr="008A38B9">
        <w:t xml:space="preserve">Según los artículos 116 y 117, el sistema federal de la República del Iraq se compone de una capital, regiones y provincias descentralizadas, así como de administraciones locales. Al entrar en vigor la Constitución se reconocerá el estatus de región federal a la Región del Kurdistán y sus autoridades constituidas. La Constitución también reconoce las nuevas regiones que puedan constituirse al amparo de sus disposiciones. </w:t>
      </w:r>
    </w:p>
    <w:p w14:paraId="09C01702" w14:textId="77777777" w:rsidR="008A38B9" w:rsidRPr="008A38B9" w:rsidRDefault="003F1477" w:rsidP="003F1477">
      <w:pPr>
        <w:pStyle w:val="SingleTxtG"/>
      </w:pPr>
      <w:r>
        <w:tab/>
        <w:t>“</w:t>
      </w:r>
      <w:r w:rsidR="008A38B9" w:rsidRPr="008A38B9">
        <w:t xml:space="preserve">Una o más provincias podrán constituir una región mediante solicitud aprobada en referéndum y presentada por una de las vías siguientes: </w:t>
      </w:r>
    </w:p>
    <w:p w14:paraId="293F58E2" w14:textId="77777777" w:rsidR="008A38B9" w:rsidRPr="008A38B9" w:rsidRDefault="008A38B9" w:rsidP="003F1477">
      <w:pPr>
        <w:pStyle w:val="SingleTxtG"/>
      </w:pPr>
      <w:r w:rsidRPr="008A38B9">
        <w:tab/>
        <w:t>1.</w:t>
      </w:r>
      <w:r w:rsidR="003F1477">
        <w:tab/>
      </w:r>
      <w:r w:rsidRPr="008A38B9">
        <w:t xml:space="preserve">A solicitud de un tercio de los miembros del consejo de cada provincia que desee constituir la región; </w:t>
      </w:r>
    </w:p>
    <w:p w14:paraId="7E418F91" w14:textId="77777777" w:rsidR="008A38B9" w:rsidRPr="008A38B9" w:rsidRDefault="008A38B9" w:rsidP="003F1477">
      <w:pPr>
        <w:pStyle w:val="SingleTxtG"/>
      </w:pPr>
      <w:r w:rsidRPr="008A38B9">
        <w:tab/>
        <w:t>2.</w:t>
      </w:r>
      <w:r w:rsidR="003F1477">
        <w:tab/>
      </w:r>
      <w:r w:rsidRPr="008A38B9">
        <w:t>A solicitud de una décima parte de los votantes de cada provincia que desee constituir la región</w:t>
      </w:r>
      <w:r w:rsidR="003F1477">
        <w:t>”</w:t>
      </w:r>
      <w:r w:rsidRPr="008A38B9">
        <w:t xml:space="preserve"> (art. 119).</w:t>
      </w:r>
    </w:p>
    <w:p w14:paraId="342DBA18" w14:textId="77777777" w:rsidR="008A38B9" w:rsidRPr="008A38B9" w:rsidRDefault="008A38B9" w:rsidP="003F1477">
      <w:pPr>
        <w:pStyle w:val="SingleTxtG"/>
      </w:pPr>
      <w:r w:rsidRPr="008A38B9">
        <w:tab/>
      </w:r>
      <w:r w:rsidR="003F1477">
        <w:t>“</w:t>
      </w:r>
      <w:r w:rsidRPr="008A38B9">
        <w:t>Cada región adoptará su propia Constitución, que determinará la estructura de sus poderes, sus autoridades y los mecanismos para el ejercicio de sus atribuciones</w:t>
      </w:r>
      <w:r w:rsidR="00FD5C17">
        <w:t>”</w:t>
      </w:r>
      <w:r w:rsidRPr="008A38B9">
        <w:t xml:space="preserve"> (art. 120).</w:t>
      </w:r>
    </w:p>
    <w:p w14:paraId="5948ED7B" w14:textId="77777777" w:rsidR="008A38B9" w:rsidRPr="008A38B9" w:rsidRDefault="00FD5C17" w:rsidP="00FD5C17">
      <w:pPr>
        <w:pStyle w:val="SingleTxtG"/>
      </w:pPr>
      <w:r>
        <w:tab/>
        <w:t>“</w:t>
      </w:r>
      <w:r w:rsidR="008A38B9" w:rsidRPr="008A38B9">
        <w:t>Las autoridades regionales podrán ejercer los poderes ejecutivo, legislativo y judicial de conformidad con esta Constitución, salvo las competencias conferidas de manera exclusiva al Gobierno federal. Si las leyes federales y regionales se contradicen en relación con competencias no exclusivas del Gobierno federal, la autoridad regional estará facultada para modificar la aplicación de la ley federal en la región. A las regiones y provincias se les asignará una parte equitativa de los ingresos federales, suficiente para que asuman sus cargas y cumplan sus responsabilidades considerando sus recursos y necesidades y su porcentaje de población. Se establecerán oficinas regionales y provinciales en las embajadas y misiones diplomáticas para el seguimiento de las cuestiones culturales, sociales y de desarrollo. El Gobierno de la Región se ocupará de cuanto sea necesario para su gestión, en particular de constituir y regular las fuerzas de seguridad regional, como la policía, las fuerzas de seguridad y la gendarmería regional</w:t>
      </w:r>
      <w:r>
        <w:t>”</w:t>
      </w:r>
      <w:r w:rsidR="008A38B9" w:rsidRPr="008A38B9">
        <w:t xml:space="preserve"> (art. 121).</w:t>
      </w:r>
    </w:p>
    <w:p w14:paraId="5DCB5B74" w14:textId="77777777" w:rsidR="008A38B9" w:rsidRPr="008A38B9" w:rsidRDefault="00FD5C17" w:rsidP="00FD5C17">
      <w:pPr>
        <w:pStyle w:val="SingleTxtG"/>
      </w:pPr>
      <w:r>
        <w:tab/>
      </w:r>
      <w:r w:rsidR="008A38B9" w:rsidRPr="008A38B9">
        <w:t xml:space="preserve">El artículo 122 dispone lo siguiente: </w:t>
      </w:r>
    </w:p>
    <w:p w14:paraId="5D804DD3" w14:textId="77777777" w:rsidR="008A38B9" w:rsidRPr="008A38B9" w:rsidRDefault="008A38B9" w:rsidP="00FD5C17">
      <w:pPr>
        <w:pStyle w:val="SingleTxtG"/>
      </w:pPr>
      <w:r w:rsidRPr="008A38B9">
        <w:tab/>
      </w:r>
      <w:r w:rsidR="00FD5C17">
        <w:t>“</w:t>
      </w:r>
      <w:r w:rsidRPr="008A38B9">
        <w:t>1.</w:t>
      </w:r>
      <w:r w:rsidR="00FD5C17">
        <w:tab/>
      </w:r>
      <w:r w:rsidRPr="008A38B9">
        <w:t xml:space="preserve">Las provincias se componen de distritos, subdistritos y pueblos; </w:t>
      </w:r>
    </w:p>
    <w:p w14:paraId="1E368BF2" w14:textId="77777777" w:rsidR="008A38B9" w:rsidRPr="008A38B9" w:rsidRDefault="008A38B9" w:rsidP="00FD5C17">
      <w:pPr>
        <w:pStyle w:val="SingleTxtG"/>
      </w:pPr>
      <w:r w:rsidRPr="008A38B9">
        <w:tab/>
        <w:t>2.</w:t>
      </w:r>
      <w:r w:rsidR="00FD5C17">
        <w:tab/>
      </w:r>
      <w:r w:rsidRPr="008A38B9">
        <w:t xml:space="preserve">Las provincias no incluidas en una región recibirán amplias competencias administrativas y financieras para que gestionen sus asuntos de manera descentralizada y en los términos que establezca la ley; </w:t>
      </w:r>
    </w:p>
    <w:p w14:paraId="2DA372CB" w14:textId="77777777" w:rsidR="008A38B9" w:rsidRPr="008A38B9" w:rsidRDefault="008A38B9" w:rsidP="00FD5C17">
      <w:pPr>
        <w:pStyle w:val="SingleTxtG"/>
      </w:pPr>
      <w:r w:rsidRPr="008A38B9">
        <w:tab/>
        <w:t>3.</w:t>
      </w:r>
      <w:r w:rsidR="00FD5C17">
        <w:tab/>
      </w:r>
      <w:r w:rsidRPr="008A38B9">
        <w:t xml:space="preserve">El Gobernador es elegido por el Consejo Provincial, constituye la más alta instancia ejecutiva en la provincia y ejerce las facultades a él conferidas por el Consejo; </w:t>
      </w:r>
    </w:p>
    <w:p w14:paraId="7277B234" w14:textId="77777777" w:rsidR="008A38B9" w:rsidRPr="008A38B9" w:rsidRDefault="008A38B9" w:rsidP="00FD5C17">
      <w:pPr>
        <w:pStyle w:val="SingleTxtG"/>
      </w:pPr>
      <w:r w:rsidRPr="008A38B9">
        <w:tab/>
        <w:t>4.</w:t>
      </w:r>
      <w:r w:rsidR="00FD5C17">
        <w:tab/>
      </w:r>
      <w:r w:rsidRPr="008A38B9">
        <w:t xml:space="preserve">El Consejo Provincial y sus competencias se regularán mediante una ley de propósito; </w:t>
      </w:r>
    </w:p>
    <w:p w14:paraId="74FC7AA2" w14:textId="77777777" w:rsidR="008A38B9" w:rsidRPr="008A38B9" w:rsidRDefault="008A38B9" w:rsidP="00FD5C17">
      <w:pPr>
        <w:pStyle w:val="SingleTxtG"/>
      </w:pPr>
      <w:r w:rsidRPr="008A38B9">
        <w:lastRenderedPageBreak/>
        <w:tab/>
        <w:t>5.</w:t>
      </w:r>
      <w:r w:rsidR="00FD5C17">
        <w:tab/>
      </w:r>
      <w:r w:rsidRPr="008A38B9">
        <w:t>El Consejo Provincial no estará sometido al control o la supervisión de Ministerio o instancia no ministerial alguna y gozará de independencia financiera</w:t>
      </w:r>
      <w:r w:rsidR="00FD5C17">
        <w:t>”</w:t>
      </w:r>
      <w:r w:rsidRPr="008A38B9">
        <w:t xml:space="preserve">. </w:t>
      </w:r>
    </w:p>
    <w:p w14:paraId="14F9A1E6" w14:textId="77777777" w:rsidR="008A38B9" w:rsidRPr="008A38B9" w:rsidRDefault="00FD5C17" w:rsidP="00FD5C17">
      <w:pPr>
        <w:pStyle w:val="SingleTxtG"/>
      </w:pPr>
      <w:r>
        <w:tab/>
        <w:t>“</w:t>
      </w:r>
      <w:r w:rsidR="008A38B9" w:rsidRPr="008A38B9">
        <w:t>La presente Constitución asegura los derechos administrativos, políticos, culturales y educativos de todas las comunidades étnicas, entre otras los turcomanos, los caldeos y los asirios. Se promulgará una ley que haga efectivo este precepto</w:t>
      </w:r>
      <w:r>
        <w:t>”</w:t>
      </w:r>
      <w:r w:rsidR="008A38B9" w:rsidRPr="008A38B9">
        <w:t xml:space="preserve"> (art. 125).</w:t>
      </w:r>
    </w:p>
    <w:p w14:paraId="47C4B092" w14:textId="77777777" w:rsidR="008A38B9" w:rsidRPr="008A38B9" w:rsidRDefault="00FD5C17" w:rsidP="00FD5C17">
      <w:pPr>
        <w:pStyle w:val="SingleTxtG"/>
      </w:pPr>
      <w:r>
        <w:tab/>
      </w:r>
      <w:r w:rsidR="008A38B9" w:rsidRPr="008A38B9">
        <w:t xml:space="preserve">Para dar respuesta a las violaciones de derechos humanos cometidas por el régimen anterior, </w:t>
      </w:r>
      <w:r>
        <w:t>“</w:t>
      </w:r>
      <w:r w:rsidR="008A38B9" w:rsidRPr="008A38B9">
        <w:t>el Estado atenderá a los familiares de los mártires, los presos políticos y las víctimas de la dictadura. El Estado indemniza a los familiares de las personas muertas o heridas en actos terroristas</w:t>
      </w:r>
      <w:r>
        <w:t>”</w:t>
      </w:r>
      <w:r w:rsidR="008A38B9" w:rsidRPr="008A38B9">
        <w:t xml:space="preserve"> (art. 132). El Tribunal Penal Supremo del Iraq, en su calidad de órgano jurisdiccional independiente, entenderá en los crímenes cometidos durante la dictadura y sus símbolos.</w:t>
      </w:r>
    </w:p>
    <w:p w14:paraId="5FB6BDD5" w14:textId="77777777" w:rsidR="008A38B9" w:rsidRPr="008A38B9" w:rsidRDefault="00FD5C17" w:rsidP="00FD5C17">
      <w:pPr>
        <w:pStyle w:val="SingleTxtG"/>
      </w:pPr>
      <w:r>
        <w:tab/>
        <w:t>“</w:t>
      </w:r>
      <w:r w:rsidR="008A38B9" w:rsidRPr="008A38B9">
        <w:t xml:space="preserve">La Comisión Suprema Nacional de </w:t>
      </w:r>
      <w:r w:rsidR="008A38B9" w:rsidRPr="008A38B9">
        <w:rPr>
          <w:i/>
          <w:iCs/>
        </w:rPr>
        <w:t>Desbaazificación</w:t>
      </w:r>
      <w:r w:rsidR="008A38B9" w:rsidRPr="008A38B9">
        <w:t xml:space="preserve"> seguirá actuando como comisión independiente, con sujeción a sus leyes reguladoras y en coordinación con el poder judicial y las instancias ejecutivas. La Comisión depende de la Cámara de Representantes</w:t>
      </w:r>
      <w:r>
        <w:t>”</w:t>
      </w:r>
      <w:r w:rsidR="008A38B9" w:rsidRPr="008A38B9">
        <w:t xml:space="preserve"> (art. 135). Ese organismo ha sido sustituido por la Comisión Nacional Suprema de Rendición de Cuentas y Justicia, cuyas funciones están reguladas por una ley de propósito. </w:t>
      </w:r>
    </w:p>
    <w:p w14:paraId="009D8AB2" w14:textId="77777777" w:rsidR="008A38B9" w:rsidRPr="008A38B9" w:rsidRDefault="00FD5C17" w:rsidP="00FD5C17">
      <w:pPr>
        <w:pStyle w:val="SingleTxtG"/>
      </w:pPr>
      <w:r>
        <w:tab/>
        <w:t>“</w:t>
      </w:r>
      <w:r w:rsidR="008A38B9" w:rsidRPr="008A38B9">
        <w:t>La Comisión de Reclamación de Bienes Inmuebles seguirá actuando como comisión independiente, en coordinación con la autoridad judicial y las instancias ejecutivas y con sujeción a la ley. La Comisión depende de la Cámara de Representantes</w:t>
      </w:r>
      <w:r>
        <w:t>”</w:t>
      </w:r>
      <w:r w:rsidR="008A38B9" w:rsidRPr="008A38B9">
        <w:t xml:space="preserve"> (art. 136). </w:t>
      </w:r>
    </w:p>
    <w:p w14:paraId="36DE7ADF" w14:textId="77777777" w:rsidR="008A38B9" w:rsidRPr="008A38B9" w:rsidRDefault="00FD5C17" w:rsidP="00FD5C17">
      <w:pPr>
        <w:pStyle w:val="SingleTxtG"/>
      </w:pPr>
      <w:r>
        <w:tab/>
      </w:r>
      <w:r w:rsidR="008A38B9" w:rsidRPr="008A38B9">
        <w:t>El artículo 140 preveía la resolución de otra cuestión relativa a las prácticas del régimen anterior en relación con las zonas en disputa.</w:t>
      </w:r>
    </w:p>
    <w:p w14:paraId="101C9D4D" w14:textId="77777777" w:rsidR="008A38B9" w:rsidRPr="008A38B9" w:rsidRDefault="008A38B9" w:rsidP="00FD5C17">
      <w:pPr>
        <w:pStyle w:val="Bullet1G"/>
      </w:pPr>
      <w:r w:rsidRPr="008A38B9">
        <w:t>Con arreglo a la Constitución Permanente, a mediados de 2006 se celebraron elecciones generales democráticas para la elección de los miembros de la Cámara de Representantes para formar el Gobierno de Unidad Nacional. En 2010 se celebraron elecciones a la Cámara de Representantes y en 2013 tuvieron lugar las elecciones a los consejos provinciales y las elecciones de la Región del Kurdistán.</w:t>
      </w:r>
    </w:p>
    <w:p w14:paraId="34CB3B36" w14:textId="77777777" w:rsidR="008A38B9" w:rsidRDefault="008A38B9" w:rsidP="00FD5C17">
      <w:pPr>
        <w:pStyle w:val="SingleTxtG"/>
      </w:pPr>
      <w:r w:rsidRPr="008A38B9">
        <w:t>87.</w:t>
      </w:r>
      <w:r w:rsidRPr="008A38B9">
        <w:tab/>
        <w:t>En el cuadro siguiente figuran detalles sobre las elecciones de 2010 a la Cámara de Representantes Federal, de 2013 a los consejos provinciales y de la Región del Kurdistán, y de 2014 y 2018 a la Cámara de Representantes federal.</w:t>
      </w:r>
    </w:p>
    <w:tbl>
      <w:tblPr>
        <w:tblStyle w:val="Tablaconcuadrcula"/>
        <w:tblW w:w="9533"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64"/>
        <w:gridCol w:w="1554"/>
        <w:gridCol w:w="1638"/>
        <w:gridCol w:w="1315"/>
        <w:gridCol w:w="1358"/>
        <w:gridCol w:w="1904"/>
      </w:tblGrid>
      <w:tr w:rsidR="00FD5C17" w:rsidRPr="00FD5C17" w14:paraId="194ED69E" w14:textId="77777777" w:rsidTr="00FD5C17">
        <w:trPr>
          <w:tblHeader/>
        </w:trPr>
        <w:tc>
          <w:tcPr>
            <w:tcW w:w="1764" w:type="dxa"/>
            <w:tcBorders>
              <w:top w:val="single" w:sz="4" w:space="0" w:color="auto"/>
              <w:bottom w:val="single" w:sz="12" w:space="0" w:color="auto"/>
            </w:tcBorders>
            <w:shd w:val="clear" w:color="auto" w:fill="auto"/>
            <w:vAlign w:val="bottom"/>
          </w:tcPr>
          <w:p w14:paraId="73AB4ED8" w14:textId="77777777" w:rsidR="00FD5C17" w:rsidRPr="00FD5C17" w:rsidRDefault="00FD5C17" w:rsidP="00FD5C17">
            <w:pPr>
              <w:pStyle w:val="SingleTxtG"/>
              <w:spacing w:before="80" w:after="80" w:line="200" w:lineRule="exact"/>
              <w:ind w:left="0" w:right="0"/>
              <w:jc w:val="left"/>
              <w:rPr>
                <w:i/>
                <w:sz w:val="16"/>
              </w:rPr>
            </w:pPr>
          </w:p>
        </w:tc>
        <w:tc>
          <w:tcPr>
            <w:tcW w:w="1554" w:type="dxa"/>
            <w:tcBorders>
              <w:top w:val="single" w:sz="4" w:space="0" w:color="auto"/>
              <w:bottom w:val="single" w:sz="12" w:space="0" w:color="auto"/>
            </w:tcBorders>
            <w:shd w:val="clear" w:color="auto" w:fill="auto"/>
            <w:vAlign w:val="bottom"/>
          </w:tcPr>
          <w:p w14:paraId="0DFCB892" w14:textId="77777777" w:rsidR="00FD5C17" w:rsidRPr="00FD5C17" w:rsidRDefault="00FD5C17" w:rsidP="00FD5C17">
            <w:pPr>
              <w:pStyle w:val="SingleTxtG"/>
              <w:spacing w:before="80" w:after="80" w:line="200" w:lineRule="exact"/>
              <w:ind w:left="0" w:right="0"/>
              <w:jc w:val="right"/>
              <w:rPr>
                <w:i/>
                <w:sz w:val="16"/>
              </w:rPr>
            </w:pPr>
            <w:r w:rsidRPr="00FD5C17">
              <w:rPr>
                <w:i/>
                <w:sz w:val="16"/>
              </w:rPr>
              <w:t>Elecciones de 2010 a la Cámara de Representantes federal</w:t>
            </w:r>
          </w:p>
        </w:tc>
        <w:tc>
          <w:tcPr>
            <w:tcW w:w="1638" w:type="dxa"/>
            <w:tcBorders>
              <w:top w:val="single" w:sz="4" w:space="0" w:color="auto"/>
              <w:bottom w:val="single" w:sz="12" w:space="0" w:color="auto"/>
            </w:tcBorders>
            <w:shd w:val="clear" w:color="auto" w:fill="auto"/>
            <w:vAlign w:val="bottom"/>
          </w:tcPr>
          <w:p w14:paraId="33417582" w14:textId="77777777" w:rsidR="00FD5C17" w:rsidRPr="00FD5C17" w:rsidRDefault="00FD5C17" w:rsidP="00FD5C17">
            <w:pPr>
              <w:pStyle w:val="SingleTxtG"/>
              <w:spacing w:before="80" w:after="80" w:line="200" w:lineRule="exact"/>
              <w:ind w:left="0" w:right="0"/>
              <w:jc w:val="right"/>
              <w:rPr>
                <w:i/>
                <w:sz w:val="16"/>
              </w:rPr>
            </w:pPr>
            <w:r w:rsidRPr="00FD5C17">
              <w:rPr>
                <w:i/>
                <w:sz w:val="16"/>
              </w:rPr>
              <w:t>Elecciones de 2013 a los Consejos Provinciales</w:t>
            </w:r>
          </w:p>
        </w:tc>
        <w:tc>
          <w:tcPr>
            <w:tcW w:w="1315" w:type="dxa"/>
            <w:tcBorders>
              <w:top w:val="single" w:sz="4" w:space="0" w:color="auto"/>
              <w:bottom w:val="single" w:sz="12" w:space="0" w:color="auto"/>
            </w:tcBorders>
            <w:shd w:val="clear" w:color="auto" w:fill="auto"/>
            <w:vAlign w:val="bottom"/>
          </w:tcPr>
          <w:p w14:paraId="7145C61A" w14:textId="77777777" w:rsidR="00FD5C17" w:rsidRPr="00FD5C17" w:rsidRDefault="00FD5C17" w:rsidP="00FD5C17">
            <w:pPr>
              <w:pStyle w:val="SingleTxtG"/>
              <w:spacing w:before="80" w:after="80" w:line="200" w:lineRule="exact"/>
              <w:ind w:left="0" w:right="0"/>
              <w:jc w:val="right"/>
              <w:rPr>
                <w:i/>
                <w:sz w:val="16"/>
              </w:rPr>
            </w:pPr>
            <w:r w:rsidRPr="00FD5C17">
              <w:rPr>
                <w:i/>
                <w:sz w:val="16"/>
              </w:rPr>
              <w:t>Elecciones de 2013 de la Región del Kurdistán</w:t>
            </w:r>
          </w:p>
        </w:tc>
        <w:tc>
          <w:tcPr>
            <w:tcW w:w="1358" w:type="dxa"/>
            <w:tcBorders>
              <w:top w:val="single" w:sz="4" w:space="0" w:color="auto"/>
              <w:bottom w:val="single" w:sz="12" w:space="0" w:color="auto"/>
            </w:tcBorders>
            <w:shd w:val="clear" w:color="auto" w:fill="auto"/>
            <w:vAlign w:val="bottom"/>
          </w:tcPr>
          <w:p w14:paraId="1CCDD766" w14:textId="77777777" w:rsidR="00FD5C17" w:rsidRPr="00FD5C17" w:rsidRDefault="00FD5C17" w:rsidP="00FD5C17">
            <w:pPr>
              <w:pStyle w:val="SingleTxtG"/>
              <w:spacing w:before="80" w:after="80" w:line="200" w:lineRule="exact"/>
              <w:ind w:left="0" w:right="0"/>
              <w:jc w:val="right"/>
              <w:rPr>
                <w:i/>
                <w:sz w:val="16"/>
              </w:rPr>
            </w:pPr>
            <w:r w:rsidRPr="00FD5C17">
              <w:rPr>
                <w:i/>
                <w:sz w:val="16"/>
              </w:rPr>
              <w:t>Elecciones de 2014 a la Cámara de Representantes federal</w:t>
            </w:r>
          </w:p>
        </w:tc>
        <w:tc>
          <w:tcPr>
            <w:tcW w:w="1904" w:type="dxa"/>
            <w:tcBorders>
              <w:top w:val="single" w:sz="4" w:space="0" w:color="auto"/>
              <w:bottom w:val="single" w:sz="12" w:space="0" w:color="auto"/>
            </w:tcBorders>
            <w:shd w:val="clear" w:color="auto" w:fill="auto"/>
            <w:vAlign w:val="bottom"/>
          </w:tcPr>
          <w:p w14:paraId="1FCD1296" w14:textId="77777777" w:rsidR="00FD5C17" w:rsidRPr="00FD5C17" w:rsidRDefault="00FD5C17" w:rsidP="00FD5C17">
            <w:pPr>
              <w:pStyle w:val="SingleTxtG"/>
              <w:spacing w:before="80" w:after="80" w:line="200" w:lineRule="exact"/>
              <w:ind w:left="0" w:right="0"/>
              <w:jc w:val="right"/>
              <w:rPr>
                <w:i/>
                <w:sz w:val="16"/>
              </w:rPr>
            </w:pPr>
            <w:r w:rsidRPr="00FD5C17">
              <w:rPr>
                <w:i/>
                <w:sz w:val="16"/>
              </w:rPr>
              <w:t>Elecciones de 2018 a la Cámara de Representantes federal</w:t>
            </w:r>
          </w:p>
        </w:tc>
      </w:tr>
      <w:tr w:rsidR="00FD5C17" w:rsidRPr="00FD5C17" w14:paraId="5B54F47A" w14:textId="77777777" w:rsidTr="00FD5C17">
        <w:tc>
          <w:tcPr>
            <w:tcW w:w="1764" w:type="dxa"/>
            <w:tcBorders>
              <w:top w:val="single" w:sz="12" w:space="0" w:color="auto"/>
            </w:tcBorders>
            <w:shd w:val="clear" w:color="auto" w:fill="auto"/>
            <w:vAlign w:val="center"/>
          </w:tcPr>
          <w:p w14:paraId="008C21E0" w14:textId="77777777" w:rsidR="00FD5C17" w:rsidRPr="00FD5C17" w:rsidRDefault="00FD5C17" w:rsidP="00FD5C17">
            <w:pPr>
              <w:pStyle w:val="SingleTxtG"/>
              <w:spacing w:before="40" w:after="40" w:line="220" w:lineRule="exact"/>
              <w:ind w:left="0" w:right="0"/>
              <w:jc w:val="left"/>
              <w:rPr>
                <w:sz w:val="18"/>
              </w:rPr>
            </w:pPr>
            <w:r w:rsidRPr="00FD5C17">
              <w:rPr>
                <w:sz w:val="18"/>
              </w:rPr>
              <w:t>Participación en las elecciones</w:t>
            </w:r>
          </w:p>
        </w:tc>
        <w:tc>
          <w:tcPr>
            <w:tcW w:w="1554" w:type="dxa"/>
            <w:tcBorders>
              <w:top w:val="single" w:sz="12" w:space="0" w:color="auto"/>
            </w:tcBorders>
            <w:shd w:val="clear" w:color="auto" w:fill="auto"/>
            <w:vAlign w:val="bottom"/>
          </w:tcPr>
          <w:p w14:paraId="1AFC43E0" w14:textId="77777777" w:rsidR="00FD5C17" w:rsidRPr="00FD5C17" w:rsidRDefault="00FD5C17" w:rsidP="00FD5C17">
            <w:pPr>
              <w:pStyle w:val="SingleTxtG"/>
              <w:spacing w:before="40" w:after="40" w:line="220" w:lineRule="exact"/>
              <w:ind w:left="0" w:right="0"/>
              <w:jc w:val="right"/>
              <w:rPr>
                <w:sz w:val="18"/>
              </w:rPr>
            </w:pPr>
            <w:r w:rsidRPr="00FD5C17">
              <w:rPr>
                <w:sz w:val="18"/>
              </w:rPr>
              <w:t>62,39 %</w:t>
            </w:r>
          </w:p>
        </w:tc>
        <w:tc>
          <w:tcPr>
            <w:tcW w:w="1638" w:type="dxa"/>
            <w:tcBorders>
              <w:top w:val="single" w:sz="12" w:space="0" w:color="auto"/>
            </w:tcBorders>
            <w:shd w:val="clear" w:color="auto" w:fill="auto"/>
            <w:vAlign w:val="bottom"/>
          </w:tcPr>
          <w:p w14:paraId="5AC4B660" w14:textId="77777777" w:rsidR="00FD5C17" w:rsidRPr="00FD5C17" w:rsidRDefault="00FD5C17" w:rsidP="00FD5C17">
            <w:pPr>
              <w:pStyle w:val="SingleTxtG"/>
              <w:spacing w:before="40" w:after="40" w:line="220" w:lineRule="exact"/>
              <w:ind w:left="0" w:right="0"/>
              <w:jc w:val="right"/>
              <w:rPr>
                <w:sz w:val="18"/>
              </w:rPr>
            </w:pPr>
            <w:r w:rsidRPr="00FD5C17">
              <w:rPr>
                <w:sz w:val="18"/>
              </w:rPr>
              <w:t>45,19 %</w:t>
            </w:r>
          </w:p>
        </w:tc>
        <w:tc>
          <w:tcPr>
            <w:tcW w:w="1315" w:type="dxa"/>
            <w:tcBorders>
              <w:top w:val="single" w:sz="12" w:space="0" w:color="auto"/>
            </w:tcBorders>
            <w:shd w:val="clear" w:color="auto" w:fill="auto"/>
            <w:vAlign w:val="bottom"/>
          </w:tcPr>
          <w:p w14:paraId="47956996" w14:textId="77777777" w:rsidR="00FD5C17" w:rsidRPr="00FD5C17" w:rsidRDefault="00FD5C17" w:rsidP="00FD5C17">
            <w:pPr>
              <w:pStyle w:val="SingleTxtG"/>
              <w:spacing w:before="40" w:after="40" w:line="220" w:lineRule="exact"/>
              <w:ind w:left="0" w:right="0"/>
              <w:jc w:val="right"/>
              <w:rPr>
                <w:sz w:val="18"/>
              </w:rPr>
            </w:pPr>
            <w:r w:rsidRPr="00FD5C17">
              <w:rPr>
                <w:sz w:val="18"/>
              </w:rPr>
              <w:t>76,22 %</w:t>
            </w:r>
          </w:p>
        </w:tc>
        <w:tc>
          <w:tcPr>
            <w:tcW w:w="1358" w:type="dxa"/>
            <w:tcBorders>
              <w:top w:val="single" w:sz="12" w:space="0" w:color="auto"/>
            </w:tcBorders>
            <w:shd w:val="clear" w:color="auto" w:fill="auto"/>
            <w:vAlign w:val="bottom"/>
          </w:tcPr>
          <w:p w14:paraId="4A008672" w14:textId="77777777" w:rsidR="00FD5C17" w:rsidRPr="00FD5C17" w:rsidRDefault="00FD5C17" w:rsidP="00FD5C17">
            <w:pPr>
              <w:pStyle w:val="SingleTxtG"/>
              <w:spacing w:before="40" w:after="40" w:line="220" w:lineRule="exact"/>
              <w:ind w:left="0" w:right="0"/>
              <w:jc w:val="right"/>
              <w:rPr>
                <w:sz w:val="18"/>
              </w:rPr>
            </w:pPr>
            <w:r w:rsidRPr="00FD5C17">
              <w:rPr>
                <w:sz w:val="18"/>
              </w:rPr>
              <w:t>62 %</w:t>
            </w:r>
          </w:p>
        </w:tc>
        <w:tc>
          <w:tcPr>
            <w:tcW w:w="1904" w:type="dxa"/>
            <w:tcBorders>
              <w:top w:val="single" w:sz="12" w:space="0" w:color="auto"/>
            </w:tcBorders>
            <w:shd w:val="clear" w:color="auto" w:fill="auto"/>
            <w:vAlign w:val="bottom"/>
          </w:tcPr>
          <w:p w14:paraId="11328CEC" w14:textId="77777777" w:rsidR="00FD5C17" w:rsidRPr="00FD5C17" w:rsidRDefault="00FD5C17" w:rsidP="00FD5C17">
            <w:pPr>
              <w:pStyle w:val="SingleTxtG"/>
              <w:spacing w:before="40" w:after="40" w:line="220" w:lineRule="exact"/>
              <w:ind w:left="0" w:right="0"/>
              <w:jc w:val="right"/>
              <w:rPr>
                <w:sz w:val="18"/>
              </w:rPr>
            </w:pPr>
            <w:r w:rsidRPr="00FD5C17">
              <w:rPr>
                <w:sz w:val="18"/>
              </w:rPr>
              <w:t>44,52 %</w:t>
            </w:r>
          </w:p>
        </w:tc>
      </w:tr>
      <w:tr w:rsidR="00FD5C17" w:rsidRPr="00FD5C17" w14:paraId="3F0BD260" w14:textId="77777777" w:rsidTr="00FD5C17">
        <w:tc>
          <w:tcPr>
            <w:tcW w:w="1764" w:type="dxa"/>
            <w:shd w:val="clear" w:color="auto" w:fill="auto"/>
            <w:vAlign w:val="center"/>
          </w:tcPr>
          <w:p w14:paraId="6533D5BE" w14:textId="77777777" w:rsidR="00FD5C17" w:rsidRPr="00FD5C17" w:rsidRDefault="00FD5C17" w:rsidP="00FD5C17">
            <w:pPr>
              <w:pStyle w:val="SingleTxtG"/>
              <w:spacing w:before="40" w:after="40" w:line="220" w:lineRule="exact"/>
              <w:ind w:left="0" w:right="0"/>
              <w:jc w:val="left"/>
              <w:rPr>
                <w:sz w:val="18"/>
              </w:rPr>
            </w:pPr>
            <w:r w:rsidRPr="00FD5C17">
              <w:rPr>
                <w:sz w:val="18"/>
              </w:rPr>
              <w:t>Electores censados</w:t>
            </w:r>
          </w:p>
        </w:tc>
        <w:tc>
          <w:tcPr>
            <w:tcW w:w="1554" w:type="dxa"/>
            <w:shd w:val="clear" w:color="auto" w:fill="auto"/>
            <w:vAlign w:val="bottom"/>
          </w:tcPr>
          <w:p w14:paraId="109BC9AB" w14:textId="77777777" w:rsidR="00FD5C17" w:rsidRPr="00FD5C17" w:rsidRDefault="00FD5C17" w:rsidP="00FD5C17">
            <w:pPr>
              <w:pStyle w:val="SingleTxtG"/>
              <w:spacing w:before="40" w:after="40" w:line="220" w:lineRule="exact"/>
              <w:ind w:left="0" w:right="0"/>
              <w:jc w:val="right"/>
              <w:rPr>
                <w:sz w:val="18"/>
              </w:rPr>
            </w:pPr>
            <w:r w:rsidRPr="00FD5C17">
              <w:rPr>
                <w:sz w:val="18"/>
              </w:rPr>
              <w:t>19</w:t>
            </w:r>
            <w:r>
              <w:rPr>
                <w:sz w:val="18"/>
              </w:rPr>
              <w:t xml:space="preserve"> </w:t>
            </w:r>
            <w:r w:rsidRPr="00FD5C17">
              <w:rPr>
                <w:sz w:val="18"/>
              </w:rPr>
              <w:t>240</w:t>
            </w:r>
            <w:r>
              <w:rPr>
                <w:sz w:val="18"/>
              </w:rPr>
              <w:t xml:space="preserve"> </w:t>
            </w:r>
            <w:r w:rsidRPr="00FD5C17">
              <w:rPr>
                <w:sz w:val="18"/>
              </w:rPr>
              <w:t>093</w:t>
            </w:r>
          </w:p>
        </w:tc>
        <w:tc>
          <w:tcPr>
            <w:tcW w:w="1638" w:type="dxa"/>
            <w:shd w:val="clear" w:color="auto" w:fill="auto"/>
            <w:vAlign w:val="bottom"/>
          </w:tcPr>
          <w:p w14:paraId="43947153" w14:textId="77777777" w:rsidR="00FD5C17" w:rsidRPr="00FD5C17" w:rsidRDefault="00FD5C17" w:rsidP="00FD5C17">
            <w:pPr>
              <w:pStyle w:val="SingleTxtG"/>
              <w:spacing w:before="40" w:after="40" w:line="220" w:lineRule="exact"/>
              <w:ind w:left="0" w:right="0"/>
              <w:jc w:val="right"/>
              <w:rPr>
                <w:sz w:val="18"/>
              </w:rPr>
            </w:pPr>
            <w:r w:rsidRPr="00FD5C17">
              <w:rPr>
                <w:sz w:val="18"/>
              </w:rPr>
              <w:t>13</w:t>
            </w:r>
            <w:r>
              <w:rPr>
                <w:sz w:val="18"/>
              </w:rPr>
              <w:t xml:space="preserve"> </w:t>
            </w:r>
            <w:r w:rsidRPr="00FD5C17">
              <w:rPr>
                <w:sz w:val="18"/>
              </w:rPr>
              <w:t>571</w:t>
            </w:r>
            <w:r>
              <w:rPr>
                <w:sz w:val="18"/>
              </w:rPr>
              <w:t xml:space="preserve"> </w:t>
            </w:r>
            <w:r w:rsidRPr="00FD5C17">
              <w:rPr>
                <w:sz w:val="18"/>
              </w:rPr>
              <w:t>192</w:t>
            </w:r>
          </w:p>
        </w:tc>
        <w:tc>
          <w:tcPr>
            <w:tcW w:w="1315" w:type="dxa"/>
            <w:shd w:val="clear" w:color="auto" w:fill="auto"/>
            <w:vAlign w:val="bottom"/>
          </w:tcPr>
          <w:p w14:paraId="30CC4C94" w14:textId="77777777" w:rsidR="00FD5C17" w:rsidRPr="00FD5C17" w:rsidRDefault="00FD5C17" w:rsidP="00FD5C17">
            <w:pPr>
              <w:pStyle w:val="SingleTxtG"/>
              <w:spacing w:before="40" w:after="40" w:line="220" w:lineRule="exact"/>
              <w:ind w:left="0" w:right="0"/>
              <w:jc w:val="right"/>
              <w:rPr>
                <w:sz w:val="18"/>
              </w:rPr>
            </w:pPr>
            <w:r w:rsidRPr="00FD5C17">
              <w:rPr>
                <w:sz w:val="18"/>
              </w:rPr>
              <w:t>2</w:t>
            </w:r>
            <w:r>
              <w:rPr>
                <w:sz w:val="18"/>
              </w:rPr>
              <w:t xml:space="preserve"> </w:t>
            </w:r>
            <w:r w:rsidRPr="00FD5C17">
              <w:rPr>
                <w:sz w:val="18"/>
              </w:rPr>
              <w:t>666</w:t>
            </w:r>
            <w:r>
              <w:rPr>
                <w:sz w:val="18"/>
              </w:rPr>
              <w:t xml:space="preserve"> </w:t>
            </w:r>
            <w:r w:rsidRPr="00FD5C17">
              <w:rPr>
                <w:sz w:val="18"/>
              </w:rPr>
              <w:t>145</w:t>
            </w:r>
          </w:p>
        </w:tc>
        <w:tc>
          <w:tcPr>
            <w:tcW w:w="1358" w:type="dxa"/>
            <w:shd w:val="clear" w:color="auto" w:fill="auto"/>
            <w:vAlign w:val="bottom"/>
          </w:tcPr>
          <w:p w14:paraId="28A291EC" w14:textId="77777777" w:rsidR="00FD5C17" w:rsidRPr="00FD5C17" w:rsidRDefault="00FD5C17" w:rsidP="00FD5C17">
            <w:pPr>
              <w:pStyle w:val="SingleTxtG"/>
              <w:spacing w:before="40" w:after="40" w:line="220" w:lineRule="exact"/>
              <w:ind w:left="0" w:right="0"/>
              <w:jc w:val="right"/>
              <w:rPr>
                <w:sz w:val="18"/>
              </w:rPr>
            </w:pPr>
            <w:r w:rsidRPr="00FD5C17">
              <w:rPr>
                <w:sz w:val="18"/>
              </w:rPr>
              <w:t>20</w:t>
            </w:r>
            <w:r>
              <w:rPr>
                <w:sz w:val="18"/>
              </w:rPr>
              <w:t xml:space="preserve"> </w:t>
            </w:r>
            <w:r w:rsidRPr="00FD5C17">
              <w:rPr>
                <w:sz w:val="18"/>
              </w:rPr>
              <w:t>432</w:t>
            </w:r>
            <w:r>
              <w:rPr>
                <w:sz w:val="18"/>
              </w:rPr>
              <w:t xml:space="preserve"> </w:t>
            </w:r>
            <w:r w:rsidRPr="00FD5C17">
              <w:rPr>
                <w:sz w:val="18"/>
              </w:rPr>
              <w:t>499</w:t>
            </w:r>
          </w:p>
        </w:tc>
        <w:tc>
          <w:tcPr>
            <w:tcW w:w="1904" w:type="dxa"/>
            <w:shd w:val="clear" w:color="auto" w:fill="auto"/>
            <w:vAlign w:val="bottom"/>
          </w:tcPr>
          <w:p w14:paraId="7FC4E17F" w14:textId="77777777" w:rsidR="00FD5C17" w:rsidRPr="00FD5C17" w:rsidRDefault="00FD5C17" w:rsidP="00FD5C17">
            <w:pPr>
              <w:pStyle w:val="SingleTxtG"/>
              <w:spacing w:before="40" w:after="40" w:line="220" w:lineRule="exact"/>
              <w:ind w:left="0" w:right="0"/>
              <w:jc w:val="right"/>
              <w:rPr>
                <w:sz w:val="18"/>
              </w:rPr>
            </w:pPr>
            <w:r w:rsidRPr="00FD5C17">
              <w:rPr>
                <w:sz w:val="18"/>
              </w:rPr>
              <w:t>24</w:t>
            </w:r>
            <w:r>
              <w:rPr>
                <w:sz w:val="18"/>
              </w:rPr>
              <w:t xml:space="preserve"> </w:t>
            </w:r>
            <w:r w:rsidRPr="00FD5C17">
              <w:rPr>
                <w:sz w:val="18"/>
              </w:rPr>
              <w:t>352</w:t>
            </w:r>
            <w:r>
              <w:rPr>
                <w:sz w:val="18"/>
              </w:rPr>
              <w:t xml:space="preserve"> </w:t>
            </w:r>
            <w:r w:rsidRPr="00FD5C17">
              <w:rPr>
                <w:sz w:val="18"/>
              </w:rPr>
              <w:t>253</w:t>
            </w:r>
          </w:p>
        </w:tc>
      </w:tr>
      <w:tr w:rsidR="00FD5C17" w:rsidRPr="00FD5C17" w14:paraId="42097F51" w14:textId="77777777" w:rsidTr="00FD5C17">
        <w:tc>
          <w:tcPr>
            <w:tcW w:w="1764" w:type="dxa"/>
            <w:shd w:val="clear" w:color="auto" w:fill="auto"/>
            <w:vAlign w:val="center"/>
          </w:tcPr>
          <w:p w14:paraId="439295DA" w14:textId="77777777" w:rsidR="00FD5C17" w:rsidRPr="00FD5C17" w:rsidRDefault="00FD5C17" w:rsidP="00FD5C17">
            <w:pPr>
              <w:pStyle w:val="SingleTxtG"/>
              <w:spacing w:before="40" w:after="40" w:line="220" w:lineRule="exact"/>
              <w:ind w:left="0" w:right="0"/>
              <w:jc w:val="left"/>
              <w:rPr>
                <w:sz w:val="18"/>
              </w:rPr>
            </w:pPr>
            <w:r w:rsidRPr="00FD5C17">
              <w:rPr>
                <w:sz w:val="18"/>
              </w:rPr>
              <w:t>Votantes</w:t>
            </w:r>
          </w:p>
        </w:tc>
        <w:tc>
          <w:tcPr>
            <w:tcW w:w="1554" w:type="dxa"/>
            <w:shd w:val="clear" w:color="auto" w:fill="auto"/>
            <w:vAlign w:val="bottom"/>
          </w:tcPr>
          <w:p w14:paraId="698B9207" w14:textId="77777777" w:rsidR="00FD5C17" w:rsidRPr="00FD5C17" w:rsidRDefault="00FD5C17" w:rsidP="00FD5C17">
            <w:pPr>
              <w:pStyle w:val="SingleTxtG"/>
              <w:spacing w:before="40" w:after="40" w:line="220" w:lineRule="exact"/>
              <w:ind w:left="0" w:right="0"/>
              <w:jc w:val="right"/>
              <w:rPr>
                <w:sz w:val="18"/>
              </w:rPr>
            </w:pPr>
            <w:r w:rsidRPr="00FD5C17">
              <w:rPr>
                <w:sz w:val="18"/>
              </w:rPr>
              <w:t>12</w:t>
            </w:r>
            <w:r>
              <w:rPr>
                <w:sz w:val="18"/>
              </w:rPr>
              <w:t xml:space="preserve"> </w:t>
            </w:r>
            <w:r w:rsidRPr="00FD5C17">
              <w:rPr>
                <w:sz w:val="18"/>
              </w:rPr>
              <w:t>002</w:t>
            </w:r>
            <w:r>
              <w:rPr>
                <w:sz w:val="18"/>
              </w:rPr>
              <w:t xml:space="preserve"> </w:t>
            </w:r>
            <w:r w:rsidRPr="00FD5C17">
              <w:rPr>
                <w:sz w:val="18"/>
              </w:rPr>
              <w:t>962</w:t>
            </w:r>
          </w:p>
        </w:tc>
        <w:tc>
          <w:tcPr>
            <w:tcW w:w="1638" w:type="dxa"/>
            <w:shd w:val="clear" w:color="auto" w:fill="auto"/>
            <w:vAlign w:val="bottom"/>
          </w:tcPr>
          <w:p w14:paraId="2A6DFB79" w14:textId="77777777" w:rsidR="00FD5C17" w:rsidRPr="00FD5C17" w:rsidRDefault="00FD5C17" w:rsidP="00FD5C17">
            <w:pPr>
              <w:pStyle w:val="SingleTxtG"/>
              <w:spacing w:before="40" w:after="40" w:line="220" w:lineRule="exact"/>
              <w:ind w:left="0" w:right="0"/>
              <w:jc w:val="right"/>
              <w:rPr>
                <w:sz w:val="18"/>
              </w:rPr>
            </w:pPr>
            <w:r w:rsidRPr="00FD5C17">
              <w:rPr>
                <w:sz w:val="18"/>
              </w:rPr>
              <w:t>6</w:t>
            </w:r>
            <w:r>
              <w:rPr>
                <w:sz w:val="18"/>
              </w:rPr>
              <w:t xml:space="preserve"> </w:t>
            </w:r>
            <w:r w:rsidRPr="00FD5C17">
              <w:rPr>
                <w:sz w:val="18"/>
              </w:rPr>
              <w:t>132</w:t>
            </w:r>
            <w:r>
              <w:rPr>
                <w:sz w:val="18"/>
              </w:rPr>
              <w:t xml:space="preserve"> </w:t>
            </w:r>
            <w:r w:rsidRPr="00FD5C17">
              <w:rPr>
                <w:sz w:val="18"/>
              </w:rPr>
              <w:t>881</w:t>
            </w:r>
          </w:p>
        </w:tc>
        <w:tc>
          <w:tcPr>
            <w:tcW w:w="1315" w:type="dxa"/>
            <w:shd w:val="clear" w:color="auto" w:fill="auto"/>
            <w:vAlign w:val="bottom"/>
          </w:tcPr>
          <w:p w14:paraId="58551E22" w14:textId="77777777" w:rsidR="00FD5C17" w:rsidRPr="00FD5C17" w:rsidRDefault="00FD5C17" w:rsidP="00FD5C17">
            <w:pPr>
              <w:pStyle w:val="SingleTxtG"/>
              <w:spacing w:before="40" w:after="40" w:line="220" w:lineRule="exact"/>
              <w:ind w:left="0" w:right="0"/>
              <w:jc w:val="right"/>
              <w:rPr>
                <w:sz w:val="18"/>
              </w:rPr>
            </w:pPr>
            <w:r w:rsidRPr="00FD5C17">
              <w:rPr>
                <w:sz w:val="18"/>
              </w:rPr>
              <w:t>1</w:t>
            </w:r>
            <w:r>
              <w:rPr>
                <w:sz w:val="18"/>
              </w:rPr>
              <w:t xml:space="preserve"> </w:t>
            </w:r>
            <w:r w:rsidRPr="00FD5C17">
              <w:rPr>
                <w:sz w:val="18"/>
              </w:rPr>
              <w:t>939</w:t>
            </w:r>
            <w:r>
              <w:rPr>
                <w:sz w:val="18"/>
              </w:rPr>
              <w:t xml:space="preserve"> </w:t>
            </w:r>
            <w:r w:rsidRPr="00FD5C17">
              <w:rPr>
                <w:sz w:val="18"/>
              </w:rPr>
              <w:t>247</w:t>
            </w:r>
          </w:p>
        </w:tc>
        <w:tc>
          <w:tcPr>
            <w:tcW w:w="1358" w:type="dxa"/>
            <w:shd w:val="clear" w:color="auto" w:fill="auto"/>
            <w:vAlign w:val="bottom"/>
          </w:tcPr>
          <w:p w14:paraId="5471DBA3" w14:textId="77777777" w:rsidR="00FD5C17" w:rsidRPr="00FD5C17" w:rsidRDefault="00FD5C17" w:rsidP="00FD5C17">
            <w:pPr>
              <w:pStyle w:val="SingleTxtG"/>
              <w:spacing w:before="40" w:after="40" w:line="220" w:lineRule="exact"/>
              <w:ind w:left="0" w:right="0"/>
              <w:jc w:val="right"/>
              <w:rPr>
                <w:sz w:val="18"/>
              </w:rPr>
            </w:pPr>
            <w:r w:rsidRPr="00FD5C17">
              <w:rPr>
                <w:sz w:val="18"/>
              </w:rPr>
              <w:t>12</w:t>
            </w:r>
            <w:r>
              <w:rPr>
                <w:sz w:val="18"/>
              </w:rPr>
              <w:t xml:space="preserve"> </w:t>
            </w:r>
            <w:r w:rsidRPr="00FD5C17">
              <w:rPr>
                <w:sz w:val="18"/>
              </w:rPr>
              <w:t>619</w:t>
            </w:r>
            <w:r>
              <w:rPr>
                <w:sz w:val="18"/>
              </w:rPr>
              <w:t xml:space="preserve"> </w:t>
            </w:r>
            <w:r w:rsidRPr="00FD5C17">
              <w:rPr>
                <w:sz w:val="18"/>
              </w:rPr>
              <w:t>599</w:t>
            </w:r>
          </w:p>
        </w:tc>
        <w:tc>
          <w:tcPr>
            <w:tcW w:w="1904" w:type="dxa"/>
            <w:shd w:val="clear" w:color="auto" w:fill="auto"/>
            <w:vAlign w:val="bottom"/>
          </w:tcPr>
          <w:p w14:paraId="2F03DB86" w14:textId="77777777" w:rsidR="00FD5C17" w:rsidRPr="00FD5C17" w:rsidRDefault="00FD5C17" w:rsidP="00FD5C17">
            <w:pPr>
              <w:pStyle w:val="SingleTxtG"/>
              <w:spacing w:before="40" w:after="40" w:line="220" w:lineRule="exact"/>
              <w:ind w:left="0" w:right="0"/>
              <w:jc w:val="right"/>
              <w:rPr>
                <w:sz w:val="18"/>
              </w:rPr>
            </w:pPr>
            <w:r w:rsidRPr="00FD5C17">
              <w:rPr>
                <w:sz w:val="18"/>
              </w:rPr>
              <w:t>10</w:t>
            </w:r>
            <w:r>
              <w:rPr>
                <w:sz w:val="18"/>
              </w:rPr>
              <w:t xml:space="preserve"> </w:t>
            </w:r>
            <w:r w:rsidRPr="00FD5C17">
              <w:rPr>
                <w:sz w:val="18"/>
              </w:rPr>
              <w:t>989</w:t>
            </w:r>
            <w:r>
              <w:rPr>
                <w:sz w:val="18"/>
              </w:rPr>
              <w:t xml:space="preserve"> </w:t>
            </w:r>
            <w:r w:rsidRPr="00FD5C17">
              <w:rPr>
                <w:sz w:val="18"/>
              </w:rPr>
              <w:t>940</w:t>
            </w:r>
          </w:p>
        </w:tc>
      </w:tr>
      <w:tr w:rsidR="00FD5C17" w:rsidRPr="00FD5C17" w14:paraId="4407A97E" w14:textId="77777777" w:rsidTr="00FD5C17">
        <w:tc>
          <w:tcPr>
            <w:tcW w:w="1764" w:type="dxa"/>
            <w:shd w:val="clear" w:color="auto" w:fill="auto"/>
            <w:vAlign w:val="center"/>
          </w:tcPr>
          <w:p w14:paraId="016625E3" w14:textId="77777777" w:rsidR="00FD5C17" w:rsidRPr="00FD5C17" w:rsidRDefault="00FD5C17" w:rsidP="00FD5C17">
            <w:pPr>
              <w:pStyle w:val="SingleTxtG"/>
              <w:spacing w:before="40" w:after="40" w:line="220" w:lineRule="exact"/>
              <w:ind w:left="0" w:right="0"/>
              <w:jc w:val="left"/>
              <w:rPr>
                <w:sz w:val="18"/>
              </w:rPr>
            </w:pPr>
            <w:r w:rsidRPr="00FD5C17">
              <w:rPr>
                <w:sz w:val="18"/>
              </w:rPr>
              <w:t>Formaciones políticas acreditadas</w:t>
            </w:r>
          </w:p>
        </w:tc>
        <w:tc>
          <w:tcPr>
            <w:tcW w:w="1554" w:type="dxa"/>
            <w:shd w:val="clear" w:color="auto" w:fill="auto"/>
            <w:vAlign w:val="bottom"/>
          </w:tcPr>
          <w:p w14:paraId="46C838AD" w14:textId="77777777" w:rsidR="00FD5C17" w:rsidRPr="00FD5C17" w:rsidRDefault="00FD5C17" w:rsidP="00FD5C17">
            <w:pPr>
              <w:pStyle w:val="SingleTxtG"/>
              <w:spacing w:before="40" w:after="40" w:line="220" w:lineRule="exact"/>
              <w:ind w:left="0" w:right="0"/>
              <w:jc w:val="right"/>
              <w:rPr>
                <w:sz w:val="18"/>
              </w:rPr>
            </w:pPr>
            <w:r w:rsidRPr="00FD5C17">
              <w:rPr>
                <w:sz w:val="18"/>
              </w:rPr>
              <w:t>305</w:t>
            </w:r>
          </w:p>
        </w:tc>
        <w:tc>
          <w:tcPr>
            <w:tcW w:w="1638" w:type="dxa"/>
            <w:shd w:val="clear" w:color="auto" w:fill="auto"/>
            <w:vAlign w:val="bottom"/>
          </w:tcPr>
          <w:p w14:paraId="0A331C12" w14:textId="77777777" w:rsidR="00FD5C17" w:rsidRPr="00FD5C17" w:rsidRDefault="00FD5C17" w:rsidP="00FD5C17">
            <w:pPr>
              <w:pStyle w:val="SingleTxtG"/>
              <w:spacing w:before="40" w:after="40" w:line="220" w:lineRule="exact"/>
              <w:ind w:left="0" w:right="0"/>
              <w:jc w:val="right"/>
              <w:rPr>
                <w:sz w:val="18"/>
              </w:rPr>
            </w:pPr>
            <w:r w:rsidRPr="00FD5C17">
              <w:rPr>
                <w:sz w:val="18"/>
              </w:rPr>
              <w:t>265</w:t>
            </w:r>
          </w:p>
        </w:tc>
        <w:tc>
          <w:tcPr>
            <w:tcW w:w="1315" w:type="dxa"/>
            <w:shd w:val="clear" w:color="auto" w:fill="auto"/>
            <w:vAlign w:val="bottom"/>
          </w:tcPr>
          <w:p w14:paraId="65C88799" w14:textId="77777777" w:rsidR="00FD5C17" w:rsidRPr="00FD5C17" w:rsidRDefault="00FD5C17" w:rsidP="00FD5C17">
            <w:pPr>
              <w:pStyle w:val="SingleTxtG"/>
              <w:spacing w:before="40" w:after="40" w:line="220" w:lineRule="exact"/>
              <w:ind w:left="0" w:right="0"/>
              <w:jc w:val="right"/>
              <w:rPr>
                <w:sz w:val="18"/>
              </w:rPr>
            </w:pPr>
            <w:r w:rsidRPr="00FD5C17">
              <w:rPr>
                <w:sz w:val="18"/>
              </w:rPr>
              <w:t>39</w:t>
            </w:r>
          </w:p>
        </w:tc>
        <w:tc>
          <w:tcPr>
            <w:tcW w:w="1358" w:type="dxa"/>
            <w:shd w:val="clear" w:color="auto" w:fill="auto"/>
            <w:vAlign w:val="bottom"/>
          </w:tcPr>
          <w:p w14:paraId="5906E71A" w14:textId="77777777" w:rsidR="00FD5C17" w:rsidRPr="00FD5C17" w:rsidRDefault="00FD5C17" w:rsidP="00FD5C17">
            <w:pPr>
              <w:pStyle w:val="SingleTxtG"/>
              <w:spacing w:before="40" w:after="40" w:line="220" w:lineRule="exact"/>
              <w:ind w:left="0" w:right="0"/>
              <w:jc w:val="right"/>
              <w:rPr>
                <w:sz w:val="18"/>
              </w:rPr>
            </w:pPr>
            <w:r w:rsidRPr="00FD5C17">
              <w:rPr>
                <w:sz w:val="18"/>
              </w:rPr>
              <w:t>277</w:t>
            </w:r>
          </w:p>
        </w:tc>
        <w:tc>
          <w:tcPr>
            <w:tcW w:w="1904" w:type="dxa"/>
            <w:shd w:val="clear" w:color="auto" w:fill="auto"/>
            <w:vAlign w:val="bottom"/>
          </w:tcPr>
          <w:p w14:paraId="78DCA736" w14:textId="77777777" w:rsidR="00FD5C17" w:rsidRPr="00FD5C17" w:rsidRDefault="00FD5C17" w:rsidP="00FD5C17">
            <w:pPr>
              <w:pStyle w:val="SingleTxtG"/>
              <w:spacing w:before="40" w:after="40" w:line="220" w:lineRule="exact"/>
              <w:ind w:left="0" w:right="0"/>
              <w:jc w:val="right"/>
              <w:rPr>
                <w:sz w:val="18"/>
              </w:rPr>
            </w:pPr>
            <w:r w:rsidRPr="00FD5C17">
              <w:rPr>
                <w:sz w:val="18"/>
              </w:rPr>
              <w:t>-</w:t>
            </w:r>
          </w:p>
        </w:tc>
      </w:tr>
      <w:tr w:rsidR="00FD5C17" w:rsidRPr="00FD5C17" w14:paraId="3F14752A" w14:textId="77777777" w:rsidTr="00FD5C17">
        <w:tc>
          <w:tcPr>
            <w:tcW w:w="1764" w:type="dxa"/>
            <w:shd w:val="clear" w:color="auto" w:fill="auto"/>
            <w:vAlign w:val="center"/>
          </w:tcPr>
          <w:p w14:paraId="74FE2FBF" w14:textId="77777777" w:rsidR="00FD5C17" w:rsidRPr="00FD5C17" w:rsidRDefault="00FD5C17" w:rsidP="00FD5C17">
            <w:pPr>
              <w:pStyle w:val="SingleTxtG"/>
              <w:spacing w:before="40" w:after="40" w:line="220" w:lineRule="exact"/>
              <w:ind w:left="0" w:right="0"/>
              <w:jc w:val="left"/>
              <w:rPr>
                <w:sz w:val="18"/>
              </w:rPr>
            </w:pPr>
            <w:r w:rsidRPr="00FD5C17">
              <w:rPr>
                <w:sz w:val="18"/>
              </w:rPr>
              <w:t>Formaciones políticas participantes en las elecciones</w:t>
            </w:r>
          </w:p>
        </w:tc>
        <w:tc>
          <w:tcPr>
            <w:tcW w:w="1554" w:type="dxa"/>
            <w:shd w:val="clear" w:color="auto" w:fill="auto"/>
            <w:vAlign w:val="bottom"/>
          </w:tcPr>
          <w:p w14:paraId="567A9E95" w14:textId="77777777" w:rsidR="00FD5C17" w:rsidRPr="00FD5C17" w:rsidRDefault="00FD5C17" w:rsidP="00FD5C17">
            <w:pPr>
              <w:pStyle w:val="SingleTxtG"/>
              <w:spacing w:before="40" w:after="40" w:line="220" w:lineRule="exact"/>
              <w:ind w:left="0" w:right="0"/>
              <w:jc w:val="right"/>
              <w:rPr>
                <w:sz w:val="18"/>
              </w:rPr>
            </w:pPr>
            <w:r w:rsidRPr="00FD5C17">
              <w:rPr>
                <w:sz w:val="18"/>
              </w:rPr>
              <w:t>86</w:t>
            </w:r>
          </w:p>
        </w:tc>
        <w:tc>
          <w:tcPr>
            <w:tcW w:w="1638" w:type="dxa"/>
            <w:shd w:val="clear" w:color="auto" w:fill="auto"/>
            <w:vAlign w:val="bottom"/>
          </w:tcPr>
          <w:p w14:paraId="39229F0F" w14:textId="77777777" w:rsidR="00FD5C17" w:rsidRPr="00FD5C17" w:rsidRDefault="00FD5C17" w:rsidP="00FD5C17">
            <w:pPr>
              <w:pStyle w:val="SingleTxtG"/>
              <w:spacing w:before="40" w:after="40" w:line="220" w:lineRule="exact"/>
              <w:ind w:left="0" w:right="0"/>
              <w:jc w:val="right"/>
              <w:rPr>
                <w:sz w:val="18"/>
              </w:rPr>
            </w:pPr>
            <w:r w:rsidRPr="00FD5C17">
              <w:rPr>
                <w:sz w:val="18"/>
              </w:rPr>
              <w:t>139</w:t>
            </w:r>
          </w:p>
        </w:tc>
        <w:tc>
          <w:tcPr>
            <w:tcW w:w="1315" w:type="dxa"/>
            <w:shd w:val="clear" w:color="auto" w:fill="auto"/>
            <w:vAlign w:val="bottom"/>
          </w:tcPr>
          <w:p w14:paraId="003CCFA1" w14:textId="77777777" w:rsidR="00FD5C17" w:rsidRPr="00FD5C17" w:rsidRDefault="00FD5C17" w:rsidP="00FD5C17">
            <w:pPr>
              <w:pStyle w:val="SingleTxtG"/>
              <w:spacing w:before="40" w:after="40" w:line="220" w:lineRule="exact"/>
              <w:ind w:left="0" w:right="0"/>
              <w:jc w:val="right"/>
              <w:rPr>
                <w:sz w:val="18"/>
              </w:rPr>
            </w:pPr>
            <w:r w:rsidRPr="00FD5C17">
              <w:rPr>
                <w:sz w:val="18"/>
              </w:rPr>
              <w:t>31</w:t>
            </w:r>
          </w:p>
        </w:tc>
        <w:tc>
          <w:tcPr>
            <w:tcW w:w="1358" w:type="dxa"/>
            <w:shd w:val="clear" w:color="auto" w:fill="auto"/>
            <w:vAlign w:val="bottom"/>
          </w:tcPr>
          <w:p w14:paraId="37F60A69" w14:textId="77777777" w:rsidR="00FD5C17" w:rsidRPr="00FD5C17" w:rsidRDefault="00FD5C17" w:rsidP="00FD5C17">
            <w:pPr>
              <w:pStyle w:val="SingleTxtG"/>
              <w:spacing w:before="40" w:after="40" w:line="220" w:lineRule="exact"/>
              <w:ind w:left="0" w:right="0"/>
              <w:jc w:val="right"/>
              <w:rPr>
                <w:sz w:val="18"/>
              </w:rPr>
            </w:pPr>
            <w:r w:rsidRPr="00FD5C17">
              <w:rPr>
                <w:sz w:val="18"/>
              </w:rPr>
              <w:t>107</w:t>
            </w:r>
          </w:p>
        </w:tc>
        <w:tc>
          <w:tcPr>
            <w:tcW w:w="1904" w:type="dxa"/>
            <w:shd w:val="clear" w:color="auto" w:fill="auto"/>
            <w:vAlign w:val="bottom"/>
          </w:tcPr>
          <w:p w14:paraId="74FA3D74" w14:textId="77777777" w:rsidR="00FD5C17" w:rsidRPr="00FD5C17" w:rsidRDefault="00FD5C17" w:rsidP="00FD5C17">
            <w:pPr>
              <w:pStyle w:val="SingleTxtG"/>
              <w:spacing w:before="40" w:after="40" w:line="220" w:lineRule="exact"/>
              <w:ind w:left="0" w:right="0"/>
              <w:jc w:val="right"/>
              <w:rPr>
                <w:sz w:val="18"/>
              </w:rPr>
            </w:pPr>
            <w:r w:rsidRPr="00FD5C17">
              <w:rPr>
                <w:sz w:val="18"/>
              </w:rPr>
              <w:t>-</w:t>
            </w:r>
          </w:p>
        </w:tc>
      </w:tr>
      <w:tr w:rsidR="00FD5C17" w:rsidRPr="00FD5C17" w14:paraId="5294928A" w14:textId="77777777" w:rsidTr="00FD5C17">
        <w:tc>
          <w:tcPr>
            <w:tcW w:w="1764" w:type="dxa"/>
            <w:shd w:val="clear" w:color="auto" w:fill="auto"/>
            <w:vAlign w:val="center"/>
          </w:tcPr>
          <w:p w14:paraId="0EDFA700" w14:textId="77777777" w:rsidR="00FD5C17" w:rsidRPr="00FD5C17" w:rsidRDefault="00FD5C17" w:rsidP="00FD5C17">
            <w:pPr>
              <w:pStyle w:val="SingleTxtG"/>
              <w:spacing w:before="40" w:after="40" w:line="220" w:lineRule="exact"/>
              <w:ind w:left="0" w:right="0"/>
              <w:jc w:val="left"/>
              <w:rPr>
                <w:sz w:val="18"/>
              </w:rPr>
            </w:pPr>
            <w:r w:rsidRPr="00FD5C17">
              <w:rPr>
                <w:sz w:val="18"/>
              </w:rPr>
              <w:t>Coaliciones</w:t>
            </w:r>
          </w:p>
        </w:tc>
        <w:tc>
          <w:tcPr>
            <w:tcW w:w="1554" w:type="dxa"/>
            <w:shd w:val="clear" w:color="auto" w:fill="auto"/>
            <w:vAlign w:val="bottom"/>
          </w:tcPr>
          <w:p w14:paraId="35165D34" w14:textId="77777777" w:rsidR="00FD5C17" w:rsidRPr="00FD5C17" w:rsidRDefault="00FD5C17" w:rsidP="00FD5C17">
            <w:pPr>
              <w:pStyle w:val="SingleTxtG"/>
              <w:spacing w:before="40" w:after="40" w:line="220" w:lineRule="exact"/>
              <w:ind w:left="0" w:right="0"/>
              <w:jc w:val="right"/>
              <w:rPr>
                <w:sz w:val="18"/>
              </w:rPr>
            </w:pPr>
            <w:r w:rsidRPr="00FD5C17">
              <w:rPr>
                <w:sz w:val="18"/>
              </w:rPr>
              <w:t>12</w:t>
            </w:r>
          </w:p>
        </w:tc>
        <w:tc>
          <w:tcPr>
            <w:tcW w:w="1638" w:type="dxa"/>
            <w:shd w:val="clear" w:color="auto" w:fill="auto"/>
            <w:vAlign w:val="bottom"/>
          </w:tcPr>
          <w:p w14:paraId="36026231" w14:textId="77777777" w:rsidR="00FD5C17" w:rsidRPr="00FD5C17" w:rsidRDefault="00FD5C17" w:rsidP="00FD5C17">
            <w:pPr>
              <w:pStyle w:val="SingleTxtG"/>
              <w:spacing w:before="40" w:after="40" w:line="220" w:lineRule="exact"/>
              <w:ind w:left="0" w:right="0"/>
              <w:jc w:val="right"/>
              <w:rPr>
                <w:sz w:val="18"/>
              </w:rPr>
            </w:pPr>
            <w:r w:rsidRPr="00FD5C17">
              <w:rPr>
                <w:sz w:val="18"/>
              </w:rPr>
              <w:t>50</w:t>
            </w:r>
          </w:p>
        </w:tc>
        <w:tc>
          <w:tcPr>
            <w:tcW w:w="1315" w:type="dxa"/>
            <w:shd w:val="clear" w:color="auto" w:fill="auto"/>
            <w:vAlign w:val="bottom"/>
          </w:tcPr>
          <w:p w14:paraId="147DC486" w14:textId="77777777" w:rsidR="00FD5C17" w:rsidRPr="00FD5C17" w:rsidRDefault="00FD5C17" w:rsidP="00FD5C17">
            <w:pPr>
              <w:pStyle w:val="SingleTxtG"/>
              <w:spacing w:before="40" w:after="40" w:line="220" w:lineRule="exact"/>
              <w:ind w:left="0" w:right="0"/>
              <w:jc w:val="right"/>
              <w:rPr>
                <w:sz w:val="18"/>
              </w:rPr>
            </w:pPr>
            <w:r w:rsidRPr="00FD5C17">
              <w:rPr>
                <w:sz w:val="18"/>
              </w:rPr>
              <w:t>2</w:t>
            </w:r>
          </w:p>
        </w:tc>
        <w:tc>
          <w:tcPr>
            <w:tcW w:w="1358" w:type="dxa"/>
            <w:shd w:val="clear" w:color="auto" w:fill="auto"/>
            <w:vAlign w:val="bottom"/>
          </w:tcPr>
          <w:p w14:paraId="37E91089" w14:textId="77777777" w:rsidR="00FD5C17" w:rsidRPr="00FD5C17" w:rsidRDefault="00FD5C17" w:rsidP="00FD5C17">
            <w:pPr>
              <w:pStyle w:val="SingleTxtG"/>
              <w:spacing w:before="40" w:after="40" w:line="220" w:lineRule="exact"/>
              <w:ind w:left="0" w:right="0"/>
              <w:jc w:val="right"/>
              <w:rPr>
                <w:sz w:val="18"/>
              </w:rPr>
            </w:pPr>
            <w:r w:rsidRPr="00FD5C17">
              <w:rPr>
                <w:sz w:val="18"/>
              </w:rPr>
              <w:t>36</w:t>
            </w:r>
          </w:p>
        </w:tc>
        <w:tc>
          <w:tcPr>
            <w:tcW w:w="1904" w:type="dxa"/>
            <w:shd w:val="clear" w:color="auto" w:fill="auto"/>
            <w:vAlign w:val="bottom"/>
          </w:tcPr>
          <w:p w14:paraId="032C3908" w14:textId="77777777" w:rsidR="00FD5C17" w:rsidRPr="00FD5C17" w:rsidRDefault="00FD5C17" w:rsidP="00FD5C17">
            <w:pPr>
              <w:pStyle w:val="SingleTxtG"/>
              <w:spacing w:before="40" w:after="40" w:line="220" w:lineRule="exact"/>
              <w:ind w:left="0" w:right="0"/>
              <w:jc w:val="right"/>
              <w:rPr>
                <w:sz w:val="18"/>
              </w:rPr>
            </w:pPr>
            <w:r w:rsidRPr="00FD5C17">
              <w:rPr>
                <w:sz w:val="18"/>
              </w:rPr>
              <w:t>23</w:t>
            </w:r>
          </w:p>
        </w:tc>
      </w:tr>
      <w:tr w:rsidR="00FD5C17" w:rsidRPr="00FD5C17" w14:paraId="187CB1CC" w14:textId="77777777" w:rsidTr="00FD5C17">
        <w:tc>
          <w:tcPr>
            <w:tcW w:w="1764" w:type="dxa"/>
            <w:shd w:val="clear" w:color="auto" w:fill="auto"/>
            <w:vAlign w:val="center"/>
          </w:tcPr>
          <w:p w14:paraId="28C69F8A" w14:textId="77777777" w:rsidR="00FD5C17" w:rsidRPr="00FD5C17" w:rsidRDefault="00FD5C17" w:rsidP="00FD5C17">
            <w:pPr>
              <w:pStyle w:val="SingleTxtG"/>
              <w:spacing w:before="40" w:after="40" w:line="220" w:lineRule="exact"/>
              <w:ind w:left="0" w:right="0"/>
              <w:jc w:val="left"/>
              <w:rPr>
                <w:sz w:val="18"/>
              </w:rPr>
            </w:pPr>
            <w:r w:rsidRPr="00FD5C17">
              <w:rPr>
                <w:sz w:val="18"/>
              </w:rPr>
              <w:t>Candidatos</w:t>
            </w:r>
          </w:p>
        </w:tc>
        <w:tc>
          <w:tcPr>
            <w:tcW w:w="1554" w:type="dxa"/>
            <w:shd w:val="clear" w:color="auto" w:fill="auto"/>
            <w:vAlign w:val="bottom"/>
          </w:tcPr>
          <w:p w14:paraId="66E32EB9" w14:textId="77777777" w:rsidR="00FD5C17" w:rsidRPr="00FD5C17" w:rsidRDefault="00FD5C17" w:rsidP="00FD5C17">
            <w:pPr>
              <w:pStyle w:val="SingleTxtG"/>
              <w:spacing w:before="40" w:after="40" w:line="220" w:lineRule="exact"/>
              <w:ind w:left="0" w:right="0"/>
              <w:jc w:val="right"/>
              <w:rPr>
                <w:sz w:val="18"/>
              </w:rPr>
            </w:pPr>
            <w:r w:rsidRPr="00FD5C17">
              <w:rPr>
                <w:sz w:val="18"/>
              </w:rPr>
              <w:t>6</w:t>
            </w:r>
            <w:r>
              <w:rPr>
                <w:sz w:val="18"/>
              </w:rPr>
              <w:t xml:space="preserve"> </w:t>
            </w:r>
            <w:r w:rsidRPr="00FD5C17">
              <w:rPr>
                <w:sz w:val="18"/>
              </w:rPr>
              <w:t>234</w:t>
            </w:r>
          </w:p>
        </w:tc>
        <w:tc>
          <w:tcPr>
            <w:tcW w:w="1638" w:type="dxa"/>
            <w:shd w:val="clear" w:color="auto" w:fill="auto"/>
            <w:vAlign w:val="bottom"/>
          </w:tcPr>
          <w:p w14:paraId="348454E3" w14:textId="77777777" w:rsidR="00FD5C17" w:rsidRPr="00FD5C17" w:rsidRDefault="00FD5C17" w:rsidP="00FD5C17">
            <w:pPr>
              <w:pStyle w:val="SingleTxtG"/>
              <w:spacing w:before="40" w:after="40" w:line="220" w:lineRule="exact"/>
              <w:ind w:left="0" w:right="0"/>
              <w:jc w:val="right"/>
              <w:rPr>
                <w:sz w:val="18"/>
              </w:rPr>
            </w:pPr>
            <w:r w:rsidRPr="00FD5C17">
              <w:rPr>
                <w:sz w:val="18"/>
              </w:rPr>
              <w:t>8</w:t>
            </w:r>
            <w:r>
              <w:rPr>
                <w:sz w:val="18"/>
              </w:rPr>
              <w:t xml:space="preserve"> </w:t>
            </w:r>
            <w:r w:rsidRPr="00FD5C17">
              <w:rPr>
                <w:sz w:val="18"/>
              </w:rPr>
              <w:t>057</w:t>
            </w:r>
          </w:p>
        </w:tc>
        <w:tc>
          <w:tcPr>
            <w:tcW w:w="1315" w:type="dxa"/>
            <w:shd w:val="clear" w:color="auto" w:fill="auto"/>
            <w:vAlign w:val="bottom"/>
          </w:tcPr>
          <w:p w14:paraId="53B94E99" w14:textId="77777777" w:rsidR="00FD5C17" w:rsidRPr="00FD5C17" w:rsidRDefault="00FD5C17" w:rsidP="00FD5C17">
            <w:pPr>
              <w:pStyle w:val="SingleTxtG"/>
              <w:spacing w:before="40" w:after="40" w:line="220" w:lineRule="exact"/>
              <w:ind w:left="0" w:right="0"/>
              <w:jc w:val="right"/>
              <w:rPr>
                <w:sz w:val="18"/>
              </w:rPr>
            </w:pPr>
            <w:r w:rsidRPr="00FD5C17">
              <w:rPr>
                <w:sz w:val="18"/>
              </w:rPr>
              <w:t>1</w:t>
            </w:r>
            <w:r>
              <w:rPr>
                <w:sz w:val="18"/>
              </w:rPr>
              <w:t xml:space="preserve"> </w:t>
            </w:r>
            <w:r w:rsidRPr="00FD5C17">
              <w:rPr>
                <w:sz w:val="18"/>
              </w:rPr>
              <w:t>129</w:t>
            </w:r>
          </w:p>
        </w:tc>
        <w:tc>
          <w:tcPr>
            <w:tcW w:w="1358" w:type="dxa"/>
            <w:shd w:val="clear" w:color="auto" w:fill="auto"/>
            <w:vAlign w:val="bottom"/>
          </w:tcPr>
          <w:p w14:paraId="07091E06" w14:textId="77777777" w:rsidR="00FD5C17" w:rsidRPr="00FD5C17" w:rsidRDefault="00FD5C17" w:rsidP="00FD5C17">
            <w:pPr>
              <w:pStyle w:val="SingleTxtG"/>
              <w:spacing w:before="40" w:after="40" w:line="220" w:lineRule="exact"/>
              <w:ind w:left="0" w:right="0"/>
              <w:jc w:val="right"/>
              <w:rPr>
                <w:sz w:val="18"/>
              </w:rPr>
            </w:pPr>
            <w:r w:rsidRPr="00FD5C17">
              <w:rPr>
                <w:sz w:val="18"/>
              </w:rPr>
              <w:t>9</w:t>
            </w:r>
            <w:r>
              <w:rPr>
                <w:sz w:val="18"/>
              </w:rPr>
              <w:t xml:space="preserve"> </w:t>
            </w:r>
            <w:r w:rsidRPr="00FD5C17">
              <w:rPr>
                <w:sz w:val="18"/>
              </w:rPr>
              <w:t>037</w:t>
            </w:r>
          </w:p>
        </w:tc>
        <w:tc>
          <w:tcPr>
            <w:tcW w:w="1904" w:type="dxa"/>
            <w:shd w:val="clear" w:color="auto" w:fill="auto"/>
            <w:vAlign w:val="bottom"/>
          </w:tcPr>
          <w:p w14:paraId="03D188E0" w14:textId="77777777" w:rsidR="00FD5C17" w:rsidRPr="00FD5C17" w:rsidRDefault="00FD5C17" w:rsidP="00FD5C17">
            <w:pPr>
              <w:pStyle w:val="SingleTxtG"/>
              <w:spacing w:before="40" w:after="40" w:line="220" w:lineRule="exact"/>
              <w:ind w:left="0" w:right="0"/>
              <w:jc w:val="right"/>
              <w:rPr>
                <w:sz w:val="18"/>
              </w:rPr>
            </w:pPr>
            <w:r w:rsidRPr="00FD5C17">
              <w:rPr>
                <w:sz w:val="18"/>
              </w:rPr>
              <w:t>6</w:t>
            </w:r>
            <w:r>
              <w:rPr>
                <w:sz w:val="18"/>
              </w:rPr>
              <w:t xml:space="preserve"> </w:t>
            </w:r>
            <w:r w:rsidRPr="00FD5C17">
              <w:rPr>
                <w:sz w:val="18"/>
              </w:rPr>
              <w:t>990</w:t>
            </w:r>
          </w:p>
        </w:tc>
      </w:tr>
      <w:tr w:rsidR="00FD5C17" w:rsidRPr="00FD5C17" w14:paraId="7B134455" w14:textId="77777777" w:rsidTr="00FD5C17">
        <w:tc>
          <w:tcPr>
            <w:tcW w:w="1764" w:type="dxa"/>
            <w:shd w:val="clear" w:color="auto" w:fill="auto"/>
            <w:vAlign w:val="center"/>
          </w:tcPr>
          <w:p w14:paraId="02BDB056" w14:textId="77777777" w:rsidR="00FD5C17" w:rsidRPr="00FD5C17" w:rsidRDefault="00FD5C17" w:rsidP="00FD5C17">
            <w:pPr>
              <w:pStyle w:val="SingleTxtG"/>
              <w:spacing w:before="40" w:after="40" w:line="220" w:lineRule="exact"/>
              <w:ind w:left="0" w:right="0"/>
              <w:jc w:val="left"/>
              <w:rPr>
                <w:sz w:val="18"/>
              </w:rPr>
            </w:pPr>
            <w:r w:rsidRPr="00FD5C17">
              <w:rPr>
                <w:sz w:val="18"/>
              </w:rPr>
              <w:t>Candidatos varones</w:t>
            </w:r>
          </w:p>
        </w:tc>
        <w:tc>
          <w:tcPr>
            <w:tcW w:w="1554" w:type="dxa"/>
            <w:shd w:val="clear" w:color="auto" w:fill="auto"/>
            <w:vAlign w:val="bottom"/>
          </w:tcPr>
          <w:p w14:paraId="422282D2" w14:textId="77777777" w:rsidR="00FD5C17" w:rsidRPr="00FD5C17" w:rsidRDefault="00FD5C17" w:rsidP="00FD5C17">
            <w:pPr>
              <w:pStyle w:val="SingleTxtG"/>
              <w:spacing w:before="40" w:after="40" w:line="220" w:lineRule="exact"/>
              <w:ind w:left="0" w:right="0"/>
              <w:jc w:val="right"/>
              <w:rPr>
                <w:sz w:val="18"/>
              </w:rPr>
            </w:pPr>
            <w:r w:rsidRPr="00FD5C17">
              <w:rPr>
                <w:sz w:val="18"/>
              </w:rPr>
              <w:t>4</w:t>
            </w:r>
            <w:r>
              <w:rPr>
                <w:sz w:val="18"/>
              </w:rPr>
              <w:t xml:space="preserve"> </w:t>
            </w:r>
            <w:r w:rsidRPr="00FD5C17">
              <w:rPr>
                <w:sz w:val="18"/>
              </w:rPr>
              <w:t>428</w:t>
            </w:r>
          </w:p>
        </w:tc>
        <w:tc>
          <w:tcPr>
            <w:tcW w:w="1638" w:type="dxa"/>
            <w:shd w:val="clear" w:color="auto" w:fill="auto"/>
            <w:vAlign w:val="bottom"/>
          </w:tcPr>
          <w:p w14:paraId="4101993E" w14:textId="77777777" w:rsidR="00FD5C17" w:rsidRPr="00FD5C17" w:rsidRDefault="00FD5C17" w:rsidP="00FD5C17">
            <w:pPr>
              <w:pStyle w:val="SingleTxtG"/>
              <w:spacing w:before="40" w:after="40" w:line="220" w:lineRule="exact"/>
              <w:ind w:left="0" w:right="0"/>
              <w:jc w:val="right"/>
              <w:rPr>
                <w:sz w:val="18"/>
              </w:rPr>
            </w:pPr>
            <w:r w:rsidRPr="00FD5C17">
              <w:rPr>
                <w:sz w:val="18"/>
              </w:rPr>
              <w:t>5</w:t>
            </w:r>
            <w:r>
              <w:rPr>
                <w:sz w:val="18"/>
              </w:rPr>
              <w:t xml:space="preserve"> </w:t>
            </w:r>
            <w:r w:rsidRPr="00FD5C17">
              <w:rPr>
                <w:sz w:val="18"/>
              </w:rPr>
              <w:t>869</w:t>
            </w:r>
          </w:p>
        </w:tc>
        <w:tc>
          <w:tcPr>
            <w:tcW w:w="1315" w:type="dxa"/>
            <w:shd w:val="clear" w:color="auto" w:fill="auto"/>
            <w:vAlign w:val="bottom"/>
          </w:tcPr>
          <w:p w14:paraId="7560C007" w14:textId="77777777" w:rsidR="00FD5C17" w:rsidRPr="00FD5C17" w:rsidRDefault="00FD5C17" w:rsidP="00FD5C17">
            <w:pPr>
              <w:pStyle w:val="SingleTxtG"/>
              <w:spacing w:before="40" w:after="40" w:line="220" w:lineRule="exact"/>
              <w:ind w:left="0" w:right="0"/>
              <w:jc w:val="right"/>
              <w:rPr>
                <w:sz w:val="18"/>
              </w:rPr>
            </w:pPr>
            <w:r w:rsidRPr="00FD5C17">
              <w:rPr>
                <w:sz w:val="18"/>
              </w:rPr>
              <w:t>763</w:t>
            </w:r>
          </w:p>
        </w:tc>
        <w:tc>
          <w:tcPr>
            <w:tcW w:w="1358" w:type="dxa"/>
            <w:shd w:val="clear" w:color="auto" w:fill="auto"/>
            <w:vAlign w:val="bottom"/>
          </w:tcPr>
          <w:p w14:paraId="1BB3CAF3" w14:textId="77777777" w:rsidR="00FD5C17" w:rsidRPr="00FD5C17" w:rsidRDefault="00FD5C17" w:rsidP="00FD5C17">
            <w:pPr>
              <w:pStyle w:val="SingleTxtG"/>
              <w:spacing w:before="40" w:after="40" w:line="220" w:lineRule="exact"/>
              <w:ind w:left="0" w:right="0"/>
              <w:jc w:val="right"/>
              <w:rPr>
                <w:sz w:val="18"/>
              </w:rPr>
            </w:pPr>
            <w:r w:rsidRPr="00FD5C17">
              <w:rPr>
                <w:sz w:val="18"/>
              </w:rPr>
              <w:t>6</w:t>
            </w:r>
            <w:r>
              <w:rPr>
                <w:sz w:val="18"/>
              </w:rPr>
              <w:t xml:space="preserve"> </w:t>
            </w:r>
            <w:r w:rsidRPr="00FD5C17">
              <w:rPr>
                <w:sz w:val="18"/>
              </w:rPr>
              <w:t>434</w:t>
            </w:r>
          </w:p>
        </w:tc>
        <w:tc>
          <w:tcPr>
            <w:tcW w:w="1904" w:type="dxa"/>
            <w:shd w:val="clear" w:color="auto" w:fill="auto"/>
            <w:vAlign w:val="bottom"/>
          </w:tcPr>
          <w:p w14:paraId="5B7D903C" w14:textId="77777777" w:rsidR="00FD5C17" w:rsidRPr="00FD5C17" w:rsidRDefault="00FD5C17" w:rsidP="00FD5C17">
            <w:pPr>
              <w:pStyle w:val="SingleTxtG"/>
              <w:spacing w:before="40" w:after="40" w:line="220" w:lineRule="exact"/>
              <w:ind w:left="0" w:right="0"/>
              <w:jc w:val="right"/>
              <w:rPr>
                <w:sz w:val="18"/>
              </w:rPr>
            </w:pPr>
            <w:r w:rsidRPr="00FD5C17">
              <w:rPr>
                <w:sz w:val="18"/>
              </w:rPr>
              <w:t>4</w:t>
            </w:r>
            <w:r>
              <w:rPr>
                <w:sz w:val="18"/>
              </w:rPr>
              <w:t xml:space="preserve"> </w:t>
            </w:r>
            <w:r w:rsidRPr="00FD5C17">
              <w:rPr>
                <w:sz w:val="18"/>
              </w:rPr>
              <w:t>979</w:t>
            </w:r>
          </w:p>
        </w:tc>
      </w:tr>
      <w:tr w:rsidR="00FD5C17" w:rsidRPr="00FD5C17" w14:paraId="4B5E1D1F" w14:textId="77777777" w:rsidTr="00FD5C17">
        <w:tc>
          <w:tcPr>
            <w:tcW w:w="1764" w:type="dxa"/>
            <w:shd w:val="clear" w:color="auto" w:fill="auto"/>
            <w:vAlign w:val="center"/>
          </w:tcPr>
          <w:p w14:paraId="2D31585B" w14:textId="77777777" w:rsidR="00FD5C17" w:rsidRPr="00FD5C17" w:rsidRDefault="00FD5C17" w:rsidP="00FD5C17">
            <w:pPr>
              <w:pStyle w:val="SingleTxtG"/>
              <w:spacing w:before="40" w:after="40" w:line="220" w:lineRule="exact"/>
              <w:ind w:left="0" w:right="0"/>
              <w:jc w:val="left"/>
              <w:rPr>
                <w:sz w:val="18"/>
              </w:rPr>
            </w:pPr>
            <w:r w:rsidRPr="00FD5C17">
              <w:rPr>
                <w:sz w:val="18"/>
              </w:rPr>
              <w:t>Candidatas</w:t>
            </w:r>
          </w:p>
        </w:tc>
        <w:tc>
          <w:tcPr>
            <w:tcW w:w="1554" w:type="dxa"/>
            <w:shd w:val="clear" w:color="auto" w:fill="auto"/>
            <w:vAlign w:val="bottom"/>
          </w:tcPr>
          <w:p w14:paraId="59176F0D" w14:textId="77777777" w:rsidR="00FD5C17" w:rsidRPr="00FD5C17" w:rsidRDefault="00FD5C17" w:rsidP="00FD5C17">
            <w:pPr>
              <w:pStyle w:val="SingleTxtG"/>
              <w:spacing w:before="40" w:after="40" w:line="220" w:lineRule="exact"/>
              <w:ind w:left="0" w:right="0"/>
              <w:jc w:val="right"/>
              <w:rPr>
                <w:sz w:val="18"/>
              </w:rPr>
            </w:pPr>
            <w:r w:rsidRPr="00FD5C17">
              <w:rPr>
                <w:sz w:val="18"/>
              </w:rPr>
              <w:t>1</w:t>
            </w:r>
            <w:r>
              <w:rPr>
                <w:sz w:val="18"/>
              </w:rPr>
              <w:t xml:space="preserve"> </w:t>
            </w:r>
            <w:r w:rsidRPr="00FD5C17">
              <w:rPr>
                <w:sz w:val="18"/>
              </w:rPr>
              <w:t>806</w:t>
            </w:r>
          </w:p>
        </w:tc>
        <w:tc>
          <w:tcPr>
            <w:tcW w:w="1638" w:type="dxa"/>
            <w:shd w:val="clear" w:color="auto" w:fill="auto"/>
            <w:vAlign w:val="bottom"/>
          </w:tcPr>
          <w:p w14:paraId="730C3750" w14:textId="77777777" w:rsidR="00FD5C17" w:rsidRPr="00FD5C17" w:rsidRDefault="00FD5C17" w:rsidP="00FD5C17">
            <w:pPr>
              <w:pStyle w:val="SingleTxtG"/>
              <w:spacing w:before="40" w:after="40" w:line="220" w:lineRule="exact"/>
              <w:ind w:left="0" w:right="0"/>
              <w:jc w:val="right"/>
              <w:rPr>
                <w:sz w:val="18"/>
              </w:rPr>
            </w:pPr>
            <w:r w:rsidRPr="00FD5C17">
              <w:rPr>
                <w:sz w:val="18"/>
              </w:rPr>
              <w:t>2</w:t>
            </w:r>
            <w:r>
              <w:rPr>
                <w:sz w:val="18"/>
              </w:rPr>
              <w:t xml:space="preserve"> </w:t>
            </w:r>
            <w:r w:rsidRPr="00FD5C17">
              <w:rPr>
                <w:sz w:val="18"/>
              </w:rPr>
              <w:t>188</w:t>
            </w:r>
          </w:p>
        </w:tc>
        <w:tc>
          <w:tcPr>
            <w:tcW w:w="1315" w:type="dxa"/>
            <w:shd w:val="clear" w:color="auto" w:fill="auto"/>
            <w:vAlign w:val="bottom"/>
          </w:tcPr>
          <w:p w14:paraId="36B2DFFD" w14:textId="77777777" w:rsidR="00FD5C17" w:rsidRPr="00FD5C17" w:rsidRDefault="00FD5C17" w:rsidP="00FD5C17">
            <w:pPr>
              <w:pStyle w:val="SingleTxtG"/>
              <w:spacing w:before="40" w:after="40" w:line="220" w:lineRule="exact"/>
              <w:ind w:left="0" w:right="0"/>
              <w:jc w:val="right"/>
              <w:rPr>
                <w:sz w:val="18"/>
              </w:rPr>
            </w:pPr>
            <w:r w:rsidRPr="00FD5C17">
              <w:rPr>
                <w:sz w:val="18"/>
              </w:rPr>
              <w:t>366</w:t>
            </w:r>
          </w:p>
        </w:tc>
        <w:tc>
          <w:tcPr>
            <w:tcW w:w="1358" w:type="dxa"/>
            <w:shd w:val="clear" w:color="auto" w:fill="auto"/>
            <w:vAlign w:val="bottom"/>
          </w:tcPr>
          <w:p w14:paraId="0747C45B" w14:textId="77777777" w:rsidR="00FD5C17" w:rsidRPr="00FD5C17" w:rsidRDefault="00FD5C17" w:rsidP="00FD5C17">
            <w:pPr>
              <w:pStyle w:val="SingleTxtG"/>
              <w:spacing w:before="40" w:after="40" w:line="220" w:lineRule="exact"/>
              <w:ind w:left="0" w:right="0"/>
              <w:jc w:val="right"/>
              <w:rPr>
                <w:sz w:val="18"/>
              </w:rPr>
            </w:pPr>
            <w:r w:rsidRPr="00FD5C17">
              <w:rPr>
                <w:sz w:val="18"/>
              </w:rPr>
              <w:t>2</w:t>
            </w:r>
            <w:r>
              <w:rPr>
                <w:sz w:val="18"/>
              </w:rPr>
              <w:t xml:space="preserve"> </w:t>
            </w:r>
            <w:r w:rsidRPr="00FD5C17">
              <w:rPr>
                <w:sz w:val="18"/>
              </w:rPr>
              <w:t>604</w:t>
            </w:r>
          </w:p>
        </w:tc>
        <w:tc>
          <w:tcPr>
            <w:tcW w:w="1904" w:type="dxa"/>
            <w:shd w:val="clear" w:color="auto" w:fill="auto"/>
            <w:vAlign w:val="bottom"/>
          </w:tcPr>
          <w:p w14:paraId="6744898F" w14:textId="77777777" w:rsidR="00FD5C17" w:rsidRPr="00FD5C17" w:rsidRDefault="00FD5C17" w:rsidP="00FD5C17">
            <w:pPr>
              <w:pStyle w:val="SingleTxtG"/>
              <w:spacing w:before="40" w:after="40" w:line="220" w:lineRule="exact"/>
              <w:ind w:left="0" w:right="0"/>
              <w:jc w:val="right"/>
              <w:rPr>
                <w:sz w:val="18"/>
              </w:rPr>
            </w:pPr>
            <w:r w:rsidRPr="00FD5C17">
              <w:rPr>
                <w:sz w:val="18"/>
              </w:rPr>
              <w:t>2</w:t>
            </w:r>
            <w:r>
              <w:rPr>
                <w:sz w:val="18"/>
              </w:rPr>
              <w:t xml:space="preserve"> </w:t>
            </w:r>
            <w:r w:rsidRPr="00FD5C17">
              <w:rPr>
                <w:sz w:val="18"/>
              </w:rPr>
              <w:t>011</w:t>
            </w:r>
          </w:p>
        </w:tc>
      </w:tr>
      <w:tr w:rsidR="00FD5C17" w:rsidRPr="00FD5C17" w14:paraId="3F93A895" w14:textId="77777777" w:rsidTr="00FD5C17">
        <w:tc>
          <w:tcPr>
            <w:tcW w:w="1764" w:type="dxa"/>
            <w:shd w:val="clear" w:color="auto" w:fill="auto"/>
          </w:tcPr>
          <w:p w14:paraId="749016DC" w14:textId="77777777" w:rsidR="00FD5C17" w:rsidRPr="00FD5C17" w:rsidRDefault="00FD5C17" w:rsidP="00FD5C17">
            <w:pPr>
              <w:pStyle w:val="SingleTxtG"/>
              <w:spacing w:before="40" w:after="40" w:line="220" w:lineRule="exact"/>
              <w:ind w:left="0" w:right="0"/>
              <w:jc w:val="left"/>
              <w:rPr>
                <w:sz w:val="18"/>
              </w:rPr>
            </w:pPr>
            <w:r w:rsidRPr="00FD5C17">
              <w:rPr>
                <w:sz w:val="18"/>
              </w:rPr>
              <w:t>Escaños</w:t>
            </w:r>
          </w:p>
        </w:tc>
        <w:tc>
          <w:tcPr>
            <w:tcW w:w="1554" w:type="dxa"/>
            <w:shd w:val="clear" w:color="auto" w:fill="auto"/>
            <w:vAlign w:val="bottom"/>
          </w:tcPr>
          <w:p w14:paraId="56C9E5A4" w14:textId="77777777" w:rsidR="00FD5C17" w:rsidRPr="00FD5C17" w:rsidRDefault="00FD5C17" w:rsidP="00FD5C17">
            <w:pPr>
              <w:pStyle w:val="SingleTxtG"/>
              <w:spacing w:before="40" w:after="40" w:line="220" w:lineRule="exact"/>
              <w:ind w:left="0" w:right="0"/>
              <w:jc w:val="right"/>
              <w:rPr>
                <w:sz w:val="18"/>
              </w:rPr>
            </w:pPr>
            <w:r w:rsidRPr="00FD5C17">
              <w:rPr>
                <w:sz w:val="18"/>
              </w:rPr>
              <w:t>325 (310 distribuidos por provincias, 8 por minorías y 7 compensatorios)</w:t>
            </w:r>
          </w:p>
        </w:tc>
        <w:tc>
          <w:tcPr>
            <w:tcW w:w="1638" w:type="dxa"/>
            <w:shd w:val="clear" w:color="auto" w:fill="auto"/>
            <w:vAlign w:val="bottom"/>
          </w:tcPr>
          <w:p w14:paraId="1A7B97D3" w14:textId="77777777" w:rsidR="00FD5C17" w:rsidRPr="00FD5C17" w:rsidRDefault="00FD5C17" w:rsidP="00FD5C17">
            <w:pPr>
              <w:pStyle w:val="SingleTxtG"/>
              <w:spacing w:before="40" w:after="40" w:line="220" w:lineRule="exact"/>
              <w:ind w:left="0" w:right="0"/>
              <w:jc w:val="right"/>
              <w:rPr>
                <w:sz w:val="18"/>
              </w:rPr>
            </w:pPr>
            <w:r w:rsidRPr="00FD5C17">
              <w:rPr>
                <w:sz w:val="18"/>
              </w:rPr>
              <w:t>447</w:t>
            </w:r>
          </w:p>
        </w:tc>
        <w:tc>
          <w:tcPr>
            <w:tcW w:w="1315" w:type="dxa"/>
            <w:shd w:val="clear" w:color="auto" w:fill="auto"/>
            <w:vAlign w:val="bottom"/>
          </w:tcPr>
          <w:p w14:paraId="127C4BED" w14:textId="77777777" w:rsidR="00FD5C17" w:rsidRPr="00FD5C17" w:rsidRDefault="00FD5C17" w:rsidP="00FD5C17">
            <w:pPr>
              <w:pStyle w:val="SingleTxtG"/>
              <w:spacing w:before="40" w:after="40" w:line="220" w:lineRule="exact"/>
              <w:ind w:left="0" w:right="0"/>
              <w:jc w:val="right"/>
              <w:rPr>
                <w:sz w:val="18"/>
              </w:rPr>
            </w:pPr>
            <w:r w:rsidRPr="00FD5C17">
              <w:rPr>
                <w:sz w:val="18"/>
              </w:rPr>
              <w:t>111</w:t>
            </w:r>
          </w:p>
        </w:tc>
        <w:tc>
          <w:tcPr>
            <w:tcW w:w="1358" w:type="dxa"/>
            <w:shd w:val="clear" w:color="auto" w:fill="auto"/>
            <w:vAlign w:val="bottom"/>
          </w:tcPr>
          <w:p w14:paraId="45798782" w14:textId="77777777" w:rsidR="00FD5C17" w:rsidRPr="00FD5C17" w:rsidRDefault="00FD5C17" w:rsidP="00FD5C17">
            <w:pPr>
              <w:pStyle w:val="SingleTxtG"/>
              <w:spacing w:before="40" w:after="40" w:line="220" w:lineRule="exact"/>
              <w:ind w:left="0" w:right="0"/>
              <w:jc w:val="right"/>
              <w:rPr>
                <w:sz w:val="18"/>
              </w:rPr>
            </w:pPr>
            <w:r w:rsidRPr="00FD5C17">
              <w:rPr>
                <w:sz w:val="18"/>
              </w:rPr>
              <w:t>328</w:t>
            </w:r>
          </w:p>
        </w:tc>
        <w:tc>
          <w:tcPr>
            <w:tcW w:w="1904" w:type="dxa"/>
            <w:shd w:val="clear" w:color="auto" w:fill="auto"/>
            <w:vAlign w:val="bottom"/>
          </w:tcPr>
          <w:p w14:paraId="625059D8" w14:textId="77777777" w:rsidR="00FD5C17" w:rsidRPr="00FD5C17" w:rsidRDefault="00FD5C17" w:rsidP="00FD5C17">
            <w:pPr>
              <w:pStyle w:val="SingleTxtG"/>
              <w:spacing w:before="40" w:after="40" w:line="220" w:lineRule="exact"/>
              <w:ind w:left="0" w:right="0"/>
              <w:jc w:val="right"/>
              <w:rPr>
                <w:sz w:val="18"/>
              </w:rPr>
            </w:pPr>
            <w:r w:rsidRPr="00FD5C17">
              <w:rPr>
                <w:sz w:val="18"/>
              </w:rPr>
              <w:t>329</w:t>
            </w:r>
          </w:p>
        </w:tc>
      </w:tr>
      <w:tr w:rsidR="00FD5C17" w:rsidRPr="00FD5C17" w14:paraId="227005E6" w14:textId="77777777" w:rsidTr="00FD5C17">
        <w:tc>
          <w:tcPr>
            <w:tcW w:w="1764" w:type="dxa"/>
            <w:shd w:val="clear" w:color="auto" w:fill="auto"/>
            <w:vAlign w:val="center"/>
          </w:tcPr>
          <w:p w14:paraId="1EB7324C" w14:textId="77777777" w:rsidR="00FD5C17" w:rsidRPr="00FD5C17" w:rsidRDefault="00FD5C17" w:rsidP="00FD5C17">
            <w:pPr>
              <w:pStyle w:val="SingleTxtG"/>
              <w:keepNext/>
              <w:keepLines/>
              <w:spacing w:before="40" w:after="40" w:line="220" w:lineRule="exact"/>
              <w:ind w:left="0" w:right="0"/>
              <w:jc w:val="left"/>
              <w:rPr>
                <w:sz w:val="18"/>
              </w:rPr>
            </w:pPr>
            <w:r w:rsidRPr="00FD5C17">
              <w:rPr>
                <w:sz w:val="18"/>
              </w:rPr>
              <w:lastRenderedPageBreak/>
              <w:t>Observadores locales</w:t>
            </w:r>
          </w:p>
        </w:tc>
        <w:tc>
          <w:tcPr>
            <w:tcW w:w="1554" w:type="dxa"/>
            <w:shd w:val="clear" w:color="auto" w:fill="auto"/>
            <w:vAlign w:val="bottom"/>
          </w:tcPr>
          <w:p w14:paraId="7511631A" w14:textId="77777777" w:rsidR="00FD5C17" w:rsidRPr="00FD5C17" w:rsidRDefault="00FD5C17" w:rsidP="00FD5C17">
            <w:pPr>
              <w:pStyle w:val="SingleTxtG"/>
              <w:keepNext/>
              <w:keepLines/>
              <w:spacing w:before="40" w:after="40" w:line="220" w:lineRule="exact"/>
              <w:ind w:left="0" w:right="0"/>
              <w:jc w:val="right"/>
              <w:rPr>
                <w:sz w:val="18"/>
              </w:rPr>
            </w:pPr>
            <w:r w:rsidRPr="00FD5C17">
              <w:rPr>
                <w:sz w:val="18"/>
              </w:rPr>
              <w:t>114</w:t>
            </w:r>
            <w:r>
              <w:rPr>
                <w:sz w:val="18"/>
              </w:rPr>
              <w:t xml:space="preserve"> </w:t>
            </w:r>
            <w:r w:rsidRPr="00FD5C17">
              <w:rPr>
                <w:sz w:val="18"/>
              </w:rPr>
              <w:t>615</w:t>
            </w:r>
          </w:p>
        </w:tc>
        <w:tc>
          <w:tcPr>
            <w:tcW w:w="1638" w:type="dxa"/>
            <w:shd w:val="clear" w:color="auto" w:fill="auto"/>
            <w:vAlign w:val="bottom"/>
          </w:tcPr>
          <w:p w14:paraId="3713BFF3" w14:textId="77777777" w:rsidR="00FD5C17" w:rsidRPr="00FD5C17" w:rsidRDefault="00FD5C17" w:rsidP="00FD5C17">
            <w:pPr>
              <w:pStyle w:val="SingleTxtG"/>
              <w:keepNext/>
              <w:keepLines/>
              <w:spacing w:before="40" w:after="40" w:line="220" w:lineRule="exact"/>
              <w:ind w:left="0" w:right="0"/>
              <w:jc w:val="right"/>
              <w:rPr>
                <w:sz w:val="18"/>
              </w:rPr>
            </w:pPr>
            <w:r w:rsidRPr="00FD5C17">
              <w:rPr>
                <w:sz w:val="18"/>
              </w:rPr>
              <w:t>100</w:t>
            </w:r>
            <w:r>
              <w:rPr>
                <w:sz w:val="18"/>
              </w:rPr>
              <w:t xml:space="preserve"> </w:t>
            </w:r>
            <w:r w:rsidRPr="00FD5C17">
              <w:rPr>
                <w:sz w:val="18"/>
              </w:rPr>
              <w:t>180</w:t>
            </w:r>
          </w:p>
        </w:tc>
        <w:tc>
          <w:tcPr>
            <w:tcW w:w="1315" w:type="dxa"/>
            <w:shd w:val="clear" w:color="auto" w:fill="auto"/>
            <w:vAlign w:val="bottom"/>
          </w:tcPr>
          <w:p w14:paraId="0BB7AF83" w14:textId="77777777" w:rsidR="00FD5C17" w:rsidRPr="00FD5C17" w:rsidRDefault="00FD5C17" w:rsidP="00FD5C17">
            <w:pPr>
              <w:pStyle w:val="SingleTxtG"/>
              <w:keepNext/>
              <w:keepLines/>
              <w:spacing w:before="40" w:after="40" w:line="220" w:lineRule="exact"/>
              <w:ind w:left="0" w:right="0"/>
              <w:jc w:val="right"/>
              <w:rPr>
                <w:sz w:val="18"/>
              </w:rPr>
            </w:pPr>
            <w:r w:rsidRPr="00FD5C17">
              <w:rPr>
                <w:sz w:val="18"/>
              </w:rPr>
              <w:t>6</w:t>
            </w:r>
            <w:r>
              <w:rPr>
                <w:sz w:val="18"/>
              </w:rPr>
              <w:t xml:space="preserve"> </w:t>
            </w:r>
            <w:r w:rsidRPr="00FD5C17">
              <w:rPr>
                <w:sz w:val="18"/>
              </w:rPr>
              <w:t>210</w:t>
            </w:r>
          </w:p>
        </w:tc>
        <w:tc>
          <w:tcPr>
            <w:tcW w:w="1358" w:type="dxa"/>
            <w:shd w:val="clear" w:color="auto" w:fill="auto"/>
            <w:vAlign w:val="bottom"/>
          </w:tcPr>
          <w:p w14:paraId="20D4ED17" w14:textId="77777777" w:rsidR="00FD5C17" w:rsidRPr="00FD5C17" w:rsidRDefault="00FD5C17" w:rsidP="00FD5C17">
            <w:pPr>
              <w:pStyle w:val="SingleTxtG"/>
              <w:keepNext/>
              <w:keepLines/>
              <w:spacing w:before="40" w:after="40" w:line="220" w:lineRule="exact"/>
              <w:ind w:left="0" w:right="0"/>
              <w:jc w:val="right"/>
              <w:rPr>
                <w:sz w:val="18"/>
              </w:rPr>
            </w:pPr>
            <w:r w:rsidRPr="00FD5C17">
              <w:rPr>
                <w:sz w:val="18"/>
              </w:rPr>
              <w:t>170</w:t>
            </w:r>
            <w:r>
              <w:rPr>
                <w:sz w:val="18"/>
              </w:rPr>
              <w:t xml:space="preserve"> </w:t>
            </w:r>
            <w:r w:rsidRPr="00FD5C17">
              <w:rPr>
                <w:sz w:val="18"/>
              </w:rPr>
              <w:t>789</w:t>
            </w:r>
          </w:p>
        </w:tc>
        <w:tc>
          <w:tcPr>
            <w:tcW w:w="1904" w:type="dxa"/>
            <w:shd w:val="clear" w:color="auto" w:fill="auto"/>
            <w:vAlign w:val="bottom"/>
          </w:tcPr>
          <w:p w14:paraId="23983D2F" w14:textId="77777777" w:rsidR="00FD5C17" w:rsidRPr="00FD5C17" w:rsidRDefault="00FD5C17" w:rsidP="00FD5C17">
            <w:pPr>
              <w:pStyle w:val="SingleTxtG"/>
              <w:keepNext/>
              <w:keepLines/>
              <w:spacing w:before="40" w:after="40" w:line="220" w:lineRule="exact"/>
              <w:ind w:left="0" w:right="0"/>
              <w:jc w:val="right"/>
              <w:rPr>
                <w:sz w:val="18"/>
              </w:rPr>
            </w:pPr>
            <w:r w:rsidRPr="00FD5C17">
              <w:rPr>
                <w:sz w:val="18"/>
              </w:rPr>
              <w:t>-</w:t>
            </w:r>
          </w:p>
        </w:tc>
      </w:tr>
      <w:tr w:rsidR="00FD5C17" w:rsidRPr="00FD5C17" w14:paraId="542B9108" w14:textId="77777777" w:rsidTr="00FD5C17">
        <w:tc>
          <w:tcPr>
            <w:tcW w:w="1764" w:type="dxa"/>
            <w:tcBorders>
              <w:bottom w:val="single" w:sz="12" w:space="0" w:color="auto"/>
            </w:tcBorders>
            <w:shd w:val="clear" w:color="auto" w:fill="auto"/>
            <w:vAlign w:val="center"/>
          </w:tcPr>
          <w:p w14:paraId="3E9F0985" w14:textId="77777777" w:rsidR="00FD5C17" w:rsidRPr="00FD5C17" w:rsidRDefault="00FD5C17" w:rsidP="00FD5C17">
            <w:pPr>
              <w:pStyle w:val="SingleTxtG"/>
              <w:spacing w:before="40" w:after="40" w:line="220" w:lineRule="exact"/>
              <w:ind w:left="0" w:right="0"/>
              <w:jc w:val="left"/>
              <w:rPr>
                <w:sz w:val="18"/>
              </w:rPr>
            </w:pPr>
            <w:r w:rsidRPr="00FD5C17">
              <w:rPr>
                <w:sz w:val="18"/>
              </w:rPr>
              <w:t>Observadores internacionales</w:t>
            </w:r>
          </w:p>
        </w:tc>
        <w:tc>
          <w:tcPr>
            <w:tcW w:w="1554" w:type="dxa"/>
            <w:tcBorders>
              <w:bottom w:val="single" w:sz="12" w:space="0" w:color="auto"/>
            </w:tcBorders>
            <w:shd w:val="clear" w:color="auto" w:fill="auto"/>
            <w:vAlign w:val="bottom"/>
          </w:tcPr>
          <w:p w14:paraId="763CF94C" w14:textId="77777777" w:rsidR="00FD5C17" w:rsidRPr="00FD5C17" w:rsidRDefault="00FD5C17" w:rsidP="00FD5C17">
            <w:pPr>
              <w:pStyle w:val="SingleTxtG"/>
              <w:spacing w:before="40" w:after="40" w:line="220" w:lineRule="exact"/>
              <w:ind w:left="0" w:right="0"/>
              <w:jc w:val="right"/>
              <w:rPr>
                <w:sz w:val="18"/>
              </w:rPr>
            </w:pPr>
            <w:r w:rsidRPr="00FD5C17">
              <w:rPr>
                <w:sz w:val="18"/>
              </w:rPr>
              <w:t>1</w:t>
            </w:r>
            <w:r>
              <w:rPr>
                <w:sz w:val="18"/>
              </w:rPr>
              <w:t xml:space="preserve"> </w:t>
            </w:r>
            <w:r w:rsidRPr="00FD5C17">
              <w:rPr>
                <w:sz w:val="18"/>
              </w:rPr>
              <w:t>447</w:t>
            </w:r>
          </w:p>
        </w:tc>
        <w:tc>
          <w:tcPr>
            <w:tcW w:w="1638" w:type="dxa"/>
            <w:tcBorders>
              <w:bottom w:val="single" w:sz="12" w:space="0" w:color="auto"/>
            </w:tcBorders>
            <w:shd w:val="clear" w:color="auto" w:fill="auto"/>
            <w:vAlign w:val="bottom"/>
          </w:tcPr>
          <w:p w14:paraId="1C34CB7A" w14:textId="77777777" w:rsidR="00FD5C17" w:rsidRPr="00FD5C17" w:rsidRDefault="00FD5C17" w:rsidP="00FD5C17">
            <w:pPr>
              <w:pStyle w:val="SingleTxtG"/>
              <w:spacing w:before="40" w:after="40" w:line="220" w:lineRule="exact"/>
              <w:ind w:left="0" w:right="0"/>
              <w:jc w:val="right"/>
              <w:rPr>
                <w:sz w:val="18"/>
              </w:rPr>
            </w:pPr>
            <w:r w:rsidRPr="00FD5C17">
              <w:rPr>
                <w:sz w:val="18"/>
              </w:rPr>
              <w:t>348</w:t>
            </w:r>
          </w:p>
        </w:tc>
        <w:tc>
          <w:tcPr>
            <w:tcW w:w="1315" w:type="dxa"/>
            <w:tcBorders>
              <w:bottom w:val="single" w:sz="12" w:space="0" w:color="auto"/>
            </w:tcBorders>
            <w:shd w:val="clear" w:color="auto" w:fill="auto"/>
            <w:vAlign w:val="bottom"/>
          </w:tcPr>
          <w:p w14:paraId="306ECC55" w14:textId="77777777" w:rsidR="00FD5C17" w:rsidRPr="00FD5C17" w:rsidRDefault="00FD5C17" w:rsidP="00FD5C17">
            <w:pPr>
              <w:pStyle w:val="SingleTxtG"/>
              <w:spacing w:before="40" w:after="40" w:line="220" w:lineRule="exact"/>
              <w:ind w:left="0" w:right="0"/>
              <w:jc w:val="right"/>
              <w:rPr>
                <w:sz w:val="18"/>
              </w:rPr>
            </w:pPr>
            <w:r w:rsidRPr="00FD5C17">
              <w:rPr>
                <w:sz w:val="18"/>
              </w:rPr>
              <w:t>394</w:t>
            </w:r>
          </w:p>
        </w:tc>
        <w:tc>
          <w:tcPr>
            <w:tcW w:w="1358" w:type="dxa"/>
            <w:tcBorders>
              <w:bottom w:val="single" w:sz="12" w:space="0" w:color="auto"/>
            </w:tcBorders>
            <w:shd w:val="clear" w:color="auto" w:fill="auto"/>
            <w:vAlign w:val="bottom"/>
          </w:tcPr>
          <w:p w14:paraId="25A19785" w14:textId="77777777" w:rsidR="00FD5C17" w:rsidRPr="00FD5C17" w:rsidRDefault="00FD5C17" w:rsidP="00FD5C17">
            <w:pPr>
              <w:pStyle w:val="SingleTxtG"/>
              <w:spacing w:before="40" w:after="40" w:line="220" w:lineRule="exact"/>
              <w:ind w:left="0" w:right="0"/>
              <w:jc w:val="right"/>
              <w:rPr>
                <w:sz w:val="18"/>
              </w:rPr>
            </w:pPr>
            <w:r w:rsidRPr="00FD5C17">
              <w:rPr>
                <w:sz w:val="18"/>
              </w:rPr>
              <w:t>1</w:t>
            </w:r>
            <w:r w:rsidR="009A02E9">
              <w:rPr>
                <w:sz w:val="18"/>
              </w:rPr>
              <w:t xml:space="preserve"> </w:t>
            </w:r>
            <w:r w:rsidRPr="00FD5C17">
              <w:rPr>
                <w:sz w:val="18"/>
              </w:rPr>
              <w:t>232</w:t>
            </w:r>
          </w:p>
        </w:tc>
        <w:tc>
          <w:tcPr>
            <w:tcW w:w="1904" w:type="dxa"/>
            <w:tcBorders>
              <w:bottom w:val="single" w:sz="12" w:space="0" w:color="auto"/>
            </w:tcBorders>
            <w:shd w:val="clear" w:color="auto" w:fill="auto"/>
            <w:vAlign w:val="bottom"/>
          </w:tcPr>
          <w:p w14:paraId="433E9D76" w14:textId="77777777" w:rsidR="00FD5C17" w:rsidRPr="00FD5C17" w:rsidRDefault="00FD5C17" w:rsidP="00FD5C17">
            <w:pPr>
              <w:pStyle w:val="SingleTxtG"/>
              <w:spacing w:before="40" w:after="40" w:line="220" w:lineRule="exact"/>
              <w:ind w:left="0" w:right="0"/>
              <w:jc w:val="right"/>
              <w:rPr>
                <w:sz w:val="18"/>
              </w:rPr>
            </w:pPr>
            <w:r w:rsidRPr="00FD5C17">
              <w:rPr>
                <w:sz w:val="18"/>
              </w:rPr>
              <w:t>-</w:t>
            </w:r>
          </w:p>
        </w:tc>
      </w:tr>
    </w:tbl>
    <w:p w14:paraId="2667BF97" w14:textId="77777777" w:rsidR="008A38B9" w:rsidRPr="008A38B9" w:rsidRDefault="008A38B9" w:rsidP="00FD5C17">
      <w:pPr>
        <w:pStyle w:val="SingleTxtG"/>
        <w:spacing w:before="240"/>
      </w:pPr>
      <w:r w:rsidRPr="008A38B9">
        <w:t>88.</w:t>
      </w:r>
      <w:r w:rsidRPr="008A38B9">
        <w:tab/>
      </w:r>
      <w:r w:rsidRPr="00FD5C17">
        <w:rPr>
          <w:b/>
          <w:bCs/>
        </w:rPr>
        <w:t>Marco general para la protección y la promoción de los derechos humanos</w:t>
      </w:r>
    </w:p>
    <w:p w14:paraId="752DDBF8" w14:textId="77777777" w:rsidR="008A38B9" w:rsidRDefault="00FD5C17" w:rsidP="00FD5C17">
      <w:pPr>
        <w:pStyle w:val="SingleTxtG"/>
      </w:pPr>
      <w:r>
        <w:tab/>
      </w:r>
      <w:r w:rsidR="008A38B9" w:rsidRPr="008A38B9">
        <w:t xml:space="preserve">En el cuadro siguiente figuran los tratados principales de las Naciones Unidas sobre derechos humanos en los que el Iraq es parte. </w:t>
      </w:r>
    </w:p>
    <w:tbl>
      <w:tblPr>
        <w:tblStyle w:val="Tablaconcuadrcula"/>
        <w:tblW w:w="84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4"/>
        <w:gridCol w:w="5557"/>
        <w:gridCol w:w="2296"/>
      </w:tblGrid>
      <w:tr w:rsidR="00FD5C17" w:rsidRPr="00FD5C17" w14:paraId="540EDB4B" w14:textId="77777777" w:rsidTr="00FD5C17">
        <w:tc>
          <w:tcPr>
            <w:tcW w:w="574" w:type="dxa"/>
            <w:tcBorders>
              <w:top w:val="single" w:sz="4" w:space="0" w:color="auto"/>
              <w:bottom w:val="single" w:sz="12" w:space="0" w:color="auto"/>
            </w:tcBorders>
            <w:shd w:val="clear" w:color="auto" w:fill="auto"/>
            <w:vAlign w:val="bottom"/>
          </w:tcPr>
          <w:p w14:paraId="7B5CAA4F" w14:textId="77777777" w:rsidR="00FD5C17" w:rsidRPr="00FD5C17" w:rsidRDefault="00FD5C17" w:rsidP="00FD5C17">
            <w:pPr>
              <w:pStyle w:val="SingleTxtG"/>
              <w:spacing w:before="80" w:after="80" w:line="200" w:lineRule="exact"/>
              <w:ind w:left="0" w:right="113"/>
              <w:jc w:val="left"/>
              <w:rPr>
                <w:i/>
                <w:sz w:val="16"/>
              </w:rPr>
            </w:pPr>
          </w:p>
        </w:tc>
        <w:tc>
          <w:tcPr>
            <w:tcW w:w="5557" w:type="dxa"/>
            <w:tcBorders>
              <w:top w:val="single" w:sz="4" w:space="0" w:color="auto"/>
              <w:bottom w:val="single" w:sz="12" w:space="0" w:color="auto"/>
            </w:tcBorders>
            <w:shd w:val="clear" w:color="auto" w:fill="auto"/>
            <w:vAlign w:val="center"/>
          </w:tcPr>
          <w:p w14:paraId="2CFE8439" w14:textId="77777777" w:rsidR="00FD5C17" w:rsidRPr="00FD5C17" w:rsidRDefault="00FD5C17" w:rsidP="00FD5C17">
            <w:pPr>
              <w:pStyle w:val="SingleTxtG"/>
              <w:spacing w:before="80" w:after="80" w:line="200" w:lineRule="exact"/>
              <w:ind w:left="0" w:right="113"/>
              <w:jc w:val="left"/>
              <w:rPr>
                <w:i/>
                <w:sz w:val="16"/>
              </w:rPr>
            </w:pPr>
            <w:r w:rsidRPr="00FD5C17">
              <w:rPr>
                <w:i/>
                <w:sz w:val="16"/>
              </w:rPr>
              <w:t>Tratado</w:t>
            </w:r>
          </w:p>
        </w:tc>
        <w:tc>
          <w:tcPr>
            <w:tcW w:w="2296" w:type="dxa"/>
            <w:tcBorders>
              <w:top w:val="single" w:sz="4" w:space="0" w:color="auto"/>
              <w:bottom w:val="single" w:sz="12" w:space="0" w:color="auto"/>
            </w:tcBorders>
            <w:shd w:val="clear" w:color="auto" w:fill="auto"/>
            <w:vAlign w:val="center"/>
          </w:tcPr>
          <w:p w14:paraId="3B234B5C" w14:textId="77777777" w:rsidR="00FD5C17" w:rsidRPr="00FD5C17" w:rsidRDefault="00FD5C17" w:rsidP="00FD5C17">
            <w:pPr>
              <w:pStyle w:val="SingleTxtG"/>
              <w:spacing w:before="80" w:after="80" w:line="200" w:lineRule="exact"/>
              <w:ind w:left="0" w:right="113"/>
              <w:jc w:val="left"/>
              <w:rPr>
                <w:i/>
                <w:sz w:val="16"/>
              </w:rPr>
            </w:pPr>
            <w:r w:rsidRPr="00FD5C17">
              <w:rPr>
                <w:i/>
                <w:sz w:val="16"/>
              </w:rPr>
              <w:t>Fecha</w:t>
            </w:r>
          </w:p>
        </w:tc>
      </w:tr>
      <w:tr w:rsidR="00FD5C17" w14:paraId="06F5BF16" w14:textId="77777777" w:rsidTr="00612D71">
        <w:trPr>
          <w:trHeight w:hRule="exact" w:val="113"/>
        </w:trPr>
        <w:tc>
          <w:tcPr>
            <w:tcW w:w="574" w:type="dxa"/>
            <w:tcBorders>
              <w:top w:val="single" w:sz="12" w:space="0" w:color="auto"/>
            </w:tcBorders>
            <w:shd w:val="clear" w:color="auto" w:fill="auto"/>
          </w:tcPr>
          <w:p w14:paraId="58FFA20A" w14:textId="77777777" w:rsidR="00FD5C17" w:rsidRPr="008A38B9" w:rsidRDefault="00FD5C17" w:rsidP="00FD5C17">
            <w:pPr>
              <w:pStyle w:val="SingleTxtG"/>
              <w:spacing w:before="40"/>
              <w:ind w:left="0" w:right="113"/>
              <w:jc w:val="left"/>
            </w:pPr>
          </w:p>
        </w:tc>
        <w:tc>
          <w:tcPr>
            <w:tcW w:w="5557" w:type="dxa"/>
            <w:tcBorders>
              <w:top w:val="single" w:sz="12" w:space="0" w:color="auto"/>
            </w:tcBorders>
            <w:shd w:val="clear" w:color="auto" w:fill="auto"/>
          </w:tcPr>
          <w:p w14:paraId="61F832A5" w14:textId="77777777" w:rsidR="00FD5C17" w:rsidRPr="008A38B9" w:rsidRDefault="00FD5C17" w:rsidP="00FD5C17">
            <w:pPr>
              <w:pStyle w:val="SingleTxtG"/>
              <w:spacing w:before="40"/>
              <w:ind w:left="0" w:right="113"/>
              <w:jc w:val="left"/>
            </w:pPr>
          </w:p>
        </w:tc>
        <w:tc>
          <w:tcPr>
            <w:tcW w:w="2296" w:type="dxa"/>
            <w:tcBorders>
              <w:top w:val="single" w:sz="12" w:space="0" w:color="auto"/>
            </w:tcBorders>
            <w:shd w:val="clear" w:color="auto" w:fill="auto"/>
          </w:tcPr>
          <w:p w14:paraId="09BBDC0E" w14:textId="77777777" w:rsidR="00FD5C17" w:rsidRPr="008A38B9" w:rsidRDefault="00FD5C17" w:rsidP="00FD5C17">
            <w:pPr>
              <w:pStyle w:val="SingleTxtG"/>
              <w:spacing w:before="40"/>
              <w:ind w:left="0" w:right="113"/>
              <w:jc w:val="left"/>
            </w:pPr>
          </w:p>
        </w:tc>
      </w:tr>
      <w:tr w:rsidR="00612D71" w14:paraId="46DB1D5D" w14:textId="77777777" w:rsidTr="00FD5C17">
        <w:tc>
          <w:tcPr>
            <w:tcW w:w="574" w:type="dxa"/>
            <w:shd w:val="clear" w:color="auto" w:fill="auto"/>
          </w:tcPr>
          <w:p w14:paraId="1CB052BC" w14:textId="77777777" w:rsidR="00612D71" w:rsidRPr="008A38B9" w:rsidRDefault="00612D71" w:rsidP="00612D71">
            <w:pPr>
              <w:pStyle w:val="SingleTxtG"/>
              <w:spacing w:before="40"/>
              <w:ind w:left="0" w:right="113"/>
              <w:jc w:val="left"/>
            </w:pPr>
            <w:r w:rsidRPr="008A38B9">
              <w:t>1</w:t>
            </w:r>
          </w:p>
        </w:tc>
        <w:tc>
          <w:tcPr>
            <w:tcW w:w="5557" w:type="dxa"/>
            <w:shd w:val="clear" w:color="auto" w:fill="auto"/>
          </w:tcPr>
          <w:p w14:paraId="3362C26D" w14:textId="77777777" w:rsidR="00612D71" w:rsidRPr="008A38B9" w:rsidRDefault="00612D71" w:rsidP="00612D71">
            <w:pPr>
              <w:pStyle w:val="SingleTxtG"/>
              <w:spacing w:before="40"/>
              <w:ind w:left="0" w:right="113"/>
              <w:jc w:val="left"/>
            </w:pPr>
            <w:r w:rsidRPr="008A38B9">
              <w:t>Convención Internacional sobre la Eliminación de Todas las Formas de Discriminación Racial</w:t>
            </w:r>
          </w:p>
        </w:tc>
        <w:tc>
          <w:tcPr>
            <w:tcW w:w="2296" w:type="dxa"/>
            <w:shd w:val="clear" w:color="auto" w:fill="auto"/>
          </w:tcPr>
          <w:p w14:paraId="6EC9980D" w14:textId="77777777" w:rsidR="00612D71" w:rsidRPr="008A38B9" w:rsidRDefault="00612D71" w:rsidP="00612D71">
            <w:pPr>
              <w:pStyle w:val="SingleTxtG"/>
              <w:spacing w:before="40"/>
              <w:ind w:left="0" w:right="113"/>
              <w:jc w:val="left"/>
            </w:pPr>
            <w:r w:rsidRPr="008A38B9">
              <w:t>14 de enero de 1970</w:t>
            </w:r>
          </w:p>
        </w:tc>
      </w:tr>
      <w:tr w:rsidR="00612D71" w14:paraId="0A880FE2" w14:textId="77777777" w:rsidTr="00FD5C17">
        <w:tc>
          <w:tcPr>
            <w:tcW w:w="574" w:type="dxa"/>
            <w:shd w:val="clear" w:color="auto" w:fill="auto"/>
          </w:tcPr>
          <w:p w14:paraId="5F024F53" w14:textId="77777777" w:rsidR="00612D71" w:rsidRPr="008A38B9" w:rsidRDefault="00612D71" w:rsidP="00612D71">
            <w:pPr>
              <w:pStyle w:val="SingleTxtG"/>
              <w:spacing w:before="40"/>
              <w:ind w:left="0" w:right="113"/>
              <w:jc w:val="left"/>
            </w:pPr>
            <w:r w:rsidRPr="008A38B9">
              <w:t>2</w:t>
            </w:r>
          </w:p>
        </w:tc>
        <w:tc>
          <w:tcPr>
            <w:tcW w:w="5557" w:type="dxa"/>
            <w:shd w:val="clear" w:color="auto" w:fill="auto"/>
          </w:tcPr>
          <w:p w14:paraId="76AA1B7C" w14:textId="77777777" w:rsidR="00612D71" w:rsidRPr="008A38B9" w:rsidRDefault="00612D71" w:rsidP="00612D71">
            <w:pPr>
              <w:pStyle w:val="SingleTxtG"/>
              <w:spacing w:before="40"/>
              <w:ind w:left="0" w:right="113"/>
              <w:jc w:val="left"/>
            </w:pPr>
            <w:r w:rsidRPr="008A38B9">
              <w:t>Pacto Internacional de Derechos Económicos, Sociales y Culturales</w:t>
            </w:r>
          </w:p>
        </w:tc>
        <w:tc>
          <w:tcPr>
            <w:tcW w:w="2296" w:type="dxa"/>
            <w:shd w:val="clear" w:color="auto" w:fill="auto"/>
          </w:tcPr>
          <w:p w14:paraId="76ED594E" w14:textId="77777777" w:rsidR="00612D71" w:rsidRPr="008A38B9" w:rsidRDefault="00612D71" w:rsidP="00612D71">
            <w:pPr>
              <w:pStyle w:val="SingleTxtG"/>
              <w:spacing w:before="40"/>
              <w:ind w:left="0" w:right="113"/>
              <w:jc w:val="left"/>
            </w:pPr>
            <w:r w:rsidRPr="008A38B9">
              <w:t>25 de enero de 1971</w:t>
            </w:r>
          </w:p>
        </w:tc>
      </w:tr>
      <w:tr w:rsidR="00612D71" w14:paraId="6FDBC37C" w14:textId="77777777" w:rsidTr="00FD5C17">
        <w:tc>
          <w:tcPr>
            <w:tcW w:w="574" w:type="dxa"/>
            <w:shd w:val="clear" w:color="auto" w:fill="auto"/>
          </w:tcPr>
          <w:p w14:paraId="20D5FF09" w14:textId="77777777" w:rsidR="00612D71" w:rsidRPr="008A38B9" w:rsidRDefault="00612D71" w:rsidP="00612D71">
            <w:pPr>
              <w:pStyle w:val="SingleTxtG"/>
              <w:spacing w:before="40"/>
              <w:ind w:left="0" w:right="113"/>
              <w:jc w:val="left"/>
            </w:pPr>
            <w:r w:rsidRPr="008A38B9">
              <w:t>3</w:t>
            </w:r>
          </w:p>
        </w:tc>
        <w:tc>
          <w:tcPr>
            <w:tcW w:w="5557" w:type="dxa"/>
            <w:shd w:val="clear" w:color="auto" w:fill="auto"/>
          </w:tcPr>
          <w:p w14:paraId="4CA5BD02" w14:textId="77777777" w:rsidR="00612D71" w:rsidRPr="008A38B9" w:rsidRDefault="00612D71" w:rsidP="00612D71">
            <w:pPr>
              <w:pStyle w:val="SingleTxtG"/>
              <w:spacing w:before="40"/>
              <w:ind w:left="0" w:right="113"/>
              <w:jc w:val="left"/>
            </w:pPr>
            <w:r w:rsidRPr="008A38B9">
              <w:t>Pacto Internacional de Derechos Civiles y Políticos</w:t>
            </w:r>
          </w:p>
        </w:tc>
        <w:tc>
          <w:tcPr>
            <w:tcW w:w="2296" w:type="dxa"/>
            <w:shd w:val="clear" w:color="auto" w:fill="auto"/>
          </w:tcPr>
          <w:p w14:paraId="0D50CD2C" w14:textId="77777777" w:rsidR="00612D71" w:rsidRPr="008A38B9" w:rsidRDefault="00612D71" w:rsidP="00612D71">
            <w:pPr>
              <w:pStyle w:val="SingleTxtG"/>
              <w:spacing w:before="40"/>
              <w:ind w:left="0" w:right="113"/>
              <w:jc w:val="left"/>
            </w:pPr>
            <w:r w:rsidRPr="008A38B9">
              <w:t>25 de enero de 1971</w:t>
            </w:r>
          </w:p>
        </w:tc>
      </w:tr>
      <w:tr w:rsidR="00612D71" w14:paraId="50A6A720" w14:textId="77777777" w:rsidTr="00FD5C17">
        <w:tc>
          <w:tcPr>
            <w:tcW w:w="574" w:type="dxa"/>
            <w:shd w:val="clear" w:color="auto" w:fill="auto"/>
          </w:tcPr>
          <w:p w14:paraId="5CE75638" w14:textId="77777777" w:rsidR="00612D71" w:rsidRPr="008A38B9" w:rsidRDefault="00612D71" w:rsidP="00612D71">
            <w:pPr>
              <w:pStyle w:val="SingleTxtG"/>
              <w:spacing w:before="40"/>
              <w:ind w:left="0" w:right="113"/>
              <w:jc w:val="left"/>
            </w:pPr>
            <w:r w:rsidRPr="008A38B9">
              <w:t>4</w:t>
            </w:r>
          </w:p>
        </w:tc>
        <w:tc>
          <w:tcPr>
            <w:tcW w:w="5557" w:type="dxa"/>
            <w:shd w:val="clear" w:color="auto" w:fill="auto"/>
          </w:tcPr>
          <w:p w14:paraId="31E38B05" w14:textId="77777777" w:rsidR="00612D71" w:rsidRPr="008A38B9" w:rsidRDefault="00612D71" w:rsidP="00612D71">
            <w:pPr>
              <w:pStyle w:val="SingleTxtG"/>
              <w:spacing w:before="40"/>
              <w:ind w:left="0" w:right="113"/>
              <w:jc w:val="left"/>
            </w:pPr>
            <w:r w:rsidRPr="008A38B9">
              <w:t>Convención sobre la Eliminación de Todas las Formas de Discriminación contra la Mujer</w:t>
            </w:r>
          </w:p>
        </w:tc>
        <w:tc>
          <w:tcPr>
            <w:tcW w:w="2296" w:type="dxa"/>
            <w:shd w:val="clear" w:color="auto" w:fill="auto"/>
          </w:tcPr>
          <w:p w14:paraId="01590F25" w14:textId="77777777" w:rsidR="00612D71" w:rsidRPr="008A38B9" w:rsidRDefault="00612D71" w:rsidP="00612D71">
            <w:pPr>
              <w:pStyle w:val="SingleTxtG"/>
              <w:spacing w:before="40"/>
              <w:ind w:left="0" w:right="113"/>
              <w:jc w:val="left"/>
            </w:pPr>
            <w:r w:rsidRPr="008A38B9">
              <w:t>13 de agosto de 1986</w:t>
            </w:r>
          </w:p>
        </w:tc>
      </w:tr>
      <w:tr w:rsidR="00612D71" w14:paraId="727D40B0" w14:textId="77777777" w:rsidTr="00FD5C17">
        <w:tc>
          <w:tcPr>
            <w:tcW w:w="574" w:type="dxa"/>
            <w:shd w:val="clear" w:color="auto" w:fill="auto"/>
          </w:tcPr>
          <w:p w14:paraId="246668AB" w14:textId="77777777" w:rsidR="00612D71" w:rsidRPr="008A38B9" w:rsidRDefault="00612D71" w:rsidP="00612D71">
            <w:pPr>
              <w:pStyle w:val="SingleTxtG"/>
              <w:spacing w:before="40"/>
              <w:ind w:left="0" w:right="113"/>
              <w:jc w:val="left"/>
            </w:pPr>
            <w:r w:rsidRPr="008A38B9">
              <w:t>5</w:t>
            </w:r>
          </w:p>
        </w:tc>
        <w:tc>
          <w:tcPr>
            <w:tcW w:w="5557" w:type="dxa"/>
            <w:shd w:val="clear" w:color="auto" w:fill="auto"/>
          </w:tcPr>
          <w:p w14:paraId="07CA3899" w14:textId="77777777" w:rsidR="00612D71" w:rsidRPr="008A38B9" w:rsidRDefault="00612D71" w:rsidP="00612D71">
            <w:pPr>
              <w:pStyle w:val="SingleTxtG"/>
              <w:spacing w:before="40"/>
              <w:ind w:left="0" w:right="113"/>
              <w:jc w:val="left"/>
            </w:pPr>
            <w:r w:rsidRPr="008A38B9">
              <w:t>Convención sobre los Derechos del Niño</w:t>
            </w:r>
          </w:p>
        </w:tc>
        <w:tc>
          <w:tcPr>
            <w:tcW w:w="2296" w:type="dxa"/>
            <w:shd w:val="clear" w:color="auto" w:fill="auto"/>
          </w:tcPr>
          <w:p w14:paraId="73E9FC34" w14:textId="77777777" w:rsidR="00612D71" w:rsidRPr="008A38B9" w:rsidRDefault="00612D71" w:rsidP="00612D71">
            <w:pPr>
              <w:pStyle w:val="SingleTxtG"/>
              <w:spacing w:before="40"/>
              <w:ind w:left="0" w:right="113"/>
              <w:jc w:val="left"/>
            </w:pPr>
            <w:r w:rsidRPr="008A38B9">
              <w:t>15 de junio de 1994</w:t>
            </w:r>
          </w:p>
        </w:tc>
      </w:tr>
      <w:tr w:rsidR="00612D71" w14:paraId="661DEFDA" w14:textId="77777777" w:rsidTr="00FD5C17">
        <w:tc>
          <w:tcPr>
            <w:tcW w:w="574" w:type="dxa"/>
            <w:shd w:val="clear" w:color="auto" w:fill="auto"/>
          </w:tcPr>
          <w:p w14:paraId="4A278C0F" w14:textId="77777777" w:rsidR="00612D71" w:rsidRPr="008A38B9" w:rsidRDefault="00612D71" w:rsidP="00612D71">
            <w:pPr>
              <w:pStyle w:val="SingleTxtG"/>
              <w:spacing w:before="40"/>
              <w:ind w:left="0" w:right="113"/>
              <w:jc w:val="left"/>
            </w:pPr>
            <w:r w:rsidRPr="008A38B9">
              <w:t>6</w:t>
            </w:r>
          </w:p>
        </w:tc>
        <w:tc>
          <w:tcPr>
            <w:tcW w:w="5557" w:type="dxa"/>
            <w:shd w:val="clear" w:color="auto" w:fill="auto"/>
          </w:tcPr>
          <w:p w14:paraId="6A34F97B" w14:textId="77777777" w:rsidR="00612D71" w:rsidRPr="008A38B9" w:rsidRDefault="00612D71" w:rsidP="00612D71">
            <w:pPr>
              <w:pStyle w:val="SingleTxtG"/>
              <w:spacing w:before="40"/>
              <w:ind w:left="0" w:right="113"/>
              <w:jc w:val="left"/>
            </w:pPr>
            <w:r w:rsidRPr="008A38B9">
              <w:t>Protocolo Facultativo de la Convención sobre los Derechos del Niño relativo a la participación de niños en los conflictos armados</w:t>
            </w:r>
          </w:p>
        </w:tc>
        <w:tc>
          <w:tcPr>
            <w:tcW w:w="2296" w:type="dxa"/>
            <w:shd w:val="clear" w:color="auto" w:fill="auto"/>
          </w:tcPr>
          <w:p w14:paraId="0D53E251" w14:textId="77777777" w:rsidR="00612D71" w:rsidRPr="008A38B9" w:rsidRDefault="00612D71" w:rsidP="00612D71">
            <w:pPr>
              <w:pStyle w:val="SingleTxtG"/>
              <w:spacing w:before="40"/>
              <w:ind w:left="0" w:right="113"/>
              <w:jc w:val="left"/>
            </w:pPr>
            <w:r w:rsidRPr="008A38B9">
              <w:t>24 de junio de 2008</w:t>
            </w:r>
          </w:p>
        </w:tc>
      </w:tr>
      <w:tr w:rsidR="00612D71" w14:paraId="6647251F" w14:textId="77777777" w:rsidTr="00FD5C17">
        <w:tc>
          <w:tcPr>
            <w:tcW w:w="574" w:type="dxa"/>
            <w:shd w:val="clear" w:color="auto" w:fill="auto"/>
          </w:tcPr>
          <w:p w14:paraId="25876167" w14:textId="77777777" w:rsidR="00612D71" w:rsidRPr="008A38B9" w:rsidRDefault="00612D71" w:rsidP="00612D71">
            <w:pPr>
              <w:pStyle w:val="SingleTxtG"/>
              <w:spacing w:before="40"/>
              <w:ind w:left="0" w:right="113"/>
              <w:jc w:val="left"/>
            </w:pPr>
            <w:r w:rsidRPr="008A38B9">
              <w:t>7</w:t>
            </w:r>
          </w:p>
        </w:tc>
        <w:tc>
          <w:tcPr>
            <w:tcW w:w="5557" w:type="dxa"/>
            <w:shd w:val="clear" w:color="auto" w:fill="auto"/>
          </w:tcPr>
          <w:p w14:paraId="55B072C6" w14:textId="77777777" w:rsidR="00612D71" w:rsidRPr="008A38B9" w:rsidRDefault="00612D71" w:rsidP="00612D71">
            <w:pPr>
              <w:pStyle w:val="SingleTxtG"/>
              <w:spacing w:before="40"/>
              <w:ind w:left="0" w:right="113"/>
              <w:jc w:val="left"/>
            </w:pPr>
            <w:r w:rsidRPr="008A38B9">
              <w:t>Protocolo Facultativo de la Convención sobre los Derechos del Niño relativo a la venta de niños, la prostitución infantil y la utilización de niños en la pornografía</w:t>
            </w:r>
          </w:p>
        </w:tc>
        <w:tc>
          <w:tcPr>
            <w:tcW w:w="2296" w:type="dxa"/>
            <w:shd w:val="clear" w:color="auto" w:fill="auto"/>
          </w:tcPr>
          <w:p w14:paraId="6D300545" w14:textId="77777777" w:rsidR="00612D71" w:rsidRPr="008A38B9" w:rsidRDefault="00612D71" w:rsidP="00612D71">
            <w:pPr>
              <w:pStyle w:val="SingleTxtG"/>
              <w:spacing w:before="40"/>
              <w:ind w:left="0" w:right="113"/>
              <w:jc w:val="left"/>
            </w:pPr>
            <w:r w:rsidRPr="008A38B9">
              <w:t>24 de junio de 2008</w:t>
            </w:r>
          </w:p>
        </w:tc>
      </w:tr>
      <w:tr w:rsidR="00612D71" w14:paraId="51A8ECCF" w14:textId="77777777" w:rsidTr="00FD5C17">
        <w:tc>
          <w:tcPr>
            <w:tcW w:w="574" w:type="dxa"/>
            <w:shd w:val="clear" w:color="auto" w:fill="auto"/>
          </w:tcPr>
          <w:p w14:paraId="5267F63E" w14:textId="77777777" w:rsidR="00612D71" w:rsidRPr="008A38B9" w:rsidRDefault="00612D71" w:rsidP="00612D71">
            <w:pPr>
              <w:pStyle w:val="SingleTxtG"/>
              <w:spacing w:before="40"/>
              <w:ind w:left="0" w:right="113"/>
              <w:jc w:val="left"/>
            </w:pPr>
            <w:r w:rsidRPr="008A38B9">
              <w:t>8</w:t>
            </w:r>
          </w:p>
        </w:tc>
        <w:tc>
          <w:tcPr>
            <w:tcW w:w="5557" w:type="dxa"/>
            <w:shd w:val="clear" w:color="auto" w:fill="auto"/>
          </w:tcPr>
          <w:p w14:paraId="795E9C82" w14:textId="77777777" w:rsidR="00612D71" w:rsidRPr="008A38B9" w:rsidRDefault="00612D71" w:rsidP="00612D71">
            <w:pPr>
              <w:pStyle w:val="SingleTxtG"/>
              <w:spacing w:before="40"/>
              <w:ind w:left="0" w:right="113"/>
              <w:jc w:val="left"/>
            </w:pPr>
            <w:r w:rsidRPr="008A38B9">
              <w:t>Convención Internacional para la Protección de Todas las Personas contra las Desapariciones Forzadas</w:t>
            </w:r>
          </w:p>
        </w:tc>
        <w:tc>
          <w:tcPr>
            <w:tcW w:w="2296" w:type="dxa"/>
            <w:shd w:val="clear" w:color="auto" w:fill="auto"/>
          </w:tcPr>
          <w:p w14:paraId="3DA72E53" w14:textId="77777777" w:rsidR="00612D71" w:rsidRPr="008A38B9" w:rsidRDefault="00612D71" w:rsidP="00612D71">
            <w:pPr>
              <w:pStyle w:val="SingleTxtG"/>
              <w:spacing w:before="40"/>
              <w:ind w:left="0" w:right="113"/>
              <w:jc w:val="left"/>
            </w:pPr>
            <w:r w:rsidRPr="008A38B9">
              <w:t>23 de noviembre de 2010</w:t>
            </w:r>
          </w:p>
        </w:tc>
      </w:tr>
      <w:tr w:rsidR="00612D71" w14:paraId="78352099" w14:textId="77777777" w:rsidTr="00FD5C17">
        <w:tc>
          <w:tcPr>
            <w:tcW w:w="574" w:type="dxa"/>
            <w:shd w:val="clear" w:color="auto" w:fill="auto"/>
          </w:tcPr>
          <w:p w14:paraId="5891A60D" w14:textId="77777777" w:rsidR="00612D71" w:rsidRPr="008A38B9" w:rsidRDefault="00612D71" w:rsidP="00612D71">
            <w:pPr>
              <w:pStyle w:val="SingleTxtG"/>
              <w:spacing w:before="40"/>
              <w:ind w:left="0" w:right="113"/>
              <w:jc w:val="left"/>
            </w:pPr>
            <w:r w:rsidRPr="008A38B9">
              <w:t>9</w:t>
            </w:r>
          </w:p>
        </w:tc>
        <w:tc>
          <w:tcPr>
            <w:tcW w:w="5557" w:type="dxa"/>
            <w:shd w:val="clear" w:color="auto" w:fill="auto"/>
          </w:tcPr>
          <w:p w14:paraId="669C2D4B" w14:textId="77777777" w:rsidR="00612D71" w:rsidRPr="008A38B9" w:rsidRDefault="00612D71" w:rsidP="00612D71">
            <w:pPr>
              <w:pStyle w:val="SingleTxtG"/>
              <w:spacing w:before="40"/>
              <w:ind w:left="0" w:right="113"/>
              <w:jc w:val="left"/>
            </w:pPr>
            <w:r w:rsidRPr="008A38B9">
              <w:t>Convención contra la Tortura y otros Tratos o Penas Crueles, Inhumanos o Degradantes</w:t>
            </w:r>
          </w:p>
        </w:tc>
        <w:tc>
          <w:tcPr>
            <w:tcW w:w="2296" w:type="dxa"/>
            <w:shd w:val="clear" w:color="auto" w:fill="auto"/>
          </w:tcPr>
          <w:p w14:paraId="108277A8" w14:textId="77777777" w:rsidR="00612D71" w:rsidRPr="008A38B9" w:rsidRDefault="00612D71" w:rsidP="00612D71">
            <w:pPr>
              <w:pStyle w:val="SingleTxtG"/>
              <w:spacing w:before="40"/>
              <w:ind w:left="0" w:right="113"/>
              <w:jc w:val="left"/>
            </w:pPr>
            <w:r w:rsidRPr="008A38B9">
              <w:t>7 de julio de 2011</w:t>
            </w:r>
          </w:p>
        </w:tc>
      </w:tr>
      <w:tr w:rsidR="00612D71" w14:paraId="22471AB5" w14:textId="77777777" w:rsidTr="00FD5C17">
        <w:tc>
          <w:tcPr>
            <w:tcW w:w="574" w:type="dxa"/>
            <w:tcBorders>
              <w:bottom w:val="single" w:sz="12" w:space="0" w:color="auto"/>
            </w:tcBorders>
            <w:shd w:val="clear" w:color="auto" w:fill="auto"/>
          </w:tcPr>
          <w:p w14:paraId="2930931B" w14:textId="77777777" w:rsidR="00612D71" w:rsidRPr="008A38B9" w:rsidRDefault="00612D71" w:rsidP="00612D71">
            <w:pPr>
              <w:pStyle w:val="SingleTxtG"/>
              <w:spacing w:before="40"/>
              <w:ind w:left="0" w:right="113"/>
              <w:jc w:val="left"/>
            </w:pPr>
            <w:r w:rsidRPr="008A38B9">
              <w:t>10</w:t>
            </w:r>
          </w:p>
        </w:tc>
        <w:tc>
          <w:tcPr>
            <w:tcW w:w="5557" w:type="dxa"/>
            <w:tcBorders>
              <w:bottom w:val="single" w:sz="12" w:space="0" w:color="auto"/>
            </w:tcBorders>
            <w:shd w:val="clear" w:color="auto" w:fill="auto"/>
          </w:tcPr>
          <w:p w14:paraId="478840A9" w14:textId="77777777" w:rsidR="00612D71" w:rsidRPr="008A38B9" w:rsidRDefault="00612D71" w:rsidP="00612D71">
            <w:pPr>
              <w:pStyle w:val="SingleTxtG"/>
              <w:spacing w:before="40"/>
              <w:ind w:left="0" w:right="113"/>
              <w:jc w:val="left"/>
            </w:pPr>
            <w:r w:rsidRPr="008A38B9">
              <w:t>Convención sobre los Derechos de las Personas con Discapacidad</w:t>
            </w:r>
          </w:p>
        </w:tc>
        <w:tc>
          <w:tcPr>
            <w:tcW w:w="2296" w:type="dxa"/>
            <w:tcBorders>
              <w:bottom w:val="single" w:sz="12" w:space="0" w:color="auto"/>
            </w:tcBorders>
            <w:shd w:val="clear" w:color="auto" w:fill="auto"/>
          </w:tcPr>
          <w:p w14:paraId="512562AB" w14:textId="77777777" w:rsidR="00612D71" w:rsidRPr="008A38B9" w:rsidRDefault="00612D71" w:rsidP="00612D71">
            <w:pPr>
              <w:pStyle w:val="SingleTxtG"/>
              <w:spacing w:before="40"/>
              <w:ind w:left="0" w:right="113"/>
              <w:jc w:val="left"/>
            </w:pPr>
            <w:r w:rsidRPr="008A38B9">
              <w:t>20 de marzo de 2013</w:t>
            </w:r>
          </w:p>
        </w:tc>
      </w:tr>
    </w:tbl>
    <w:p w14:paraId="1CD84A67" w14:textId="77777777" w:rsidR="008A38B9" w:rsidRDefault="008A38B9" w:rsidP="00612D71">
      <w:pPr>
        <w:pStyle w:val="SingleTxtG"/>
        <w:spacing w:before="240"/>
      </w:pPr>
      <w:r w:rsidRPr="008A38B9">
        <w:t>89.</w:t>
      </w:r>
      <w:r w:rsidRPr="008A38B9">
        <w:tab/>
        <w:t>En el cuadro siguiente figuran las convenciones de la Organización Internacional del Trabajo en las que el Iraq es parte.</w:t>
      </w:r>
    </w:p>
    <w:tbl>
      <w:tblPr>
        <w:tblStyle w:val="Tablaconcuadrcula"/>
        <w:tblW w:w="84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4"/>
        <w:gridCol w:w="5557"/>
        <w:gridCol w:w="2296"/>
      </w:tblGrid>
      <w:tr w:rsidR="008F41E2" w:rsidRPr="00FD5C17" w14:paraId="46F99D54" w14:textId="77777777" w:rsidTr="00A01CE6">
        <w:trPr>
          <w:tblHeader/>
        </w:trPr>
        <w:tc>
          <w:tcPr>
            <w:tcW w:w="574" w:type="dxa"/>
            <w:tcBorders>
              <w:top w:val="single" w:sz="4" w:space="0" w:color="auto"/>
              <w:bottom w:val="single" w:sz="12" w:space="0" w:color="auto"/>
            </w:tcBorders>
            <w:shd w:val="clear" w:color="auto" w:fill="auto"/>
            <w:vAlign w:val="bottom"/>
          </w:tcPr>
          <w:p w14:paraId="30AB112F" w14:textId="77777777" w:rsidR="008F41E2" w:rsidRPr="00FD5C17" w:rsidRDefault="008F41E2" w:rsidP="00DF5F01">
            <w:pPr>
              <w:pStyle w:val="SingleTxtG"/>
              <w:spacing w:before="80" w:after="80" w:line="200" w:lineRule="exact"/>
              <w:ind w:left="0" w:right="113"/>
              <w:jc w:val="left"/>
              <w:rPr>
                <w:i/>
                <w:sz w:val="16"/>
              </w:rPr>
            </w:pPr>
          </w:p>
        </w:tc>
        <w:tc>
          <w:tcPr>
            <w:tcW w:w="5557" w:type="dxa"/>
            <w:tcBorders>
              <w:top w:val="single" w:sz="4" w:space="0" w:color="auto"/>
              <w:bottom w:val="single" w:sz="12" w:space="0" w:color="auto"/>
            </w:tcBorders>
            <w:shd w:val="clear" w:color="auto" w:fill="auto"/>
            <w:vAlign w:val="center"/>
          </w:tcPr>
          <w:p w14:paraId="2DBF01A8" w14:textId="77777777" w:rsidR="008F41E2" w:rsidRPr="00FD5C17" w:rsidRDefault="00A01CE6" w:rsidP="00DF5F01">
            <w:pPr>
              <w:pStyle w:val="SingleTxtG"/>
              <w:spacing w:before="80" w:after="80" w:line="200" w:lineRule="exact"/>
              <w:ind w:left="0" w:right="113"/>
              <w:jc w:val="left"/>
              <w:rPr>
                <w:i/>
                <w:sz w:val="16"/>
              </w:rPr>
            </w:pPr>
            <w:r w:rsidRPr="00A01CE6">
              <w:rPr>
                <w:i/>
                <w:sz w:val="16"/>
              </w:rPr>
              <w:t>Convención</w:t>
            </w:r>
          </w:p>
        </w:tc>
        <w:tc>
          <w:tcPr>
            <w:tcW w:w="2296" w:type="dxa"/>
            <w:tcBorders>
              <w:top w:val="single" w:sz="4" w:space="0" w:color="auto"/>
              <w:bottom w:val="single" w:sz="12" w:space="0" w:color="auto"/>
            </w:tcBorders>
            <w:shd w:val="clear" w:color="auto" w:fill="auto"/>
            <w:vAlign w:val="center"/>
          </w:tcPr>
          <w:p w14:paraId="13AF4BBF" w14:textId="77777777" w:rsidR="008F41E2" w:rsidRPr="00FD5C17" w:rsidRDefault="00A01CE6" w:rsidP="00DF5F01">
            <w:pPr>
              <w:pStyle w:val="SingleTxtG"/>
              <w:spacing w:before="80" w:after="80" w:line="200" w:lineRule="exact"/>
              <w:ind w:left="0" w:right="113"/>
              <w:jc w:val="left"/>
              <w:rPr>
                <w:i/>
                <w:sz w:val="16"/>
              </w:rPr>
            </w:pPr>
            <w:r w:rsidRPr="00A01CE6">
              <w:rPr>
                <w:i/>
                <w:sz w:val="16"/>
              </w:rPr>
              <w:t>Fecha</w:t>
            </w:r>
          </w:p>
        </w:tc>
      </w:tr>
      <w:tr w:rsidR="008F41E2" w14:paraId="540AC652" w14:textId="77777777" w:rsidTr="00A01CE6">
        <w:trPr>
          <w:trHeight w:hRule="exact" w:val="113"/>
          <w:tblHeader/>
        </w:trPr>
        <w:tc>
          <w:tcPr>
            <w:tcW w:w="574" w:type="dxa"/>
            <w:tcBorders>
              <w:top w:val="single" w:sz="12" w:space="0" w:color="auto"/>
            </w:tcBorders>
            <w:shd w:val="clear" w:color="auto" w:fill="auto"/>
          </w:tcPr>
          <w:p w14:paraId="7115692B" w14:textId="77777777" w:rsidR="008F41E2" w:rsidRPr="008A38B9" w:rsidRDefault="008F41E2" w:rsidP="00DF5F01">
            <w:pPr>
              <w:pStyle w:val="SingleTxtG"/>
              <w:spacing w:before="40"/>
              <w:ind w:left="0" w:right="113"/>
              <w:jc w:val="left"/>
            </w:pPr>
          </w:p>
        </w:tc>
        <w:tc>
          <w:tcPr>
            <w:tcW w:w="5557" w:type="dxa"/>
            <w:tcBorders>
              <w:top w:val="single" w:sz="12" w:space="0" w:color="auto"/>
            </w:tcBorders>
            <w:shd w:val="clear" w:color="auto" w:fill="auto"/>
          </w:tcPr>
          <w:p w14:paraId="5D7085AA" w14:textId="77777777" w:rsidR="008F41E2" w:rsidRPr="008A38B9" w:rsidRDefault="008F41E2" w:rsidP="00DF5F01">
            <w:pPr>
              <w:pStyle w:val="SingleTxtG"/>
              <w:spacing w:before="40"/>
              <w:ind w:left="0" w:right="113"/>
              <w:jc w:val="left"/>
            </w:pPr>
          </w:p>
        </w:tc>
        <w:tc>
          <w:tcPr>
            <w:tcW w:w="2296" w:type="dxa"/>
            <w:tcBorders>
              <w:top w:val="single" w:sz="12" w:space="0" w:color="auto"/>
            </w:tcBorders>
            <w:shd w:val="clear" w:color="auto" w:fill="auto"/>
          </w:tcPr>
          <w:p w14:paraId="40C4AC17" w14:textId="77777777" w:rsidR="008F41E2" w:rsidRPr="008A38B9" w:rsidRDefault="008F41E2" w:rsidP="00DF5F01">
            <w:pPr>
              <w:pStyle w:val="SingleTxtG"/>
              <w:spacing w:before="40"/>
              <w:ind w:left="0" w:right="113"/>
              <w:jc w:val="left"/>
            </w:pPr>
          </w:p>
        </w:tc>
      </w:tr>
      <w:tr w:rsidR="00A01CE6" w14:paraId="3D38D54B" w14:textId="77777777" w:rsidTr="009A02E9">
        <w:tc>
          <w:tcPr>
            <w:tcW w:w="574" w:type="dxa"/>
            <w:shd w:val="clear" w:color="auto" w:fill="auto"/>
          </w:tcPr>
          <w:p w14:paraId="3C671B12" w14:textId="77777777" w:rsidR="00A01CE6" w:rsidRPr="008A38B9" w:rsidRDefault="00A01CE6" w:rsidP="009A02E9">
            <w:pPr>
              <w:pStyle w:val="SingleTxtG"/>
              <w:spacing w:before="40"/>
              <w:ind w:left="0" w:right="113"/>
              <w:jc w:val="left"/>
            </w:pPr>
            <w:r w:rsidRPr="008A38B9">
              <w:t>1</w:t>
            </w:r>
          </w:p>
        </w:tc>
        <w:tc>
          <w:tcPr>
            <w:tcW w:w="5557" w:type="dxa"/>
            <w:shd w:val="clear" w:color="auto" w:fill="auto"/>
          </w:tcPr>
          <w:p w14:paraId="5A864EDD" w14:textId="77777777" w:rsidR="00A01CE6" w:rsidRPr="008A38B9" w:rsidRDefault="00A01CE6" w:rsidP="009A02E9">
            <w:pPr>
              <w:pStyle w:val="SingleTxtG"/>
              <w:spacing w:before="40"/>
              <w:ind w:left="0" w:right="113"/>
              <w:jc w:val="left"/>
            </w:pPr>
            <w:r w:rsidRPr="008A38B9">
              <w:t>Convenio sobre la Abolición del Trabajo Forzoso, 1957 (núm.</w:t>
            </w:r>
            <w:r>
              <w:t> </w:t>
            </w:r>
            <w:r w:rsidRPr="008A38B9">
              <w:t>105)</w:t>
            </w:r>
          </w:p>
        </w:tc>
        <w:tc>
          <w:tcPr>
            <w:tcW w:w="2296" w:type="dxa"/>
            <w:shd w:val="clear" w:color="auto" w:fill="auto"/>
          </w:tcPr>
          <w:p w14:paraId="6D8C5F81" w14:textId="77777777" w:rsidR="00A01CE6" w:rsidRPr="008A38B9" w:rsidRDefault="00A01CE6" w:rsidP="009A02E9">
            <w:pPr>
              <w:pStyle w:val="SingleTxtG"/>
              <w:spacing w:before="40"/>
              <w:ind w:left="0" w:right="113"/>
              <w:jc w:val="left"/>
            </w:pPr>
            <w:r w:rsidRPr="008A38B9">
              <w:t>15 de junio de 19</w:t>
            </w:r>
            <w:r w:rsidR="00544C7F">
              <w:t>59</w:t>
            </w:r>
          </w:p>
        </w:tc>
      </w:tr>
      <w:tr w:rsidR="00A01CE6" w14:paraId="2EA50B68" w14:textId="77777777" w:rsidTr="009A02E9">
        <w:tc>
          <w:tcPr>
            <w:tcW w:w="574" w:type="dxa"/>
            <w:shd w:val="clear" w:color="auto" w:fill="auto"/>
          </w:tcPr>
          <w:p w14:paraId="485B7AC8" w14:textId="77777777" w:rsidR="00A01CE6" w:rsidRPr="008A38B9" w:rsidRDefault="00A01CE6" w:rsidP="009A02E9">
            <w:pPr>
              <w:pStyle w:val="SingleTxtG"/>
              <w:spacing w:before="40"/>
              <w:ind w:left="0" w:right="113"/>
              <w:jc w:val="left"/>
            </w:pPr>
            <w:r w:rsidRPr="008A38B9">
              <w:t>2</w:t>
            </w:r>
          </w:p>
        </w:tc>
        <w:tc>
          <w:tcPr>
            <w:tcW w:w="5557" w:type="dxa"/>
            <w:shd w:val="clear" w:color="auto" w:fill="auto"/>
          </w:tcPr>
          <w:p w14:paraId="78823101" w14:textId="77777777" w:rsidR="00A01CE6" w:rsidRPr="008A38B9" w:rsidRDefault="00A01CE6" w:rsidP="009A02E9">
            <w:pPr>
              <w:pStyle w:val="SingleTxtG"/>
              <w:spacing w:before="40"/>
              <w:ind w:left="0" w:right="113"/>
              <w:jc w:val="left"/>
            </w:pPr>
            <w:r w:rsidRPr="008A38B9">
              <w:t>Convenio sobre la Discriminación (Empleo y Ocupación), 1958 (núm. 111)</w:t>
            </w:r>
          </w:p>
        </w:tc>
        <w:tc>
          <w:tcPr>
            <w:tcW w:w="2296" w:type="dxa"/>
            <w:shd w:val="clear" w:color="auto" w:fill="auto"/>
          </w:tcPr>
          <w:p w14:paraId="359EF836" w14:textId="77777777" w:rsidR="00A01CE6" w:rsidRPr="008A38B9" w:rsidRDefault="00A01CE6" w:rsidP="009A02E9">
            <w:pPr>
              <w:pStyle w:val="SingleTxtG"/>
              <w:spacing w:before="40"/>
              <w:ind w:left="0" w:right="113"/>
              <w:jc w:val="left"/>
            </w:pPr>
            <w:r w:rsidRPr="008A38B9">
              <w:t>15 de junio de 1959</w:t>
            </w:r>
          </w:p>
        </w:tc>
      </w:tr>
      <w:tr w:rsidR="00A01CE6" w14:paraId="2954F9D0" w14:textId="77777777" w:rsidTr="009A02E9">
        <w:tc>
          <w:tcPr>
            <w:tcW w:w="574" w:type="dxa"/>
            <w:shd w:val="clear" w:color="auto" w:fill="auto"/>
          </w:tcPr>
          <w:p w14:paraId="0CB35BD1" w14:textId="77777777" w:rsidR="00A01CE6" w:rsidRPr="008A38B9" w:rsidRDefault="00A01CE6" w:rsidP="009A02E9">
            <w:pPr>
              <w:pStyle w:val="SingleTxtG"/>
              <w:spacing w:before="40"/>
              <w:ind w:left="0" w:right="113"/>
              <w:jc w:val="left"/>
            </w:pPr>
            <w:r w:rsidRPr="008A38B9">
              <w:t>3</w:t>
            </w:r>
          </w:p>
        </w:tc>
        <w:tc>
          <w:tcPr>
            <w:tcW w:w="5557" w:type="dxa"/>
            <w:shd w:val="clear" w:color="auto" w:fill="auto"/>
          </w:tcPr>
          <w:p w14:paraId="57D61BE5" w14:textId="77777777" w:rsidR="00A01CE6" w:rsidRPr="008A38B9" w:rsidRDefault="00A01CE6" w:rsidP="009A02E9">
            <w:pPr>
              <w:pStyle w:val="SingleTxtG"/>
              <w:spacing w:before="40"/>
              <w:ind w:left="0" w:right="113"/>
              <w:jc w:val="left"/>
            </w:pPr>
            <w:r w:rsidRPr="008A38B9">
              <w:t>Convenio sobre el Derecho de Sindicación y de Negociación Colectiva, 1949 (núm. 98)</w:t>
            </w:r>
          </w:p>
        </w:tc>
        <w:tc>
          <w:tcPr>
            <w:tcW w:w="2296" w:type="dxa"/>
            <w:shd w:val="clear" w:color="auto" w:fill="auto"/>
          </w:tcPr>
          <w:p w14:paraId="4BF8F828" w14:textId="77777777" w:rsidR="00A01CE6" w:rsidRPr="008A38B9" w:rsidRDefault="00A01CE6" w:rsidP="009A02E9">
            <w:pPr>
              <w:pStyle w:val="SingleTxtG"/>
              <w:spacing w:before="40"/>
              <w:ind w:left="0" w:right="113"/>
              <w:jc w:val="left"/>
            </w:pPr>
            <w:r w:rsidRPr="008A38B9">
              <w:t>27 de octubre de 1962</w:t>
            </w:r>
          </w:p>
        </w:tc>
      </w:tr>
      <w:tr w:rsidR="00A01CE6" w14:paraId="71ECC5E6" w14:textId="77777777" w:rsidTr="009A02E9">
        <w:tc>
          <w:tcPr>
            <w:tcW w:w="574" w:type="dxa"/>
            <w:shd w:val="clear" w:color="auto" w:fill="auto"/>
          </w:tcPr>
          <w:p w14:paraId="3C006DE4" w14:textId="77777777" w:rsidR="00A01CE6" w:rsidRPr="008A38B9" w:rsidRDefault="00A01CE6" w:rsidP="009A02E9">
            <w:pPr>
              <w:pStyle w:val="SingleTxtG"/>
              <w:spacing w:before="40"/>
              <w:ind w:left="0" w:right="113"/>
              <w:jc w:val="left"/>
            </w:pPr>
            <w:r w:rsidRPr="008A38B9">
              <w:t>4</w:t>
            </w:r>
          </w:p>
        </w:tc>
        <w:tc>
          <w:tcPr>
            <w:tcW w:w="5557" w:type="dxa"/>
            <w:shd w:val="clear" w:color="auto" w:fill="auto"/>
          </w:tcPr>
          <w:p w14:paraId="778488AF" w14:textId="77777777" w:rsidR="00A01CE6" w:rsidRPr="008A38B9" w:rsidRDefault="00A01CE6" w:rsidP="009A02E9">
            <w:pPr>
              <w:pStyle w:val="SingleTxtG"/>
              <w:spacing w:before="40"/>
              <w:ind w:left="0" w:right="113"/>
              <w:jc w:val="left"/>
            </w:pPr>
            <w:r w:rsidRPr="008A38B9">
              <w:t>Convenio sobre la Abolición del Trabajo Forzoso, 19</w:t>
            </w:r>
            <w:r w:rsidR="00A82147">
              <w:t>30</w:t>
            </w:r>
            <w:r w:rsidRPr="008A38B9">
              <w:t xml:space="preserve"> (núm.</w:t>
            </w:r>
            <w:r w:rsidR="00A82147">
              <w:t xml:space="preserve"> 29</w:t>
            </w:r>
            <w:r w:rsidRPr="008A38B9">
              <w:t>)</w:t>
            </w:r>
          </w:p>
        </w:tc>
        <w:tc>
          <w:tcPr>
            <w:tcW w:w="2296" w:type="dxa"/>
            <w:shd w:val="clear" w:color="auto" w:fill="auto"/>
          </w:tcPr>
          <w:p w14:paraId="327C9F01" w14:textId="77777777" w:rsidR="00A01CE6" w:rsidRPr="008A38B9" w:rsidRDefault="00A01CE6" w:rsidP="009A02E9">
            <w:pPr>
              <w:pStyle w:val="SingleTxtG"/>
              <w:spacing w:before="40"/>
              <w:ind w:left="0" w:right="113"/>
              <w:jc w:val="left"/>
            </w:pPr>
            <w:r w:rsidRPr="008A38B9">
              <w:t>27 de octubre de 1962</w:t>
            </w:r>
          </w:p>
        </w:tc>
      </w:tr>
      <w:tr w:rsidR="00A01CE6" w14:paraId="10D4B538" w14:textId="77777777" w:rsidTr="009A02E9">
        <w:tc>
          <w:tcPr>
            <w:tcW w:w="574" w:type="dxa"/>
            <w:shd w:val="clear" w:color="auto" w:fill="auto"/>
          </w:tcPr>
          <w:p w14:paraId="2370EEE9" w14:textId="77777777" w:rsidR="00A01CE6" w:rsidRPr="008A38B9" w:rsidRDefault="00A01CE6" w:rsidP="009A02E9">
            <w:pPr>
              <w:pStyle w:val="SingleTxtG"/>
              <w:spacing w:before="40"/>
              <w:ind w:left="0" w:right="113"/>
              <w:jc w:val="left"/>
            </w:pPr>
            <w:r w:rsidRPr="008A38B9">
              <w:t>5</w:t>
            </w:r>
          </w:p>
        </w:tc>
        <w:tc>
          <w:tcPr>
            <w:tcW w:w="5557" w:type="dxa"/>
            <w:shd w:val="clear" w:color="auto" w:fill="auto"/>
          </w:tcPr>
          <w:p w14:paraId="3E8A18EB" w14:textId="77777777" w:rsidR="00A01CE6" w:rsidRPr="008A38B9" w:rsidRDefault="00A01CE6" w:rsidP="009A02E9">
            <w:pPr>
              <w:pStyle w:val="SingleTxtG"/>
              <w:spacing w:before="40"/>
              <w:ind w:left="0" w:right="113"/>
              <w:jc w:val="left"/>
            </w:pPr>
            <w:r w:rsidRPr="008A38B9">
              <w:t>Convenio sobre Igualdad de Remuneración, 1951 (núm. 100)</w:t>
            </w:r>
          </w:p>
        </w:tc>
        <w:tc>
          <w:tcPr>
            <w:tcW w:w="2296" w:type="dxa"/>
            <w:shd w:val="clear" w:color="auto" w:fill="auto"/>
          </w:tcPr>
          <w:p w14:paraId="52EAB2A8" w14:textId="77777777" w:rsidR="00A01CE6" w:rsidRPr="008A38B9" w:rsidRDefault="00A01CE6" w:rsidP="009A02E9">
            <w:pPr>
              <w:pStyle w:val="SingleTxtG"/>
              <w:spacing w:before="40"/>
              <w:ind w:left="0" w:right="113"/>
              <w:jc w:val="left"/>
            </w:pPr>
            <w:r w:rsidRPr="008A38B9">
              <w:t>28 de agosto de 1963</w:t>
            </w:r>
          </w:p>
        </w:tc>
      </w:tr>
      <w:tr w:rsidR="00A01CE6" w14:paraId="64F33928" w14:textId="77777777" w:rsidTr="009A02E9">
        <w:tc>
          <w:tcPr>
            <w:tcW w:w="574" w:type="dxa"/>
            <w:shd w:val="clear" w:color="auto" w:fill="auto"/>
          </w:tcPr>
          <w:p w14:paraId="4B38E52F" w14:textId="77777777" w:rsidR="00A01CE6" w:rsidRPr="008A38B9" w:rsidRDefault="00A01CE6" w:rsidP="009A02E9">
            <w:pPr>
              <w:pStyle w:val="SingleTxtG"/>
              <w:keepNext/>
              <w:keepLines/>
              <w:spacing w:before="40"/>
              <w:ind w:left="0" w:right="113"/>
              <w:jc w:val="left"/>
            </w:pPr>
            <w:r w:rsidRPr="008A38B9">
              <w:lastRenderedPageBreak/>
              <w:t>6</w:t>
            </w:r>
          </w:p>
        </w:tc>
        <w:tc>
          <w:tcPr>
            <w:tcW w:w="5557" w:type="dxa"/>
            <w:shd w:val="clear" w:color="auto" w:fill="auto"/>
          </w:tcPr>
          <w:p w14:paraId="60BD0C9F" w14:textId="77777777" w:rsidR="00A01CE6" w:rsidRPr="008A38B9" w:rsidRDefault="00A01CE6" w:rsidP="009A02E9">
            <w:pPr>
              <w:pStyle w:val="SingleTxtG"/>
              <w:keepNext/>
              <w:keepLines/>
              <w:spacing w:before="40"/>
              <w:ind w:left="0" w:right="113"/>
              <w:jc w:val="left"/>
            </w:pPr>
            <w:r w:rsidRPr="008A38B9">
              <w:t>Convenio sobre la Edad Mínima, 1973 (núm. 138)</w:t>
            </w:r>
          </w:p>
        </w:tc>
        <w:tc>
          <w:tcPr>
            <w:tcW w:w="2296" w:type="dxa"/>
            <w:shd w:val="clear" w:color="auto" w:fill="auto"/>
          </w:tcPr>
          <w:p w14:paraId="4F9A13B7" w14:textId="77777777" w:rsidR="00A01CE6" w:rsidRPr="008A38B9" w:rsidRDefault="00A01CE6" w:rsidP="009A02E9">
            <w:pPr>
              <w:pStyle w:val="SingleTxtG"/>
              <w:keepNext/>
              <w:keepLines/>
              <w:spacing w:before="40"/>
              <w:ind w:left="0" w:right="113"/>
              <w:jc w:val="left"/>
            </w:pPr>
            <w:r w:rsidRPr="008A38B9">
              <w:t>13 de febrero de 1985</w:t>
            </w:r>
          </w:p>
        </w:tc>
      </w:tr>
      <w:tr w:rsidR="00A01CE6" w14:paraId="7C9D38F1" w14:textId="77777777" w:rsidTr="009A02E9">
        <w:tc>
          <w:tcPr>
            <w:tcW w:w="574" w:type="dxa"/>
            <w:tcBorders>
              <w:bottom w:val="single" w:sz="12" w:space="0" w:color="auto"/>
            </w:tcBorders>
            <w:shd w:val="clear" w:color="auto" w:fill="auto"/>
          </w:tcPr>
          <w:p w14:paraId="61E4A007" w14:textId="77777777" w:rsidR="00A01CE6" w:rsidRPr="008A38B9" w:rsidRDefault="00A01CE6" w:rsidP="009A02E9">
            <w:pPr>
              <w:pStyle w:val="SingleTxtG"/>
              <w:spacing w:before="40"/>
              <w:ind w:left="0" w:right="113"/>
              <w:jc w:val="left"/>
            </w:pPr>
            <w:r w:rsidRPr="008A38B9">
              <w:t>7</w:t>
            </w:r>
          </w:p>
        </w:tc>
        <w:tc>
          <w:tcPr>
            <w:tcW w:w="5557" w:type="dxa"/>
            <w:tcBorders>
              <w:bottom w:val="single" w:sz="12" w:space="0" w:color="auto"/>
            </w:tcBorders>
            <w:shd w:val="clear" w:color="auto" w:fill="auto"/>
          </w:tcPr>
          <w:p w14:paraId="1ADC06FC" w14:textId="77777777" w:rsidR="00A01CE6" w:rsidRPr="008A38B9" w:rsidRDefault="00A01CE6" w:rsidP="009A02E9">
            <w:pPr>
              <w:pStyle w:val="SingleTxtG"/>
              <w:spacing w:before="40"/>
              <w:ind w:left="0" w:right="113"/>
              <w:jc w:val="left"/>
            </w:pPr>
            <w:r w:rsidRPr="008A38B9">
              <w:t>Convenio sobre las Peores Formas de Trabajo Infantil, 1999 (núm. 182)</w:t>
            </w:r>
          </w:p>
        </w:tc>
        <w:tc>
          <w:tcPr>
            <w:tcW w:w="2296" w:type="dxa"/>
            <w:tcBorders>
              <w:bottom w:val="single" w:sz="12" w:space="0" w:color="auto"/>
            </w:tcBorders>
            <w:shd w:val="clear" w:color="auto" w:fill="auto"/>
          </w:tcPr>
          <w:p w14:paraId="0604AE3E" w14:textId="77777777" w:rsidR="00A01CE6" w:rsidRPr="008A38B9" w:rsidRDefault="00A01CE6" w:rsidP="009A02E9">
            <w:pPr>
              <w:pStyle w:val="SingleTxtG"/>
              <w:spacing w:before="40"/>
              <w:ind w:left="0" w:right="113"/>
              <w:jc w:val="left"/>
            </w:pPr>
            <w:r w:rsidRPr="008A38B9">
              <w:t>9 de julio de 2001</w:t>
            </w:r>
          </w:p>
        </w:tc>
      </w:tr>
    </w:tbl>
    <w:p w14:paraId="369E6D23" w14:textId="77777777" w:rsidR="008A38B9" w:rsidRDefault="008A38B9" w:rsidP="00A01CE6">
      <w:pPr>
        <w:pStyle w:val="SingleTxtG"/>
        <w:spacing w:before="240"/>
      </w:pPr>
      <w:r w:rsidRPr="008A38B9">
        <w:t>90.</w:t>
      </w:r>
      <w:r w:rsidRPr="008A38B9">
        <w:tab/>
        <w:t>En el cuadro siguiente figuran las convenciones de derechos humanos en las que el Iraq es parte.</w:t>
      </w:r>
    </w:p>
    <w:tbl>
      <w:tblPr>
        <w:tblStyle w:val="Tablaconcuadrcula"/>
        <w:tblW w:w="84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4"/>
        <w:gridCol w:w="5557"/>
        <w:gridCol w:w="2296"/>
      </w:tblGrid>
      <w:tr w:rsidR="00A01CE6" w:rsidRPr="00FD5C17" w14:paraId="2F781893" w14:textId="77777777" w:rsidTr="00A01CE6">
        <w:trPr>
          <w:tblHeader/>
        </w:trPr>
        <w:tc>
          <w:tcPr>
            <w:tcW w:w="574" w:type="dxa"/>
            <w:tcBorders>
              <w:top w:val="single" w:sz="4" w:space="0" w:color="auto"/>
              <w:bottom w:val="single" w:sz="12" w:space="0" w:color="auto"/>
            </w:tcBorders>
            <w:shd w:val="clear" w:color="auto" w:fill="auto"/>
            <w:vAlign w:val="bottom"/>
          </w:tcPr>
          <w:p w14:paraId="76CDADA8" w14:textId="77777777" w:rsidR="00A01CE6" w:rsidRPr="00FD5C17" w:rsidRDefault="00A01CE6" w:rsidP="00A01CE6">
            <w:pPr>
              <w:pStyle w:val="SingleTxtG"/>
              <w:spacing w:before="80" w:after="80" w:line="200" w:lineRule="exact"/>
              <w:ind w:left="0" w:right="113"/>
              <w:jc w:val="left"/>
              <w:rPr>
                <w:i/>
                <w:sz w:val="16"/>
              </w:rPr>
            </w:pPr>
          </w:p>
        </w:tc>
        <w:tc>
          <w:tcPr>
            <w:tcW w:w="5557" w:type="dxa"/>
            <w:tcBorders>
              <w:top w:val="single" w:sz="4" w:space="0" w:color="auto"/>
              <w:bottom w:val="single" w:sz="12" w:space="0" w:color="auto"/>
            </w:tcBorders>
            <w:shd w:val="clear" w:color="auto" w:fill="auto"/>
            <w:vAlign w:val="center"/>
          </w:tcPr>
          <w:p w14:paraId="4B8BECFB" w14:textId="77777777" w:rsidR="00A01CE6" w:rsidRPr="00A01CE6" w:rsidRDefault="00A01CE6" w:rsidP="00A01CE6">
            <w:pPr>
              <w:pStyle w:val="SingleTxtG"/>
              <w:spacing w:before="80" w:after="80" w:line="200" w:lineRule="exact"/>
              <w:ind w:left="0" w:right="113"/>
              <w:jc w:val="left"/>
              <w:rPr>
                <w:i/>
                <w:sz w:val="16"/>
              </w:rPr>
            </w:pPr>
            <w:r w:rsidRPr="00A01CE6">
              <w:rPr>
                <w:i/>
                <w:sz w:val="16"/>
              </w:rPr>
              <w:t>Convención</w:t>
            </w:r>
          </w:p>
        </w:tc>
        <w:tc>
          <w:tcPr>
            <w:tcW w:w="2296" w:type="dxa"/>
            <w:tcBorders>
              <w:top w:val="single" w:sz="4" w:space="0" w:color="auto"/>
              <w:bottom w:val="single" w:sz="12" w:space="0" w:color="auto"/>
            </w:tcBorders>
            <w:shd w:val="clear" w:color="auto" w:fill="auto"/>
            <w:vAlign w:val="center"/>
          </w:tcPr>
          <w:p w14:paraId="520F4933" w14:textId="77777777" w:rsidR="00A01CE6" w:rsidRPr="00A01CE6" w:rsidRDefault="00A01CE6" w:rsidP="00A01CE6">
            <w:pPr>
              <w:pStyle w:val="SingleTxtG"/>
              <w:spacing w:before="80" w:after="80" w:line="200" w:lineRule="exact"/>
              <w:ind w:left="0" w:right="113"/>
              <w:jc w:val="left"/>
              <w:rPr>
                <w:i/>
                <w:sz w:val="16"/>
              </w:rPr>
            </w:pPr>
            <w:r w:rsidRPr="00A01CE6">
              <w:rPr>
                <w:i/>
                <w:sz w:val="16"/>
              </w:rPr>
              <w:t>Año</w:t>
            </w:r>
          </w:p>
        </w:tc>
      </w:tr>
      <w:tr w:rsidR="00A01CE6" w14:paraId="6937F5F0" w14:textId="77777777" w:rsidTr="00A01CE6">
        <w:trPr>
          <w:trHeight w:hRule="exact" w:val="113"/>
          <w:tblHeader/>
        </w:trPr>
        <w:tc>
          <w:tcPr>
            <w:tcW w:w="574" w:type="dxa"/>
            <w:tcBorders>
              <w:top w:val="single" w:sz="12" w:space="0" w:color="auto"/>
            </w:tcBorders>
            <w:shd w:val="clear" w:color="auto" w:fill="auto"/>
          </w:tcPr>
          <w:p w14:paraId="2D537A39" w14:textId="77777777" w:rsidR="00A01CE6" w:rsidRPr="008A38B9" w:rsidRDefault="00A01CE6" w:rsidP="00A01CE6">
            <w:pPr>
              <w:pStyle w:val="SingleTxtG"/>
              <w:spacing w:before="40"/>
              <w:ind w:left="0" w:right="113"/>
              <w:jc w:val="left"/>
            </w:pPr>
          </w:p>
        </w:tc>
        <w:tc>
          <w:tcPr>
            <w:tcW w:w="5557" w:type="dxa"/>
            <w:tcBorders>
              <w:top w:val="single" w:sz="12" w:space="0" w:color="auto"/>
            </w:tcBorders>
            <w:shd w:val="clear" w:color="auto" w:fill="auto"/>
          </w:tcPr>
          <w:p w14:paraId="7684A6BC" w14:textId="77777777" w:rsidR="00A01CE6" w:rsidRPr="008A38B9" w:rsidRDefault="00A01CE6" w:rsidP="00A01CE6">
            <w:pPr>
              <w:pStyle w:val="SingleTxtG"/>
              <w:spacing w:before="40"/>
              <w:ind w:left="0" w:right="113"/>
              <w:jc w:val="left"/>
            </w:pPr>
          </w:p>
        </w:tc>
        <w:tc>
          <w:tcPr>
            <w:tcW w:w="2296" w:type="dxa"/>
            <w:tcBorders>
              <w:top w:val="single" w:sz="12" w:space="0" w:color="auto"/>
            </w:tcBorders>
            <w:shd w:val="clear" w:color="auto" w:fill="auto"/>
          </w:tcPr>
          <w:p w14:paraId="59FD65D1" w14:textId="77777777" w:rsidR="00A01CE6" w:rsidRPr="008A38B9" w:rsidRDefault="00A01CE6" w:rsidP="00A01CE6">
            <w:pPr>
              <w:pStyle w:val="SingleTxtG"/>
              <w:spacing w:before="40"/>
              <w:ind w:left="0" w:right="113"/>
              <w:jc w:val="left"/>
            </w:pPr>
          </w:p>
        </w:tc>
      </w:tr>
      <w:tr w:rsidR="00A01CE6" w14:paraId="0E5D12B3" w14:textId="77777777" w:rsidTr="009A02E9">
        <w:tc>
          <w:tcPr>
            <w:tcW w:w="574" w:type="dxa"/>
            <w:shd w:val="clear" w:color="auto" w:fill="auto"/>
          </w:tcPr>
          <w:p w14:paraId="22E2F16C" w14:textId="77777777" w:rsidR="00A01CE6" w:rsidRPr="008A38B9" w:rsidRDefault="00A01CE6" w:rsidP="009A02E9">
            <w:pPr>
              <w:pStyle w:val="SingleTxtG"/>
              <w:spacing w:before="40"/>
              <w:ind w:left="0" w:right="113"/>
              <w:jc w:val="left"/>
            </w:pPr>
            <w:r w:rsidRPr="008A38B9">
              <w:t>1</w:t>
            </w:r>
          </w:p>
        </w:tc>
        <w:tc>
          <w:tcPr>
            <w:tcW w:w="5557" w:type="dxa"/>
            <w:shd w:val="clear" w:color="auto" w:fill="auto"/>
          </w:tcPr>
          <w:p w14:paraId="77549206" w14:textId="77777777" w:rsidR="00A01CE6" w:rsidRPr="008A38B9" w:rsidRDefault="00A01CE6" w:rsidP="009A02E9">
            <w:pPr>
              <w:pStyle w:val="SingleTxtG"/>
              <w:spacing w:before="40"/>
              <w:ind w:left="0" w:right="113"/>
              <w:jc w:val="left"/>
            </w:pPr>
            <w:r w:rsidRPr="008A38B9">
              <w:t>Convenio Internacional para la Represión de los Atentados Terroristas Cometidos con Bombas</w:t>
            </w:r>
          </w:p>
        </w:tc>
        <w:tc>
          <w:tcPr>
            <w:tcW w:w="2296" w:type="dxa"/>
            <w:shd w:val="clear" w:color="auto" w:fill="auto"/>
          </w:tcPr>
          <w:p w14:paraId="0272EF90" w14:textId="77777777" w:rsidR="00A01CE6" w:rsidRPr="008A38B9" w:rsidRDefault="00A01CE6" w:rsidP="009A02E9">
            <w:pPr>
              <w:pStyle w:val="SingleTxtG"/>
              <w:spacing w:before="40"/>
              <w:ind w:left="0" w:right="113"/>
              <w:jc w:val="left"/>
            </w:pPr>
            <w:r w:rsidRPr="008A38B9">
              <w:t>2012</w:t>
            </w:r>
          </w:p>
        </w:tc>
      </w:tr>
      <w:tr w:rsidR="00A01CE6" w14:paraId="70F49431" w14:textId="77777777" w:rsidTr="009A02E9">
        <w:tc>
          <w:tcPr>
            <w:tcW w:w="574" w:type="dxa"/>
            <w:shd w:val="clear" w:color="auto" w:fill="auto"/>
          </w:tcPr>
          <w:p w14:paraId="23A31707" w14:textId="77777777" w:rsidR="00A01CE6" w:rsidRPr="008A38B9" w:rsidRDefault="00A01CE6" w:rsidP="009A02E9">
            <w:pPr>
              <w:pStyle w:val="SingleTxtG"/>
              <w:spacing w:before="40"/>
              <w:ind w:left="0" w:right="113"/>
              <w:jc w:val="left"/>
            </w:pPr>
            <w:r w:rsidRPr="008A38B9">
              <w:t>2</w:t>
            </w:r>
          </w:p>
        </w:tc>
        <w:tc>
          <w:tcPr>
            <w:tcW w:w="5557" w:type="dxa"/>
            <w:shd w:val="clear" w:color="auto" w:fill="auto"/>
          </w:tcPr>
          <w:p w14:paraId="42B72249" w14:textId="77777777" w:rsidR="00A01CE6" w:rsidRPr="008A38B9" w:rsidRDefault="00A01CE6" w:rsidP="009A02E9">
            <w:pPr>
              <w:pStyle w:val="SingleTxtG"/>
              <w:spacing w:before="40"/>
              <w:ind w:left="0" w:right="113"/>
              <w:jc w:val="left"/>
            </w:pPr>
            <w:r w:rsidRPr="008A38B9">
              <w:t>Convención Internacional contra la Toma de Rehenes</w:t>
            </w:r>
          </w:p>
        </w:tc>
        <w:tc>
          <w:tcPr>
            <w:tcW w:w="2296" w:type="dxa"/>
            <w:shd w:val="clear" w:color="auto" w:fill="auto"/>
          </w:tcPr>
          <w:p w14:paraId="06AB33F3" w14:textId="77777777" w:rsidR="00A01CE6" w:rsidRPr="008A38B9" w:rsidRDefault="00A01CE6" w:rsidP="009A02E9">
            <w:pPr>
              <w:pStyle w:val="SingleTxtG"/>
              <w:spacing w:before="40"/>
              <w:ind w:left="0" w:right="113"/>
              <w:jc w:val="left"/>
            </w:pPr>
            <w:r w:rsidRPr="008A38B9">
              <w:t>2012</w:t>
            </w:r>
          </w:p>
        </w:tc>
      </w:tr>
      <w:tr w:rsidR="00A01CE6" w14:paraId="0C67D47B" w14:textId="77777777" w:rsidTr="009A02E9">
        <w:tc>
          <w:tcPr>
            <w:tcW w:w="574" w:type="dxa"/>
            <w:shd w:val="clear" w:color="auto" w:fill="auto"/>
          </w:tcPr>
          <w:p w14:paraId="71E60E5D" w14:textId="77777777" w:rsidR="00A01CE6" w:rsidRPr="008A38B9" w:rsidRDefault="00A01CE6" w:rsidP="009A02E9">
            <w:pPr>
              <w:pStyle w:val="SingleTxtG"/>
              <w:spacing w:before="40"/>
              <w:ind w:left="0" w:right="113"/>
              <w:jc w:val="left"/>
            </w:pPr>
            <w:r w:rsidRPr="008A38B9">
              <w:t>3</w:t>
            </w:r>
          </w:p>
        </w:tc>
        <w:tc>
          <w:tcPr>
            <w:tcW w:w="5557" w:type="dxa"/>
            <w:shd w:val="clear" w:color="auto" w:fill="auto"/>
          </w:tcPr>
          <w:p w14:paraId="21C1FBA6" w14:textId="77777777" w:rsidR="00A01CE6" w:rsidRPr="008A38B9" w:rsidRDefault="00A01CE6" w:rsidP="009A02E9">
            <w:pPr>
              <w:pStyle w:val="SingleTxtG"/>
              <w:spacing w:before="40"/>
              <w:ind w:left="0" w:right="113"/>
              <w:jc w:val="left"/>
            </w:pPr>
            <w:r w:rsidRPr="008A38B9">
              <w:t>Carta Árabe de Derechos Humanos</w:t>
            </w:r>
          </w:p>
        </w:tc>
        <w:tc>
          <w:tcPr>
            <w:tcW w:w="2296" w:type="dxa"/>
            <w:shd w:val="clear" w:color="auto" w:fill="auto"/>
          </w:tcPr>
          <w:p w14:paraId="29DFDE81" w14:textId="77777777" w:rsidR="00A01CE6" w:rsidRPr="008A38B9" w:rsidRDefault="00A01CE6" w:rsidP="009A02E9">
            <w:pPr>
              <w:pStyle w:val="SingleTxtG"/>
              <w:spacing w:before="40"/>
              <w:ind w:left="0" w:right="113"/>
              <w:jc w:val="left"/>
            </w:pPr>
            <w:r w:rsidRPr="008A38B9">
              <w:t>2012</w:t>
            </w:r>
          </w:p>
        </w:tc>
      </w:tr>
      <w:tr w:rsidR="00A01CE6" w14:paraId="444ADB8B" w14:textId="77777777" w:rsidTr="009A02E9">
        <w:tc>
          <w:tcPr>
            <w:tcW w:w="574" w:type="dxa"/>
            <w:shd w:val="clear" w:color="auto" w:fill="auto"/>
          </w:tcPr>
          <w:p w14:paraId="064F2F74" w14:textId="77777777" w:rsidR="00A01CE6" w:rsidRPr="008A38B9" w:rsidRDefault="00A01CE6" w:rsidP="009A02E9">
            <w:pPr>
              <w:pStyle w:val="SingleTxtG"/>
              <w:spacing w:before="40"/>
              <w:ind w:left="0" w:right="113"/>
              <w:jc w:val="left"/>
            </w:pPr>
            <w:r w:rsidRPr="008A38B9">
              <w:t>4</w:t>
            </w:r>
          </w:p>
        </w:tc>
        <w:tc>
          <w:tcPr>
            <w:tcW w:w="5557" w:type="dxa"/>
            <w:shd w:val="clear" w:color="auto" w:fill="auto"/>
          </w:tcPr>
          <w:p w14:paraId="26DC3488" w14:textId="77777777" w:rsidR="00A01CE6" w:rsidRPr="008A38B9" w:rsidRDefault="00A01CE6" w:rsidP="009A02E9">
            <w:pPr>
              <w:pStyle w:val="SingleTxtG"/>
              <w:spacing w:before="40"/>
              <w:ind w:left="0" w:right="113"/>
              <w:jc w:val="left"/>
            </w:pPr>
            <w:r w:rsidRPr="008A38B9">
              <w:t>Convención sobre la Protección y Promoción de la Diversidad de las Expresiones Culturales</w:t>
            </w:r>
          </w:p>
        </w:tc>
        <w:tc>
          <w:tcPr>
            <w:tcW w:w="2296" w:type="dxa"/>
            <w:shd w:val="clear" w:color="auto" w:fill="auto"/>
          </w:tcPr>
          <w:p w14:paraId="68D81281" w14:textId="77777777" w:rsidR="00A01CE6" w:rsidRPr="008A38B9" w:rsidRDefault="00A01CE6" w:rsidP="009A02E9">
            <w:pPr>
              <w:pStyle w:val="SingleTxtG"/>
              <w:spacing w:before="40"/>
              <w:ind w:left="0" w:right="113"/>
              <w:jc w:val="left"/>
            </w:pPr>
            <w:r w:rsidRPr="008A38B9">
              <w:t>2012</w:t>
            </w:r>
          </w:p>
        </w:tc>
      </w:tr>
      <w:tr w:rsidR="00A01CE6" w14:paraId="4C4CB83C" w14:textId="77777777" w:rsidTr="009A02E9">
        <w:tc>
          <w:tcPr>
            <w:tcW w:w="574" w:type="dxa"/>
            <w:shd w:val="clear" w:color="auto" w:fill="auto"/>
          </w:tcPr>
          <w:p w14:paraId="06D546EE" w14:textId="77777777" w:rsidR="00A01CE6" w:rsidRPr="008A38B9" w:rsidRDefault="00A01CE6" w:rsidP="009A02E9">
            <w:pPr>
              <w:pStyle w:val="SingleTxtG"/>
              <w:spacing w:before="40"/>
              <w:ind w:left="0" w:right="113"/>
              <w:jc w:val="left"/>
            </w:pPr>
            <w:r w:rsidRPr="008A38B9">
              <w:t>5</w:t>
            </w:r>
          </w:p>
        </w:tc>
        <w:tc>
          <w:tcPr>
            <w:tcW w:w="5557" w:type="dxa"/>
            <w:shd w:val="clear" w:color="auto" w:fill="auto"/>
          </w:tcPr>
          <w:p w14:paraId="3F0ECD5C" w14:textId="77777777" w:rsidR="00A01CE6" w:rsidRPr="008A38B9" w:rsidRDefault="00A01CE6" w:rsidP="009A02E9">
            <w:pPr>
              <w:pStyle w:val="SingleTxtG"/>
              <w:spacing w:before="40"/>
              <w:ind w:left="0" w:right="113"/>
              <w:jc w:val="left"/>
            </w:pPr>
            <w:r w:rsidRPr="008A38B9">
              <w:t>Convenio de la Organización de la Conferencia Islámica para la Lucha contra el Terrorismo Internacional</w:t>
            </w:r>
          </w:p>
        </w:tc>
        <w:tc>
          <w:tcPr>
            <w:tcW w:w="2296" w:type="dxa"/>
            <w:shd w:val="clear" w:color="auto" w:fill="auto"/>
          </w:tcPr>
          <w:p w14:paraId="35E92567" w14:textId="77777777" w:rsidR="00A01CE6" w:rsidRPr="008A38B9" w:rsidRDefault="00A01CE6" w:rsidP="009A02E9">
            <w:pPr>
              <w:pStyle w:val="SingleTxtG"/>
              <w:spacing w:before="40"/>
              <w:ind w:left="0" w:right="113"/>
              <w:jc w:val="left"/>
            </w:pPr>
            <w:r w:rsidRPr="008A38B9">
              <w:t>2012</w:t>
            </w:r>
          </w:p>
        </w:tc>
      </w:tr>
      <w:tr w:rsidR="00A01CE6" w14:paraId="3032359E" w14:textId="77777777" w:rsidTr="009A02E9">
        <w:tc>
          <w:tcPr>
            <w:tcW w:w="574" w:type="dxa"/>
            <w:shd w:val="clear" w:color="auto" w:fill="auto"/>
          </w:tcPr>
          <w:p w14:paraId="3644AB24" w14:textId="77777777" w:rsidR="00A01CE6" w:rsidRPr="008A38B9" w:rsidRDefault="00A01CE6" w:rsidP="009A02E9">
            <w:pPr>
              <w:pStyle w:val="SingleTxtG"/>
              <w:spacing w:before="40"/>
              <w:ind w:left="0" w:right="113"/>
              <w:jc w:val="left"/>
            </w:pPr>
            <w:r w:rsidRPr="008A38B9">
              <w:t>6</w:t>
            </w:r>
          </w:p>
        </w:tc>
        <w:tc>
          <w:tcPr>
            <w:tcW w:w="5557" w:type="dxa"/>
            <w:shd w:val="clear" w:color="auto" w:fill="auto"/>
          </w:tcPr>
          <w:p w14:paraId="036659A6" w14:textId="77777777" w:rsidR="00A01CE6" w:rsidRPr="008A38B9" w:rsidRDefault="00A01CE6" w:rsidP="009A02E9">
            <w:pPr>
              <w:pStyle w:val="SingleTxtG"/>
              <w:spacing w:before="40"/>
              <w:ind w:left="0" w:right="113"/>
              <w:jc w:val="left"/>
            </w:pPr>
            <w:r w:rsidRPr="008A38B9">
              <w:t>Ley por la que la República del Iraq se adhiere al Convenio para la Represión de Actos Ilícitos contra la Seguridad de la Navegación Marítima</w:t>
            </w:r>
          </w:p>
        </w:tc>
        <w:tc>
          <w:tcPr>
            <w:tcW w:w="2296" w:type="dxa"/>
            <w:shd w:val="clear" w:color="auto" w:fill="auto"/>
          </w:tcPr>
          <w:p w14:paraId="0889F96B" w14:textId="77777777" w:rsidR="00A01CE6" w:rsidRPr="008A38B9" w:rsidRDefault="00A01CE6" w:rsidP="009A02E9">
            <w:pPr>
              <w:pStyle w:val="SingleTxtG"/>
              <w:spacing w:before="40"/>
              <w:ind w:left="0" w:right="113"/>
              <w:jc w:val="left"/>
            </w:pPr>
            <w:r w:rsidRPr="008A38B9">
              <w:t>2012</w:t>
            </w:r>
          </w:p>
        </w:tc>
      </w:tr>
      <w:tr w:rsidR="00A01CE6" w14:paraId="54995B64" w14:textId="77777777" w:rsidTr="009A02E9">
        <w:tc>
          <w:tcPr>
            <w:tcW w:w="574" w:type="dxa"/>
            <w:shd w:val="clear" w:color="auto" w:fill="auto"/>
          </w:tcPr>
          <w:p w14:paraId="113FCDA3" w14:textId="77777777" w:rsidR="00A01CE6" w:rsidRPr="008A38B9" w:rsidRDefault="00A01CE6" w:rsidP="009A02E9">
            <w:pPr>
              <w:pStyle w:val="SingleTxtG"/>
              <w:spacing w:before="40"/>
              <w:ind w:left="0" w:right="113"/>
              <w:jc w:val="left"/>
            </w:pPr>
            <w:r w:rsidRPr="008A38B9">
              <w:t>7</w:t>
            </w:r>
          </w:p>
        </w:tc>
        <w:tc>
          <w:tcPr>
            <w:tcW w:w="5557" w:type="dxa"/>
            <w:shd w:val="clear" w:color="auto" w:fill="auto"/>
          </w:tcPr>
          <w:p w14:paraId="57C09485" w14:textId="77777777" w:rsidR="00A01CE6" w:rsidRPr="008A38B9" w:rsidRDefault="00A01CE6" w:rsidP="009A02E9">
            <w:pPr>
              <w:pStyle w:val="SingleTxtG"/>
              <w:spacing w:before="40"/>
              <w:ind w:left="0" w:right="113"/>
              <w:jc w:val="left"/>
            </w:pPr>
            <w:r w:rsidRPr="008A38B9">
              <w:t>Convención Árabe contra la Delincuencia Organizada Transnacional</w:t>
            </w:r>
          </w:p>
        </w:tc>
        <w:tc>
          <w:tcPr>
            <w:tcW w:w="2296" w:type="dxa"/>
            <w:shd w:val="clear" w:color="auto" w:fill="auto"/>
          </w:tcPr>
          <w:p w14:paraId="120E95E6" w14:textId="77777777" w:rsidR="00A01CE6" w:rsidRPr="008A38B9" w:rsidRDefault="00A01CE6" w:rsidP="009A02E9">
            <w:pPr>
              <w:pStyle w:val="SingleTxtG"/>
              <w:spacing w:before="40"/>
              <w:ind w:left="0" w:right="113"/>
              <w:jc w:val="left"/>
            </w:pPr>
            <w:r w:rsidRPr="008A38B9">
              <w:t>2012</w:t>
            </w:r>
          </w:p>
        </w:tc>
      </w:tr>
      <w:tr w:rsidR="00A01CE6" w14:paraId="72DF0FDF" w14:textId="77777777" w:rsidTr="009A02E9">
        <w:tc>
          <w:tcPr>
            <w:tcW w:w="574" w:type="dxa"/>
            <w:shd w:val="clear" w:color="auto" w:fill="auto"/>
          </w:tcPr>
          <w:p w14:paraId="1A53E612" w14:textId="77777777" w:rsidR="00A01CE6" w:rsidRPr="008A38B9" w:rsidRDefault="00A01CE6" w:rsidP="009A02E9">
            <w:pPr>
              <w:pStyle w:val="SingleTxtG"/>
              <w:spacing w:before="40"/>
              <w:ind w:left="0" w:right="113"/>
              <w:jc w:val="left"/>
            </w:pPr>
            <w:r w:rsidRPr="008A38B9">
              <w:t>8</w:t>
            </w:r>
          </w:p>
        </w:tc>
        <w:tc>
          <w:tcPr>
            <w:tcW w:w="5557" w:type="dxa"/>
            <w:shd w:val="clear" w:color="auto" w:fill="auto"/>
          </w:tcPr>
          <w:p w14:paraId="1FADF2BE" w14:textId="77777777" w:rsidR="00A01CE6" w:rsidRPr="008A38B9" w:rsidRDefault="00A01CE6" w:rsidP="009A02E9">
            <w:pPr>
              <w:pStyle w:val="SingleTxtG"/>
              <w:spacing w:before="40"/>
              <w:ind w:left="0" w:right="113"/>
              <w:jc w:val="left"/>
            </w:pPr>
            <w:r w:rsidRPr="008A38B9">
              <w:t>Convenio Internacional para la Represión de los Actos de Terrorismo Nuclear</w:t>
            </w:r>
          </w:p>
        </w:tc>
        <w:tc>
          <w:tcPr>
            <w:tcW w:w="2296" w:type="dxa"/>
            <w:shd w:val="clear" w:color="auto" w:fill="auto"/>
          </w:tcPr>
          <w:p w14:paraId="6F463152" w14:textId="77777777" w:rsidR="00A01CE6" w:rsidRPr="008A38B9" w:rsidRDefault="00A01CE6" w:rsidP="009A02E9">
            <w:pPr>
              <w:pStyle w:val="SingleTxtG"/>
              <w:spacing w:before="40"/>
              <w:ind w:left="0" w:right="113"/>
              <w:jc w:val="left"/>
            </w:pPr>
            <w:r w:rsidRPr="008A38B9">
              <w:t>2012</w:t>
            </w:r>
          </w:p>
        </w:tc>
      </w:tr>
      <w:tr w:rsidR="00A01CE6" w14:paraId="520FA3D9" w14:textId="77777777" w:rsidTr="009A02E9">
        <w:tc>
          <w:tcPr>
            <w:tcW w:w="574" w:type="dxa"/>
            <w:shd w:val="clear" w:color="auto" w:fill="auto"/>
          </w:tcPr>
          <w:p w14:paraId="7270CC3A" w14:textId="77777777" w:rsidR="00A01CE6" w:rsidRPr="008A38B9" w:rsidRDefault="00A01CE6" w:rsidP="009A02E9">
            <w:pPr>
              <w:pStyle w:val="SingleTxtG"/>
              <w:spacing w:before="40"/>
              <w:ind w:left="0" w:right="113"/>
              <w:jc w:val="left"/>
            </w:pPr>
            <w:r w:rsidRPr="008A38B9">
              <w:t>9</w:t>
            </w:r>
          </w:p>
        </w:tc>
        <w:tc>
          <w:tcPr>
            <w:tcW w:w="5557" w:type="dxa"/>
            <w:shd w:val="clear" w:color="auto" w:fill="auto"/>
          </w:tcPr>
          <w:p w14:paraId="6C57D4C3" w14:textId="77777777" w:rsidR="00A01CE6" w:rsidRPr="008A38B9" w:rsidRDefault="00A01CE6" w:rsidP="009A02E9">
            <w:pPr>
              <w:pStyle w:val="SingleTxtG"/>
              <w:spacing w:before="40"/>
              <w:ind w:left="0" w:right="113"/>
              <w:jc w:val="left"/>
            </w:pPr>
            <w:r w:rsidRPr="008A38B9">
              <w:t>Convenio sobre los Aspectos Civiles de la Sustracción Internacional de Menores</w:t>
            </w:r>
          </w:p>
        </w:tc>
        <w:tc>
          <w:tcPr>
            <w:tcW w:w="2296" w:type="dxa"/>
            <w:shd w:val="clear" w:color="auto" w:fill="auto"/>
          </w:tcPr>
          <w:p w14:paraId="008A3B40" w14:textId="77777777" w:rsidR="00A01CE6" w:rsidRPr="008A38B9" w:rsidRDefault="00A01CE6" w:rsidP="009A02E9">
            <w:pPr>
              <w:pStyle w:val="SingleTxtG"/>
              <w:spacing w:before="40"/>
              <w:ind w:left="0" w:right="113"/>
              <w:jc w:val="left"/>
            </w:pPr>
            <w:r w:rsidRPr="008A38B9">
              <w:t>2013</w:t>
            </w:r>
          </w:p>
        </w:tc>
      </w:tr>
      <w:tr w:rsidR="00A01CE6" w14:paraId="4FC46713" w14:textId="77777777" w:rsidTr="009A02E9">
        <w:tc>
          <w:tcPr>
            <w:tcW w:w="574" w:type="dxa"/>
            <w:shd w:val="clear" w:color="auto" w:fill="auto"/>
          </w:tcPr>
          <w:p w14:paraId="3D0D8C02" w14:textId="77777777" w:rsidR="00A01CE6" w:rsidRPr="008A38B9" w:rsidRDefault="00A01CE6" w:rsidP="009A02E9">
            <w:pPr>
              <w:pStyle w:val="SingleTxtG"/>
              <w:spacing w:before="40"/>
              <w:ind w:left="0" w:right="113"/>
              <w:jc w:val="left"/>
            </w:pPr>
            <w:r w:rsidRPr="008A38B9">
              <w:t>10</w:t>
            </w:r>
          </w:p>
        </w:tc>
        <w:tc>
          <w:tcPr>
            <w:tcW w:w="5557" w:type="dxa"/>
            <w:shd w:val="clear" w:color="auto" w:fill="auto"/>
          </w:tcPr>
          <w:p w14:paraId="4BC0F54E" w14:textId="77777777" w:rsidR="00A01CE6" w:rsidRPr="008A38B9" w:rsidRDefault="00A01CE6" w:rsidP="009A02E9">
            <w:pPr>
              <w:pStyle w:val="SingleTxtG"/>
              <w:spacing w:before="40"/>
              <w:ind w:left="0" w:right="113"/>
              <w:jc w:val="left"/>
            </w:pPr>
            <w:r w:rsidRPr="008A38B9">
              <w:t>Protocolo contra la Fabricación y el Tráfico Ilícitos de Armas de Fuego, sus Piezas y Componentes y Municiones</w:t>
            </w:r>
          </w:p>
        </w:tc>
        <w:tc>
          <w:tcPr>
            <w:tcW w:w="2296" w:type="dxa"/>
            <w:shd w:val="clear" w:color="auto" w:fill="auto"/>
          </w:tcPr>
          <w:p w14:paraId="448F7D3D" w14:textId="77777777" w:rsidR="00A01CE6" w:rsidRPr="008A38B9" w:rsidRDefault="00A01CE6" w:rsidP="009A02E9">
            <w:pPr>
              <w:pStyle w:val="SingleTxtG"/>
              <w:spacing w:before="40"/>
              <w:ind w:left="0" w:right="113"/>
              <w:jc w:val="left"/>
            </w:pPr>
            <w:r w:rsidRPr="008A38B9">
              <w:t>2013</w:t>
            </w:r>
          </w:p>
        </w:tc>
      </w:tr>
      <w:tr w:rsidR="00A01CE6" w14:paraId="2BBE3D12" w14:textId="77777777" w:rsidTr="009A02E9">
        <w:tc>
          <w:tcPr>
            <w:tcW w:w="574" w:type="dxa"/>
            <w:shd w:val="clear" w:color="auto" w:fill="auto"/>
          </w:tcPr>
          <w:p w14:paraId="3CB31C8B" w14:textId="77777777" w:rsidR="00A01CE6" w:rsidRPr="008A38B9" w:rsidRDefault="00A01CE6" w:rsidP="009A02E9">
            <w:pPr>
              <w:pStyle w:val="SingleTxtG"/>
              <w:spacing w:before="40"/>
              <w:ind w:left="0" w:right="113"/>
              <w:jc w:val="left"/>
            </w:pPr>
            <w:r w:rsidRPr="008A38B9">
              <w:t>11</w:t>
            </w:r>
          </w:p>
        </w:tc>
        <w:tc>
          <w:tcPr>
            <w:tcW w:w="5557" w:type="dxa"/>
            <w:shd w:val="clear" w:color="auto" w:fill="auto"/>
          </w:tcPr>
          <w:p w14:paraId="3E5AD5C4" w14:textId="77777777" w:rsidR="00A01CE6" w:rsidRPr="008A38B9" w:rsidRDefault="00A01CE6" w:rsidP="009A02E9">
            <w:pPr>
              <w:pStyle w:val="SingleTxtG"/>
              <w:spacing w:before="40"/>
              <w:ind w:left="0" w:right="113"/>
              <w:jc w:val="left"/>
            </w:pPr>
            <w:r w:rsidRPr="008A38B9">
              <w:t>Protocolo de Cartagena sobre Seguridad de la Biotecnología</w:t>
            </w:r>
          </w:p>
        </w:tc>
        <w:tc>
          <w:tcPr>
            <w:tcW w:w="2296" w:type="dxa"/>
            <w:shd w:val="clear" w:color="auto" w:fill="auto"/>
          </w:tcPr>
          <w:p w14:paraId="3DC78ECE" w14:textId="77777777" w:rsidR="00A01CE6" w:rsidRPr="008A38B9" w:rsidRDefault="00A01CE6" w:rsidP="009A02E9">
            <w:pPr>
              <w:pStyle w:val="SingleTxtG"/>
              <w:spacing w:before="40"/>
              <w:ind w:left="0" w:right="113"/>
              <w:jc w:val="left"/>
            </w:pPr>
            <w:r w:rsidRPr="008A38B9">
              <w:t>2013</w:t>
            </w:r>
          </w:p>
        </w:tc>
      </w:tr>
      <w:tr w:rsidR="00A01CE6" w14:paraId="36D47139" w14:textId="77777777" w:rsidTr="009A02E9">
        <w:tc>
          <w:tcPr>
            <w:tcW w:w="574" w:type="dxa"/>
            <w:shd w:val="clear" w:color="auto" w:fill="auto"/>
          </w:tcPr>
          <w:p w14:paraId="3C3992E9" w14:textId="77777777" w:rsidR="00A01CE6" w:rsidRPr="008A38B9" w:rsidRDefault="00A01CE6" w:rsidP="009A02E9">
            <w:pPr>
              <w:pStyle w:val="SingleTxtG"/>
              <w:spacing w:before="40"/>
              <w:ind w:left="0" w:right="113"/>
              <w:jc w:val="left"/>
            </w:pPr>
            <w:r w:rsidRPr="008A38B9">
              <w:t>12</w:t>
            </w:r>
          </w:p>
        </w:tc>
        <w:tc>
          <w:tcPr>
            <w:tcW w:w="5557" w:type="dxa"/>
            <w:shd w:val="clear" w:color="auto" w:fill="auto"/>
          </w:tcPr>
          <w:p w14:paraId="07C5D767" w14:textId="77777777" w:rsidR="00A01CE6" w:rsidRPr="008A38B9" w:rsidRDefault="00A01CE6" w:rsidP="009A02E9">
            <w:pPr>
              <w:pStyle w:val="SingleTxtG"/>
              <w:spacing w:before="40"/>
              <w:ind w:left="0" w:right="113"/>
              <w:jc w:val="left"/>
            </w:pPr>
            <w:r w:rsidRPr="008A38B9">
              <w:t>Convención Internacional contra la Toma de Rehenes</w:t>
            </w:r>
          </w:p>
        </w:tc>
        <w:tc>
          <w:tcPr>
            <w:tcW w:w="2296" w:type="dxa"/>
            <w:shd w:val="clear" w:color="auto" w:fill="auto"/>
          </w:tcPr>
          <w:p w14:paraId="4BE54D54" w14:textId="77777777" w:rsidR="00A01CE6" w:rsidRPr="008A38B9" w:rsidRDefault="00A01CE6" w:rsidP="009A02E9">
            <w:pPr>
              <w:pStyle w:val="SingleTxtG"/>
              <w:spacing w:before="40"/>
              <w:ind w:left="0" w:right="113"/>
              <w:jc w:val="left"/>
            </w:pPr>
            <w:r w:rsidRPr="008A38B9">
              <w:t>2013</w:t>
            </w:r>
          </w:p>
        </w:tc>
      </w:tr>
      <w:tr w:rsidR="00A01CE6" w14:paraId="72FA44BC" w14:textId="77777777" w:rsidTr="009A02E9">
        <w:tc>
          <w:tcPr>
            <w:tcW w:w="574" w:type="dxa"/>
            <w:shd w:val="clear" w:color="auto" w:fill="auto"/>
          </w:tcPr>
          <w:p w14:paraId="0F086C28" w14:textId="77777777" w:rsidR="00A01CE6" w:rsidRPr="008A38B9" w:rsidRDefault="00A01CE6" w:rsidP="009A02E9">
            <w:pPr>
              <w:pStyle w:val="SingleTxtG"/>
              <w:spacing w:before="40"/>
              <w:ind w:left="0" w:right="113"/>
              <w:jc w:val="left"/>
            </w:pPr>
            <w:r w:rsidRPr="008A38B9">
              <w:t>13</w:t>
            </w:r>
          </w:p>
        </w:tc>
        <w:tc>
          <w:tcPr>
            <w:tcW w:w="5557" w:type="dxa"/>
            <w:shd w:val="clear" w:color="auto" w:fill="auto"/>
          </w:tcPr>
          <w:p w14:paraId="5129E2D8" w14:textId="77777777" w:rsidR="00A01CE6" w:rsidRPr="008A38B9" w:rsidRDefault="00A01CE6" w:rsidP="009A02E9">
            <w:pPr>
              <w:pStyle w:val="SingleTxtG"/>
              <w:spacing w:before="40"/>
              <w:ind w:left="0" w:right="113"/>
              <w:jc w:val="left"/>
            </w:pPr>
            <w:r w:rsidRPr="008A38B9">
              <w:t>Convenio de la Organización de la Conferencia Islámica para la Lucha contra el Terrorismo Internacional</w:t>
            </w:r>
          </w:p>
        </w:tc>
        <w:tc>
          <w:tcPr>
            <w:tcW w:w="2296" w:type="dxa"/>
            <w:shd w:val="clear" w:color="auto" w:fill="auto"/>
          </w:tcPr>
          <w:p w14:paraId="4EF047AB" w14:textId="77777777" w:rsidR="00A01CE6" w:rsidRPr="008A38B9" w:rsidRDefault="00A01CE6" w:rsidP="009A02E9">
            <w:pPr>
              <w:pStyle w:val="SingleTxtG"/>
              <w:spacing w:before="40"/>
              <w:ind w:left="0" w:right="113"/>
              <w:jc w:val="left"/>
            </w:pPr>
            <w:r w:rsidRPr="008A38B9">
              <w:t>2013</w:t>
            </w:r>
          </w:p>
        </w:tc>
      </w:tr>
      <w:tr w:rsidR="00A01CE6" w14:paraId="34897952" w14:textId="77777777" w:rsidTr="009A02E9">
        <w:tc>
          <w:tcPr>
            <w:tcW w:w="574" w:type="dxa"/>
            <w:shd w:val="clear" w:color="auto" w:fill="auto"/>
          </w:tcPr>
          <w:p w14:paraId="062BC36E" w14:textId="77777777" w:rsidR="00A01CE6" w:rsidRPr="008A38B9" w:rsidRDefault="00A01CE6" w:rsidP="009A02E9">
            <w:pPr>
              <w:pStyle w:val="SingleTxtG"/>
              <w:spacing w:before="40"/>
              <w:ind w:left="0" w:right="113"/>
              <w:jc w:val="left"/>
            </w:pPr>
            <w:r w:rsidRPr="008A38B9">
              <w:t>14</w:t>
            </w:r>
          </w:p>
        </w:tc>
        <w:tc>
          <w:tcPr>
            <w:tcW w:w="5557" w:type="dxa"/>
            <w:shd w:val="clear" w:color="auto" w:fill="auto"/>
          </w:tcPr>
          <w:p w14:paraId="57F5126D" w14:textId="77777777" w:rsidR="00A01CE6" w:rsidRPr="008A38B9" w:rsidRDefault="00A01CE6" w:rsidP="009A02E9">
            <w:pPr>
              <w:pStyle w:val="SingleTxtG"/>
              <w:spacing w:before="40"/>
              <w:ind w:left="0" w:right="113"/>
              <w:jc w:val="left"/>
            </w:pPr>
            <w:r w:rsidRPr="008A38B9">
              <w:t>Convención sobre Prohibiciones o Restricciones del Empleo de Ciertas Armas Convencionales que Puedan Considerarse Excesivamente Nocivas o de Efectos Indiscriminados y sus protocolos anexos</w:t>
            </w:r>
          </w:p>
        </w:tc>
        <w:tc>
          <w:tcPr>
            <w:tcW w:w="2296" w:type="dxa"/>
            <w:shd w:val="clear" w:color="auto" w:fill="auto"/>
          </w:tcPr>
          <w:p w14:paraId="6FD0B3AA" w14:textId="77777777" w:rsidR="00A01CE6" w:rsidRPr="008A38B9" w:rsidRDefault="00A01CE6" w:rsidP="009A02E9">
            <w:pPr>
              <w:pStyle w:val="SingleTxtG"/>
              <w:spacing w:before="40"/>
              <w:ind w:left="0" w:right="113"/>
              <w:jc w:val="left"/>
            </w:pPr>
            <w:r w:rsidRPr="008A38B9">
              <w:t>2014</w:t>
            </w:r>
          </w:p>
        </w:tc>
      </w:tr>
      <w:tr w:rsidR="00A01CE6" w14:paraId="60701219" w14:textId="77777777" w:rsidTr="009A02E9">
        <w:tc>
          <w:tcPr>
            <w:tcW w:w="574" w:type="dxa"/>
            <w:shd w:val="clear" w:color="auto" w:fill="auto"/>
          </w:tcPr>
          <w:p w14:paraId="18FFFC4F" w14:textId="77777777" w:rsidR="00A01CE6" w:rsidRPr="008A38B9" w:rsidRDefault="00A01CE6" w:rsidP="009A02E9">
            <w:pPr>
              <w:pStyle w:val="SingleTxtG"/>
              <w:spacing w:before="40"/>
              <w:ind w:left="0" w:right="113"/>
              <w:jc w:val="left"/>
            </w:pPr>
            <w:r w:rsidRPr="008A38B9">
              <w:t>15</w:t>
            </w:r>
          </w:p>
        </w:tc>
        <w:tc>
          <w:tcPr>
            <w:tcW w:w="5557" w:type="dxa"/>
            <w:shd w:val="clear" w:color="auto" w:fill="auto"/>
          </w:tcPr>
          <w:p w14:paraId="2F7F1B0C" w14:textId="77777777" w:rsidR="00A01CE6" w:rsidRPr="008A38B9" w:rsidRDefault="00A01CE6" w:rsidP="009A02E9">
            <w:pPr>
              <w:pStyle w:val="SingleTxtG"/>
              <w:spacing w:before="40"/>
              <w:ind w:left="0" w:right="113"/>
              <w:jc w:val="left"/>
            </w:pPr>
            <w:r w:rsidRPr="008A38B9">
              <w:t>Convención sobre la Protección Física de los Materiales Nucleares</w:t>
            </w:r>
          </w:p>
        </w:tc>
        <w:tc>
          <w:tcPr>
            <w:tcW w:w="2296" w:type="dxa"/>
            <w:shd w:val="clear" w:color="auto" w:fill="auto"/>
          </w:tcPr>
          <w:p w14:paraId="3A3D659D" w14:textId="77777777" w:rsidR="00A01CE6" w:rsidRPr="008A38B9" w:rsidRDefault="00A01CE6" w:rsidP="009A02E9">
            <w:pPr>
              <w:pStyle w:val="SingleTxtG"/>
              <w:spacing w:before="40"/>
              <w:ind w:left="0" w:right="113"/>
              <w:jc w:val="left"/>
            </w:pPr>
            <w:r w:rsidRPr="008A38B9">
              <w:t>2014</w:t>
            </w:r>
          </w:p>
        </w:tc>
      </w:tr>
      <w:tr w:rsidR="00A01CE6" w14:paraId="32E68CAE" w14:textId="77777777" w:rsidTr="009A02E9">
        <w:tc>
          <w:tcPr>
            <w:tcW w:w="574" w:type="dxa"/>
            <w:shd w:val="clear" w:color="auto" w:fill="auto"/>
          </w:tcPr>
          <w:p w14:paraId="46732FA9" w14:textId="77777777" w:rsidR="00A01CE6" w:rsidRPr="008A38B9" w:rsidRDefault="00A01CE6" w:rsidP="009A02E9">
            <w:pPr>
              <w:pStyle w:val="SingleTxtG"/>
              <w:spacing w:before="40"/>
              <w:ind w:left="0" w:right="113"/>
              <w:jc w:val="left"/>
            </w:pPr>
            <w:r w:rsidRPr="008A38B9">
              <w:t>16</w:t>
            </w:r>
          </w:p>
        </w:tc>
        <w:tc>
          <w:tcPr>
            <w:tcW w:w="5557" w:type="dxa"/>
            <w:shd w:val="clear" w:color="auto" w:fill="auto"/>
          </w:tcPr>
          <w:p w14:paraId="4BF8336C" w14:textId="77777777" w:rsidR="00A01CE6" w:rsidRPr="008A38B9" w:rsidRDefault="00A01CE6" w:rsidP="009A02E9">
            <w:pPr>
              <w:pStyle w:val="SingleTxtG"/>
              <w:spacing w:before="40"/>
              <w:ind w:left="0" w:right="113"/>
              <w:jc w:val="left"/>
            </w:pPr>
            <w:r w:rsidRPr="008A38B9">
              <w:t>Acuerdo enmendado de la Organización Árabe por el que se regulan y facilitan las operaciones de socorro</w:t>
            </w:r>
          </w:p>
        </w:tc>
        <w:tc>
          <w:tcPr>
            <w:tcW w:w="2296" w:type="dxa"/>
            <w:shd w:val="clear" w:color="auto" w:fill="auto"/>
          </w:tcPr>
          <w:p w14:paraId="0BD98596" w14:textId="77777777" w:rsidR="00A01CE6" w:rsidRPr="008A38B9" w:rsidRDefault="00A01CE6" w:rsidP="009A02E9">
            <w:pPr>
              <w:pStyle w:val="SingleTxtG"/>
              <w:spacing w:before="40"/>
              <w:ind w:left="0" w:right="113"/>
              <w:jc w:val="left"/>
            </w:pPr>
            <w:r w:rsidRPr="008A38B9">
              <w:t>2015</w:t>
            </w:r>
          </w:p>
        </w:tc>
      </w:tr>
      <w:tr w:rsidR="00A01CE6" w14:paraId="4391B3B1" w14:textId="77777777" w:rsidTr="009A02E9">
        <w:tc>
          <w:tcPr>
            <w:tcW w:w="574" w:type="dxa"/>
            <w:shd w:val="clear" w:color="auto" w:fill="auto"/>
          </w:tcPr>
          <w:p w14:paraId="51AFCA19" w14:textId="77777777" w:rsidR="00A01CE6" w:rsidRPr="008A38B9" w:rsidRDefault="00A01CE6" w:rsidP="009A02E9">
            <w:pPr>
              <w:pStyle w:val="SingleTxtG"/>
              <w:spacing w:before="40"/>
              <w:ind w:left="0" w:right="113"/>
              <w:jc w:val="left"/>
            </w:pPr>
            <w:r w:rsidRPr="008A38B9">
              <w:t>17</w:t>
            </w:r>
          </w:p>
        </w:tc>
        <w:tc>
          <w:tcPr>
            <w:tcW w:w="5557" w:type="dxa"/>
            <w:shd w:val="clear" w:color="auto" w:fill="auto"/>
          </w:tcPr>
          <w:p w14:paraId="5FE90795" w14:textId="77777777" w:rsidR="00A01CE6" w:rsidRPr="008A38B9" w:rsidRDefault="00A01CE6" w:rsidP="009A02E9">
            <w:pPr>
              <w:pStyle w:val="SingleTxtG"/>
              <w:spacing w:before="40"/>
              <w:ind w:left="0" w:right="113"/>
              <w:jc w:val="left"/>
            </w:pPr>
            <w:r w:rsidRPr="008A38B9">
              <w:t>Protocolo para la Eliminación del Comercio Ilícito de Productos de Tabaco</w:t>
            </w:r>
          </w:p>
        </w:tc>
        <w:tc>
          <w:tcPr>
            <w:tcW w:w="2296" w:type="dxa"/>
            <w:shd w:val="clear" w:color="auto" w:fill="auto"/>
          </w:tcPr>
          <w:p w14:paraId="09D4CB8E" w14:textId="77777777" w:rsidR="00A01CE6" w:rsidRPr="008A38B9" w:rsidRDefault="00A01CE6" w:rsidP="009A02E9">
            <w:pPr>
              <w:pStyle w:val="SingleTxtG"/>
              <w:spacing w:before="40"/>
              <w:ind w:left="0" w:right="113"/>
              <w:jc w:val="left"/>
            </w:pPr>
            <w:r w:rsidRPr="008A38B9">
              <w:t>2015</w:t>
            </w:r>
          </w:p>
        </w:tc>
      </w:tr>
      <w:tr w:rsidR="00A01CE6" w14:paraId="02C2237A" w14:textId="77777777" w:rsidTr="009A02E9">
        <w:tc>
          <w:tcPr>
            <w:tcW w:w="574" w:type="dxa"/>
            <w:shd w:val="clear" w:color="auto" w:fill="auto"/>
          </w:tcPr>
          <w:p w14:paraId="47A7747A" w14:textId="77777777" w:rsidR="00A01CE6" w:rsidRPr="008A38B9" w:rsidRDefault="00A01CE6" w:rsidP="009A02E9">
            <w:pPr>
              <w:pStyle w:val="SingleTxtG"/>
              <w:spacing w:before="40"/>
              <w:ind w:left="0" w:right="113"/>
              <w:jc w:val="left"/>
            </w:pPr>
            <w:r w:rsidRPr="008A38B9">
              <w:t>18</w:t>
            </w:r>
          </w:p>
        </w:tc>
        <w:tc>
          <w:tcPr>
            <w:tcW w:w="5557" w:type="dxa"/>
            <w:shd w:val="clear" w:color="auto" w:fill="auto"/>
          </w:tcPr>
          <w:p w14:paraId="7E2C4ABA" w14:textId="77777777" w:rsidR="00A01CE6" w:rsidRPr="008A38B9" w:rsidRDefault="00A01CE6" w:rsidP="009A02E9">
            <w:pPr>
              <w:pStyle w:val="SingleTxtG"/>
              <w:spacing w:before="40"/>
              <w:ind w:left="0" w:right="113"/>
              <w:jc w:val="left"/>
            </w:pPr>
            <w:r w:rsidRPr="008A38B9">
              <w:t>Convenio de Estocolmo sobre Contaminantes Orgánicos</w:t>
            </w:r>
          </w:p>
        </w:tc>
        <w:tc>
          <w:tcPr>
            <w:tcW w:w="2296" w:type="dxa"/>
            <w:shd w:val="clear" w:color="auto" w:fill="auto"/>
          </w:tcPr>
          <w:p w14:paraId="043BBCAE" w14:textId="77777777" w:rsidR="00A01CE6" w:rsidRPr="008A38B9" w:rsidRDefault="00A01CE6" w:rsidP="009A02E9">
            <w:pPr>
              <w:pStyle w:val="SingleTxtG"/>
              <w:spacing w:before="40"/>
              <w:ind w:left="0" w:right="113"/>
              <w:jc w:val="left"/>
            </w:pPr>
            <w:r w:rsidRPr="008A38B9">
              <w:t>2015</w:t>
            </w:r>
          </w:p>
        </w:tc>
      </w:tr>
      <w:tr w:rsidR="00A01CE6" w14:paraId="74794B56" w14:textId="77777777" w:rsidTr="009A02E9">
        <w:tc>
          <w:tcPr>
            <w:tcW w:w="574" w:type="dxa"/>
            <w:shd w:val="clear" w:color="auto" w:fill="auto"/>
          </w:tcPr>
          <w:p w14:paraId="6CD79EA3" w14:textId="77777777" w:rsidR="00A01CE6" w:rsidRPr="008A38B9" w:rsidRDefault="00A01CE6" w:rsidP="009A02E9">
            <w:pPr>
              <w:pStyle w:val="SingleTxtG"/>
              <w:spacing w:before="40"/>
              <w:ind w:left="0" w:right="113"/>
              <w:jc w:val="left"/>
            </w:pPr>
            <w:r w:rsidRPr="008A38B9">
              <w:lastRenderedPageBreak/>
              <w:t>19</w:t>
            </w:r>
          </w:p>
        </w:tc>
        <w:tc>
          <w:tcPr>
            <w:tcW w:w="5557" w:type="dxa"/>
            <w:shd w:val="clear" w:color="auto" w:fill="auto"/>
          </w:tcPr>
          <w:p w14:paraId="26EDD093" w14:textId="77777777" w:rsidR="00A01CE6" w:rsidRPr="008A38B9" w:rsidRDefault="00A01CE6" w:rsidP="009A02E9">
            <w:pPr>
              <w:pStyle w:val="SingleTxtG"/>
              <w:spacing w:before="40"/>
              <w:ind w:left="0" w:right="113"/>
              <w:jc w:val="left"/>
            </w:pPr>
            <w:r w:rsidRPr="008A38B9">
              <w:t>Acuerdo Unificado de Inversión de Capitales Árabes en los Estados Árabes (1980)</w:t>
            </w:r>
          </w:p>
        </w:tc>
        <w:tc>
          <w:tcPr>
            <w:tcW w:w="2296" w:type="dxa"/>
            <w:shd w:val="clear" w:color="auto" w:fill="auto"/>
          </w:tcPr>
          <w:p w14:paraId="0C675D77" w14:textId="77777777" w:rsidR="00A01CE6" w:rsidRPr="008A38B9" w:rsidRDefault="00A01CE6" w:rsidP="009A02E9">
            <w:pPr>
              <w:pStyle w:val="SingleTxtG"/>
              <w:spacing w:before="40"/>
              <w:ind w:left="0" w:right="113"/>
              <w:jc w:val="left"/>
            </w:pPr>
            <w:r w:rsidRPr="008A38B9">
              <w:t>2015</w:t>
            </w:r>
          </w:p>
        </w:tc>
      </w:tr>
      <w:tr w:rsidR="00A01CE6" w14:paraId="4B419DDD" w14:textId="77777777" w:rsidTr="009A02E9">
        <w:tc>
          <w:tcPr>
            <w:tcW w:w="574" w:type="dxa"/>
            <w:shd w:val="clear" w:color="auto" w:fill="auto"/>
          </w:tcPr>
          <w:p w14:paraId="6C4C096B" w14:textId="77777777" w:rsidR="00A01CE6" w:rsidRPr="008A38B9" w:rsidRDefault="00A01CE6" w:rsidP="009A02E9">
            <w:pPr>
              <w:pStyle w:val="SingleTxtG"/>
              <w:spacing w:before="40"/>
              <w:ind w:left="0" w:right="113"/>
              <w:jc w:val="left"/>
            </w:pPr>
            <w:r w:rsidRPr="008A38B9">
              <w:t>20</w:t>
            </w:r>
          </w:p>
        </w:tc>
        <w:tc>
          <w:tcPr>
            <w:tcW w:w="5557" w:type="dxa"/>
            <w:shd w:val="clear" w:color="auto" w:fill="auto"/>
          </w:tcPr>
          <w:p w14:paraId="3C122C5B" w14:textId="77777777" w:rsidR="00A01CE6" w:rsidRPr="008A38B9" w:rsidRDefault="00A01CE6" w:rsidP="009A02E9">
            <w:pPr>
              <w:pStyle w:val="SingleTxtG"/>
              <w:spacing w:before="40"/>
              <w:ind w:left="0" w:right="113"/>
              <w:jc w:val="left"/>
            </w:pPr>
            <w:r w:rsidRPr="008A38B9">
              <w:t>Convenio sobre el Marco Promocional para la Seguridad y Salud en el Trabajo</w:t>
            </w:r>
          </w:p>
        </w:tc>
        <w:tc>
          <w:tcPr>
            <w:tcW w:w="2296" w:type="dxa"/>
            <w:shd w:val="clear" w:color="auto" w:fill="auto"/>
          </w:tcPr>
          <w:p w14:paraId="203C7AD9" w14:textId="77777777" w:rsidR="00A01CE6" w:rsidRPr="008A38B9" w:rsidRDefault="00A01CE6" w:rsidP="009A02E9">
            <w:pPr>
              <w:pStyle w:val="SingleTxtG"/>
              <w:spacing w:before="40"/>
              <w:ind w:left="0" w:right="113"/>
              <w:jc w:val="left"/>
            </w:pPr>
            <w:r w:rsidRPr="008A38B9">
              <w:t>2015</w:t>
            </w:r>
          </w:p>
        </w:tc>
      </w:tr>
      <w:tr w:rsidR="00A01CE6" w14:paraId="0AD79595" w14:textId="77777777" w:rsidTr="009A02E9">
        <w:tc>
          <w:tcPr>
            <w:tcW w:w="574" w:type="dxa"/>
            <w:shd w:val="clear" w:color="auto" w:fill="auto"/>
          </w:tcPr>
          <w:p w14:paraId="2F52089E" w14:textId="77777777" w:rsidR="00A01CE6" w:rsidRPr="008A38B9" w:rsidRDefault="00A01CE6" w:rsidP="009A02E9">
            <w:pPr>
              <w:pStyle w:val="SingleTxtG"/>
              <w:spacing w:before="40"/>
              <w:ind w:left="0" w:right="113"/>
              <w:jc w:val="left"/>
            </w:pPr>
            <w:r w:rsidRPr="008A38B9">
              <w:t>21</w:t>
            </w:r>
          </w:p>
        </w:tc>
        <w:tc>
          <w:tcPr>
            <w:tcW w:w="5557" w:type="dxa"/>
            <w:shd w:val="clear" w:color="auto" w:fill="auto"/>
          </w:tcPr>
          <w:p w14:paraId="79216D5C" w14:textId="77777777" w:rsidR="00A01CE6" w:rsidRPr="008A38B9" w:rsidRDefault="00A01CE6" w:rsidP="009A02E9">
            <w:pPr>
              <w:pStyle w:val="SingleTxtG"/>
              <w:spacing w:before="40"/>
              <w:ind w:left="0" w:right="113"/>
              <w:jc w:val="left"/>
            </w:pPr>
            <w:r w:rsidRPr="008A38B9">
              <w:t>Acuerdo sobre el Fomento, la Protección y la Garantía de las inversiones entre los Estados Miembros de la Organización de Cooperación Islámica</w:t>
            </w:r>
          </w:p>
        </w:tc>
        <w:tc>
          <w:tcPr>
            <w:tcW w:w="2296" w:type="dxa"/>
            <w:shd w:val="clear" w:color="auto" w:fill="auto"/>
          </w:tcPr>
          <w:p w14:paraId="126D6C11" w14:textId="77777777" w:rsidR="00A01CE6" w:rsidRPr="008A38B9" w:rsidRDefault="00A01CE6" w:rsidP="009A02E9">
            <w:pPr>
              <w:pStyle w:val="SingleTxtG"/>
              <w:spacing w:before="40"/>
              <w:ind w:left="0" w:right="113"/>
              <w:jc w:val="left"/>
            </w:pPr>
            <w:r w:rsidRPr="008A38B9">
              <w:t>2015</w:t>
            </w:r>
          </w:p>
        </w:tc>
      </w:tr>
      <w:tr w:rsidR="00A01CE6" w14:paraId="12C388DD" w14:textId="77777777" w:rsidTr="009A02E9">
        <w:tc>
          <w:tcPr>
            <w:tcW w:w="574" w:type="dxa"/>
            <w:tcBorders>
              <w:bottom w:val="single" w:sz="12" w:space="0" w:color="auto"/>
            </w:tcBorders>
            <w:shd w:val="clear" w:color="auto" w:fill="auto"/>
          </w:tcPr>
          <w:p w14:paraId="0B921A99" w14:textId="77777777" w:rsidR="00A01CE6" w:rsidRPr="008A38B9" w:rsidRDefault="00A01CE6" w:rsidP="009A02E9">
            <w:pPr>
              <w:pStyle w:val="SingleTxtG"/>
              <w:spacing w:before="40"/>
              <w:ind w:left="0" w:right="113"/>
              <w:jc w:val="left"/>
            </w:pPr>
            <w:r w:rsidRPr="008A38B9">
              <w:t>22</w:t>
            </w:r>
          </w:p>
        </w:tc>
        <w:tc>
          <w:tcPr>
            <w:tcW w:w="5557" w:type="dxa"/>
            <w:tcBorders>
              <w:bottom w:val="single" w:sz="12" w:space="0" w:color="auto"/>
            </w:tcBorders>
            <w:shd w:val="clear" w:color="auto" w:fill="auto"/>
          </w:tcPr>
          <w:p w14:paraId="7F130C29" w14:textId="77777777" w:rsidR="00A01CE6" w:rsidRPr="008A38B9" w:rsidRDefault="00A01CE6" w:rsidP="009A02E9">
            <w:pPr>
              <w:pStyle w:val="SingleTxtG"/>
              <w:spacing w:before="40"/>
              <w:ind w:left="0" w:right="113"/>
              <w:jc w:val="left"/>
            </w:pPr>
            <w:r w:rsidRPr="008A38B9">
              <w:t>Convención de las Naciones Unidas sobre las Inmunidades Jurisdiccionales de los Estados y de Sus Bienes</w:t>
            </w:r>
          </w:p>
        </w:tc>
        <w:tc>
          <w:tcPr>
            <w:tcW w:w="2296" w:type="dxa"/>
            <w:tcBorders>
              <w:bottom w:val="single" w:sz="12" w:space="0" w:color="auto"/>
            </w:tcBorders>
            <w:shd w:val="clear" w:color="auto" w:fill="auto"/>
          </w:tcPr>
          <w:p w14:paraId="18C68406" w14:textId="77777777" w:rsidR="00A01CE6" w:rsidRPr="008A38B9" w:rsidRDefault="00A01CE6" w:rsidP="009A02E9">
            <w:pPr>
              <w:pStyle w:val="SingleTxtG"/>
              <w:spacing w:before="40"/>
              <w:ind w:left="0" w:right="113"/>
              <w:jc w:val="left"/>
            </w:pPr>
            <w:r w:rsidRPr="008A38B9">
              <w:t>2015</w:t>
            </w:r>
          </w:p>
        </w:tc>
      </w:tr>
    </w:tbl>
    <w:p w14:paraId="72663FFA" w14:textId="77777777" w:rsidR="008A38B9" w:rsidRPr="008A38B9" w:rsidRDefault="008A38B9" w:rsidP="00A01CE6">
      <w:pPr>
        <w:pStyle w:val="SingleTxtG"/>
        <w:spacing w:before="240"/>
      </w:pPr>
      <w:r w:rsidRPr="008A38B9">
        <w:t>91.</w:t>
      </w:r>
      <w:r w:rsidRPr="008A38B9">
        <w:tab/>
      </w:r>
      <w:r w:rsidRPr="00A01CE6">
        <w:rPr>
          <w:b/>
          <w:bCs/>
        </w:rPr>
        <w:t>Marco jurídico nacional para la protección de los derechos humanos</w:t>
      </w:r>
      <w:r w:rsidR="00A82147">
        <w:rPr>
          <w:b/>
          <w:bCs/>
        </w:rPr>
        <w:t>:</w:t>
      </w:r>
    </w:p>
    <w:p w14:paraId="57B154C7" w14:textId="77777777" w:rsidR="008A38B9" w:rsidRPr="008A38B9" w:rsidRDefault="00A01CE6" w:rsidP="00A01CE6">
      <w:pPr>
        <w:pStyle w:val="SingleTxtG"/>
      </w:pPr>
      <w:r>
        <w:tab/>
      </w:r>
      <w:r w:rsidR="008A38B9" w:rsidRPr="008A38B9">
        <w:t xml:space="preserve">La Constitución del Iraq de 2005 ampara los derechos y las libertades de los ciudadanos y protege los derechos humanos sin ambigüedades, como corresponde a la era posdictatorial que siguió al año 2003. Esa protección caracteriza el nuevo enfoque de la República del Iraq y asegura la recuperación frente a los estragos de la etapa previa. El Capítulo II de la Constitución está dedicado en exclusiva a esos derechos y libertades: </w:t>
      </w:r>
    </w:p>
    <w:p w14:paraId="490E32FB" w14:textId="77777777" w:rsidR="008A38B9" w:rsidRPr="008A38B9" w:rsidRDefault="008A38B9" w:rsidP="00A01CE6">
      <w:pPr>
        <w:pStyle w:val="Bullet1G"/>
      </w:pPr>
      <w:r w:rsidRPr="008A38B9">
        <w:t>Los artículos 14 a 21 amparan sin ambages los derechos civiles y políticos y determinan los mecanismos jurídicos que los harán efectivos, en particular el procedimiento para la promulgación de leyes ordinarias. En esos preceptos constitucionales se abordan, entre otras cosas, la igualdad ante la ley, el derecho a la vida, la seguridad y la libertad, la igualdad de oportunidades, el derecho a la privacidad, la inviolabilidad del domicilio, el derecho a la nacionalidad y a no ser privado de ella, la regulación de la naturalización con arreglo a criterios diferentes a los del ordenamiento previo a 2003 para evitar que sirva a la política de asentamientos y modificación demográfica, la independencia del poder judicial, el principio de legalidad, el derecho a la defensa, la presunción de inocencia, la igualdad ante la justicia, la publicidad de las actuaciones judiciales, la individualización de la pena, la irrevocabilidad de las leyes, el derecho a la participación en la esfera política y en la vida pública, el derecho de asilo y la regulación de la extradición</w:t>
      </w:r>
      <w:r w:rsidR="0022689B">
        <w:t>.</w:t>
      </w:r>
    </w:p>
    <w:p w14:paraId="40C6951C" w14:textId="77777777" w:rsidR="008A38B9" w:rsidRPr="008A38B9" w:rsidRDefault="008A38B9" w:rsidP="00A01CE6">
      <w:pPr>
        <w:pStyle w:val="Bullet1G"/>
      </w:pPr>
      <w:r w:rsidRPr="008A38B9">
        <w:t>Los artículos 22 a 36 abordan el ejercicio de los derechos económicos, sociales y culturales, las responsabilidades que conciernen a los poderes públicos en materia de protección y promoción de esos derechos, el derecho al trabajo y a la sindicación, el derecho a la propiedad privada, el derecho a la libre circulación de la mano de obra, la reforma del sistema económico en el Iraq, el fomento de la inversión, la inviolabilidad y la protección de los bienes de titularidad pública, la regulación de los impuestos y tasas, la protección de la familia, la madre, el niño y las personas de edad, la seguridad social, el seguro sanitario, la atención a las personas con discapacidad o con necesidades especiales, la protección del medioambiente y la biodiversidad, el derecho a la educación, la protección de la investigación científica y de los establecimientos culturales y el derecho a practicar deporte</w:t>
      </w:r>
      <w:r w:rsidR="0022689B">
        <w:t>.</w:t>
      </w:r>
    </w:p>
    <w:p w14:paraId="1D53296B" w14:textId="77777777" w:rsidR="008A38B9" w:rsidRPr="008A38B9" w:rsidRDefault="008A38B9" w:rsidP="00A01CE6">
      <w:pPr>
        <w:pStyle w:val="Bullet1G"/>
      </w:pPr>
      <w:r w:rsidRPr="008A38B9">
        <w:t xml:space="preserve">Los artículos 37 a 46 amparan las libertades y determinan el marco de referencia para propiciarlas y promover la democratización en la República del Iraq. Los preceptos señalados abordan, entre otras cosas, la libertad individual, el respeto a la dignidad humana, la prohibición de todas las formas de tortura y el trato inhumano durante el interrogatorio o la investigación, la protección frente a la coacción y la prohibición del trabajo forzoso, la esclavitud, la trata de esclavos, la trata de mujeres y niños y el comercio sexual, así como la libertad de expresión, prensa, reunión y manifestación pacífica, la libertad para constituir asociaciones y partidos políticos y afiliarse a ellos, la libertad de comunicación y correspondencia en todas sus formas, la libertad para elegir el régimen regulador del estatuto personal, la libertad de pensamiento, conciencia y creencia, la libertad para practicar los ritos religiosos, la </w:t>
      </w:r>
      <w:r w:rsidRPr="008A38B9">
        <w:lastRenderedPageBreak/>
        <w:t>libertad de culto, la libertad de circulación y viaje, y la libertad de actuación de las organizaciones de la sociedad civil.</w:t>
      </w:r>
    </w:p>
    <w:p w14:paraId="1A68A3F9" w14:textId="77777777" w:rsidR="008A38B9" w:rsidRPr="008A38B9" w:rsidRDefault="008A38B9" w:rsidP="00A01CE6">
      <w:pPr>
        <w:pStyle w:val="SingleTxtG"/>
      </w:pPr>
      <w:r w:rsidRPr="008A38B9">
        <w:t>92.</w:t>
      </w:r>
      <w:r w:rsidRPr="008A38B9">
        <w:tab/>
        <w:t xml:space="preserve">Los tratados de derechos humanos entran en vigor en la fecha de publicación en el </w:t>
      </w:r>
      <w:r w:rsidRPr="008A38B9">
        <w:rPr>
          <w:i/>
          <w:iCs/>
        </w:rPr>
        <w:t>Boletín Oficial</w:t>
      </w:r>
      <w:r w:rsidRPr="008A38B9">
        <w:t xml:space="preserve"> de su ley sancionadora, que será promulgada por la Cámara de Representantes y ratificada por el Presidente de la República. Los tratados adquieren eficacia interna con arreglo a la ley ejecutiva que determine los marcos generales y las normas pertinentes para cada tratado.</w:t>
      </w:r>
    </w:p>
    <w:p w14:paraId="3B67407A" w14:textId="77777777" w:rsidR="008A38B9" w:rsidRPr="008A38B9" w:rsidRDefault="008A38B9" w:rsidP="00A01CE6">
      <w:pPr>
        <w:pStyle w:val="SingleTxtG"/>
      </w:pPr>
      <w:r w:rsidRPr="008A38B9">
        <w:t>93.</w:t>
      </w:r>
      <w:r w:rsidRPr="008A38B9">
        <w:tab/>
        <w:t>Los órganos jurisdiccionales entienden en la República del Iraq de las cuestiones relativas a los derechos humanos, la difusión y los medios de comunicación, la violencia familiar y los litigios deportivos. Los tribunales contencioso-administrativo y del funcionariado entienden en las cuestiones que atañan a los derechos de los funcionarios y en las demandas contra resoluciones administrativas.</w:t>
      </w:r>
    </w:p>
    <w:p w14:paraId="03216AEE" w14:textId="77777777" w:rsidR="008A38B9" w:rsidRPr="008A38B9" w:rsidRDefault="008A38B9" w:rsidP="00A01CE6">
      <w:pPr>
        <w:pStyle w:val="SingleTxtG"/>
      </w:pPr>
      <w:r w:rsidRPr="008A38B9">
        <w:t>94.</w:t>
      </w:r>
      <w:r w:rsidRPr="008A38B9">
        <w:tab/>
        <w:t xml:space="preserve">La República del Iraq ha promulgado leyes para reparar, indemnizar y rehabilitar a los perjudicados. La legislación de la justicia de transición concede indemnizaciones apropiadas y compensación moral a las víctimas de la dictadura. Esas medidas se mantendrán un tiempo determinado. La Ley núm. 20/2009 de la Indemnización a los Perjudicados por las Operaciones Bélicas, los Errores Militares y los Atentados Terroristas asegura la reparación por el daño causado al pueblo iraquí. </w:t>
      </w:r>
    </w:p>
    <w:p w14:paraId="340FE170" w14:textId="77777777" w:rsidR="008A38B9" w:rsidRPr="008A38B9" w:rsidRDefault="008A38B9" w:rsidP="00A01CE6">
      <w:pPr>
        <w:pStyle w:val="SingleTxtG"/>
      </w:pPr>
      <w:r w:rsidRPr="008A38B9">
        <w:t>95.</w:t>
      </w:r>
      <w:r w:rsidRPr="008A38B9">
        <w:tab/>
        <w:t>La República del Iraq considera que para mitigar los efectos de las catástrofes naturales o de otra índole en los ciudadanos y procurarles compensaciones ciertas regiones damnificadas precisan sin demora medidas urgentes y la adopción de resoluciones de alto nivel por todos los organismos del Estado.</w:t>
      </w:r>
    </w:p>
    <w:p w14:paraId="60484946" w14:textId="77777777" w:rsidR="008A38B9" w:rsidRPr="008A38B9" w:rsidRDefault="008A38B9" w:rsidP="00A01CE6">
      <w:pPr>
        <w:pStyle w:val="SingleTxtG"/>
      </w:pPr>
      <w:r w:rsidRPr="008A38B9">
        <w:t>96.</w:t>
      </w:r>
      <w:r w:rsidRPr="008A38B9">
        <w:tab/>
      </w:r>
      <w:r w:rsidRPr="00A01CE6">
        <w:rPr>
          <w:b/>
          <w:bCs/>
        </w:rPr>
        <w:t>Instituciones de derechos humanos:</w:t>
      </w:r>
    </w:p>
    <w:p w14:paraId="502FED20" w14:textId="77777777" w:rsidR="008A38B9" w:rsidRPr="008A38B9" w:rsidRDefault="00A01CE6" w:rsidP="00A01CE6">
      <w:pPr>
        <w:pStyle w:val="SingleTxtG"/>
      </w:pPr>
      <w:r>
        <w:tab/>
      </w:r>
      <w:r w:rsidR="008A38B9" w:rsidRPr="008A38B9">
        <w:t xml:space="preserve">La República del Iraq ha establecido instituciones públicas que prestan atención prioritaria a la situación de los derechos humanos y los protegen y promueven. Esos organismos también velan por que se remedien los atropellos cometidos por el régimen anterior contra amplios colectivos del pueblo iraquí que han coadyuvado de manera significativa a la construcción social, así como por que se difunda la cultura de los derechos humanos. </w:t>
      </w:r>
    </w:p>
    <w:p w14:paraId="59A8D7A4" w14:textId="77777777" w:rsidR="008A38B9" w:rsidRPr="008A38B9" w:rsidRDefault="00A01CE6" w:rsidP="00A01CE6">
      <w:pPr>
        <w:pStyle w:val="H23G"/>
      </w:pPr>
      <w:r>
        <w:tab/>
      </w:r>
      <w:r>
        <w:tab/>
      </w:r>
      <w:r w:rsidR="008A38B9" w:rsidRPr="008A38B9">
        <w:t>Ministerio de Derechos Humanos</w:t>
      </w:r>
    </w:p>
    <w:p w14:paraId="3D658173" w14:textId="77777777" w:rsidR="008A38B9" w:rsidRPr="008A38B9" w:rsidRDefault="00A01CE6" w:rsidP="00A01CE6">
      <w:pPr>
        <w:pStyle w:val="SingleTxtG"/>
      </w:pPr>
      <w:r>
        <w:tab/>
      </w:r>
      <w:r w:rsidR="008A38B9" w:rsidRPr="008A38B9">
        <w:t>El Ministerio de Derechos Humanos ha velado desde su establecimiento mediante la Ley núm. 60/2004 de la Autoridad Provisional de la Coalición (disuelta) por que:</w:t>
      </w:r>
    </w:p>
    <w:p w14:paraId="7A23EE91" w14:textId="77777777" w:rsidR="008A38B9" w:rsidRPr="008A38B9" w:rsidRDefault="008A38B9" w:rsidP="00A01CE6">
      <w:pPr>
        <w:pStyle w:val="Bullet1G"/>
      </w:pPr>
      <w:r w:rsidRPr="008A38B9">
        <w:t>Se remedien las brutales violaciones de los derechos humanos cometidas en el pasado</w:t>
      </w:r>
      <w:r w:rsidR="00EB45F4">
        <w:t>.</w:t>
      </w:r>
    </w:p>
    <w:p w14:paraId="4F84300E" w14:textId="77777777" w:rsidR="008A38B9" w:rsidRPr="008A38B9" w:rsidRDefault="008A38B9" w:rsidP="00A01CE6">
      <w:pPr>
        <w:pStyle w:val="Bullet1G"/>
      </w:pPr>
      <w:r w:rsidRPr="008A38B9">
        <w:t>Se haga efectivo el Estado de derecho y el sistema de protección de los derechos humanos</w:t>
      </w:r>
      <w:r w:rsidR="00EB45F4">
        <w:t>.</w:t>
      </w:r>
    </w:p>
    <w:p w14:paraId="1D345AD6" w14:textId="77777777" w:rsidR="008A38B9" w:rsidRPr="008A38B9" w:rsidRDefault="008A38B9" w:rsidP="00A01CE6">
      <w:pPr>
        <w:pStyle w:val="Bullet1G"/>
      </w:pPr>
      <w:r w:rsidRPr="008A38B9">
        <w:t>Se adopten las normas internacionales de derechos humanos.</w:t>
      </w:r>
    </w:p>
    <w:p w14:paraId="7C8D7DBC" w14:textId="77777777" w:rsidR="008A38B9" w:rsidRPr="008A38B9" w:rsidRDefault="00A01CE6" w:rsidP="00A01CE6">
      <w:pPr>
        <w:pStyle w:val="SingleTxtG"/>
      </w:pPr>
      <w:r>
        <w:tab/>
      </w:r>
      <w:r w:rsidR="008A38B9" w:rsidRPr="008A38B9">
        <w:t>El Ministerio ha ejercido las funciones siguientes:</w:t>
      </w:r>
    </w:p>
    <w:p w14:paraId="5B1D85C3" w14:textId="77777777" w:rsidR="008A38B9" w:rsidRPr="008A38B9" w:rsidRDefault="008A38B9" w:rsidP="00A01CE6">
      <w:pPr>
        <w:pStyle w:val="Bullet1G"/>
      </w:pPr>
      <w:r w:rsidRPr="008A38B9">
        <w:t>Crear servicios, emprender iniciativas, realizar estudios y crear condiciones propicias para la protección de los derechos humanos</w:t>
      </w:r>
      <w:r w:rsidR="00EB45F4">
        <w:t>.</w:t>
      </w:r>
    </w:p>
    <w:p w14:paraId="16A17C68" w14:textId="77777777" w:rsidR="008A38B9" w:rsidRPr="008A38B9" w:rsidRDefault="008A38B9" w:rsidP="00A01CE6">
      <w:pPr>
        <w:pStyle w:val="Bullet1G"/>
      </w:pPr>
      <w:r w:rsidRPr="008A38B9">
        <w:t>Impedir que se violen los derechos humanos en el Iraq</w:t>
      </w:r>
      <w:r w:rsidR="00EB45F4">
        <w:t>.</w:t>
      </w:r>
    </w:p>
    <w:p w14:paraId="4C2E7134" w14:textId="77777777" w:rsidR="008A38B9" w:rsidRPr="008A38B9" w:rsidRDefault="008A38B9" w:rsidP="00A01CE6">
      <w:pPr>
        <w:pStyle w:val="Bullet1G"/>
      </w:pPr>
      <w:r w:rsidRPr="008A38B9">
        <w:t>Formular recomendaciones oficiales en relación con el establecimiento de nuevas instituciones, la reforma de las ya existentes o su gestión eficaz con miras a prevenir la violación de los derechos humanos</w:t>
      </w:r>
      <w:r w:rsidR="00EB45F4">
        <w:t>.</w:t>
      </w:r>
    </w:p>
    <w:p w14:paraId="2CB9C669" w14:textId="77777777" w:rsidR="008A38B9" w:rsidRPr="008A38B9" w:rsidRDefault="008A38B9" w:rsidP="00A01CE6">
      <w:pPr>
        <w:pStyle w:val="Bullet1G"/>
      </w:pPr>
      <w:r w:rsidRPr="008A38B9">
        <w:t>Establecer programas para ayudar al pueblo y a la sociedad iraquíes a recuperarse de las atrocidades cometidas en el pasado</w:t>
      </w:r>
      <w:r w:rsidR="00EB45F4">
        <w:t>.</w:t>
      </w:r>
    </w:p>
    <w:p w14:paraId="6DFD80E9" w14:textId="77777777" w:rsidR="008A38B9" w:rsidRPr="008A38B9" w:rsidRDefault="008A38B9" w:rsidP="00A01CE6">
      <w:pPr>
        <w:pStyle w:val="Bullet1G"/>
      </w:pPr>
      <w:r w:rsidRPr="008A38B9">
        <w:t>Aconsejar a los legisladores iraquíes para asegurar que el ordenamiento nacional se ajuste a los compromisos internacionales de derechos humanos contraídos por el</w:t>
      </w:r>
      <w:r w:rsidR="00240240">
        <w:t> </w:t>
      </w:r>
      <w:r w:rsidRPr="008A38B9">
        <w:t>Iraq.</w:t>
      </w:r>
    </w:p>
    <w:p w14:paraId="31475186" w14:textId="77777777" w:rsidR="008A38B9" w:rsidRPr="008A38B9" w:rsidRDefault="00A01CE6" w:rsidP="00A01CE6">
      <w:pPr>
        <w:pStyle w:val="SingleTxtG"/>
      </w:pPr>
      <w:r>
        <w:lastRenderedPageBreak/>
        <w:tab/>
      </w:r>
      <w:r w:rsidR="008A38B9" w:rsidRPr="008A38B9">
        <w:t>El Ministerio de Derechos Humanos se suprimió mediante la Orden Ejecutiva núm.</w:t>
      </w:r>
      <w:r>
        <w:t> </w:t>
      </w:r>
      <w:r w:rsidR="008A38B9" w:rsidRPr="008A38B9">
        <w:t>312/2015 y todos sus asuntos y atribuciones se transfirieron a otros organismos públicos en aplicación de criterios de competencia. Los compromisos internacionales de derechos humanos contraídos por el Iraq, los informes periódicos o elaborados en virtud de tratados y el seguimiento de las medidas relativas a los tratados se defirieron al Departamento de Derechos Humanos del Ministerio de Justicia; las cuestiones relativas a los presos y los desaparecidos durante las guerras entre el Iraq y el Irán y entre el Iraq y Kuwait, al Ministerio de Defensa; las fosas comunes, las víctimas del terrorismo y la documentación de las violaciones de derechos, a la Fundación de los Mártires; los ausentes y desaparecidos, a la Oficina del Inspector General y a la Dirección de Derechos Humanos (Ministerio del Interior), y las negociaciones sobre presos y desaparecidos, al Ministerio de Exteriores. El personal de la Sección de Vigilancia Penitenciaria, el Departamento de Asuntos Humanitarios, el Departamento de Vigilancia y Protección de los Derechos, la Sección de Capacitación y Difusión, la Sección de Investigaciones, el Centro Nacional de Derechos Humanos y la Sección de Asuntos Provinciales se transfirió al Comisionado de los Derechos Humanos.</w:t>
      </w:r>
    </w:p>
    <w:p w14:paraId="180F444B" w14:textId="77777777" w:rsidR="008A38B9" w:rsidRPr="008A38B9" w:rsidRDefault="00A01CE6" w:rsidP="00A01CE6">
      <w:pPr>
        <w:pStyle w:val="H23G"/>
      </w:pPr>
      <w:r>
        <w:tab/>
      </w:r>
      <w:r w:rsidR="008A38B9" w:rsidRPr="008A38B9">
        <w:tab/>
        <w:t>Ministerio de Migración y Desplazados</w:t>
      </w:r>
    </w:p>
    <w:p w14:paraId="1CBBB715" w14:textId="77777777" w:rsidR="008A38B9" w:rsidRPr="008A38B9" w:rsidRDefault="00A01CE6" w:rsidP="00A01CE6">
      <w:pPr>
        <w:pStyle w:val="SingleTxtG"/>
      </w:pPr>
      <w:r>
        <w:tab/>
      </w:r>
      <w:r w:rsidR="008A38B9" w:rsidRPr="008A38B9">
        <w:t>Este Ministerio atiende a los migrantes, desplazados y refugiados y vela por que se remedie su situación y se asegure su sustento. Se ocupa del importante colectivo social de los migrantes y desplazados que fueron obligados a abandonar el Iraq durante el régimen anterior, así como de los migrantes y refugiados que abandonaron el país después de 2003 y de los desplazados internos. En concreto, procura con los medios a su alcance ayudar, atender y salvaguardar los derechos de los colectivos siguientes:</w:t>
      </w:r>
    </w:p>
    <w:p w14:paraId="686B5F31" w14:textId="77777777" w:rsidR="008A38B9" w:rsidRPr="008A38B9" w:rsidRDefault="008A38B9" w:rsidP="00A01CE6">
      <w:pPr>
        <w:pStyle w:val="SingleTxtG"/>
      </w:pPr>
      <w:r w:rsidRPr="008A38B9">
        <w:tab/>
        <w:t>1.</w:t>
      </w:r>
      <w:r w:rsidRPr="008A38B9">
        <w:tab/>
        <w:t xml:space="preserve">Iraquíes desplazados que tuvieron que huir de su hogar o lugar de residencia habitual en el Iraq debido a un conflicto armado, una situación de violencia generalizada, la violación de los derechos humanos, los desastres naturales o provocados por el hombre, el abuso de poder o los proyectos de desarrollo; </w:t>
      </w:r>
    </w:p>
    <w:p w14:paraId="7A2FCE56" w14:textId="77777777" w:rsidR="008A38B9" w:rsidRPr="008A38B9" w:rsidRDefault="008A38B9" w:rsidP="00A01CE6">
      <w:pPr>
        <w:pStyle w:val="SingleTxtG"/>
      </w:pPr>
      <w:r w:rsidRPr="008A38B9">
        <w:tab/>
        <w:t>2.</w:t>
      </w:r>
      <w:r w:rsidRPr="008A38B9">
        <w:tab/>
        <w:t xml:space="preserve">Iraquíes trasladados de su hogar o lugar de residencia habitual a otro emplazamiento en el Iraq en aplicación de las políticas y decisiones gubernamentales; </w:t>
      </w:r>
    </w:p>
    <w:p w14:paraId="170BBCE5" w14:textId="77777777" w:rsidR="008A38B9" w:rsidRPr="008A38B9" w:rsidRDefault="008A38B9" w:rsidP="00A01CE6">
      <w:pPr>
        <w:pStyle w:val="SingleTxtG"/>
      </w:pPr>
      <w:r w:rsidRPr="008A38B9">
        <w:tab/>
        <w:t>3.</w:t>
      </w:r>
      <w:r w:rsidRPr="008A38B9">
        <w:tab/>
        <w:t xml:space="preserve">Iraquíes que retornen a la patria o regresen a su hogar o lugar de origen, residencia habitual o de elección en el Iraq tras un desplazamiento interno forzado; </w:t>
      </w:r>
    </w:p>
    <w:p w14:paraId="385A5636" w14:textId="77777777" w:rsidR="008A38B9" w:rsidRPr="008A38B9" w:rsidRDefault="008A38B9" w:rsidP="00A01CE6">
      <w:pPr>
        <w:pStyle w:val="SingleTxtG"/>
      </w:pPr>
      <w:r w:rsidRPr="008A38B9">
        <w:tab/>
        <w:t>4.</w:t>
      </w:r>
      <w:r w:rsidRPr="008A38B9">
        <w:tab/>
        <w:t xml:space="preserve">Desplazados que, habiendo perdido la nacionalidad iraquí en aplicación de la Resolución 666/1980 (derogada) o habiendo huido del Iraq debido a la persecución del régimen anterior, no obtuvieron asilo fuera del Iraq; </w:t>
      </w:r>
    </w:p>
    <w:p w14:paraId="7CAA3838" w14:textId="77777777" w:rsidR="008A38B9" w:rsidRPr="008A38B9" w:rsidRDefault="008A38B9" w:rsidP="00A01CE6">
      <w:pPr>
        <w:pStyle w:val="SingleTxtG"/>
      </w:pPr>
      <w:r w:rsidRPr="008A38B9">
        <w:tab/>
        <w:t>5.</w:t>
      </w:r>
      <w:r w:rsidRPr="008A38B9">
        <w:tab/>
        <w:t xml:space="preserve">Refugiados o solicitantes de asilo que, residiendo fuera del Iraq por haber sido obligados a migrar, obtuvieron la residencia permanente o la nacionalidad en otro Estado; </w:t>
      </w:r>
    </w:p>
    <w:p w14:paraId="293BBE0C" w14:textId="77777777" w:rsidR="008A38B9" w:rsidRPr="008A38B9" w:rsidRDefault="008A38B9" w:rsidP="00A01CE6">
      <w:pPr>
        <w:pStyle w:val="SingleTxtG"/>
      </w:pPr>
      <w:r w:rsidRPr="008A38B9">
        <w:tab/>
        <w:t>6.</w:t>
      </w:r>
      <w:r w:rsidRPr="008A38B9">
        <w:tab/>
        <w:t>Refugiados palestinos que se vieron obligados a dejar su patria a partir de 1948, se establecieron legalmente en el Iraq y obtuvieron el estatuto de refugiado en aplicación de esa ley;</w:t>
      </w:r>
    </w:p>
    <w:p w14:paraId="73F69604" w14:textId="77777777" w:rsidR="008A38B9" w:rsidRPr="008A38B9" w:rsidRDefault="008A38B9" w:rsidP="00A01CE6">
      <w:pPr>
        <w:pStyle w:val="SingleTxtG"/>
      </w:pPr>
      <w:r w:rsidRPr="008A38B9">
        <w:tab/>
        <w:t>7.</w:t>
      </w:r>
      <w:r w:rsidRPr="008A38B9">
        <w:tab/>
        <w:t xml:space="preserve">Refugiados en el Iraq de otras nacionalidades que fueron perseguidos por su raza, religión, nacionalidad, pertenencia social u opinión política o huyeron debido a episodios de violencia generalizada o a incidentes que, perturbando gravemente la seguridad pública, comprometieron su vida, integridad física o libertades, y cuya solicitud de asilo haya sido estimada de conformidad con el derecho internacional y las convenciones en las que el Iraq sea parte. </w:t>
      </w:r>
    </w:p>
    <w:p w14:paraId="55E6187B" w14:textId="77777777" w:rsidR="008A38B9" w:rsidRPr="008A38B9" w:rsidRDefault="00A01CE6" w:rsidP="00A01CE6">
      <w:pPr>
        <w:pStyle w:val="SingleTxtG"/>
      </w:pPr>
      <w:r>
        <w:tab/>
      </w:r>
      <w:r w:rsidR="008A38B9" w:rsidRPr="008A38B9">
        <w:t xml:space="preserve">El Ministerio de Migración y Desplazados, como parte de su labor de apoyo, facilitación, coordinación y atención en situaciones de emergencia en favor de los colectivos señalados, realiza las funciones siguientes: </w:t>
      </w:r>
    </w:p>
    <w:p w14:paraId="7745F86D" w14:textId="77777777" w:rsidR="008A38B9" w:rsidRPr="008A38B9" w:rsidRDefault="008A38B9" w:rsidP="00A01CE6">
      <w:pPr>
        <w:pStyle w:val="SingleTxtG"/>
      </w:pPr>
      <w:r w:rsidRPr="008A38B9">
        <w:tab/>
        <w:t>1.</w:t>
      </w:r>
      <w:r w:rsidRPr="008A38B9">
        <w:tab/>
        <w:t xml:space="preserve">Subsanar los problemas comunes del colectivo, salvo en casos abordables individualmente que se determinarán mediante criterios claros y específicos; </w:t>
      </w:r>
    </w:p>
    <w:p w14:paraId="52587451" w14:textId="77777777" w:rsidR="008A38B9" w:rsidRPr="008A38B9" w:rsidRDefault="008A38B9" w:rsidP="00A01CE6">
      <w:pPr>
        <w:pStyle w:val="SingleTxtG"/>
      </w:pPr>
      <w:r w:rsidRPr="008A38B9">
        <w:tab/>
        <w:t>2.</w:t>
      </w:r>
      <w:r w:rsidRPr="008A38B9">
        <w:tab/>
        <w:t xml:space="preserve">Velar por que su situación mejore hasta un nivel mínimo que se determinará mediante criterios claros y específicos de conformidad con las directrices de las Naciones </w:t>
      </w:r>
      <w:r w:rsidRPr="008A38B9">
        <w:lastRenderedPageBreak/>
        <w:t xml:space="preserve">Unidas, la legislación nacional, los convenios y los usos internacionales, el interés nacional y las consideraciones de orden interno; </w:t>
      </w:r>
    </w:p>
    <w:p w14:paraId="2673380B" w14:textId="77777777" w:rsidR="008A38B9" w:rsidRPr="008A38B9" w:rsidRDefault="008A38B9" w:rsidP="00DF5F01">
      <w:pPr>
        <w:pStyle w:val="SingleTxtG"/>
      </w:pPr>
      <w:r w:rsidRPr="008A38B9">
        <w:tab/>
        <w:t>3.</w:t>
      </w:r>
      <w:r w:rsidRPr="008A38B9">
        <w:tab/>
        <w:t xml:space="preserve">Priorizar las necesidades humanitarias considerando criterios de pobreza y de otra índole; </w:t>
      </w:r>
    </w:p>
    <w:p w14:paraId="2D39D810" w14:textId="77777777" w:rsidR="008A38B9" w:rsidRPr="008A38B9" w:rsidRDefault="008A38B9" w:rsidP="00DF5F01">
      <w:pPr>
        <w:pStyle w:val="SingleTxtG"/>
      </w:pPr>
      <w:r w:rsidRPr="008A38B9">
        <w:tab/>
        <w:t>4.</w:t>
      </w:r>
      <w:r w:rsidRPr="008A38B9">
        <w:tab/>
        <w:t xml:space="preserve">Aplicar los criterios y las prioridades mediante el principio de distribución proporcional; </w:t>
      </w:r>
    </w:p>
    <w:p w14:paraId="1F229E07" w14:textId="77777777" w:rsidR="008A38B9" w:rsidRPr="008A38B9" w:rsidRDefault="008A38B9" w:rsidP="00DF5F01">
      <w:pPr>
        <w:pStyle w:val="SingleTxtG"/>
      </w:pPr>
      <w:r w:rsidRPr="008A38B9">
        <w:tab/>
        <w:t>5.</w:t>
      </w:r>
      <w:r w:rsidRPr="008A38B9">
        <w:tab/>
        <w:t xml:space="preserve">Coordinar las instancias concernidas y cooperar con ellas, en el Iraq y fuera de él, para brindar soluciones y prestar servicios. </w:t>
      </w:r>
    </w:p>
    <w:p w14:paraId="0E153F93" w14:textId="77777777" w:rsidR="008A38B9" w:rsidRPr="008A38B9" w:rsidRDefault="00DF5F01" w:rsidP="00DF5F01">
      <w:pPr>
        <w:pStyle w:val="H23G"/>
      </w:pPr>
      <w:r>
        <w:tab/>
      </w:r>
      <w:r w:rsidR="008A38B9" w:rsidRPr="008A38B9">
        <w:tab/>
        <w:t>Alto Comisionado de los Derechos Humanos en el Iraq</w:t>
      </w:r>
    </w:p>
    <w:p w14:paraId="60349363" w14:textId="77777777" w:rsidR="008A38B9" w:rsidRPr="008A38B9" w:rsidRDefault="00DF5F01" w:rsidP="00DF5F01">
      <w:pPr>
        <w:pStyle w:val="SingleTxtG"/>
      </w:pPr>
      <w:r>
        <w:tab/>
      </w:r>
      <w:r w:rsidR="008A38B9" w:rsidRPr="008A38B9">
        <w:t>El Alto Comisionado de los Derechos Humanos se constituyó a los fines de difundir la cultura de los derechos humanos en el Estado, protegerlos, promoverlos, salvaguardarlos, vigilar los casos de vulneración y darles respuesta. El Alto Comisionado tiene personalidad jurídica e independencia financiera y administrativa. Su sede general se encuentra en Bagdad y depende funcionalmente de la Cámara de Representantes, ante la que responde. Dispone de 16 oficinas, de las que 2 se encuentran en Bagdad y 14 en las provincias. El Alto Comisionado protege y promueve los derechos humanos en el Iraq, ampara los derechos y libertades consagrados en la Constitución, en las leyes y en los tratados y acuerdos internacionales ratificados por el Estado, y consolida y desarrolla los valores y la cultura de los derechos humanos. Para lograr esos fines, el Alto Comisionado se ocupa de:</w:t>
      </w:r>
    </w:p>
    <w:p w14:paraId="5C072484" w14:textId="77777777" w:rsidR="008A38B9" w:rsidRPr="008A38B9" w:rsidRDefault="008A38B9" w:rsidP="00DF5F01">
      <w:pPr>
        <w:pStyle w:val="SingleTxtG"/>
      </w:pPr>
      <w:r w:rsidRPr="008A38B9">
        <w:tab/>
        <w:t>1.</w:t>
      </w:r>
      <w:r w:rsidRPr="008A38B9">
        <w:tab/>
        <w:t xml:space="preserve">Coordinarse con los organismos pertinentes para la formulación de estrategias y el establecimiento de mecanismos de trabajo conjunto que aseguren el logro de los objetivos enunciados en el artículo 3 de esta ley; </w:t>
      </w:r>
    </w:p>
    <w:p w14:paraId="1910B6D8" w14:textId="77777777" w:rsidR="008A38B9" w:rsidRPr="008A38B9" w:rsidRDefault="008A38B9" w:rsidP="00DF5F01">
      <w:pPr>
        <w:pStyle w:val="SingleTxtG"/>
      </w:pPr>
      <w:r w:rsidRPr="008A38B9">
        <w:tab/>
        <w:t>2.</w:t>
      </w:r>
      <w:r w:rsidRPr="008A38B9">
        <w:tab/>
        <w:t xml:space="preserve">Realizar estudios e investigaciones, formular recomendaciones y pronunciarse sobre las cuestiones relativas a la promoción de los derechos humanos; </w:t>
      </w:r>
    </w:p>
    <w:p w14:paraId="31433C9C" w14:textId="77777777" w:rsidR="008A38B9" w:rsidRPr="008A38B9" w:rsidRDefault="008A38B9" w:rsidP="00DF5F01">
      <w:pPr>
        <w:pStyle w:val="SingleTxtG"/>
      </w:pPr>
      <w:r w:rsidRPr="008A38B9">
        <w:tab/>
        <w:t>3.</w:t>
      </w:r>
      <w:r w:rsidRPr="008A38B9">
        <w:tab/>
        <w:t xml:space="preserve">Analizar y evaluar la legislación en vigor y su constitucionalidad y formular recomendaciones al respecto a la Cámara de Representantes; </w:t>
      </w:r>
    </w:p>
    <w:p w14:paraId="7B78F2BA" w14:textId="77777777" w:rsidR="008A38B9" w:rsidRPr="008A38B9" w:rsidRDefault="008A38B9" w:rsidP="00DF5F01">
      <w:pPr>
        <w:pStyle w:val="SingleTxtG"/>
      </w:pPr>
      <w:r w:rsidRPr="008A38B9">
        <w:tab/>
        <w:t>4.</w:t>
      </w:r>
      <w:r w:rsidRPr="008A38B9">
        <w:tab/>
        <w:t>Formular propuestas y recomendaciones sobre la adhesión del Iraq a los tratados y pactos internacionales de derechos humanos;</w:t>
      </w:r>
    </w:p>
    <w:p w14:paraId="6A04C367" w14:textId="77777777" w:rsidR="008A38B9" w:rsidRPr="008A38B9" w:rsidRDefault="008A38B9" w:rsidP="00DF5F01">
      <w:pPr>
        <w:pStyle w:val="SingleTxtG"/>
      </w:pPr>
      <w:r w:rsidRPr="008A38B9">
        <w:tab/>
        <w:t>5.</w:t>
      </w:r>
      <w:r w:rsidRPr="008A38B9">
        <w:tab/>
        <w:t xml:space="preserve">Cooperar y coordinarse con las instituciones de la sociedad civil que trabajan en la esfera de los derechos humanos en el Iraq y mantener contactos permanentes con instituciones de derechos humanos internacionales independientes y no gubernamentales con miras al cumplimiento de los fines del Alto Comisionado; </w:t>
      </w:r>
    </w:p>
    <w:p w14:paraId="53C92DBE" w14:textId="77777777" w:rsidR="008A38B9" w:rsidRPr="008A38B9" w:rsidRDefault="008A38B9" w:rsidP="00DF5F01">
      <w:pPr>
        <w:pStyle w:val="SingleTxtG"/>
      </w:pPr>
      <w:r w:rsidRPr="008A38B9">
        <w:tab/>
        <w:t>6.</w:t>
      </w:r>
      <w:r w:rsidRPr="008A38B9">
        <w:tab/>
        <w:t>Difundir la cultura de los derechos humanos y para ello:</w:t>
      </w:r>
    </w:p>
    <w:p w14:paraId="67ECBE5E" w14:textId="77777777" w:rsidR="008A38B9" w:rsidRPr="008A38B9" w:rsidRDefault="008A38B9" w:rsidP="004F5C7F">
      <w:pPr>
        <w:pStyle w:val="Bullet1G"/>
      </w:pPr>
      <w:r w:rsidRPr="008A38B9">
        <w:t xml:space="preserve">Recibir las quejas de personas, grupos y organizaciones de la sociedad civil sobre violaciones de los derechos humanos pasadas y presentes con miras a hacer efectiva esta ley, manteniendo en absoluta confidencialidad los nombres de los denunciantes; </w:t>
      </w:r>
    </w:p>
    <w:p w14:paraId="00500F05" w14:textId="77777777" w:rsidR="008A38B9" w:rsidRPr="008A38B9" w:rsidRDefault="008A38B9" w:rsidP="004F5C7F">
      <w:pPr>
        <w:pStyle w:val="Bullet1G"/>
      </w:pPr>
      <w:r w:rsidRPr="008A38B9">
        <w:t xml:space="preserve">Realizar investigaciones preliminares sobre violaciones de los derechos humanos considerando la información disponible; </w:t>
      </w:r>
    </w:p>
    <w:p w14:paraId="1A5CD164" w14:textId="77777777" w:rsidR="008A38B9" w:rsidRPr="008A38B9" w:rsidRDefault="008A38B9" w:rsidP="004F5C7F">
      <w:pPr>
        <w:pStyle w:val="Bullet1G"/>
      </w:pPr>
      <w:r w:rsidRPr="008A38B9">
        <w:t xml:space="preserve">Comprobar la veracidad de las quejas interpuestas ante el Alto Comisionado y, en su caso, realizar investigaciones previas; </w:t>
      </w:r>
    </w:p>
    <w:p w14:paraId="75D9A100" w14:textId="77777777" w:rsidR="008A38B9" w:rsidRPr="008A38B9" w:rsidRDefault="008A38B9" w:rsidP="004F5C7F">
      <w:pPr>
        <w:pStyle w:val="Bullet1G"/>
      </w:pPr>
      <w:r w:rsidRPr="008A38B9">
        <w:t xml:space="preserve">Tramitar las denuncias sobre violaciones de los derechos humanos, trasladarlas a la Fiscalía para que se adopten las medidas legales necesarias y comunicar los resultados al Alto Comisionado; </w:t>
      </w:r>
    </w:p>
    <w:p w14:paraId="390263A2" w14:textId="77777777" w:rsidR="008A38B9" w:rsidRDefault="008A38B9" w:rsidP="004F5C7F">
      <w:pPr>
        <w:pStyle w:val="Bullet1G"/>
      </w:pPr>
      <w:r w:rsidRPr="008A38B9">
        <w:t>Realizar visitas a, entre otros establecimientos, centros penitenciarios y centros de corrección social o de detención sin previo anuncio a las autoridades competentes, así como entrevistarse con condenados y detenidos, confirmar los casos de violación de los derechos humanos y comunicar a las autoridades competentes la adopción de las medidas legales pertinentes.</w:t>
      </w:r>
    </w:p>
    <w:p w14:paraId="2BB519CA" w14:textId="77777777" w:rsidR="008A38B9" w:rsidRPr="008A38B9" w:rsidRDefault="00DF5F01" w:rsidP="00DF5F01">
      <w:pPr>
        <w:pStyle w:val="SingleTxtG"/>
      </w:pPr>
      <w:r>
        <w:tab/>
      </w:r>
      <w:r w:rsidR="008A38B9" w:rsidRPr="008A38B9">
        <w:t xml:space="preserve">De conformidad con la Ley del Alto Comisionado de los Derechos Humanos en el Iraq, todas las instancias no ministeriales y los organismos independientes le presentarán en </w:t>
      </w:r>
      <w:r w:rsidR="008A38B9" w:rsidRPr="008A38B9">
        <w:lastRenderedPageBreak/>
        <w:t>un plazo determinado la documentación, la información y los datos estadísticos que le conciernan. Si no lo hicieren, el Alto Comisionado informará a la Cámara de Representantes</w:t>
      </w:r>
      <w:r w:rsidR="004F5C7F">
        <w:t>.</w:t>
      </w:r>
    </w:p>
    <w:p w14:paraId="5DAB2F5A" w14:textId="77777777" w:rsidR="008A38B9" w:rsidRPr="008A38B9" w:rsidRDefault="00DF5F01" w:rsidP="00DF5F01">
      <w:pPr>
        <w:pStyle w:val="SingleTxtG"/>
      </w:pPr>
      <w:r>
        <w:tab/>
      </w:r>
      <w:r w:rsidR="008A38B9" w:rsidRPr="008A38B9">
        <w:t>La Cámara de Representantes constituirá una comisión de hasta 15 expertos que contará con representantes de la Cámara, el Consejo de Ministros, el Consejo Superior de la Magistratura, las organizaciones de la sociedad civil y la Oficina del Alto Comisionado para los Derechos Humanos en el Iraq. Esa comisión, con arreglo a lo previsto en la Ley del Alto Comisionado, se ocupará de elegir a los candidatos y los anunciará mediante una declaración nacional.</w:t>
      </w:r>
    </w:p>
    <w:p w14:paraId="0B4468CA" w14:textId="77777777" w:rsidR="008A38B9" w:rsidRPr="008A38B9" w:rsidRDefault="00DF5F01" w:rsidP="00DF5F01">
      <w:pPr>
        <w:pStyle w:val="H23G"/>
      </w:pPr>
      <w:r>
        <w:tab/>
      </w:r>
      <w:r w:rsidR="008A38B9" w:rsidRPr="008A38B9">
        <w:tab/>
        <w:t xml:space="preserve">Difusión de la cultura de los derechos humanos </w:t>
      </w:r>
    </w:p>
    <w:p w14:paraId="5A74BFBC" w14:textId="77777777" w:rsidR="008A38B9" w:rsidRDefault="008A38B9" w:rsidP="00DF5F01">
      <w:pPr>
        <w:pStyle w:val="SingleTxtG"/>
      </w:pPr>
      <w:r w:rsidRPr="008A38B9">
        <w:t>97.</w:t>
      </w:r>
      <w:r w:rsidRPr="008A38B9">
        <w:tab/>
        <w:t>En el cuadro siguiente figuran las instituciones a las que concierne la protección y la promoción de los derechos humanos en el Iraq.</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0"/>
        <w:gridCol w:w="6740"/>
      </w:tblGrid>
      <w:tr w:rsidR="00DF5F01" w:rsidRPr="00DF5F01" w14:paraId="64FC2CDB" w14:textId="77777777" w:rsidTr="00DF5F01">
        <w:tc>
          <w:tcPr>
            <w:tcW w:w="630" w:type="dxa"/>
            <w:tcBorders>
              <w:top w:val="single" w:sz="4" w:space="0" w:color="auto"/>
              <w:bottom w:val="single" w:sz="12" w:space="0" w:color="auto"/>
            </w:tcBorders>
            <w:shd w:val="clear" w:color="auto" w:fill="auto"/>
            <w:vAlign w:val="bottom"/>
          </w:tcPr>
          <w:p w14:paraId="4BEC6B88" w14:textId="77777777" w:rsidR="00DF5F01" w:rsidRPr="00DF5F01" w:rsidRDefault="00DF5F01" w:rsidP="00DF5F01">
            <w:pPr>
              <w:pStyle w:val="SingleTxtG"/>
              <w:spacing w:before="80" w:after="80" w:line="200" w:lineRule="exact"/>
              <w:ind w:left="0" w:right="113"/>
              <w:jc w:val="left"/>
              <w:rPr>
                <w:i/>
                <w:sz w:val="16"/>
              </w:rPr>
            </w:pPr>
          </w:p>
        </w:tc>
        <w:tc>
          <w:tcPr>
            <w:tcW w:w="6740" w:type="dxa"/>
            <w:tcBorders>
              <w:top w:val="single" w:sz="4" w:space="0" w:color="auto"/>
              <w:bottom w:val="single" w:sz="12" w:space="0" w:color="auto"/>
            </w:tcBorders>
            <w:shd w:val="clear" w:color="auto" w:fill="auto"/>
            <w:vAlign w:val="bottom"/>
          </w:tcPr>
          <w:p w14:paraId="47E63140" w14:textId="77777777" w:rsidR="00DF5F01" w:rsidRPr="00DF5F01" w:rsidRDefault="00DF5F01" w:rsidP="00DF5F01">
            <w:pPr>
              <w:pStyle w:val="SingleTxtG"/>
              <w:spacing w:before="80" w:after="80" w:line="200" w:lineRule="exact"/>
              <w:ind w:left="0" w:right="113"/>
              <w:jc w:val="left"/>
              <w:rPr>
                <w:i/>
                <w:sz w:val="16"/>
              </w:rPr>
            </w:pPr>
            <w:r w:rsidRPr="00DF5F01">
              <w:rPr>
                <w:i/>
                <w:sz w:val="16"/>
              </w:rPr>
              <w:t>Institución</w:t>
            </w:r>
          </w:p>
        </w:tc>
      </w:tr>
      <w:tr w:rsidR="00DF5F01" w14:paraId="2A015B6A" w14:textId="77777777" w:rsidTr="00DF5F01">
        <w:trPr>
          <w:trHeight w:hRule="exact" w:val="113"/>
        </w:trPr>
        <w:tc>
          <w:tcPr>
            <w:tcW w:w="630" w:type="dxa"/>
            <w:tcBorders>
              <w:top w:val="single" w:sz="12" w:space="0" w:color="auto"/>
            </w:tcBorders>
            <w:shd w:val="clear" w:color="auto" w:fill="auto"/>
          </w:tcPr>
          <w:p w14:paraId="3951A7C6" w14:textId="77777777" w:rsidR="00DF5F01" w:rsidRDefault="00DF5F01" w:rsidP="00DF5F01">
            <w:pPr>
              <w:pStyle w:val="SingleTxtG"/>
              <w:spacing w:before="40"/>
              <w:ind w:left="0" w:right="113"/>
              <w:jc w:val="left"/>
            </w:pPr>
          </w:p>
        </w:tc>
        <w:tc>
          <w:tcPr>
            <w:tcW w:w="6740" w:type="dxa"/>
            <w:tcBorders>
              <w:top w:val="single" w:sz="12" w:space="0" w:color="auto"/>
            </w:tcBorders>
            <w:shd w:val="clear" w:color="auto" w:fill="auto"/>
          </w:tcPr>
          <w:p w14:paraId="0C9E2515" w14:textId="77777777" w:rsidR="00DF5F01" w:rsidRDefault="00DF5F01" w:rsidP="00DF5F01">
            <w:pPr>
              <w:pStyle w:val="SingleTxtG"/>
              <w:spacing w:before="40"/>
              <w:ind w:left="0" w:right="113"/>
              <w:jc w:val="left"/>
            </w:pPr>
          </w:p>
        </w:tc>
      </w:tr>
      <w:tr w:rsidR="00DF5F01" w14:paraId="7C3624F7" w14:textId="77777777" w:rsidTr="00DF5F01">
        <w:tc>
          <w:tcPr>
            <w:tcW w:w="630" w:type="dxa"/>
            <w:shd w:val="clear" w:color="auto" w:fill="auto"/>
          </w:tcPr>
          <w:p w14:paraId="111CC19C" w14:textId="77777777" w:rsidR="00DF5F01" w:rsidRPr="008A38B9" w:rsidRDefault="00DF5F01" w:rsidP="00DF5F01">
            <w:pPr>
              <w:pStyle w:val="SingleTxtG"/>
              <w:spacing w:before="40"/>
              <w:ind w:left="0" w:right="113"/>
              <w:jc w:val="left"/>
            </w:pPr>
            <w:r w:rsidRPr="008A38B9">
              <w:t>1</w:t>
            </w:r>
          </w:p>
        </w:tc>
        <w:tc>
          <w:tcPr>
            <w:tcW w:w="6740" w:type="dxa"/>
            <w:shd w:val="clear" w:color="auto" w:fill="auto"/>
          </w:tcPr>
          <w:p w14:paraId="173C37D2" w14:textId="77777777" w:rsidR="00DF5F01" w:rsidRPr="008A38B9" w:rsidRDefault="00DF5F01" w:rsidP="00DF5F01">
            <w:pPr>
              <w:pStyle w:val="SingleTxtG"/>
              <w:spacing w:before="40"/>
              <w:ind w:left="0" w:right="113"/>
              <w:jc w:val="left"/>
            </w:pPr>
            <w:r w:rsidRPr="008A38B9">
              <w:t>Alto Comisionado de los Derechos Humanos en el Iraq</w:t>
            </w:r>
          </w:p>
        </w:tc>
      </w:tr>
      <w:tr w:rsidR="00DF5F01" w14:paraId="65EF584D" w14:textId="77777777" w:rsidTr="00DF5F01">
        <w:tc>
          <w:tcPr>
            <w:tcW w:w="630" w:type="dxa"/>
            <w:shd w:val="clear" w:color="auto" w:fill="auto"/>
          </w:tcPr>
          <w:p w14:paraId="443501FB" w14:textId="77777777" w:rsidR="00DF5F01" w:rsidRPr="008A38B9" w:rsidRDefault="00DF5F01" w:rsidP="00DF5F01">
            <w:pPr>
              <w:pStyle w:val="SingleTxtG"/>
              <w:spacing w:before="40"/>
              <w:ind w:left="0" w:right="113"/>
              <w:jc w:val="left"/>
            </w:pPr>
            <w:r w:rsidRPr="008A38B9">
              <w:t>2</w:t>
            </w:r>
          </w:p>
        </w:tc>
        <w:tc>
          <w:tcPr>
            <w:tcW w:w="6740" w:type="dxa"/>
            <w:shd w:val="clear" w:color="auto" w:fill="auto"/>
          </w:tcPr>
          <w:p w14:paraId="4099C38A" w14:textId="77777777" w:rsidR="00DF5F01" w:rsidRPr="008A38B9" w:rsidRDefault="00DF5F01" w:rsidP="00DF5F01">
            <w:pPr>
              <w:pStyle w:val="SingleTxtG"/>
              <w:spacing w:before="40"/>
              <w:ind w:left="0" w:right="113"/>
              <w:jc w:val="left"/>
            </w:pPr>
            <w:r w:rsidRPr="008A38B9">
              <w:t>Consejo Superior de la Magistratura, tribunales de instrucción de derechos humanos, tribunales de primera instancia, Fiscalía General del Estado</w:t>
            </w:r>
          </w:p>
        </w:tc>
      </w:tr>
      <w:tr w:rsidR="00DF5F01" w14:paraId="23BFBC6B" w14:textId="77777777" w:rsidTr="00DF5F01">
        <w:tc>
          <w:tcPr>
            <w:tcW w:w="630" w:type="dxa"/>
            <w:shd w:val="clear" w:color="auto" w:fill="auto"/>
          </w:tcPr>
          <w:p w14:paraId="2A1B73A4" w14:textId="77777777" w:rsidR="00DF5F01" w:rsidRPr="008A38B9" w:rsidRDefault="00DF5F01" w:rsidP="00DF5F01">
            <w:pPr>
              <w:pStyle w:val="SingleTxtG"/>
              <w:spacing w:before="40"/>
              <w:ind w:left="0" w:right="113"/>
              <w:jc w:val="left"/>
            </w:pPr>
            <w:r w:rsidRPr="008A38B9">
              <w:t>3</w:t>
            </w:r>
          </w:p>
        </w:tc>
        <w:tc>
          <w:tcPr>
            <w:tcW w:w="6740" w:type="dxa"/>
            <w:shd w:val="clear" w:color="auto" w:fill="auto"/>
          </w:tcPr>
          <w:p w14:paraId="7A30231B" w14:textId="77777777" w:rsidR="00DF5F01" w:rsidRPr="008A38B9" w:rsidRDefault="00DF5F01" w:rsidP="00DF5F01">
            <w:pPr>
              <w:pStyle w:val="SingleTxtG"/>
              <w:spacing w:before="40"/>
              <w:ind w:left="0" w:right="113"/>
              <w:jc w:val="left"/>
            </w:pPr>
            <w:r w:rsidRPr="008A38B9">
              <w:t>Comisiones de derechos humanos de la Cámara de Representantes y consejos provinciales</w:t>
            </w:r>
          </w:p>
        </w:tc>
      </w:tr>
      <w:tr w:rsidR="00DF5F01" w14:paraId="04CA3AB6" w14:textId="77777777" w:rsidTr="00DF5F01">
        <w:tc>
          <w:tcPr>
            <w:tcW w:w="630" w:type="dxa"/>
            <w:shd w:val="clear" w:color="auto" w:fill="auto"/>
          </w:tcPr>
          <w:p w14:paraId="0DAC2738" w14:textId="77777777" w:rsidR="00DF5F01" w:rsidRPr="008A38B9" w:rsidRDefault="00DF5F01" w:rsidP="00DF5F01">
            <w:pPr>
              <w:pStyle w:val="SingleTxtG"/>
              <w:spacing w:before="40"/>
              <w:ind w:left="0" w:right="113"/>
              <w:jc w:val="left"/>
            </w:pPr>
            <w:r w:rsidRPr="008A38B9">
              <w:t>4</w:t>
            </w:r>
          </w:p>
        </w:tc>
        <w:tc>
          <w:tcPr>
            <w:tcW w:w="6740" w:type="dxa"/>
            <w:shd w:val="clear" w:color="auto" w:fill="auto"/>
          </w:tcPr>
          <w:p w14:paraId="20695AB9" w14:textId="77777777" w:rsidR="00DF5F01" w:rsidRPr="008A38B9" w:rsidRDefault="00DF5F01" w:rsidP="00DF5F01">
            <w:pPr>
              <w:pStyle w:val="SingleTxtG"/>
              <w:spacing w:before="40"/>
              <w:ind w:left="0" w:right="113"/>
              <w:jc w:val="left"/>
            </w:pPr>
            <w:r w:rsidRPr="008A38B9">
              <w:t>Secretaría General del Consejo de Ministros, Departamento de Ciudadanía, Departamento de Empoderamiento de la Mujer</w:t>
            </w:r>
          </w:p>
        </w:tc>
      </w:tr>
      <w:tr w:rsidR="00DF5F01" w14:paraId="25D2B8DB" w14:textId="77777777" w:rsidTr="00DF5F01">
        <w:tc>
          <w:tcPr>
            <w:tcW w:w="630" w:type="dxa"/>
            <w:shd w:val="clear" w:color="auto" w:fill="auto"/>
          </w:tcPr>
          <w:p w14:paraId="5D3B00E0" w14:textId="77777777" w:rsidR="00DF5F01" w:rsidRPr="008A38B9" w:rsidRDefault="00DF5F01" w:rsidP="00DF5F01">
            <w:pPr>
              <w:pStyle w:val="SingleTxtG"/>
              <w:spacing w:before="40"/>
              <w:ind w:left="0" w:right="113"/>
              <w:jc w:val="left"/>
            </w:pPr>
            <w:r w:rsidRPr="008A38B9">
              <w:t>5</w:t>
            </w:r>
          </w:p>
        </w:tc>
        <w:tc>
          <w:tcPr>
            <w:tcW w:w="6740" w:type="dxa"/>
            <w:shd w:val="clear" w:color="auto" w:fill="auto"/>
          </w:tcPr>
          <w:p w14:paraId="3B9D8A63" w14:textId="77777777" w:rsidR="00DF5F01" w:rsidRPr="008A38B9" w:rsidRDefault="00DF5F01" w:rsidP="00DF5F01">
            <w:pPr>
              <w:pStyle w:val="SingleTxtG"/>
              <w:spacing w:before="40"/>
              <w:ind w:left="0" w:right="113"/>
              <w:jc w:val="left"/>
            </w:pPr>
            <w:r w:rsidRPr="008A38B9">
              <w:t>Ministerio de Justicia, Departamento de Derechos Humanos</w:t>
            </w:r>
          </w:p>
        </w:tc>
      </w:tr>
      <w:tr w:rsidR="00DF5F01" w14:paraId="11B9F11B" w14:textId="77777777" w:rsidTr="00DF5F01">
        <w:tc>
          <w:tcPr>
            <w:tcW w:w="630" w:type="dxa"/>
            <w:shd w:val="clear" w:color="auto" w:fill="auto"/>
          </w:tcPr>
          <w:p w14:paraId="200A6893" w14:textId="77777777" w:rsidR="00DF5F01" w:rsidRPr="008A38B9" w:rsidRDefault="00DF5F01" w:rsidP="00DF5F01">
            <w:pPr>
              <w:pStyle w:val="SingleTxtG"/>
              <w:spacing w:before="40"/>
              <w:ind w:left="0" w:right="113"/>
              <w:jc w:val="left"/>
            </w:pPr>
            <w:r w:rsidRPr="008A38B9">
              <w:t>6</w:t>
            </w:r>
          </w:p>
        </w:tc>
        <w:tc>
          <w:tcPr>
            <w:tcW w:w="6740" w:type="dxa"/>
            <w:shd w:val="clear" w:color="auto" w:fill="auto"/>
          </w:tcPr>
          <w:p w14:paraId="4A5AA006" w14:textId="77777777" w:rsidR="00DF5F01" w:rsidRPr="008A38B9" w:rsidRDefault="00DF5F01" w:rsidP="00DF5F01">
            <w:pPr>
              <w:pStyle w:val="SingleTxtG"/>
              <w:spacing w:before="40"/>
              <w:ind w:left="0" w:right="113"/>
              <w:jc w:val="left"/>
            </w:pPr>
            <w:r w:rsidRPr="008A38B9">
              <w:t>Organismos de la justicia de transición: Fundación de los Mártires y Fundación de Presos Políticos</w:t>
            </w:r>
          </w:p>
        </w:tc>
      </w:tr>
      <w:tr w:rsidR="00DF5F01" w14:paraId="35E8F1EE" w14:textId="77777777" w:rsidTr="00DF5F01">
        <w:tc>
          <w:tcPr>
            <w:tcW w:w="630" w:type="dxa"/>
            <w:shd w:val="clear" w:color="auto" w:fill="auto"/>
          </w:tcPr>
          <w:p w14:paraId="25635401" w14:textId="77777777" w:rsidR="00DF5F01" w:rsidRPr="008A38B9" w:rsidRDefault="00DF5F01" w:rsidP="00DF5F01">
            <w:pPr>
              <w:pStyle w:val="SingleTxtG"/>
              <w:spacing w:before="40"/>
              <w:ind w:left="0" w:right="113"/>
              <w:jc w:val="left"/>
            </w:pPr>
            <w:r w:rsidRPr="008A38B9">
              <w:t>7</w:t>
            </w:r>
          </w:p>
        </w:tc>
        <w:tc>
          <w:tcPr>
            <w:tcW w:w="6740" w:type="dxa"/>
            <w:shd w:val="clear" w:color="auto" w:fill="auto"/>
          </w:tcPr>
          <w:p w14:paraId="6E9A70DE" w14:textId="77777777" w:rsidR="00DF5F01" w:rsidRPr="008A38B9" w:rsidRDefault="00DF5F01" w:rsidP="00DF5F01">
            <w:pPr>
              <w:pStyle w:val="SingleTxtG"/>
              <w:spacing w:before="40"/>
              <w:ind w:left="0" w:right="113"/>
              <w:jc w:val="left"/>
            </w:pPr>
            <w:r w:rsidRPr="008A38B9">
              <w:t>Ministerio de Mártires y Víctimas de Al-Anfal, Comisión Independiente de Derechos Humanos, Consejo Superior de la Mujer, Comité Superior para Combatir la Violencia contra la Mujer, Instituto de la Magistratura de la Región del Kurdistán, Oficina de Coordinación de las Recomendaciones Internacionales</w:t>
            </w:r>
          </w:p>
        </w:tc>
      </w:tr>
      <w:tr w:rsidR="00DF5F01" w14:paraId="6A121BF3" w14:textId="77777777" w:rsidTr="00DF5F01">
        <w:tc>
          <w:tcPr>
            <w:tcW w:w="630" w:type="dxa"/>
            <w:shd w:val="clear" w:color="auto" w:fill="auto"/>
          </w:tcPr>
          <w:p w14:paraId="449605E9" w14:textId="77777777" w:rsidR="00DF5F01" w:rsidRPr="008A38B9" w:rsidRDefault="00DF5F01" w:rsidP="00DF5F01">
            <w:pPr>
              <w:pStyle w:val="SingleTxtG"/>
              <w:spacing w:before="40"/>
              <w:ind w:left="0" w:right="113"/>
              <w:jc w:val="left"/>
            </w:pPr>
            <w:r w:rsidRPr="008A38B9">
              <w:t>8</w:t>
            </w:r>
          </w:p>
        </w:tc>
        <w:tc>
          <w:tcPr>
            <w:tcW w:w="6740" w:type="dxa"/>
            <w:shd w:val="clear" w:color="auto" w:fill="auto"/>
          </w:tcPr>
          <w:p w14:paraId="4A6D9C4D" w14:textId="77777777" w:rsidR="00DF5F01" w:rsidRPr="008A38B9" w:rsidRDefault="00DF5F01" w:rsidP="00DF5F01">
            <w:pPr>
              <w:pStyle w:val="SingleTxtG"/>
              <w:spacing w:before="40"/>
              <w:ind w:left="0" w:right="113"/>
              <w:jc w:val="left"/>
            </w:pPr>
            <w:r w:rsidRPr="008A38B9">
              <w:t>Comisión de Difusión y Comunicaciones</w:t>
            </w:r>
          </w:p>
        </w:tc>
      </w:tr>
      <w:tr w:rsidR="00DF5F01" w14:paraId="639CCB82" w14:textId="77777777" w:rsidTr="00DF5F01">
        <w:tc>
          <w:tcPr>
            <w:tcW w:w="630" w:type="dxa"/>
            <w:shd w:val="clear" w:color="auto" w:fill="auto"/>
          </w:tcPr>
          <w:p w14:paraId="53C71B48" w14:textId="77777777" w:rsidR="00DF5F01" w:rsidRPr="008A38B9" w:rsidRDefault="00DF5F01" w:rsidP="00DF5F01">
            <w:pPr>
              <w:pStyle w:val="SingleTxtG"/>
              <w:spacing w:before="40"/>
              <w:ind w:left="0" w:right="113"/>
              <w:jc w:val="left"/>
            </w:pPr>
            <w:r w:rsidRPr="008A38B9">
              <w:t>9</w:t>
            </w:r>
          </w:p>
        </w:tc>
        <w:tc>
          <w:tcPr>
            <w:tcW w:w="6740" w:type="dxa"/>
            <w:shd w:val="clear" w:color="auto" w:fill="auto"/>
          </w:tcPr>
          <w:p w14:paraId="186E897A" w14:textId="77777777" w:rsidR="00DF5F01" w:rsidRPr="008A38B9" w:rsidRDefault="00DF5F01" w:rsidP="00DF5F01">
            <w:pPr>
              <w:pStyle w:val="SingleTxtG"/>
              <w:spacing w:before="40"/>
              <w:ind w:left="0" w:right="113"/>
              <w:jc w:val="left"/>
            </w:pPr>
            <w:r w:rsidRPr="008A38B9">
              <w:t>Departamentos y dependencias de derechos humanos de los organismos del Estado</w:t>
            </w:r>
          </w:p>
        </w:tc>
      </w:tr>
      <w:tr w:rsidR="00DF5F01" w14:paraId="0EA12C95" w14:textId="77777777" w:rsidTr="00DF5F01">
        <w:tc>
          <w:tcPr>
            <w:tcW w:w="630" w:type="dxa"/>
            <w:shd w:val="clear" w:color="auto" w:fill="auto"/>
          </w:tcPr>
          <w:p w14:paraId="1138314A" w14:textId="77777777" w:rsidR="00DF5F01" w:rsidRPr="008A38B9" w:rsidRDefault="00DF5F01" w:rsidP="00DF5F01">
            <w:pPr>
              <w:pStyle w:val="SingleTxtG"/>
              <w:spacing w:before="40"/>
              <w:ind w:left="0" w:right="113"/>
              <w:jc w:val="left"/>
            </w:pPr>
            <w:r w:rsidRPr="008A38B9">
              <w:t>10</w:t>
            </w:r>
          </w:p>
        </w:tc>
        <w:tc>
          <w:tcPr>
            <w:tcW w:w="6740" w:type="dxa"/>
            <w:shd w:val="clear" w:color="auto" w:fill="auto"/>
          </w:tcPr>
          <w:p w14:paraId="33C7AF69" w14:textId="77777777" w:rsidR="00DF5F01" w:rsidRPr="008A38B9" w:rsidRDefault="00DF5F01" w:rsidP="00DF5F01">
            <w:pPr>
              <w:pStyle w:val="SingleTxtG"/>
              <w:spacing w:before="40"/>
              <w:ind w:left="0" w:right="113"/>
              <w:jc w:val="left"/>
            </w:pPr>
            <w:r w:rsidRPr="008A38B9">
              <w:t>Ministerio de Relaciones Internacionales, Departamento de Derechos Humanos</w:t>
            </w:r>
          </w:p>
        </w:tc>
      </w:tr>
      <w:tr w:rsidR="00DF5F01" w14:paraId="3D5AF241" w14:textId="77777777" w:rsidTr="00DF5F01">
        <w:tc>
          <w:tcPr>
            <w:tcW w:w="630" w:type="dxa"/>
            <w:shd w:val="clear" w:color="auto" w:fill="auto"/>
          </w:tcPr>
          <w:p w14:paraId="58381703" w14:textId="77777777" w:rsidR="00DF5F01" w:rsidRPr="008A38B9" w:rsidRDefault="00DF5F01" w:rsidP="00DF5F01">
            <w:pPr>
              <w:pStyle w:val="SingleTxtG"/>
              <w:spacing w:before="40"/>
              <w:ind w:left="0" w:right="113"/>
              <w:jc w:val="left"/>
            </w:pPr>
            <w:r w:rsidRPr="008A38B9">
              <w:t>11</w:t>
            </w:r>
          </w:p>
        </w:tc>
        <w:tc>
          <w:tcPr>
            <w:tcW w:w="6740" w:type="dxa"/>
            <w:shd w:val="clear" w:color="auto" w:fill="auto"/>
          </w:tcPr>
          <w:p w14:paraId="7AD7A17B" w14:textId="77777777" w:rsidR="00DF5F01" w:rsidRPr="008A38B9" w:rsidRDefault="00DF5F01" w:rsidP="00DF5F01">
            <w:pPr>
              <w:pStyle w:val="SingleTxtG"/>
              <w:spacing w:before="40"/>
              <w:ind w:left="0" w:right="113"/>
              <w:jc w:val="left"/>
            </w:pPr>
            <w:r w:rsidRPr="008A38B9">
              <w:t>Ministerio de Defensa, Dirección de Derechos Humanos</w:t>
            </w:r>
          </w:p>
        </w:tc>
      </w:tr>
      <w:tr w:rsidR="00DF5F01" w14:paraId="39ACD045" w14:textId="77777777" w:rsidTr="00DF5F01">
        <w:tc>
          <w:tcPr>
            <w:tcW w:w="630" w:type="dxa"/>
            <w:shd w:val="clear" w:color="auto" w:fill="auto"/>
          </w:tcPr>
          <w:p w14:paraId="650C8A24" w14:textId="77777777" w:rsidR="00DF5F01" w:rsidRPr="008A38B9" w:rsidRDefault="00DF5F01" w:rsidP="00DF5F01">
            <w:pPr>
              <w:pStyle w:val="SingleTxtG"/>
              <w:spacing w:before="40"/>
              <w:ind w:left="0" w:right="113"/>
              <w:jc w:val="left"/>
            </w:pPr>
            <w:r w:rsidRPr="008A38B9">
              <w:t>12</w:t>
            </w:r>
          </w:p>
        </w:tc>
        <w:tc>
          <w:tcPr>
            <w:tcW w:w="6740" w:type="dxa"/>
            <w:shd w:val="clear" w:color="auto" w:fill="auto"/>
          </w:tcPr>
          <w:p w14:paraId="2D1C81D0" w14:textId="77777777" w:rsidR="00DF5F01" w:rsidRPr="008A38B9" w:rsidRDefault="00DF5F01" w:rsidP="00DF5F01">
            <w:pPr>
              <w:pStyle w:val="SingleTxtG"/>
              <w:spacing w:before="40"/>
              <w:ind w:left="0" w:right="113"/>
              <w:jc w:val="left"/>
            </w:pPr>
            <w:r w:rsidRPr="008A38B9">
              <w:t>Ministerio del Interior, Dirección de Protección de la Familia, Dirección de Derechos Humanos de la Oficina del Inspector General</w:t>
            </w:r>
          </w:p>
        </w:tc>
      </w:tr>
      <w:tr w:rsidR="00DF5F01" w14:paraId="582F4E8B" w14:textId="77777777" w:rsidTr="00DF5F01">
        <w:tc>
          <w:tcPr>
            <w:tcW w:w="630" w:type="dxa"/>
            <w:tcBorders>
              <w:bottom w:val="single" w:sz="12" w:space="0" w:color="auto"/>
            </w:tcBorders>
            <w:shd w:val="clear" w:color="auto" w:fill="auto"/>
          </w:tcPr>
          <w:p w14:paraId="35BEBA63" w14:textId="77777777" w:rsidR="00DF5F01" w:rsidRPr="008A38B9" w:rsidRDefault="00DF5F01" w:rsidP="00DF5F01">
            <w:pPr>
              <w:pStyle w:val="SingleTxtG"/>
              <w:spacing w:before="40"/>
              <w:ind w:left="0" w:right="113"/>
              <w:jc w:val="left"/>
            </w:pPr>
            <w:r w:rsidRPr="008A38B9">
              <w:t>13</w:t>
            </w:r>
          </w:p>
        </w:tc>
        <w:tc>
          <w:tcPr>
            <w:tcW w:w="6740" w:type="dxa"/>
            <w:tcBorders>
              <w:bottom w:val="single" w:sz="12" w:space="0" w:color="auto"/>
            </w:tcBorders>
            <w:shd w:val="clear" w:color="auto" w:fill="auto"/>
          </w:tcPr>
          <w:p w14:paraId="71014134" w14:textId="77777777" w:rsidR="00DF5F01" w:rsidRPr="008A38B9" w:rsidRDefault="00DF5F01" w:rsidP="00DF5F01">
            <w:pPr>
              <w:pStyle w:val="SingleTxtG"/>
              <w:spacing w:before="40"/>
              <w:ind w:left="0" w:right="113"/>
              <w:jc w:val="left"/>
            </w:pPr>
            <w:r w:rsidRPr="008A38B9">
              <w:t>Comisión de Atención a la Infancia, Comisión de Atención a las Personas con Discapacidad o con Necesidades Especiales, Comisión de Protección Social del Ministerio de Trabajo y Asuntos Sociales, Comité Central contra la Trata de Personas</w:t>
            </w:r>
          </w:p>
        </w:tc>
      </w:tr>
    </w:tbl>
    <w:p w14:paraId="29E4FEA4" w14:textId="77777777" w:rsidR="008A38B9" w:rsidRDefault="008A38B9" w:rsidP="00DF5F01">
      <w:pPr>
        <w:pStyle w:val="SingleTxtG"/>
        <w:spacing w:before="240"/>
      </w:pPr>
      <w:r w:rsidRPr="008A38B9">
        <w:t>98.</w:t>
      </w:r>
      <w:r w:rsidRPr="008A38B9">
        <w:tab/>
        <w:t>En el cuadro siguiente figura la legislación nacional de derechos humanos.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0"/>
        <w:gridCol w:w="4955"/>
        <w:gridCol w:w="892"/>
        <w:gridCol w:w="893"/>
      </w:tblGrid>
      <w:tr w:rsidR="00DF5F01" w:rsidRPr="00DF5F01" w14:paraId="1FA843BC" w14:textId="77777777" w:rsidTr="00DF5F01">
        <w:trPr>
          <w:tblHeader/>
        </w:trPr>
        <w:tc>
          <w:tcPr>
            <w:tcW w:w="630" w:type="dxa"/>
            <w:tcBorders>
              <w:top w:val="single" w:sz="4" w:space="0" w:color="auto"/>
              <w:bottom w:val="single" w:sz="12" w:space="0" w:color="auto"/>
            </w:tcBorders>
            <w:shd w:val="clear" w:color="auto" w:fill="auto"/>
            <w:vAlign w:val="bottom"/>
          </w:tcPr>
          <w:p w14:paraId="5109B2BE" w14:textId="77777777" w:rsidR="00DF5F01" w:rsidRPr="00DF5F01" w:rsidRDefault="00DF5F01" w:rsidP="00DF5F01">
            <w:pPr>
              <w:pStyle w:val="SingleTxtG"/>
              <w:spacing w:before="80" w:after="80" w:line="200" w:lineRule="exact"/>
              <w:ind w:left="0" w:right="113"/>
              <w:jc w:val="left"/>
              <w:rPr>
                <w:i/>
                <w:sz w:val="16"/>
              </w:rPr>
            </w:pPr>
          </w:p>
        </w:tc>
        <w:tc>
          <w:tcPr>
            <w:tcW w:w="4955" w:type="dxa"/>
            <w:tcBorders>
              <w:top w:val="single" w:sz="4" w:space="0" w:color="auto"/>
              <w:bottom w:val="single" w:sz="12" w:space="0" w:color="auto"/>
            </w:tcBorders>
            <w:shd w:val="clear" w:color="auto" w:fill="auto"/>
          </w:tcPr>
          <w:p w14:paraId="7C1B02B4" w14:textId="77777777" w:rsidR="00DF5F01" w:rsidRPr="00DF5F01" w:rsidRDefault="00DF5F01" w:rsidP="00DF5F01">
            <w:pPr>
              <w:pStyle w:val="SingleTxtG"/>
              <w:spacing w:before="80" w:after="80" w:line="200" w:lineRule="exact"/>
              <w:ind w:left="0" w:right="113"/>
              <w:jc w:val="left"/>
              <w:rPr>
                <w:i/>
                <w:sz w:val="16"/>
              </w:rPr>
            </w:pPr>
            <w:r w:rsidRPr="00DF5F01">
              <w:rPr>
                <w:i/>
                <w:sz w:val="16"/>
              </w:rPr>
              <w:t>Ley</w:t>
            </w:r>
          </w:p>
        </w:tc>
        <w:tc>
          <w:tcPr>
            <w:tcW w:w="892" w:type="dxa"/>
            <w:tcBorders>
              <w:top w:val="single" w:sz="4" w:space="0" w:color="auto"/>
              <w:bottom w:val="single" w:sz="12" w:space="0" w:color="auto"/>
            </w:tcBorders>
            <w:shd w:val="clear" w:color="auto" w:fill="auto"/>
          </w:tcPr>
          <w:p w14:paraId="3343B1DF" w14:textId="77777777" w:rsidR="00DF5F01" w:rsidRPr="00DF5F01" w:rsidRDefault="00DF5F01" w:rsidP="00DF5F01">
            <w:pPr>
              <w:pStyle w:val="SingleTxtG"/>
              <w:spacing w:before="80" w:after="80" w:line="200" w:lineRule="exact"/>
              <w:ind w:left="0" w:right="113"/>
              <w:jc w:val="left"/>
              <w:rPr>
                <w:i/>
                <w:sz w:val="16"/>
              </w:rPr>
            </w:pPr>
            <w:r w:rsidRPr="00DF5F01">
              <w:rPr>
                <w:i/>
                <w:sz w:val="16"/>
              </w:rPr>
              <w:t>Núm</w:t>
            </w:r>
            <w:r>
              <w:rPr>
                <w:i/>
                <w:sz w:val="16"/>
              </w:rPr>
              <w:t>ero</w:t>
            </w:r>
          </w:p>
        </w:tc>
        <w:tc>
          <w:tcPr>
            <w:tcW w:w="893" w:type="dxa"/>
            <w:tcBorders>
              <w:top w:val="single" w:sz="4" w:space="0" w:color="auto"/>
              <w:bottom w:val="single" w:sz="12" w:space="0" w:color="auto"/>
            </w:tcBorders>
            <w:shd w:val="clear" w:color="auto" w:fill="auto"/>
          </w:tcPr>
          <w:p w14:paraId="470B82DD" w14:textId="77777777" w:rsidR="00DF5F01" w:rsidRPr="00DF5F01" w:rsidRDefault="00DF5F01" w:rsidP="00DF5F01">
            <w:pPr>
              <w:pStyle w:val="SingleTxtG"/>
              <w:spacing w:before="80" w:after="80" w:line="200" w:lineRule="exact"/>
              <w:ind w:left="0" w:right="113"/>
              <w:jc w:val="left"/>
              <w:rPr>
                <w:i/>
                <w:sz w:val="16"/>
              </w:rPr>
            </w:pPr>
            <w:r w:rsidRPr="00DF5F01">
              <w:rPr>
                <w:i/>
                <w:sz w:val="16"/>
              </w:rPr>
              <w:t>Año</w:t>
            </w:r>
          </w:p>
        </w:tc>
      </w:tr>
      <w:tr w:rsidR="00DF5F01" w14:paraId="588147A4" w14:textId="77777777" w:rsidTr="00DF5F01">
        <w:trPr>
          <w:trHeight w:hRule="exact" w:val="113"/>
          <w:tblHeader/>
        </w:trPr>
        <w:tc>
          <w:tcPr>
            <w:tcW w:w="630" w:type="dxa"/>
            <w:tcBorders>
              <w:top w:val="single" w:sz="12" w:space="0" w:color="auto"/>
            </w:tcBorders>
            <w:shd w:val="clear" w:color="auto" w:fill="auto"/>
          </w:tcPr>
          <w:p w14:paraId="153B48E8" w14:textId="77777777" w:rsidR="00DF5F01" w:rsidRDefault="00DF5F01" w:rsidP="00DF5F01">
            <w:pPr>
              <w:pStyle w:val="SingleTxtG"/>
              <w:spacing w:before="40"/>
              <w:ind w:left="0" w:right="113"/>
              <w:jc w:val="left"/>
            </w:pPr>
          </w:p>
        </w:tc>
        <w:tc>
          <w:tcPr>
            <w:tcW w:w="4955" w:type="dxa"/>
            <w:tcBorders>
              <w:top w:val="single" w:sz="12" w:space="0" w:color="auto"/>
            </w:tcBorders>
            <w:shd w:val="clear" w:color="auto" w:fill="auto"/>
          </w:tcPr>
          <w:p w14:paraId="1E68BC4F" w14:textId="77777777" w:rsidR="00DF5F01" w:rsidRDefault="00DF5F01" w:rsidP="00DF5F01">
            <w:pPr>
              <w:pStyle w:val="SingleTxtG"/>
              <w:spacing w:before="40"/>
              <w:ind w:left="0" w:right="113"/>
              <w:jc w:val="left"/>
            </w:pPr>
          </w:p>
        </w:tc>
        <w:tc>
          <w:tcPr>
            <w:tcW w:w="892" w:type="dxa"/>
            <w:tcBorders>
              <w:top w:val="single" w:sz="12" w:space="0" w:color="auto"/>
            </w:tcBorders>
            <w:shd w:val="clear" w:color="auto" w:fill="auto"/>
          </w:tcPr>
          <w:p w14:paraId="330CD5E0" w14:textId="77777777" w:rsidR="00DF5F01" w:rsidRDefault="00DF5F01" w:rsidP="00DF5F01">
            <w:pPr>
              <w:pStyle w:val="SingleTxtG"/>
              <w:spacing w:before="40"/>
              <w:ind w:left="0" w:right="113"/>
              <w:jc w:val="left"/>
            </w:pPr>
          </w:p>
        </w:tc>
        <w:tc>
          <w:tcPr>
            <w:tcW w:w="893" w:type="dxa"/>
            <w:tcBorders>
              <w:top w:val="single" w:sz="12" w:space="0" w:color="auto"/>
            </w:tcBorders>
            <w:shd w:val="clear" w:color="auto" w:fill="auto"/>
          </w:tcPr>
          <w:p w14:paraId="0E75CE8A" w14:textId="77777777" w:rsidR="00DF5F01" w:rsidRDefault="00DF5F01" w:rsidP="00DF5F01">
            <w:pPr>
              <w:pStyle w:val="SingleTxtG"/>
              <w:spacing w:before="40"/>
              <w:ind w:left="0" w:right="113"/>
              <w:jc w:val="left"/>
            </w:pPr>
          </w:p>
        </w:tc>
      </w:tr>
      <w:tr w:rsidR="00DF5F01" w14:paraId="0DA0383F" w14:textId="77777777" w:rsidTr="00DF5F01">
        <w:tc>
          <w:tcPr>
            <w:tcW w:w="630" w:type="dxa"/>
            <w:shd w:val="clear" w:color="auto" w:fill="auto"/>
          </w:tcPr>
          <w:p w14:paraId="72A651AA" w14:textId="77777777" w:rsidR="00DF5F01" w:rsidRPr="008A38B9" w:rsidRDefault="00DF5F01" w:rsidP="00DF5F01">
            <w:pPr>
              <w:pStyle w:val="SingleTxtG"/>
              <w:spacing w:before="40"/>
              <w:ind w:left="0" w:right="113"/>
              <w:jc w:val="left"/>
            </w:pPr>
            <w:r w:rsidRPr="008A38B9">
              <w:t>1</w:t>
            </w:r>
          </w:p>
        </w:tc>
        <w:tc>
          <w:tcPr>
            <w:tcW w:w="4955" w:type="dxa"/>
            <w:shd w:val="clear" w:color="auto" w:fill="auto"/>
          </w:tcPr>
          <w:p w14:paraId="7197E6F5" w14:textId="77777777" w:rsidR="00DF5F01" w:rsidRPr="008A38B9" w:rsidRDefault="00DF5F01" w:rsidP="00DF5F01">
            <w:pPr>
              <w:pStyle w:val="SingleTxtG"/>
              <w:spacing w:before="40"/>
              <w:ind w:left="0" w:right="113"/>
              <w:jc w:val="left"/>
            </w:pPr>
            <w:r w:rsidRPr="008A38B9">
              <w:t>Código Penal</w:t>
            </w:r>
          </w:p>
        </w:tc>
        <w:tc>
          <w:tcPr>
            <w:tcW w:w="892" w:type="dxa"/>
            <w:shd w:val="clear" w:color="auto" w:fill="auto"/>
          </w:tcPr>
          <w:p w14:paraId="6B843D1D" w14:textId="77777777" w:rsidR="00DF5F01" w:rsidRPr="008A38B9" w:rsidRDefault="00DF5F01" w:rsidP="00DF5F01">
            <w:pPr>
              <w:pStyle w:val="SingleTxtG"/>
              <w:spacing w:before="40"/>
              <w:ind w:left="0" w:right="113"/>
              <w:jc w:val="left"/>
            </w:pPr>
            <w:r w:rsidRPr="008A38B9">
              <w:t>111</w:t>
            </w:r>
          </w:p>
        </w:tc>
        <w:tc>
          <w:tcPr>
            <w:tcW w:w="893" w:type="dxa"/>
            <w:shd w:val="clear" w:color="auto" w:fill="auto"/>
          </w:tcPr>
          <w:p w14:paraId="4B2961F8" w14:textId="77777777" w:rsidR="00DF5F01" w:rsidRPr="008A38B9" w:rsidRDefault="00DF5F01" w:rsidP="00DF5F01">
            <w:pPr>
              <w:pStyle w:val="SingleTxtG"/>
              <w:spacing w:before="40"/>
              <w:ind w:left="0" w:right="113"/>
              <w:jc w:val="left"/>
            </w:pPr>
            <w:r w:rsidRPr="008A38B9">
              <w:t>1969</w:t>
            </w:r>
          </w:p>
        </w:tc>
      </w:tr>
      <w:tr w:rsidR="00DF5F01" w14:paraId="2D83451F" w14:textId="77777777" w:rsidTr="00DF5F01">
        <w:tc>
          <w:tcPr>
            <w:tcW w:w="630" w:type="dxa"/>
            <w:shd w:val="clear" w:color="auto" w:fill="auto"/>
          </w:tcPr>
          <w:p w14:paraId="569A717F" w14:textId="77777777" w:rsidR="00DF5F01" w:rsidRPr="008A38B9" w:rsidRDefault="00DF5F01" w:rsidP="00DF5F01">
            <w:pPr>
              <w:pStyle w:val="SingleTxtG"/>
              <w:spacing w:before="40"/>
              <w:ind w:left="0" w:right="113"/>
              <w:jc w:val="left"/>
            </w:pPr>
            <w:r w:rsidRPr="008A38B9">
              <w:t>2</w:t>
            </w:r>
          </w:p>
        </w:tc>
        <w:tc>
          <w:tcPr>
            <w:tcW w:w="4955" w:type="dxa"/>
            <w:shd w:val="clear" w:color="auto" w:fill="auto"/>
          </w:tcPr>
          <w:p w14:paraId="7E010035" w14:textId="77777777" w:rsidR="00DF5F01" w:rsidRPr="008A38B9" w:rsidRDefault="00DF5F01" w:rsidP="00DF5F01">
            <w:pPr>
              <w:pStyle w:val="SingleTxtG"/>
              <w:spacing w:before="40"/>
              <w:ind w:left="0" w:right="113"/>
              <w:jc w:val="left"/>
            </w:pPr>
            <w:r w:rsidRPr="008A38B9">
              <w:t>Código de Procedimiento Penal</w:t>
            </w:r>
          </w:p>
        </w:tc>
        <w:tc>
          <w:tcPr>
            <w:tcW w:w="892" w:type="dxa"/>
            <w:shd w:val="clear" w:color="auto" w:fill="auto"/>
          </w:tcPr>
          <w:p w14:paraId="0771E0C0" w14:textId="77777777" w:rsidR="00DF5F01" w:rsidRPr="008A38B9" w:rsidRDefault="00DF5F01" w:rsidP="00DF5F01">
            <w:pPr>
              <w:pStyle w:val="SingleTxtG"/>
              <w:spacing w:before="40"/>
              <w:ind w:left="0" w:right="113"/>
              <w:jc w:val="left"/>
            </w:pPr>
            <w:r w:rsidRPr="008A38B9">
              <w:t>23</w:t>
            </w:r>
          </w:p>
        </w:tc>
        <w:tc>
          <w:tcPr>
            <w:tcW w:w="893" w:type="dxa"/>
            <w:shd w:val="clear" w:color="auto" w:fill="auto"/>
          </w:tcPr>
          <w:p w14:paraId="36C7E404" w14:textId="77777777" w:rsidR="00DF5F01" w:rsidRPr="008A38B9" w:rsidRDefault="00DF5F01" w:rsidP="00DF5F01">
            <w:pPr>
              <w:pStyle w:val="SingleTxtG"/>
              <w:spacing w:before="40"/>
              <w:ind w:left="0" w:right="113"/>
              <w:jc w:val="left"/>
            </w:pPr>
            <w:r w:rsidRPr="008A38B9">
              <w:t>1971</w:t>
            </w:r>
          </w:p>
        </w:tc>
      </w:tr>
      <w:tr w:rsidR="00DF5F01" w14:paraId="34A47527" w14:textId="77777777" w:rsidTr="00DF5F01">
        <w:tc>
          <w:tcPr>
            <w:tcW w:w="630" w:type="dxa"/>
            <w:shd w:val="clear" w:color="auto" w:fill="auto"/>
          </w:tcPr>
          <w:p w14:paraId="1FFF7DAC" w14:textId="77777777" w:rsidR="00DF5F01" w:rsidRPr="008A38B9" w:rsidRDefault="00DF5F01" w:rsidP="00DF5F01">
            <w:pPr>
              <w:pStyle w:val="SingleTxtG"/>
              <w:spacing w:before="40"/>
              <w:ind w:left="0" w:right="113"/>
              <w:jc w:val="left"/>
            </w:pPr>
            <w:r w:rsidRPr="008A38B9">
              <w:lastRenderedPageBreak/>
              <w:t>3</w:t>
            </w:r>
          </w:p>
        </w:tc>
        <w:tc>
          <w:tcPr>
            <w:tcW w:w="4955" w:type="dxa"/>
            <w:shd w:val="clear" w:color="auto" w:fill="auto"/>
          </w:tcPr>
          <w:p w14:paraId="2784E6EF" w14:textId="77777777" w:rsidR="00DF5F01" w:rsidRPr="008A38B9" w:rsidRDefault="00DF5F01" w:rsidP="00DF5F01">
            <w:pPr>
              <w:pStyle w:val="SingleTxtG"/>
              <w:spacing w:before="40"/>
              <w:ind w:left="0" w:right="113"/>
              <w:jc w:val="left"/>
            </w:pPr>
            <w:r w:rsidRPr="008A38B9">
              <w:t>Orden de la Autoridad Provisional de la Coalición (disuelta) por la que se constituye el Ministerio de Derechos Humanos</w:t>
            </w:r>
          </w:p>
        </w:tc>
        <w:tc>
          <w:tcPr>
            <w:tcW w:w="892" w:type="dxa"/>
            <w:shd w:val="clear" w:color="auto" w:fill="auto"/>
          </w:tcPr>
          <w:p w14:paraId="309C2230" w14:textId="77777777" w:rsidR="00DF5F01" w:rsidRPr="008A38B9" w:rsidRDefault="00DF5F01" w:rsidP="00DF5F01">
            <w:pPr>
              <w:pStyle w:val="SingleTxtG"/>
              <w:spacing w:before="40"/>
              <w:ind w:left="0" w:right="113"/>
              <w:jc w:val="left"/>
            </w:pPr>
            <w:r w:rsidRPr="008A38B9">
              <w:t>60</w:t>
            </w:r>
          </w:p>
        </w:tc>
        <w:tc>
          <w:tcPr>
            <w:tcW w:w="893" w:type="dxa"/>
            <w:shd w:val="clear" w:color="auto" w:fill="auto"/>
          </w:tcPr>
          <w:p w14:paraId="70D84A3A" w14:textId="77777777" w:rsidR="00DF5F01" w:rsidRPr="008A38B9" w:rsidRDefault="00DF5F01" w:rsidP="00DF5F01">
            <w:pPr>
              <w:pStyle w:val="SingleTxtG"/>
              <w:spacing w:before="40"/>
              <w:ind w:left="0" w:right="113"/>
              <w:jc w:val="left"/>
            </w:pPr>
            <w:r w:rsidRPr="008A38B9">
              <w:t>2004</w:t>
            </w:r>
          </w:p>
        </w:tc>
      </w:tr>
      <w:tr w:rsidR="00DF5F01" w14:paraId="2B7F7BCA" w14:textId="77777777" w:rsidTr="00DF5F01">
        <w:tc>
          <w:tcPr>
            <w:tcW w:w="630" w:type="dxa"/>
            <w:shd w:val="clear" w:color="auto" w:fill="auto"/>
          </w:tcPr>
          <w:p w14:paraId="242F2A2B" w14:textId="77777777" w:rsidR="00DF5F01" w:rsidRPr="008A38B9" w:rsidRDefault="00DF5F01" w:rsidP="00DF5F01">
            <w:pPr>
              <w:pStyle w:val="SingleTxtG"/>
              <w:spacing w:before="40"/>
              <w:ind w:left="0" w:right="113"/>
              <w:jc w:val="left"/>
            </w:pPr>
            <w:r w:rsidRPr="008A38B9">
              <w:t>4</w:t>
            </w:r>
          </w:p>
        </w:tc>
        <w:tc>
          <w:tcPr>
            <w:tcW w:w="4955" w:type="dxa"/>
            <w:shd w:val="clear" w:color="auto" w:fill="auto"/>
          </w:tcPr>
          <w:p w14:paraId="407174A9" w14:textId="77777777" w:rsidR="00DF5F01" w:rsidRPr="008A38B9" w:rsidRDefault="00DF5F01" w:rsidP="00DF5F01">
            <w:pPr>
              <w:pStyle w:val="SingleTxtG"/>
              <w:spacing w:before="40"/>
              <w:ind w:left="0" w:right="113"/>
              <w:jc w:val="left"/>
            </w:pPr>
            <w:r w:rsidRPr="008A38B9">
              <w:t>Ley del Tribunal Penal Supremo del Iraq</w:t>
            </w:r>
          </w:p>
        </w:tc>
        <w:tc>
          <w:tcPr>
            <w:tcW w:w="892" w:type="dxa"/>
            <w:shd w:val="clear" w:color="auto" w:fill="auto"/>
          </w:tcPr>
          <w:p w14:paraId="5B954458" w14:textId="77777777" w:rsidR="00DF5F01" w:rsidRPr="008A38B9" w:rsidRDefault="00DF5F01" w:rsidP="00DF5F01">
            <w:pPr>
              <w:pStyle w:val="SingleTxtG"/>
              <w:spacing w:before="40"/>
              <w:ind w:left="0" w:right="113"/>
              <w:jc w:val="left"/>
            </w:pPr>
            <w:r w:rsidRPr="008A38B9">
              <w:t>10</w:t>
            </w:r>
          </w:p>
        </w:tc>
        <w:tc>
          <w:tcPr>
            <w:tcW w:w="893" w:type="dxa"/>
            <w:shd w:val="clear" w:color="auto" w:fill="auto"/>
          </w:tcPr>
          <w:p w14:paraId="086BD2B7" w14:textId="77777777" w:rsidR="00DF5F01" w:rsidRPr="008A38B9" w:rsidRDefault="00DF5F01" w:rsidP="00DF5F01">
            <w:pPr>
              <w:pStyle w:val="SingleTxtG"/>
              <w:spacing w:before="40"/>
              <w:ind w:left="0" w:right="113"/>
              <w:jc w:val="left"/>
            </w:pPr>
            <w:r w:rsidRPr="008A38B9">
              <w:t>2005</w:t>
            </w:r>
          </w:p>
        </w:tc>
      </w:tr>
      <w:tr w:rsidR="00DF5F01" w14:paraId="3CB92C8E" w14:textId="77777777" w:rsidTr="00DF5F01">
        <w:tc>
          <w:tcPr>
            <w:tcW w:w="630" w:type="dxa"/>
            <w:shd w:val="clear" w:color="auto" w:fill="auto"/>
          </w:tcPr>
          <w:p w14:paraId="54BCCEE5" w14:textId="77777777" w:rsidR="00DF5F01" w:rsidRPr="008A38B9" w:rsidRDefault="00DF5F01" w:rsidP="00DF5F01">
            <w:pPr>
              <w:pStyle w:val="SingleTxtG"/>
              <w:spacing w:before="40"/>
              <w:ind w:left="0" w:right="113"/>
              <w:jc w:val="left"/>
            </w:pPr>
            <w:r w:rsidRPr="008A38B9">
              <w:t>5</w:t>
            </w:r>
          </w:p>
        </w:tc>
        <w:tc>
          <w:tcPr>
            <w:tcW w:w="4955" w:type="dxa"/>
            <w:shd w:val="clear" w:color="auto" w:fill="auto"/>
          </w:tcPr>
          <w:p w14:paraId="6A5A1136" w14:textId="77777777" w:rsidR="00DF5F01" w:rsidRPr="008A38B9" w:rsidRDefault="00DF5F01" w:rsidP="00DF5F01">
            <w:pPr>
              <w:pStyle w:val="SingleTxtG"/>
              <w:spacing w:before="40"/>
              <w:ind w:left="0" w:right="113"/>
              <w:jc w:val="left"/>
            </w:pPr>
            <w:r w:rsidRPr="008A38B9">
              <w:t>Ley contra el Terrorismo</w:t>
            </w:r>
          </w:p>
        </w:tc>
        <w:tc>
          <w:tcPr>
            <w:tcW w:w="892" w:type="dxa"/>
            <w:shd w:val="clear" w:color="auto" w:fill="auto"/>
          </w:tcPr>
          <w:p w14:paraId="1C5345A5" w14:textId="77777777" w:rsidR="00DF5F01" w:rsidRPr="008A38B9" w:rsidRDefault="00DF5F01" w:rsidP="00DF5F01">
            <w:pPr>
              <w:pStyle w:val="SingleTxtG"/>
              <w:spacing w:before="40"/>
              <w:ind w:left="0" w:right="113"/>
              <w:jc w:val="left"/>
            </w:pPr>
            <w:r w:rsidRPr="008A38B9">
              <w:t>13</w:t>
            </w:r>
          </w:p>
        </w:tc>
        <w:tc>
          <w:tcPr>
            <w:tcW w:w="893" w:type="dxa"/>
            <w:shd w:val="clear" w:color="auto" w:fill="auto"/>
          </w:tcPr>
          <w:p w14:paraId="41A39C8A" w14:textId="77777777" w:rsidR="00DF5F01" w:rsidRPr="008A38B9" w:rsidRDefault="00DF5F01" w:rsidP="00DF5F01">
            <w:pPr>
              <w:pStyle w:val="SingleTxtG"/>
              <w:spacing w:before="40"/>
              <w:ind w:left="0" w:right="113"/>
              <w:jc w:val="left"/>
            </w:pPr>
            <w:r w:rsidRPr="008A38B9">
              <w:t>2005</w:t>
            </w:r>
          </w:p>
        </w:tc>
      </w:tr>
      <w:tr w:rsidR="00DF5F01" w14:paraId="23AE0ECA" w14:textId="77777777" w:rsidTr="00DF5F01">
        <w:tc>
          <w:tcPr>
            <w:tcW w:w="630" w:type="dxa"/>
            <w:shd w:val="clear" w:color="auto" w:fill="auto"/>
          </w:tcPr>
          <w:p w14:paraId="26EF15EF" w14:textId="77777777" w:rsidR="00DF5F01" w:rsidRPr="008A38B9" w:rsidRDefault="00DF5F01" w:rsidP="00DF5F01">
            <w:pPr>
              <w:pStyle w:val="SingleTxtG"/>
              <w:spacing w:before="40"/>
              <w:ind w:left="0" w:right="113"/>
              <w:jc w:val="left"/>
            </w:pPr>
            <w:r w:rsidRPr="008A38B9">
              <w:t>6</w:t>
            </w:r>
          </w:p>
        </w:tc>
        <w:tc>
          <w:tcPr>
            <w:tcW w:w="4955" w:type="dxa"/>
            <w:shd w:val="clear" w:color="auto" w:fill="auto"/>
          </w:tcPr>
          <w:p w14:paraId="3D293D34" w14:textId="77777777" w:rsidR="00DF5F01" w:rsidRPr="008A38B9" w:rsidRDefault="00DF5F01" w:rsidP="00DF5F01">
            <w:pPr>
              <w:pStyle w:val="SingleTxtG"/>
              <w:spacing w:before="40"/>
              <w:ind w:left="0" w:right="113"/>
              <w:jc w:val="left"/>
            </w:pPr>
            <w:r w:rsidRPr="008A38B9">
              <w:t>Ley para la Reintegración de los Separados del Servicio por Motivos Políticos</w:t>
            </w:r>
          </w:p>
        </w:tc>
        <w:tc>
          <w:tcPr>
            <w:tcW w:w="892" w:type="dxa"/>
            <w:shd w:val="clear" w:color="auto" w:fill="auto"/>
          </w:tcPr>
          <w:p w14:paraId="721DC363" w14:textId="77777777" w:rsidR="00DF5F01" w:rsidRPr="008A38B9" w:rsidRDefault="00DF5F01" w:rsidP="00DF5F01">
            <w:pPr>
              <w:pStyle w:val="SingleTxtG"/>
              <w:spacing w:before="40"/>
              <w:ind w:left="0" w:right="113"/>
              <w:jc w:val="left"/>
            </w:pPr>
            <w:r w:rsidRPr="008A38B9">
              <w:t>24</w:t>
            </w:r>
          </w:p>
        </w:tc>
        <w:tc>
          <w:tcPr>
            <w:tcW w:w="893" w:type="dxa"/>
            <w:shd w:val="clear" w:color="auto" w:fill="auto"/>
          </w:tcPr>
          <w:p w14:paraId="7ADDA273" w14:textId="77777777" w:rsidR="00DF5F01" w:rsidRPr="008A38B9" w:rsidRDefault="00DF5F01" w:rsidP="00DF5F01">
            <w:pPr>
              <w:pStyle w:val="SingleTxtG"/>
              <w:spacing w:before="40"/>
              <w:ind w:left="0" w:right="113"/>
              <w:jc w:val="left"/>
            </w:pPr>
            <w:r w:rsidRPr="008A38B9">
              <w:t>2005</w:t>
            </w:r>
          </w:p>
        </w:tc>
      </w:tr>
      <w:tr w:rsidR="00DF5F01" w14:paraId="498C62BA" w14:textId="77777777" w:rsidTr="00DF5F01">
        <w:tc>
          <w:tcPr>
            <w:tcW w:w="630" w:type="dxa"/>
            <w:shd w:val="clear" w:color="auto" w:fill="auto"/>
          </w:tcPr>
          <w:p w14:paraId="677A1C58" w14:textId="77777777" w:rsidR="00DF5F01" w:rsidRPr="008A38B9" w:rsidRDefault="00DF5F01" w:rsidP="00DF5F01">
            <w:pPr>
              <w:pStyle w:val="SingleTxtG"/>
              <w:spacing w:before="40"/>
              <w:ind w:left="0" w:right="113"/>
              <w:jc w:val="left"/>
            </w:pPr>
            <w:r w:rsidRPr="008A38B9">
              <w:t>7</w:t>
            </w:r>
          </w:p>
        </w:tc>
        <w:tc>
          <w:tcPr>
            <w:tcW w:w="4955" w:type="dxa"/>
            <w:shd w:val="clear" w:color="auto" w:fill="auto"/>
          </w:tcPr>
          <w:p w14:paraId="529E4850" w14:textId="77777777" w:rsidR="00DF5F01" w:rsidRPr="008A38B9" w:rsidRDefault="00DF5F01" w:rsidP="00DF5F01">
            <w:pPr>
              <w:pStyle w:val="SingleTxtG"/>
              <w:spacing w:before="40"/>
              <w:ind w:left="0" w:right="113"/>
              <w:jc w:val="left"/>
            </w:pPr>
            <w:r w:rsidRPr="008A38B9">
              <w:t>Ley de la Nacionalidad Iraquí</w:t>
            </w:r>
          </w:p>
        </w:tc>
        <w:tc>
          <w:tcPr>
            <w:tcW w:w="892" w:type="dxa"/>
            <w:shd w:val="clear" w:color="auto" w:fill="auto"/>
          </w:tcPr>
          <w:p w14:paraId="1D4917EE" w14:textId="77777777" w:rsidR="00DF5F01" w:rsidRPr="008A38B9" w:rsidRDefault="00DF5F01" w:rsidP="00DF5F01">
            <w:pPr>
              <w:pStyle w:val="SingleTxtG"/>
              <w:spacing w:before="40"/>
              <w:ind w:left="0" w:right="113"/>
              <w:jc w:val="left"/>
            </w:pPr>
            <w:r w:rsidRPr="008A38B9">
              <w:t>26</w:t>
            </w:r>
          </w:p>
        </w:tc>
        <w:tc>
          <w:tcPr>
            <w:tcW w:w="893" w:type="dxa"/>
            <w:shd w:val="clear" w:color="auto" w:fill="auto"/>
          </w:tcPr>
          <w:p w14:paraId="1827CA66" w14:textId="77777777" w:rsidR="00DF5F01" w:rsidRPr="008A38B9" w:rsidRDefault="00DF5F01" w:rsidP="00DF5F01">
            <w:pPr>
              <w:pStyle w:val="SingleTxtG"/>
              <w:spacing w:before="40"/>
              <w:ind w:left="0" w:right="113"/>
              <w:jc w:val="left"/>
            </w:pPr>
            <w:r w:rsidRPr="008A38B9">
              <w:t>2006</w:t>
            </w:r>
          </w:p>
        </w:tc>
      </w:tr>
      <w:tr w:rsidR="00DF5F01" w14:paraId="2889FBC0" w14:textId="77777777" w:rsidTr="00DF5F01">
        <w:tc>
          <w:tcPr>
            <w:tcW w:w="630" w:type="dxa"/>
            <w:shd w:val="clear" w:color="auto" w:fill="auto"/>
          </w:tcPr>
          <w:p w14:paraId="29B451D6" w14:textId="77777777" w:rsidR="00DF5F01" w:rsidRPr="008A38B9" w:rsidRDefault="00DF5F01" w:rsidP="00DF5F01">
            <w:pPr>
              <w:pStyle w:val="SingleTxtG"/>
              <w:spacing w:before="40"/>
              <w:ind w:left="0" w:right="113"/>
              <w:jc w:val="left"/>
            </w:pPr>
            <w:r w:rsidRPr="008A38B9">
              <w:t>8</w:t>
            </w:r>
          </w:p>
        </w:tc>
        <w:tc>
          <w:tcPr>
            <w:tcW w:w="4955" w:type="dxa"/>
            <w:shd w:val="clear" w:color="auto" w:fill="auto"/>
          </w:tcPr>
          <w:p w14:paraId="05B45789" w14:textId="77777777" w:rsidR="00DF5F01" w:rsidRPr="008A38B9" w:rsidRDefault="00DF5F01" w:rsidP="00DF5F01">
            <w:pPr>
              <w:pStyle w:val="SingleTxtG"/>
              <w:spacing w:before="40"/>
              <w:ind w:left="0" w:right="113"/>
              <w:jc w:val="left"/>
            </w:pPr>
            <w:r w:rsidRPr="008A38B9">
              <w:t>Ley de la Fundación para los Presos Políticos</w:t>
            </w:r>
          </w:p>
        </w:tc>
        <w:tc>
          <w:tcPr>
            <w:tcW w:w="892" w:type="dxa"/>
            <w:shd w:val="clear" w:color="auto" w:fill="auto"/>
          </w:tcPr>
          <w:p w14:paraId="728EDF9C"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6E255064" w14:textId="77777777" w:rsidR="00DF5F01" w:rsidRPr="008A38B9" w:rsidRDefault="00DF5F01" w:rsidP="00DF5F01">
            <w:pPr>
              <w:pStyle w:val="SingleTxtG"/>
              <w:spacing w:before="40"/>
              <w:ind w:left="0" w:right="113"/>
              <w:jc w:val="left"/>
            </w:pPr>
            <w:r w:rsidRPr="008A38B9">
              <w:t>2006</w:t>
            </w:r>
          </w:p>
        </w:tc>
      </w:tr>
      <w:tr w:rsidR="00DF5F01" w14:paraId="7FF3BB3C" w14:textId="77777777" w:rsidTr="00DF5F01">
        <w:tc>
          <w:tcPr>
            <w:tcW w:w="630" w:type="dxa"/>
            <w:shd w:val="clear" w:color="auto" w:fill="auto"/>
          </w:tcPr>
          <w:p w14:paraId="508BAC1F" w14:textId="77777777" w:rsidR="00DF5F01" w:rsidRPr="008A38B9" w:rsidRDefault="00DF5F01" w:rsidP="00DF5F01">
            <w:pPr>
              <w:pStyle w:val="SingleTxtG"/>
              <w:spacing w:before="40"/>
              <w:ind w:left="0" w:right="113"/>
              <w:jc w:val="left"/>
            </w:pPr>
            <w:r w:rsidRPr="008A38B9">
              <w:t>9</w:t>
            </w:r>
          </w:p>
        </w:tc>
        <w:tc>
          <w:tcPr>
            <w:tcW w:w="4955" w:type="dxa"/>
            <w:shd w:val="clear" w:color="auto" w:fill="auto"/>
          </w:tcPr>
          <w:p w14:paraId="19570405" w14:textId="77777777" w:rsidR="00DF5F01" w:rsidRPr="008A38B9" w:rsidRDefault="00DF5F01" w:rsidP="00DF5F01">
            <w:pPr>
              <w:pStyle w:val="SingleTxtG"/>
              <w:spacing w:before="40"/>
              <w:ind w:left="0" w:right="113"/>
              <w:jc w:val="left"/>
            </w:pPr>
            <w:r w:rsidRPr="008A38B9">
              <w:t xml:space="preserve">Ley de la Alta Comisión Electoral Independiente </w:t>
            </w:r>
          </w:p>
        </w:tc>
        <w:tc>
          <w:tcPr>
            <w:tcW w:w="892" w:type="dxa"/>
            <w:shd w:val="clear" w:color="auto" w:fill="auto"/>
          </w:tcPr>
          <w:p w14:paraId="3A41F6BA" w14:textId="77777777" w:rsidR="00DF5F01" w:rsidRPr="008A38B9" w:rsidRDefault="00DF5F01" w:rsidP="00DF5F01">
            <w:pPr>
              <w:pStyle w:val="SingleTxtG"/>
              <w:spacing w:before="40"/>
              <w:ind w:left="0" w:right="113"/>
              <w:jc w:val="left"/>
            </w:pPr>
            <w:r w:rsidRPr="008A38B9">
              <w:t>11</w:t>
            </w:r>
          </w:p>
        </w:tc>
        <w:tc>
          <w:tcPr>
            <w:tcW w:w="893" w:type="dxa"/>
            <w:shd w:val="clear" w:color="auto" w:fill="auto"/>
          </w:tcPr>
          <w:p w14:paraId="0FA31F48" w14:textId="77777777" w:rsidR="00DF5F01" w:rsidRPr="008A38B9" w:rsidRDefault="00DF5F01" w:rsidP="00DF5F01">
            <w:pPr>
              <w:pStyle w:val="SingleTxtG"/>
              <w:spacing w:before="40"/>
              <w:ind w:left="0" w:right="113"/>
              <w:jc w:val="left"/>
            </w:pPr>
            <w:r w:rsidRPr="008A38B9">
              <w:t>2007</w:t>
            </w:r>
          </w:p>
        </w:tc>
      </w:tr>
      <w:tr w:rsidR="00DF5F01" w14:paraId="0D6E1220" w14:textId="77777777" w:rsidTr="00DF5F01">
        <w:tc>
          <w:tcPr>
            <w:tcW w:w="630" w:type="dxa"/>
            <w:shd w:val="clear" w:color="auto" w:fill="auto"/>
          </w:tcPr>
          <w:p w14:paraId="4462E1D6" w14:textId="77777777" w:rsidR="00DF5F01" w:rsidRPr="008A38B9" w:rsidRDefault="00DF5F01" w:rsidP="00DF5F01">
            <w:pPr>
              <w:pStyle w:val="SingleTxtG"/>
              <w:spacing w:before="40"/>
              <w:ind w:left="0" w:right="113"/>
              <w:jc w:val="left"/>
            </w:pPr>
            <w:r w:rsidRPr="008A38B9">
              <w:t>10</w:t>
            </w:r>
          </w:p>
        </w:tc>
        <w:tc>
          <w:tcPr>
            <w:tcW w:w="4955" w:type="dxa"/>
            <w:shd w:val="clear" w:color="auto" w:fill="auto"/>
          </w:tcPr>
          <w:p w14:paraId="207E9E18" w14:textId="77777777" w:rsidR="00DF5F01" w:rsidRPr="008A38B9" w:rsidRDefault="00DF5F01" w:rsidP="00DF5F01">
            <w:pPr>
              <w:pStyle w:val="SingleTxtG"/>
              <w:spacing w:before="40"/>
              <w:ind w:left="0" w:right="113"/>
              <w:jc w:val="left"/>
            </w:pPr>
            <w:r w:rsidRPr="008A38B9">
              <w:t>Ley de los Derechos de Clases Pasivas Concedidos a los Fallecidos y Heridos durante los Comicios</w:t>
            </w:r>
          </w:p>
        </w:tc>
        <w:tc>
          <w:tcPr>
            <w:tcW w:w="892" w:type="dxa"/>
            <w:shd w:val="clear" w:color="auto" w:fill="auto"/>
          </w:tcPr>
          <w:p w14:paraId="3483BFE8" w14:textId="77777777" w:rsidR="00DF5F01" w:rsidRPr="008A38B9" w:rsidRDefault="00DF5F01" w:rsidP="00DF5F01">
            <w:pPr>
              <w:pStyle w:val="SingleTxtG"/>
              <w:spacing w:before="40"/>
              <w:ind w:left="0" w:right="113"/>
              <w:jc w:val="left"/>
            </w:pPr>
            <w:r w:rsidRPr="008A38B9">
              <w:t>16</w:t>
            </w:r>
          </w:p>
        </w:tc>
        <w:tc>
          <w:tcPr>
            <w:tcW w:w="893" w:type="dxa"/>
            <w:shd w:val="clear" w:color="auto" w:fill="auto"/>
          </w:tcPr>
          <w:p w14:paraId="3D66022B" w14:textId="77777777" w:rsidR="00DF5F01" w:rsidRPr="008A38B9" w:rsidRDefault="00DF5F01" w:rsidP="00DF5F01">
            <w:pPr>
              <w:pStyle w:val="SingleTxtG"/>
              <w:spacing w:before="40"/>
              <w:ind w:left="0" w:right="113"/>
              <w:jc w:val="left"/>
            </w:pPr>
            <w:r w:rsidRPr="008A38B9">
              <w:t>2007</w:t>
            </w:r>
          </w:p>
        </w:tc>
      </w:tr>
      <w:tr w:rsidR="00DF5F01" w14:paraId="0FEFD670" w14:textId="77777777" w:rsidTr="00DF5F01">
        <w:tc>
          <w:tcPr>
            <w:tcW w:w="630" w:type="dxa"/>
            <w:shd w:val="clear" w:color="auto" w:fill="auto"/>
          </w:tcPr>
          <w:p w14:paraId="52BA1BAF" w14:textId="77777777" w:rsidR="00DF5F01" w:rsidRPr="008A38B9" w:rsidRDefault="00DF5F01" w:rsidP="00DF5F01">
            <w:pPr>
              <w:pStyle w:val="SingleTxtG"/>
              <w:spacing w:before="40"/>
              <w:ind w:left="0" w:right="113"/>
              <w:jc w:val="left"/>
            </w:pPr>
            <w:r w:rsidRPr="008A38B9">
              <w:t>11</w:t>
            </w:r>
          </w:p>
        </w:tc>
        <w:tc>
          <w:tcPr>
            <w:tcW w:w="4955" w:type="dxa"/>
            <w:shd w:val="clear" w:color="auto" w:fill="auto"/>
          </w:tcPr>
          <w:p w14:paraId="48C4DC0B" w14:textId="77777777" w:rsidR="00DF5F01" w:rsidRPr="008A38B9" w:rsidRDefault="00DF5F01" w:rsidP="00DF5F01">
            <w:pPr>
              <w:pStyle w:val="SingleTxtG"/>
              <w:spacing w:before="40"/>
              <w:ind w:left="0" w:right="113"/>
              <w:jc w:val="left"/>
            </w:pPr>
            <w:r w:rsidRPr="008A38B9">
              <w:t>Ley por la que se modifica la Orden núm. 63/2004 de la Autoridad Provisional de la Coalición (disuelta) de los Beneficios Concedidos a los Miembros del Sector de la Seguridad por Motivo de Incapacitación Laboral o Defunción</w:t>
            </w:r>
          </w:p>
        </w:tc>
        <w:tc>
          <w:tcPr>
            <w:tcW w:w="892" w:type="dxa"/>
            <w:shd w:val="clear" w:color="auto" w:fill="auto"/>
          </w:tcPr>
          <w:p w14:paraId="433A792C" w14:textId="77777777" w:rsidR="00DF5F01" w:rsidRPr="008A38B9" w:rsidRDefault="00DF5F01" w:rsidP="00DF5F01">
            <w:pPr>
              <w:pStyle w:val="SingleTxtG"/>
              <w:spacing w:before="40"/>
              <w:ind w:left="0" w:right="113"/>
              <w:jc w:val="left"/>
            </w:pPr>
            <w:r w:rsidRPr="008A38B9">
              <w:t>1</w:t>
            </w:r>
          </w:p>
        </w:tc>
        <w:tc>
          <w:tcPr>
            <w:tcW w:w="893" w:type="dxa"/>
            <w:shd w:val="clear" w:color="auto" w:fill="auto"/>
          </w:tcPr>
          <w:p w14:paraId="35476B65" w14:textId="77777777" w:rsidR="00DF5F01" w:rsidRPr="008A38B9" w:rsidRDefault="00DF5F01" w:rsidP="00DF5F01">
            <w:pPr>
              <w:pStyle w:val="SingleTxtG"/>
              <w:spacing w:before="40"/>
              <w:ind w:left="0" w:right="113"/>
              <w:jc w:val="left"/>
            </w:pPr>
            <w:r w:rsidRPr="008A38B9">
              <w:t>2008</w:t>
            </w:r>
          </w:p>
        </w:tc>
      </w:tr>
      <w:tr w:rsidR="00DF5F01" w14:paraId="352EB62A" w14:textId="77777777" w:rsidTr="00DF5F01">
        <w:tc>
          <w:tcPr>
            <w:tcW w:w="630" w:type="dxa"/>
            <w:shd w:val="clear" w:color="auto" w:fill="auto"/>
          </w:tcPr>
          <w:p w14:paraId="7F024ADE" w14:textId="77777777" w:rsidR="00DF5F01" w:rsidRPr="008A38B9" w:rsidRDefault="00DF5F01" w:rsidP="00DF5F01">
            <w:pPr>
              <w:pStyle w:val="SingleTxtG"/>
              <w:spacing w:before="40"/>
              <w:ind w:left="0" w:right="113"/>
              <w:jc w:val="left"/>
            </w:pPr>
            <w:r w:rsidRPr="008A38B9">
              <w:t>12</w:t>
            </w:r>
          </w:p>
        </w:tc>
        <w:tc>
          <w:tcPr>
            <w:tcW w:w="4955" w:type="dxa"/>
            <w:shd w:val="clear" w:color="auto" w:fill="auto"/>
          </w:tcPr>
          <w:p w14:paraId="15FF3218" w14:textId="77777777" w:rsidR="00DF5F01" w:rsidRPr="008A38B9" w:rsidRDefault="00DF5F01" w:rsidP="00DF5F01">
            <w:pPr>
              <w:pStyle w:val="SingleTxtG"/>
              <w:spacing w:before="40"/>
              <w:ind w:left="0" w:right="113"/>
              <w:jc w:val="left"/>
            </w:pPr>
            <w:r w:rsidRPr="008A38B9">
              <w:t>Ley del Censo General de Población y Vivienda</w:t>
            </w:r>
          </w:p>
        </w:tc>
        <w:tc>
          <w:tcPr>
            <w:tcW w:w="892" w:type="dxa"/>
            <w:shd w:val="clear" w:color="auto" w:fill="auto"/>
          </w:tcPr>
          <w:p w14:paraId="7A31778A" w14:textId="77777777" w:rsidR="00DF5F01" w:rsidRPr="008A38B9" w:rsidRDefault="00DF5F01" w:rsidP="00DF5F01">
            <w:pPr>
              <w:pStyle w:val="SingleTxtG"/>
              <w:spacing w:before="40"/>
              <w:ind w:left="0" w:right="113"/>
              <w:jc w:val="left"/>
            </w:pPr>
            <w:r w:rsidRPr="008A38B9">
              <w:t>40</w:t>
            </w:r>
          </w:p>
        </w:tc>
        <w:tc>
          <w:tcPr>
            <w:tcW w:w="893" w:type="dxa"/>
            <w:shd w:val="clear" w:color="auto" w:fill="auto"/>
          </w:tcPr>
          <w:p w14:paraId="56C3EB82" w14:textId="77777777" w:rsidR="00DF5F01" w:rsidRPr="008A38B9" w:rsidRDefault="00DF5F01" w:rsidP="00DF5F01">
            <w:pPr>
              <w:pStyle w:val="SingleTxtG"/>
              <w:spacing w:before="40"/>
              <w:ind w:left="0" w:right="113"/>
              <w:jc w:val="left"/>
            </w:pPr>
            <w:r w:rsidRPr="008A38B9">
              <w:t>2008</w:t>
            </w:r>
          </w:p>
        </w:tc>
      </w:tr>
      <w:tr w:rsidR="00DF5F01" w14:paraId="05927634" w14:textId="77777777" w:rsidTr="00DF5F01">
        <w:tc>
          <w:tcPr>
            <w:tcW w:w="630" w:type="dxa"/>
            <w:shd w:val="clear" w:color="auto" w:fill="auto"/>
          </w:tcPr>
          <w:p w14:paraId="5C0F3E3A" w14:textId="77777777" w:rsidR="00DF5F01" w:rsidRPr="008A38B9" w:rsidRDefault="00DF5F01" w:rsidP="00DF5F01">
            <w:pPr>
              <w:pStyle w:val="SingleTxtG"/>
              <w:spacing w:before="40"/>
              <w:ind w:left="0" w:right="113"/>
              <w:jc w:val="left"/>
            </w:pPr>
            <w:r w:rsidRPr="008A38B9">
              <w:t>13</w:t>
            </w:r>
          </w:p>
        </w:tc>
        <w:tc>
          <w:tcPr>
            <w:tcW w:w="4955" w:type="dxa"/>
            <w:shd w:val="clear" w:color="auto" w:fill="auto"/>
          </w:tcPr>
          <w:p w14:paraId="4FD31029" w14:textId="77777777" w:rsidR="00DF5F01" w:rsidRPr="008A38B9" w:rsidRDefault="00DF5F01" w:rsidP="00DF5F01">
            <w:pPr>
              <w:pStyle w:val="SingleTxtG"/>
              <w:spacing w:before="40"/>
              <w:ind w:left="0" w:right="113"/>
              <w:jc w:val="left"/>
            </w:pPr>
            <w:r w:rsidRPr="008A38B9">
              <w:t>Ley de la Elección de los Consejos Provinciales, de Distrito y de Subdistrito</w:t>
            </w:r>
          </w:p>
        </w:tc>
        <w:tc>
          <w:tcPr>
            <w:tcW w:w="892" w:type="dxa"/>
            <w:shd w:val="clear" w:color="auto" w:fill="auto"/>
          </w:tcPr>
          <w:p w14:paraId="6F1FCD9B"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321FB5E9" w14:textId="77777777" w:rsidR="00DF5F01" w:rsidRPr="008A38B9" w:rsidRDefault="00DF5F01" w:rsidP="00DF5F01">
            <w:pPr>
              <w:pStyle w:val="SingleTxtG"/>
              <w:spacing w:before="40"/>
              <w:ind w:left="0" w:right="113"/>
              <w:jc w:val="left"/>
            </w:pPr>
            <w:r w:rsidRPr="008A38B9">
              <w:t>2008</w:t>
            </w:r>
          </w:p>
        </w:tc>
      </w:tr>
      <w:tr w:rsidR="00DF5F01" w14:paraId="24D347E4" w14:textId="77777777" w:rsidTr="00DF5F01">
        <w:tc>
          <w:tcPr>
            <w:tcW w:w="630" w:type="dxa"/>
            <w:shd w:val="clear" w:color="auto" w:fill="auto"/>
          </w:tcPr>
          <w:p w14:paraId="5ECD521A" w14:textId="77777777" w:rsidR="00DF5F01" w:rsidRPr="008A38B9" w:rsidRDefault="00DF5F01" w:rsidP="00DF5F01">
            <w:pPr>
              <w:pStyle w:val="SingleTxtG"/>
              <w:spacing w:before="40"/>
              <w:ind w:left="0" w:right="113"/>
              <w:jc w:val="left"/>
            </w:pPr>
            <w:r w:rsidRPr="008A38B9">
              <w:t>14</w:t>
            </w:r>
          </w:p>
        </w:tc>
        <w:tc>
          <w:tcPr>
            <w:tcW w:w="4955" w:type="dxa"/>
            <w:shd w:val="clear" w:color="auto" w:fill="auto"/>
          </w:tcPr>
          <w:p w14:paraId="05D3858B" w14:textId="77777777" w:rsidR="00DF5F01" w:rsidRPr="008A38B9" w:rsidRDefault="00DF5F01" w:rsidP="00DF5F01">
            <w:pPr>
              <w:pStyle w:val="SingleTxtG"/>
              <w:spacing w:before="40"/>
              <w:ind w:left="0" w:right="113"/>
              <w:jc w:val="left"/>
            </w:pPr>
            <w:r w:rsidRPr="008A38B9">
              <w:t>Ley de los Emolumentos de los Funcionarios del Estado y del Sector Público</w:t>
            </w:r>
          </w:p>
        </w:tc>
        <w:tc>
          <w:tcPr>
            <w:tcW w:w="892" w:type="dxa"/>
            <w:shd w:val="clear" w:color="auto" w:fill="auto"/>
          </w:tcPr>
          <w:p w14:paraId="1EB6CDA9" w14:textId="77777777" w:rsidR="00DF5F01" w:rsidRPr="008A38B9" w:rsidRDefault="00DF5F01" w:rsidP="00DF5F01">
            <w:pPr>
              <w:pStyle w:val="SingleTxtG"/>
              <w:spacing w:before="40"/>
              <w:ind w:left="0" w:right="113"/>
              <w:jc w:val="left"/>
            </w:pPr>
            <w:r w:rsidRPr="008A38B9">
              <w:t>22</w:t>
            </w:r>
          </w:p>
        </w:tc>
        <w:tc>
          <w:tcPr>
            <w:tcW w:w="893" w:type="dxa"/>
            <w:shd w:val="clear" w:color="auto" w:fill="auto"/>
          </w:tcPr>
          <w:p w14:paraId="65FC8DA8" w14:textId="77777777" w:rsidR="00DF5F01" w:rsidRPr="008A38B9" w:rsidRDefault="00DF5F01" w:rsidP="00DF5F01">
            <w:pPr>
              <w:pStyle w:val="SingleTxtG"/>
              <w:spacing w:before="40"/>
              <w:ind w:left="0" w:right="113"/>
              <w:jc w:val="left"/>
            </w:pPr>
            <w:r w:rsidRPr="008A38B9">
              <w:t>2008</w:t>
            </w:r>
          </w:p>
        </w:tc>
      </w:tr>
      <w:tr w:rsidR="00DF5F01" w14:paraId="6325D171" w14:textId="77777777" w:rsidTr="00DF5F01">
        <w:tc>
          <w:tcPr>
            <w:tcW w:w="630" w:type="dxa"/>
            <w:shd w:val="clear" w:color="auto" w:fill="auto"/>
          </w:tcPr>
          <w:p w14:paraId="5879B1D8" w14:textId="77777777" w:rsidR="00DF5F01" w:rsidRPr="008A38B9" w:rsidRDefault="00DF5F01" w:rsidP="00DF5F01">
            <w:pPr>
              <w:pStyle w:val="SingleTxtG"/>
              <w:spacing w:before="40"/>
              <w:ind w:left="0" w:right="113"/>
              <w:jc w:val="left"/>
            </w:pPr>
            <w:r w:rsidRPr="008A38B9">
              <w:t>15</w:t>
            </w:r>
          </w:p>
        </w:tc>
        <w:tc>
          <w:tcPr>
            <w:tcW w:w="4955" w:type="dxa"/>
            <w:shd w:val="clear" w:color="auto" w:fill="auto"/>
          </w:tcPr>
          <w:p w14:paraId="4FA89844" w14:textId="77777777" w:rsidR="00DF5F01" w:rsidRPr="008A38B9" w:rsidRDefault="00DF5F01" w:rsidP="00DF5F01">
            <w:pPr>
              <w:pStyle w:val="SingleTxtG"/>
              <w:spacing w:before="40"/>
              <w:ind w:left="0" w:right="113"/>
              <w:jc w:val="left"/>
            </w:pPr>
            <w:r w:rsidRPr="008A38B9">
              <w:t>Resolución por la que se declara que las masacres y los asesinatos en masa perpetrados contra el pueblo kurdo del Kurdistán iraquí son constitutivos de un crimen de genocidio con arreglo a todos los criterios</w:t>
            </w:r>
          </w:p>
        </w:tc>
        <w:tc>
          <w:tcPr>
            <w:tcW w:w="892" w:type="dxa"/>
            <w:shd w:val="clear" w:color="auto" w:fill="auto"/>
          </w:tcPr>
          <w:p w14:paraId="11E638A8" w14:textId="77777777" w:rsidR="00DF5F01" w:rsidRPr="008A38B9" w:rsidRDefault="00DF5F01" w:rsidP="00DF5F01">
            <w:pPr>
              <w:pStyle w:val="SingleTxtG"/>
              <w:spacing w:before="40"/>
              <w:ind w:left="0" w:right="113"/>
              <w:jc w:val="left"/>
            </w:pPr>
            <w:r w:rsidRPr="008A38B9">
              <w:t>26</w:t>
            </w:r>
          </w:p>
        </w:tc>
        <w:tc>
          <w:tcPr>
            <w:tcW w:w="893" w:type="dxa"/>
            <w:shd w:val="clear" w:color="auto" w:fill="auto"/>
          </w:tcPr>
          <w:p w14:paraId="4818313D" w14:textId="77777777" w:rsidR="00DF5F01" w:rsidRPr="008A38B9" w:rsidRDefault="00DF5F01" w:rsidP="00DF5F01">
            <w:pPr>
              <w:pStyle w:val="SingleTxtG"/>
              <w:spacing w:before="40"/>
              <w:ind w:left="0" w:right="113"/>
              <w:jc w:val="left"/>
            </w:pPr>
            <w:r w:rsidRPr="008A38B9">
              <w:t>2008</w:t>
            </w:r>
          </w:p>
        </w:tc>
      </w:tr>
      <w:tr w:rsidR="00DF5F01" w14:paraId="34C75DF6" w14:textId="77777777" w:rsidTr="00DF5F01">
        <w:tc>
          <w:tcPr>
            <w:tcW w:w="630" w:type="dxa"/>
            <w:shd w:val="clear" w:color="auto" w:fill="auto"/>
          </w:tcPr>
          <w:p w14:paraId="3CE0C58D" w14:textId="77777777" w:rsidR="00DF5F01" w:rsidRPr="008A38B9" w:rsidRDefault="00DF5F01" w:rsidP="00DF5F01">
            <w:pPr>
              <w:pStyle w:val="SingleTxtG"/>
              <w:spacing w:before="40"/>
              <w:ind w:left="0" w:right="113"/>
              <w:jc w:val="left"/>
            </w:pPr>
            <w:r w:rsidRPr="008A38B9">
              <w:t>16</w:t>
            </w:r>
          </w:p>
        </w:tc>
        <w:tc>
          <w:tcPr>
            <w:tcW w:w="4955" w:type="dxa"/>
            <w:shd w:val="clear" w:color="auto" w:fill="auto"/>
          </w:tcPr>
          <w:p w14:paraId="16078279" w14:textId="77777777" w:rsidR="00DF5F01" w:rsidRPr="008A38B9" w:rsidRDefault="00DF5F01" w:rsidP="00DF5F01">
            <w:pPr>
              <w:pStyle w:val="SingleTxtG"/>
              <w:spacing w:before="40"/>
              <w:ind w:left="0" w:right="113"/>
              <w:jc w:val="left"/>
            </w:pPr>
            <w:r w:rsidRPr="008A38B9">
              <w:t>Ley contra el Contrabando del Petróleo y sus Derivados</w:t>
            </w:r>
          </w:p>
        </w:tc>
        <w:tc>
          <w:tcPr>
            <w:tcW w:w="892" w:type="dxa"/>
            <w:shd w:val="clear" w:color="auto" w:fill="auto"/>
          </w:tcPr>
          <w:p w14:paraId="3925240A" w14:textId="77777777" w:rsidR="00DF5F01" w:rsidRPr="008A38B9" w:rsidRDefault="00DF5F01" w:rsidP="00DF5F01">
            <w:pPr>
              <w:pStyle w:val="SingleTxtG"/>
              <w:spacing w:before="40"/>
              <w:ind w:left="0" w:right="113"/>
              <w:jc w:val="left"/>
            </w:pPr>
            <w:r w:rsidRPr="008A38B9">
              <w:t>14</w:t>
            </w:r>
          </w:p>
        </w:tc>
        <w:tc>
          <w:tcPr>
            <w:tcW w:w="893" w:type="dxa"/>
            <w:shd w:val="clear" w:color="auto" w:fill="auto"/>
          </w:tcPr>
          <w:p w14:paraId="60E4636E" w14:textId="77777777" w:rsidR="00DF5F01" w:rsidRPr="008A38B9" w:rsidRDefault="00DF5F01" w:rsidP="00DF5F01">
            <w:pPr>
              <w:pStyle w:val="SingleTxtG"/>
              <w:spacing w:before="40"/>
              <w:ind w:left="0" w:right="113"/>
              <w:jc w:val="left"/>
            </w:pPr>
            <w:r w:rsidRPr="008A38B9">
              <w:t>2008</w:t>
            </w:r>
          </w:p>
        </w:tc>
      </w:tr>
      <w:tr w:rsidR="00DF5F01" w14:paraId="1A14745E" w14:textId="77777777" w:rsidTr="00DF5F01">
        <w:tc>
          <w:tcPr>
            <w:tcW w:w="630" w:type="dxa"/>
            <w:shd w:val="clear" w:color="auto" w:fill="auto"/>
          </w:tcPr>
          <w:p w14:paraId="5F6C6887" w14:textId="77777777" w:rsidR="00DF5F01" w:rsidRPr="008A38B9" w:rsidRDefault="00DF5F01" w:rsidP="00DF5F01">
            <w:pPr>
              <w:pStyle w:val="SingleTxtG"/>
              <w:spacing w:before="40"/>
              <w:ind w:left="0" w:right="113"/>
              <w:jc w:val="left"/>
            </w:pPr>
            <w:r w:rsidRPr="008A38B9">
              <w:t>17</w:t>
            </w:r>
          </w:p>
        </w:tc>
        <w:tc>
          <w:tcPr>
            <w:tcW w:w="4955" w:type="dxa"/>
            <w:shd w:val="clear" w:color="auto" w:fill="auto"/>
          </w:tcPr>
          <w:p w14:paraId="5CF2EBCB" w14:textId="77777777" w:rsidR="00DF5F01" w:rsidRPr="008A38B9" w:rsidRDefault="00DF5F01" w:rsidP="00DF5F01">
            <w:pPr>
              <w:pStyle w:val="SingleTxtG"/>
              <w:spacing w:before="40"/>
              <w:ind w:left="0" w:right="113"/>
              <w:jc w:val="left"/>
            </w:pPr>
            <w:r w:rsidRPr="008A38B9">
              <w:t>Ley de la Comisión Nacional Suprema de Rendición de Cuentas y Justicia</w:t>
            </w:r>
          </w:p>
        </w:tc>
        <w:tc>
          <w:tcPr>
            <w:tcW w:w="892" w:type="dxa"/>
            <w:shd w:val="clear" w:color="auto" w:fill="auto"/>
          </w:tcPr>
          <w:p w14:paraId="6E4CA209" w14:textId="77777777" w:rsidR="00DF5F01" w:rsidRPr="008A38B9" w:rsidRDefault="00DF5F01" w:rsidP="00DF5F01">
            <w:pPr>
              <w:pStyle w:val="SingleTxtG"/>
              <w:spacing w:before="40"/>
              <w:ind w:left="0" w:right="113"/>
              <w:jc w:val="left"/>
            </w:pPr>
            <w:r w:rsidRPr="008A38B9">
              <w:t>10</w:t>
            </w:r>
          </w:p>
        </w:tc>
        <w:tc>
          <w:tcPr>
            <w:tcW w:w="893" w:type="dxa"/>
            <w:shd w:val="clear" w:color="auto" w:fill="auto"/>
          </w:tcPr>
          <w:p w14:paraId="0CF12491" w14:textId="77777777" w:rsidR="00DF5F01" w:rsidRPr="008A38B9" w:rsidRDefault="00DF5F01" w:rsidP="00DF5F01">
            <w:pPr>
              <w:pStyle w:val="SingleTxtG"/>
              <w:spacing w:before="40"/>
              <w:ind w:left="0" w:right="113"/>
              <w:jc w:val="left"/>
            </w:pPr>
            <w:r w:rsidRPr="008A38B9">
              <w:t>2008</w:t>
            </w:r>
          </w:p>
        </w:tc>
      </w:tr>
      <w:tr w:rsidR="00DF5F01" w14:paraId="65EF0053" w14:textId="77777777" w:rsidTr="00DF5F01">
        <w:tc>
          <w:tcPr>
            <w:tcW w:w="630" w:type="dxa"/>
            <w:shd w:val="clear" w:color="auto" w:fill="auto"/>
          </w:tcPr>
          <w:p w14:paraId="1DC0FBA3" w14:textId="77777777" w:rsidR="00DF5F01" w:rsidRPr="008A38B9" w:rsidRDefault="00DF5F01" w:rsidP="00DF5F01">
            <w:pPr>
              <w:pStyle w:val="SingleTxtG"/>
              <w:spacing w:before="40"/>
              <w:ind w:left="0" w:right="113"/>
              <w:jc w:val="left"/>
            </w:pPr>
            <w:r w:rsidRPr="008A38B9">
              <w:t>18</w:t>
            </w:r>
          </w:p>
        </w:tc>
        <w:tc>
          <w:tcPr>
            <w:tcW w:w="4955" w:type="dxa"/>
            <w:shd w:val="clear" w:color="auto" w:fill="auto"/>
          </w:tcPr>
          <w:p w14:paraId="0F826C9E" w14:textId="77777777" w:rsidR="00DF5F01" w:rsidRPr="008A38B9" w:rsidRDefault="00DF5F01" w:rsidP="00DF5F01">
            <w:pPr>
              <w:pStyle w:val="SingleTxtG"/>
              <w:spacing w:before="40"/>
              <w:ind w:left="0" w:right="113"/>
              <w:jc w:val="left"/>
            </w:pPr>
            <w:r w:rsidRPr="008A38B9">
              <w:t>Ley del Alto Comisionado de los Derechos Humanos</w:t>
            </w:r>
          </w:p>
        </w:tc>
        <w:tc>
          <w:tcPr>
            <w:tcW w:w="892" w:type="dxa"/>
            <w:shd w:val="clear" w:color="auto" w:fill="auto"/>
          </w:tcPr>
          <w:p w14:paraId="198D990E" w14:textId="77777777" w:rsidR="00DF5F01" w:rsidRPr="008A38B9" w:rsidRDefault="00DF5F01" w:rsidP="00DF5F01">
            <w:pPr>
              <w:pStyle w:val="SingleTxtG"/>
              <w:spacing w:before="40"/>
              <w:ind w:left="0" w:right="113"/>
              <w:jc w:val="left"/>
            </w:pPr>
            <w:r w:rsidRPr="008A38B9">
              <w:t>53</w:t>
            </w:r>
          </w:p>
        </w:tc>
        <w:tc>
          <w:tcPr>
            <w:tcW w:w="893" w:type="dxa"/>
            <w:shd w:val="clear" w:color="auto" w:fill="auto"/>
          </w:tcPr>
          <w:p w14:paraId="683575A4" w14:textId="77777777" w:rsidR="00DF5F01" w:rsidRPr="008A38B9" w:rsidRDefault="00DF5F01" w:rsidP="00DF5F01">
            <w:pPr>
              <w:pStyle w:val="SingleTxtG"/>
              <w:spacing w:before="40"/>
              <w:ind w:left="0" w:right="113"/>
              <w:jc w:val="left"/>
            </w:pPr>
            <w:r w:rsidRPr="008A38B9">
              <w:t>2008</w:t>
            </w:r>
          </w:p>
        </w:tc>
      </w:tr>
      <w:tr w:rsidR="00DF5F01" w14:paraId="01D7B8B5" w14:textId="77777777" w:rsidTr="00DF5F01">
        <w:tc>
          <w:tcPr>
            <w:tcW w:w="630" w:type="dxa"/>
            <w:shd w:val="clear" w:color="auto" w:fill="auto"/>
          </w:tcPr>
          <w:p w14:paraId="1CEC51A3" w14:textId="77777777" w:rsidR="00DF5F01" w:rsidRPr="008A38B9" w:rsidRDefault="00DF5F01" w:rsidP="00DF5F01">
            <w:pPr>
              <w:pStyle w:val="SingleTxtG"/>
              <w:spacing w:before="40"/>
              <w:ind w:left="0" w:right="113"/>
              <w:jc w:val="left"/>
            </w:pPr>
            <w:r w:rsidRPr="008A38B9">
              <w:t>19</w:t>
            </w:r>
          </w:p>
        </w:tc>
        <w:tc>
          <w:tcPr>
            <w:tcW w:w="4955" w:type="dxa"/>
            <w:shd w:val="clear" w:color="auto" w:fill="auto"/>
          </w:tcPr>
          <w:p w14:paraId="310499C1" w14:textId="77777777" w:rsidR="00DF5F01" w:rsidRPr="008A38B9" w:rsidRDefault="00DF5F01" w:rsidP="00DF5F01">
            <w:pPr>
              <w:pStyle w:val="SingleTxtG"/>
              <w:spacing w:before="40"/>
              <w:ind w:left="0" w:right="113"/>
              <w:jc w:val="left"/>
            </w:pPr>
            <w:r w:rsidRPr="008A38B9">
              <w:t>Ley para la indemnización a las personas que perdieron partes de su cuerpo por actos perpetrados por el régimen anterior</w:t>
            </w:r>
          </w:p>
        </w:tc>
        <w:tc>
          <w:tcPr>
            <w:tcW w:w="892" w:type="dxa"/>
            <w:shd w:val="clear" w:color="auto" w:fill="auto"/>
          </w:tcPr>
          <w:p w14:paraId="188B5C27" w14:textId="77777777" w:rsidR="00DF5F01" w:rsidRPr="008A38B9" w:rsidRDefault="00DF5F01" w:rsidP="00DF5F01">
            <w:pPr>
              <w:pStyle w:val="SingleTxtG"/>
              <w:spacing w:before="40"/>
              <w:ind w:left="0" w:right="113"/>
              <w:jc w:val="left"/>
            </w:pPr>
            <w:r w:rsidRPr="008A38B9">
              <w:t>5</w:t>
            </w:r>
          </w:p>
        </w:tc>
        <w:tc>
          <w:tcPr>
            <w:tcW w:w="893" w:type="dxa"/>
            <w:shd w:val="clear" w:color="auto" w:fill="auto"/>
          </w:tcPr>
          <w:p w14:paraId="355B123F" w14:textId="77777777" w:rsidR="00DF5F01" w:rsidRPr="008A38B9" w:rsidRDefault="00DF5F01" w:rsidP="00DF5F01">
            <w:pPr>
              <w:pStyle w:val="SingleTxtG"/>
              <w:spacing w:before="40"/>
              <w:ind w:left="0" w:right="113"/>
              <w:jc w:val="left"/>
            </w:pPr>
            <w:r w:rsidRPr="008A38B9">
              <w:t>2009</w:t>
            </w:r>
          </w:p>
        </w:tc>
      </w:tr>
      <w:tr w:rsidR="00DF5F01" w14:paraId="5BDBBAA0" w14:textId="77777777" w:rsidTr="00DF5F01">
        <w:tc>
          <w:tcPr>
            <w:tcW w:w="630" w:type="dxa"/>
            <w:shd w:val="clear" w:color="auto" w:fill="auto"/>
          </w:tcPr>
          <w:p w14:paraId="4BD5A59C" w14:textId="77777777" w:rsidR="00DF5F01" w:rsidRPr="008A38B9" w:rsidRDefault="00DF5F01" w:rsidP="00DF5F01">
            <w:pPr>
              <w:pStyle w:val="SingleTxtG"/>
              <w:spacing w:before="40"/>
              <w:ind w:left="0" w:right="113"/>
              <w:jc w:val="left"/>
            </w:pPr>
            <w:r w:rsidRPr="008A38B9">
              <w:t>20</w:t>
            </w:r>
          </w:p>
        </w:tc>
        <w:tc>
          <w:tcPr>
            <w:tcW w:w="4955" w:type="dxa"/>
            <w:shd w:val="clear" w:color="auto" w:fill="auto"/>
          </w:tcPr>
          <w:p w14:paraId="5E3F31CE" w14:textId="77777777" w:rsidR="00DF5F01" w:rsidRPr="008A38B9" w:rsidRDefault="00DF5F01" w:rsidP="00DF5F01">
            <w:pPr>
              <w:pStyle w:val="SingleTxtG"/>
              <w:spacing w:before="40"/>
              <w:ind w:left="0" w:right="113"/>
              <w:jc w:val="left"/>
            </w:pPr>
            <w:r w:rsidRPr="008A38B9">
              <w:t>Ley del Ministerio de Migración y Desplazados</w:t>
            </w:r>
          </w:p>
        </w:tc>
        <w:tc>
          <w:tcPr>
            <w:tcW w:w="892" w:type="dxa"/>
            <w:shd w:val="clear" w:color="auto" w:fill="auto"/>
          </w:tcPr>
          <w:p w14:paraId="39669E67" w14:textId="77777777" w:rsidR="00DF5F01" w:rsidRPr="008A38B9" w:rsidRDefault="00DF5F01" w:rsidP="00DF5F01">
            <w:pPr>
              <w:pStyle w:val="SingleTxtG"/>
              <w:spacing w:before="40"/>
              <w:ind w:left="0" w:right="113"/>
              <w:jc w:val="left"/>
            </w:pPr>
            <w:r w:rsidRPr="008A38B9">
              <w:t>21</w:t>
            </w:r>
          </w:p>
        </w:tc>
        <w:tc>
          <w:tcPr>
            <w:tcW w:w="893" w:type="dxa"/>
            <w:shd w:val="clear" w:color="auto" w:fill="auto"/>
          </w:tcPr>
          <w:p w14:paraId="30D7A4D8" w14:textId="77777777" w:rsidR="00DF5F01" w:rsidRPr="008A38B9" w:rsidRDefault="00DF5F01" w:rsidP="00DF5F01">
            <w:pPr>
              <w:pStyle w:val="SingleTxtG"/>
              <w:spacing w:before="40"/>
              <w:ind w:left="0" w:right="113"/>
              <w:jc w:val="left"/>
            </w:pPr>
            <w:r w:rsidRPr="008A38B9">
              <w:t>2009</w:t>
            </w:r>
          </w:p>
        </w:tc>
      </w:tr>
      <w:tr w:rsidR="00DF5F01" w14:paraId="004E703A" w14:textId="77777777" w:rsidTr="00DF5F01">
        <w:tc>
          <w:tcPr>
            <w:tcW w:w="630" w:type="dxa"/>
            <w:shd w:val="clear" w:color="auto" w:fill="auto"/>
          </w:tcPr>
          <w:p w14:paraId="179362E5" w14:textId="77777777" w:rsidR="00DF5F01" w:rsidRPr="008A38B9" w:rsidRDefault="00DF5F01" w:rsidP="00DF5F01">
            <w:pPr>
              <w:pStyle w:val="SingleTxtG"/>
              <w:spacing w:before="40"/>
              <w:ind w:left="0" w:right="113"/>
              <w:jc w:val="left"/>
            </w:pPr>
            <w:r w:rsidRPr="008A38B9">
              <w:t>21</w:t>
            </w:r>
          </w:p>
        </w:tc>
        <w:tc>
          <w:tcPr>
            <w:tcW w:w="4955" w:type="dxa"/>
            <w:shd w:val="clear" w:color="auto" w:fill="auto"/>
          </w:tcPr>
          <w:p w14:paraId="0C45ABB5" w14:textId="77777777" w:rsidR="00DF5F01" w:rsidRPr="008A38B9" w:rsidRDefault="00DF5F01" w:rsidP="00DF5F01">
            <w:pPr>
              <w:pStyle w:val="SingleTxtG"/>
              <w:spacing w:before="40"/>
              <w:ind w:left="0" w:right="113"/>
              <w:jc w:val="left"/>
            </w:pPr>
            <w:r w:rsidRPr="008A38B9">
              <w:t>Ley del Consejo Federal de la Función Pública</w:t>
            </w:r>
          </w:p>
        </w:tc>
        <w:tc>
          <w:tcPr>
            <w:tcW w:w="892" w:type="dxa"/>
            <w:shd w:val="clear" w:color="auto" w:fill="auto"/>
          </w:tcPr>
          <w:p w14:paraId="67D9014A"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0B13591D" w14:textId="77777777" w:rsidR="00DF5F01" w:rsidRPr="008A38B9" w:rsidRDefault="00DF5F01" w:rsidP="00DF5F01">
            <w:pPr>
              <w:pStyle w:val="SingleTxtG"/>
              <w:spacing w:before="40"/>
              <w:ind w:left="0" w:right="113"/>
              <w:jc w:val="left"/>
            </w:pPr>
            <w:r w:rsidRPr="008A38B9">
              <w:t>2009</w:t>
            </w:r>
          </w:p>
        </w:tc>
      </w:tr>
      <w:tr w:rsidR="00DF5F01" w14:paraId="061A71CD" w14:textId="77777777" w:rsidTr="00DF5F01">
        <w:tc>
          <w:tcPr>
            <w:tcW w:w="630" w:type="dxa"/>
            <w:shd w:val="clear" w:color="auto" w:fill="auto"/>
          </w:tcPr>
          <w:p w14:paraId="5C340782" w14:textId="77777777" w:rsidR="00DF5F01" w:rsidRPr="008A38B9" w:rsidRDefault="00DF5F01" w:rsidP="00DF5F01">
            <w:pPr>
              <w:pStyle w:val="SingleTxtG"/>
              <w:spacing w:before="40"/>
              <w:ind w:left="0" w:right="113"/>
              <w:jc w:val="left"/>
            </w:pPr>
            <w:r w:rsidRPr="008A38B9">
              <w:t>22</w:t>
            </w:r>
          </w:p>
        </w:tc>
        <w:tc>
          <w:tcPr>
            <w:tcW w:w="4955" w:type="dxa"/>
            <w:shd w:val="clear" w:color="auto" w:fill="auto"/>
          </w:tcPr>
          <w:p w14:paraId="5310E709" w14:textId="77777777" w:rsidR="00DF5F01" w:rsidRPr="008A38B9" w:rsidRDefault="00DF5F01" w:rsidP="00DF5F01">
            <w:pPr>
              <w:pStyle w:val="SingleTxtG"/>
              <w:spacing w:before="40"/>
              <w:ind w:left="0" w:right="113"/>
              <w:jc w:val="left"/>
            </w:pPr>
            <w:r w:rsidRPr="008A38B9">
              <w:t>Ley de la Protección y Mejora del Medioambiente</w:t>
            </w:r>
          </w:p>
        </w:tc>
        <w:tc>
          <w:tcPr>
            <w:tcW w:w="892" w:type="dxa"/>
            <w:shd w:val="clear" w:color="auto" w:fill="auto"/>
          </w:tcPr>
          <w:p w14:paraId="4A7C2035" w14:textId="77777777" w:rsidR="00DF5F01" w:rsidRPr="008A38B9" w:rsidRDefault="00DF5F01" w:rsidP="00DF5F01">
            <w:pPr>
              <w:pStyle w:val="SingleTxtG"/>
              <w:spacing w:before="40"/>
              <w:ind w:left="0" w:right="113"/>
              <w:jc w:val="left"/>
            </w:pPr>
            <w:r w:rsidRPr="008A38B9">
              <w:t>27</w:t>
            </w:r>
          </w:p>
        </w:tc>
        <w:tc>
          <w:tcPr>
            <w:tcW w:w="893" w:type="dxa"/>
            <w:shd w:val="clear" w:color="auto" w:fill="auto"/>
          </w:tcPr>
          <w:p w14:paraId="16EC663A" w14:textId="77777777" w:rsidR="00DF5F01" w:rsidRPr="008A38B9" w:rsidRDefault="00DF5F01" w:rsidP="00DF5F01">
            <w:pPr>
              <w:pStyle w:val="SingleTxtG"/>
              <w:spacing w:before="40"/>
              <w:ind w:left="0" w:right="113"/>
              <w:jc w:val="left"/>
            </w:pPr>
            <w:r w:rsidRPr="008A38B9">
              <w:t>2009</w:t>
            </w:r>
          </w:p>
        </w:tc>
      </w:tr>
      <w:tr w:rsidR="00DF5F01" w14:paraId="032033A1" w14:textId="77777777" w:rsidTr="00DF5F01">
        <w:tc>
          <w:tcPr>
            <w:tcW w:w="630" w:type="dxa"/>
            <w:shd w:val="clear" w:color="auto" w:fill="auto"/>
          </w:tcPr>
          <w:p w14:paraId="3F8C77D3" w14:textId="77777777" w:rsidR="00DF5F01" w:rsidRPr="008A38B9" w:rsidRDefault="00DF5F01" w:rsidP="00DF5F01">
            <w:pPr>
              <w:pStyle w:val="SingleTxtG"/>
              <w:spacing w:before="40"/>
              <w:ind w:left="0" w:right="113"/>
              <w:jc w:val="left"/>
            </w:pPr>
            <w:r w:rsidRPr="008A38B9">
              <w:t>23</w:t>
            </w:r>
          </w:p>
        </w:tc>
        <w:tc>
          <w:tcPr>
            <w:tcW w:w="4955" w:type="dxa"/>
            <w:shd w:val="clear" w:color="auto" w:fill="auto"/>
          </w:tcPr>
          <w:p w14:paraId="0ADDB5E5" w14:textId="77777777" w:rsidR="00DF5F01" w:rsidRPr="008A38B9" w:rsidRDefault="00DF5F01" w:rsidP="00DF5F01">
            <w:pPr>
              <w:pStyle w:val="SingleTxtG"/>
              <w:spacing w:before="40"/>
              <w:ind w:left="0" w:right="113"/>
              <w:jc w:val="left"/>
            </w:pPr>
            <w:r w:rsidRPr="008A38B9">
              <w:t>Ley de la Protección al Consumidor</w:t>
            </w:r>
          </w:p>
        </w:tc>
        <w:tc>
          <w:tcPr>
            <w:tcW w:w="892" w:type="dxa"/>
            <w:shd w:val="clear" w:color="auto" w:fill="auto"/>
          </w:tcPr>
          <w:p w14:paraId="7697B64E" w14:textId="77777777" w:rsidR="00DF5F01" w:rsidRPr="008A38B9" w:rsidRDefault="00DF5F01" w:rsidP="00DF5F01">
            <w:pPr>
              <w:pStyle w:val="SingleTxtG"/>
              <w:spacing w:before="40"/>
              <w:ind w:left="0" w:right="113"/>
              <w:jc w:val="left"/>
            </w:pPr>
            <w:r w:rsidRPr="008A38B9">
              <w:t>1</w:t>
            </w:r>
          </w:p>
        </w:tc>
        <w:tc>
          <w:tcPr>
            <w:tcW w:w="893" w:type="dxa"/>
            <w:shd w:val="clear" w:color="auto" w:fill="auto"/>
          </w:tcPr>
          <w:p w14:paraId="3539BD4E" w14:textId="77777777" w:rsidR="00DF5F01" w:rsidRPr="008A38B9" w:rsidRDefault="00DF5F01" w:rsidP="00DF5F01">
            <w:pPr>
              <w:pStyle w:val="SingleTxtG"/>
              <w:spacing w:before="40"/>
              <w:ind w:left="0" w:right="113"/>
              <w:jc w:val="left"/>
            </w:pPr>
            <w:r w:rsidRPr="008A38B9">
              <w:t>2010</w:t>
            </w:r>
          </w:p>
        </w:tc>
      </w:tr>
      <w:tr w:rsidR="00DF5F01" w14:paraId="00647E67" w14:textId="77777777" w:rsidTr="00DF5F01">
        <w:tc>
          <w:tcPr>
            <w:tcW w:w="630" w:type="dxa"/>
            <w:shd w:val="clear" w:color="auto" w:fill="auto"/>
          </w:tcPr>
          <w:p w14:paraId="0569563F" w14:textId="77777777" w:rsidR="00DF5F01" w:rsidRPr="008A38B9" w:rsidRDefault="00DF5F01" w:rsidP="00DF5F01">
            <w:pPr>
              <w:pStyle w:val="SingleTxtG"/>
              <w:spacing w:before="40"/>
              <w:ind w:left="0" w:right="113"/>
              <w:jc w:val="left"/>
            </w:pPr>
            <w:r w:rsidRPr="008A38B9">
              <w:t>24</w:t>
            </w:r>
          </w:p>
        </w:tc>
        <w:tc>
          <w:tcPr>
            <w:tcW w:w="4955" w:type="dxa"/>
            <w:shd w:val="clear" w:color="auto" w:fill="auto"/>
          </w:tcPr>
          <w:p w14:paraId="351E6F8E" w14:textId="77777777" w:rsidR="00DF5F01" w:rsidRPr="008A38B9" w:rsidRDefault="00DF5F01" w:rsidP="00DF5F01">
            <w:pPr>
              <w:pStyle w:val="SingleTxtG"/>
              <w:spacing w:before="40"/>
              <w:ind w:left="0" w:right="113"/>
              <w:jc w:val="left"/>
            </w:pPr>
            <w:r w:rsidRPr="008A38B9">
              <w:t>Ley del Empleo y Retiro Militar</w:t>
            </w:r>
          </w:p>
        </w:tc>
        <w:tc>
          <w:tcPr>
            <w:tcW w:w="892" w:type="dxa"/>
            <w:shd w:val="clear" w:color="auto" w:fill="auto"/>
          </w:tcPr>
          <w:p w14:paraId="6BAA5BB0" w14:textId="77777777" w:rsidR="00DF5F01" w:rsidRPr="008A38B9" w:rsidRDefault="00DF5F01" w:rsidP="00DF5F01">
            <w:pPr>
              <w:pStyle w:val="SingleTxtG"/>
              <w:spacing w:before="40"/>
              <w:ind w:left="0" w:right="113"/>
              <w:jc w:val="left"/>
            </w:pPr>
            <w:r w:rsidRPr="008A38B9">
              <w:t>3</w:t>
            </w:r>
          </w:p>
        </w:tc>
        <w:tc>
          <w:tcPr>
            <w:tcW w:w="893" w:type="dxa"/>
            <w:shd w:val="clear" w:color="auto" w:fill="auto"/>
          </w:tcPr>
          <w:p w14:paraId="018C59FA" w14:textId="77777777" w:rsidR="00DF5F01" w:rsidRPr="008A38B9" w:rsidRDefault="00DF5F01" w:rsidP="00DF5F01">
            <w:pPr>
              <w:pStyle w:val="SingleTxtG"/>
              <w:spacing w:before="40"/>
              <w:ind w:left="0" w:right="113"/>
              <w:jc w:val="left"/>
            </w:pPr>
            <w:r w:rsidRPr="008A38B9">
              <w:t>2010</w:t>
            </w:r>
          </w:p>
        </w:tc>
      </w:tr>
      <w:tr w:rsidR="00DF5F01" w14:paraId="062682F9" w14:textId="77777777" w:rsidTr="00DF5F01">
        <w:tc>
          <w:tcPr>
            <w:tcW w:w="630" w:type="dxa"/>
            <w:shd w:val="clear" w:color="auto" w:fill="auto"/>
          </w:tcPr>
          <w:p w14:paraId="2A51D9D6" w14:textId="77777777" w:rsidR="00DF5F01" w:rsidRPr="008A38B9" w:rsidRDefault="00DF5F01" w:rsidP="00DF5F01">
            <w:pPr>
              <w:pStyle w:val="SingleTxtG"/>
              <w:spacing w:before="40"/>
              <w:ind w:left="0" w:right="113"/>
              <w:jc w:val="left"/>
            </w:pPr>
            <w:r w:rsidRPr="008A38B9">
              <w:t>25</w:t>
            </w:r>
          </w:p>
        </w:tc>
        <w:tc>
          <w:tcPr>
            <w:tcW w:w="4955" w:type="dxa"/>
            <w:shd w:val="clear" w:color="auto" w:fill="auto"/>
          </w:tcPr>
          <w:p w14:paraId="211EB05C" w14:textId="77777777" w:rsidR="00DF5F01" w:rsidRPr="008A38B9" w:rsidRDefault="00DF5F01" w:rsidP="00DF5F01">
            <w:pPr>
              <w:pStyle w:val="SingleTxtG"/>
              <w:spacing w:before="40"/>
              <w:ind w:left="0" w:right="113"/>
              <w:jc w:val="left"/>
            </w:pPr>
            <w:r w:rsidRPr="008A38B9">
              <w:t>Ley de la Protección de los Productos Iraquíes</w:t>
            </w:r>
          </w:p>
        </w:tc>
        <w:tc>
          <w:tcPr>
            <w:tcW w:w="892" w:type="dxa"/>
            <w:shd w:val="clear" w:color="auto" w:fill="auto"/>
          </w:tcPr>
          <w:p w14:paraId="31607DAF" w14:textId="77777777" w:rsidR="00DF5F01" w:rsidRPr="008A38B9" w:rsidRDefault="00DF5F01" w:rsidP="00DF5F01">
            <w:pPr>
              <w:pStyle w:val="SingleTxtG"/>
              <w:spacing w:before="40"/>
              <w:ind w:left="0" w:right="113"/>
              <w:jc w:val="left"/>
            </w:pPr>
            <w:r w:rsidRPr="008A38B9">
              <w:t>11</w:t>
            </w:r>
          </w:p>
        </w:tc>
        <w:tc>
          <w:tcPr>
            <w:tcW w:w="893" w:type="dxa"/>
            <w:shd w:val="clear" w:color="auto" w:fill="auto"/>
          </w:tcPr>
          <w:p w14:paraId="5DC26842" w14:textId="77777777" w:rsidR="00DF5F01" w:rsidRPr="008A38B9" w:rsidRDefault="00DF5F01" w:rsidP="00DF5F01">
            <w:pPr>
              <w:pStyle w:val="SingleTxtG"/>
              <w:spacing w:before="40"/>
              <w:ind w:left="0" w:right="113"/>
              <w:jc w:val="left"/>
            </w:pPr>
            <w:r w:rsidRPr="008A38B9">
              <w:t>2010</w:t>
            </w:r>
          </w:p>
        </w:tc>
      </w:tr>
      <w:tr w:rsidR="00DF5F01" w14:paraId="1F2B650D" w14:textId="77777777" w:rsidTr="00DF5F01">
        <w:tc>
          <w:tcPr>
            <w:tcW w:w="630" w:type="dxa"/>
            <w:shd w:val="clear" w:color="auto" w:fill="auto"/>
          </w:tcPr>
          <w:p w14:paraId="0E7B3984" w14:textId="77777777" w:rsidR="00DF5F01" w:rsidRPr="008A38B9" w:rsidRDefault="00DF5F01" w:rsidP="00DF5F01">
            <w:pPr>
              <w:pStyle w:val="SingleTxtG"/>
              <w:spacing w:before="40"/>
              <w:ind w:left="0" w:right="113"/>
              <w:jc w:val="left"/>
            </w:pPr>
            <w:r w:rsidRPr="008A38B9">
              <w:t>26</w:t>
            </w:r>
          </w:p>
        </w:tc>
        <w:tc>
          <w:tcPr>
            <w:tcW w:w="4955" w:type="dxa"/>
            <w:shd w:val="clear" w:color="auto" w:fill="auto"/>
          </w:tcPr>
          <w:p w14:paraId="285A3321" w14:textId="77777777" w:rsidR="00DF5F01" w:rsidRPr="008A38B9" w:rsidRDefault="00DF5F01" w:rsidP="00DF5F01">
            <w:pPr>
              <w:pStyle w:val="SingleTxtG"/>
              <w:spacing w:before="40"/>
              <w:ind w:left="0" w:right="113"/>
              <w:jc w:val="left"/>
            </w:pPr>
            <w:r w:rsidRPr="008A38B9">
              <w:t>Ley de la Comisión de Reclamación de Bienes Inmuebles</w:t>
            </w:r>
          </w:p>
        </w:tc>
        <w:tc>
          <w:tcPr>
            <w:tcW w:w="892" w:type="dxa"/>
            <w:shd w:val="clear" w:color="auto" w:fill="auto"/>
          </w:tcPr>
          <w:p w14:paraId="276838FB" w14:textId="77777777" w:rsidR="00DF5F01" w:rsidRPr="008A38B9" w:rsidRDefault="00DF5F01" w:rsidP="00DF5F01">
            <w:pPr>
              <w:pStyle w:val="SingleTxtG"/>
              <w:spacing w:before="40"/>
              <w:ind w:left="0" w:right="113"/>
              <w:jc w:val="left"/>
            </w:pPr>
            <w:r w:rsidRPr="008A38B9">
              <w:t>13</w:t>
            </w:r>
          </w:p>
        </w:tc>
        <w:tc>
          <w:tcPr>
            <w:tcW w:w="893" w:type="dxa"/>
            <w:shd w:val="clear" w:color="auto" w:fill="auto"/>
          </w:tcPr>
          <w:p w14:paraId="645EAD4E" w14:textId="77777777" w:rsidR="00DF5F01" w:rsidRPr="008A38B9" w:rsidRDefault="00DF5F01" w:rsidP="00DF5F01">
            <w:pPr>
              <w:pStyle w:val="SingleTxtG"/>
              <w:spacing w:before="40"/>
              <w:ind w:left="0" w:right="113"/>
              <w:jc w:val="left"/>
            </w:pPr>
            <w:r w:rsidRPr="008A38B9">
              <w:t>2010</w:t>
            </w:r>
          </w:p>
        </w:tc>
      </w:tr>
      <w:tr w:rsidR="00DF5F01" w14:paraId="7CF13A31" w14:textId="77777777" w:rsidTr="00DF5F01">
        <w:tc>
          <w:tcPr>
            <w:tcW w:w="630" w:type="dxa"/>
            <w:shd w:val="clear" w:color="auto" w:fill="auto"/>
          </w:tcPr>
          <w:p w14:paraId="5ED063C9" w14:textId="77777777" w:rsidR="00DF5F01" w:rsidRPr="008A38B9" w:rsidRDefault="00DF5F01" w:rsidP="00DF5F01">
            <w:pPr>
              <w:pStyle w:val="SingleTxtG"/>
              <w:spacing w:before="40"/>
              <w:ind w:left="0" w:right="113"/>
              <w:jc w:val="left"/>
            </w:pPr>
            <w:r w:rsidRPr="008A38B9">
              <w:lastRenderedPageBreak/>
              <w:t>27</w:t>
            </w:r>
          </w:p>
        </w:tc>
        <w:tc>
          <w:tcPr>
            <w:tcW w:w="4955" w:type="dxa"/>
            <w:shd w:val="clear" w:color="auto" w:fill="auto"/>
          </w:tcPr>
          <w:p w14:paraId="7B90FB78" w14:textId="77777777" w:rsidR="00DF5F01" w:rsidRPr="008A38B9" w:rsidRDefault="00DF5F01" w:rsidP="00DF5F01">
            <w:pPr>
              <w:pStyle w:val="SingleTxtG"/>
              <w:spacing w:before="40"/>
              <w:ind w:left="0" w:right="113"/>
              <w:jc w:val="left"/>
            </w:pPr>
            <w:r w:rsidRPr="008A38B9">
              <w:t>Ley de la Protección de la Fauna Silvestre</w:t>
            </w:r>
          </w:p>
        </w:tc>
        <w:tc>
          <w:tcPr>
            <w:tcW w:w="892" w:type="dxa"/>
            <w:shd w:val="clear" w:color="auto" w:fill="auto"/>
          </w:tcPr>
          <w:p w14:paraId="040C288D" w14:textId="77777777" w:rsidR="00DF5F01" w:rsidRPr="008A38B9" w:rsidRDefault="00DF5F01" w:rsidP="00DF5F01">
            <w:pPr>
              <w:pStyle w:val="SingleTxtG"/>
              <w:spacing w:before="40"/>
              <w:ind w:left="0" w:right="113"/>
              <w:jc w:val="left"/>
            </w:pPr>
            <w:r w:rsidRPr="008A38B9">
              <w:t>17</w:t>
            </w:r>
          </w:p>
        </w:tc>
        <w:tc>
          <w:tcPr>
            <w:tcW w:w="893" w:type="dxa"/>
            <w:shd w:val="clear" w:color="auto" w:fill="auto"/>
          </w:tcPr>
          <w:p w14:paraId="617C69BC" w14:textId="77777777" w:rsidR="00DF5F01" w:rsidRPr="008A38B9" w:rsidRDefault="00DF5F01" w:rsidP="00DF5F01">
            <w:pPr>
              <w:pStyle w:val="SingleTxtG"/>
              <w:spacing w:before="40"/>
              <w:ind w:left="0" w:right="113"/>
              <w:jc w:val="left"/>
            </w:pPr>
            <w:r w:rsidRPr="008A38B9">
              <w:t>2010</w:t>
            </w:r>
          </w:p>
        </w:tc>
      </w:tr>
      <w:tr w:rsidR="00DF5F01" w14:paraId="34B5309F" w14:textId="77777777" w:rsidTr="00DF5F01">
        <w:tc>
          <w:tcPr>
            <w:tcW w:w="630" w:type="dxa"/>
            <w:shd w:val="clear" w:color="auto" w:fill="auto"/>
          </w:tcPr>
          <w:p w14:paraId="4D527564" w14:textId="77777777" w:rsidR="00DF5F01" w:rsidRPr="008A38B9" w:rsidRDefault="00DF5F01" w:rsidP="00DF5F01">
            <w:pPr>
              <w:pStyle w:val="SingleTxtG"/>
              <w:spacing w:before="40"/>
              <w:ind w:left="0" w:right="113"/>
              <w:jc w:val="left"/>
            </w:pPr>
            <w:r w:rsidRPr="008A38B9">
              <w:t>28</w:t>
            </w:r>
          </w:p>
        </w:tc>
        <w:tc>
          <w:tcPr>
            <w:tcW w:w="4955" w:type="dxa"/>
            <w:shd w:val="clear" w:color="auto" w:fill="auto"/>
          </w:tcPr>
          <w:p w14:paraId="6F6E6673" w14:textId="77777777" w:rsidR="00DF5F01" w:rsidRPr="008A38B9" w:rsidRDefault="00DF5F01" w:rsidP="00DF5F01">
            <w:pPr>
              <w:pStyle w:val="SingleTxtG"/>
              <w:spacing w:before="40"/>
              <w:ind w:left="0" w:right="113"/>
              <w:jc w:val="left"/>
            </w:pPr>
            <w:r w:rsidRPr="008A38B9">
              <w:t>Ley de Indemnización Inmobiliaria para los Perjudicados por el Régimen Anterior</w:t>
            </w:r>
          </w:p>
        </w:tc>
        <w:tc>
          <w:tcPr>
            <w:tcW w:w="892" w:type="dxa"/>
            <w:shd w:val="clear" w:color="auto" w:fill="auto"/>
          </w:tcPr>
          <w:p w14:paraId="795D43E8" w14:textId="77777777" w:rsidR="00DF5F01" w:rsidRPr="008A38B9" w:rsidRDefault="00DF5F01" w:rsidP="00DF5F01">
            <w:pPr>
              <w:pStyle w:val="SingleTxtG"/>
              <w:spacing w:before="40"/>
              <w:ind w:left="0" w:right="113"/>
              <w:jc w:val="left"/>
            </w:pPr>
            <w:r w:rsidRPr="008A38B9">
              <w:t>16</w:t>
            </w:r>
          </w:p>
        </w:tc>
        <w:tc>
          <w:tcPr>
            <w:tcW w:w="893" w:type="dxa"/>
            <w:shd w:val="clear" w:color="auto" w:fill="auto"/>
          </w:tcPr>
          <w:p w14:paraId="0A031E7C" w14:textId="77777777" w:rsidR="00DF5F01" w:rsidRPr="008A38B9" w:rsidRDefault="00DF5F01" w:rsidP="00DF5F01">
            <w:pPr>
              <w:pStyle w:val="SingleTxtG"/>
              <w:spacing w:before="40"/>
              <w:ind w:left="0" w:right="113"/>
              <w:jc w:val="left"/>
            </w:pPr>
            <w:r w:rsidRPr="008A38B9">
              <w:t>2010</w:t>
            </w:r>
          </w:p>
        </w:tc>
      </w:tr>
      <w:tr w:rsidR="00DF5F01" w14:paraId="4785C071" w14:textId="77777777" w:rsidTr="00DF5F01">
        <w:tc>
          <w:tcPr>
            <w:tcW w:w="630" w:type="dxa"/>
            <w:shd w:val="clear" w:color="auto" w:fill="auto"/>
          </w:tcPr>
          <w:p w14:paraId="261718BB" w14:textId="77777777" w:rsidR="00DF5F01" w:rsidRPr="008A38B9" w:rsidRDefault="00DF5F01" w:rsidP="00DF5F01">
            <w:pPr>
              <w:pStyle w:val="SingleTxtG"/>
              <w:spacing w:before="40"/>
              <w:ind w:left="0" w:right="113"/>
              <w:jc w:val="left"/>
            </w:pPr>
            <w:r w:rsidRPr="008A38B9">
              <w:t>29</w:t>
            </w:r>
          </w:p>
        </w:tc>
        <w:tc>
          <w:tcPr>
            <w:tcW w:w="4955" w:type="dxa"/>
            <w:shd w:val="clear" w:color="auto" w:fill="auto"/>
          </w:tcPr>
          <w:p w14:paraId="5F1C9706" w14:textId="77777777" w:rsidR="00DF5F01" w:rsidRPr="008A38B9" w:rsidRDefault="00DF5F01" w:rsidP="00DF5F01">
            <w:pPr>
              <w:pStyle w:val="SingleTxtG"/>
              <w:spacing w:before="40"/>
              <w:ind w:left="0" w:right="113"/>
              <w:jc w:val="left"/>
            </w:pPr>
            <w:r w:rsidRPr="008A38B9">
              <w:t>Ley de las Organizaciones No Gubernamentales</w:t>
            </w:r>
          </w:p>
        </w:tc>
        <w:tc>
          <w:tcPr>
            <w:tcW w:w="892" w:type="dxa"/>
            <w:shd w:val="clear" w:color="auto" w:fill="auto"/>
          </w:tcPr>
          <w:p w14:paraId="66DA99E5" w14:textId="77777777" w:rsidR="00DF5F01" w:rsidRPr="008A38B9" w:rsidRDefault="00DF5F01" w:rsidP="00DF5F01">
            <w:pPr>
              <w:pStyle w:val="SingleTxtG"/>
              <w:spacing w:before="40"/>
              <w:ind w:left="0" w:right="113"/>
              <w:jc w:val="left"/>
            </w:pPr>
            <w:r w:rsidRPr="008A38B9">
              <w:t>12</w:t>
            </w:r>
          </w:p>
        </w:tc>
        <w:tc>
          <w:tcPr>
            <w:tcW w:w="893" w:type="dxa"/>
            <w:shd w:val="clear" w:color="auto" w:fill="auto"/>
          </w:tcPr>
          <w:p w14:paraId="6B4EC26D" w14:textId="77777777" w:rsidR="00DF5F01" w:rsidRPr="008A38B9" w:rsidRDefault="00DF5F01" w:rsidP="00DF5F01">
            <w:pPr>
              <w:pStyle w:val="SingleTxtG"/>
              <w:spacing w:before="40"/>
              <w:ind w:left="0" w:right="113"/>
              <w:jc w:val="left"/>
            </w:pPr>
            <w:r w:rsidRPr="008A38B9">
              <w:t>2010</w:t>
            </w:r>
          </w:p>
        </w:tc>
      </w:tr>
      <w:tr w:rsidR="00DF5F01" w14:paraId="1318D07E" w14:textId="77777777" w:rsidTr="00DF5F01">
        <w:tc>
          <w:tcPr>
            <w:tcW w:w="630" w:type="dxa"/>
            <w:shd w:val="clear" w:color="auto" w:fill="auto"/>
          </w:tcPr>
          <w:p w14:paraId="713477CE" w14:textId="77777777" w:rsidR="00DF5F01" w:rsidRPr="008A38B9" w:rsidRDefault="00DF5F01" w:rsidP="00DF5F01">
            <w:pPr>
              <w:pStyle w:val="SingleTxtG"/>
              <w:spacing w:before="40"/>
              <w:ind w:left="0" w:right="113"/>
              <w:jc w:val="left"/>
            </w:pPr>
            <w:r w:rsidRPr="008A38B9">
              <w:t>30</w:t>
            </w:r>
          </w:p>
        </w:tc>
        <w:tc>
          <w:tcPr>
            <w:tcW w:w="4955" w:type="dxa"/>
            <w:shd w:val="clear" w:color="auto" w:fill="auto"/>
          </w:tcPr>
          <w:p w14:paraId="04E501FD" w14:textId="77777777" w:rsidR="00DF5F01" w:rsidRPr="008A38B9" w:rsidRDefault="00DF5F01" w:rsidP="00DF5F01">
            <w:pPr>
              <w:pStyle w:val="SingleTxtG"/>
              <w:spacing w:before="40"/>
              <w:ind w:left="0" w:right="113"/>
              <w:jc w:val="left"/>
            </w:pPr>
            <w:r w:rsidRPr="008A38B9">
              <w:t>Ley de la Comisión de Riego</w:t>
            </w:r>
          </w:p>
        </w:tc>
        <w:tc>
          <w:tcPr>
            <w:tcW w:w="892" w:type="dxa"/>
            <w:shd w:val="clear" w:color="auto" w:fill="auto"/>
          </w:tcPr>
          <w:p w14:paraId="608A0CF7" w14:textId="77777777" w:rsidR="00DF5F01" w:rsidRPr="008A38B9" w:rsidRDefault="00DF5F01" w:rsidP="00DF5F01">
            <w:pPr>
              <w:pStyle w:val="SingleTxtG"/>
              <w:spacing w:before="40"/>
              <w:ind w:left="0" w:right="113"/>
              <w:jc w:val="left"/>
            </w:pPr>
            <w:r w:rsidRPr="008A38B9">
              <w:t>9</w:t>
            </w:r>
          </w:p>
        </w:tc>
        <w:tc>
          <w:tcPr>
            <w:tcW w:w="893" w:type="dxa"/>
            <w:shd w:val="clear" w:color="auto" w:fill="auto"/>
          </w:tcPr>
          <w:p w14:paraId="2B205991" w14:textId="77777777" w:rsidR="00DF5F01" w:rsidRPr="008A38B9" w:rsidRDefault="00DF5F01" w:rsidP="00DF5F01">
            <w:pPr>
              <w:pStyle w:val="SingleTxtG"/>
              <w:spacing w:before="40"/>
              <w:ind w:left="0" w:right="113"/>
              <w:jc w:val="left"/>
            </w:pPr>
            <w:r w:rsidRPr="008A38B9">
              <w:t>2011</w:t>
            </w:r>
          </w:p>
        </w:tc>
      </w:tr>
      <w:tr w:rsidR="00DF5F01" w14:paraId="1D35C976" w14:textId="77777777" w:rsidTr="00DF5F01">
        <w:tc>
          <w:tcPr>
            <w:tcW w:w="630" w:type="dxa"/>
            <w:shd w:val="clear" w:color="auto" w:fill="auto"/>
          </w:tcPr>
          <w:p w14:paraId="3A0329D2" w14:textId="77777777" w:rsidR="00DF5F01" w:rsidRPr="008A38B9" w:rsidRDefault="00DF5F01" w:rsidP="00DF5F01">
            <w:pPr>
              <w:pStyle w:val="SingleTxtG"/>
              <w:spacing w:before="40"/>
              <w:ind w:left="0" w:right="113"/>
              <w:jc w:val="left"/>
            </w:pPr>
            <w:r w:rsidRPr="008A38B9">
              <w:t>31</w:t>
            </w:r>
          </w:p>
        </w:tc>
        <w:tc>
          <w:tcPr>
            <w:tcW w:w="4955" w:type="dxa"/>
            <w:shd w:val="clear" w:color="auto" w:fill="auto"/>
          </w:tcPr>
          <w:p w14:paraId="26683209" w14:textId="77777777" w:rsidR="00DF5F01" w:rsidRPr="008A38B9" w:rsidRDefault="00DF5F01" w:rsidP="00DF5F01">
            <w:pPr>
              <w:pStyle w:val="SingleTxtG"/>
              <w:spacing w:before="40"/>
              <w:ind w:left="0" w:right="113"/>
              <w:jc w:val="left"/>
            </w:pPr>
            <w:r w:rsidRPr="008A38B9">
              <w:t>Ley de la Comisión para la Integridad</w:t>
            </w:r>
          </w:p>
        </w:tc>
        <w:tc>
          <w:tcPr>
            <w:tcW w:w="892" w:type="dxa"/>
            <w:shd w:val="clear" w:color="auto" w:fill="auto"/>
          </w:tcPr>
          <w:p w14:paraId="06544775" w14:textId="77777777" w:rsidR="00DF5F01" w:rsidRPr="008A38B9" w:rsidRDefault="00DF5F01" w:rsidP="00DF5F01">
            <w:pPr>
              <w:pStyle w:val="SingleTxtG"/>
              <w:spacing w:before="40"/>
              <w:ind w:left="0" w:right="113"/>
              <w:jc w:val="left"/>
            </w:pPr>
            <w:r w:rsidRPr="008A38B9">
              <w:t>30</w:t>
            </w:r>
          </w:p>
        </w:tc>
        <w:tc>
          <w:tcPr>
            <w:tcW w:w="893" w:type="dxa"/>
            <w:shd w:val="clear" w:color="auto" w:fill="auto"/>
          </w:tcPr>
          <w:p w14:paraId="6A461237" w14:textId="77777777" w:rsidR="00DF5F01" w:rsidRPr="008A38B9" w:rsidRDefault="00DF5F01" w:rsidP="00DF5F01">
            <w:pPr>
              <w:pStyle w:val="SingleTxtG"/>
              <w:spacing w:before="40"/>
              <w:ind w:left="0" w:right="113"/>
              <w:jc w:val="left"/>
            </w:pPr>
            <w:r w:rsidRPr="008A38B9">
              <w:t>2011</w:t>
            </w:r>
          </w:p>
        </w:tc>
      </w:tr>
      <w:tr w:rsidR="00DF5F01" w14:paraId="34E53DED" w14:textId="77777777" w:rsidTr="00DF5F01">
        <w:tc>
          <w:tcPr>
            <w:tcW w:w="630" w:type="dxa"/>
            <w:shd w:val="clear" w:color="auto" w:fill="auto"/>
          </w:tcPr>
          <w:p w14:paraId="337E628C" w14:textId="77777777" w:rsidR="00DF5F01" w:rsidRPr="008A38B9" w:rsidRDefault="00DF5F01" w:rsidP="00DF5F01">
            <w:pPr>
              <w:pStyle w:val="SingleTxtG"/>
              <w:spacing w:before="40"/>
              <w:ind w:left="0" w:right="113"/>
              <w:jc w:val="left"/>
            </w:pPr>
            <w:r w:rsidRPr="008A38B9">
              <w:t>32</w:t>
            </w:r>
          </w:p>
        </w:tc>
        <w:tc>
          <w:tcPr>
            <w:tcW w:w="4955" w:type="dxa"/>
            <w:shd w:val="clear" w:color="auto" w:fill="auto"/>
          </w:tcPr>
          <w:p w14:paraId="129774EC" w14:textId="77777777" w:rsidR="00DF5F01" w:rsidRPr="008A38B9" w:rsidRDefault="00DF5F01" w:rsidP="00DF5F01">
            <w:pPr>
              <w:pStyle w:val="SingleTxtG"/>
              <w:spacing w:before="40"/>
              <w:ind w:left="0" w:right="113"/>
              <w:jc w:val="left"/>
            </w:pPr>
            <w:r w:rsidRPr="008A38B9">
              <w:t>Ley por la que se retira la reserva formulada por la República del Iraq mediante la Ley núm. 66/1986 al artículo 9 de la Convención sobre la Eliminación de Todas las Formas de Discriminación contra la Mujer</w:t>
            </w:r>
          </w:p>
        </w:tc>
        <w:tc>
          <w:tcPr>
            <w:tcW w:w="892" w:type="dxa"/>
            <w:shd w:val="clear" w:color="auto" w:fill="auto"/>
          </w:tcPr>
          <w:p w14:paraId="576D2FF7" w14:textId="77777777" w:rsidR="00DF5F01" w:rsidRPr="008A38B9" w:rsidRDefault="00DF5F01" w:rsidP="00DF5F01">
            <w:pPr>
              <w:pStyle w:val="SingleTxtG"/>
              <w:spacing w:before="40"/>
              <w:ind w:left="0" w:right="113"/>
              <w:jc w:val="left"/>
            </w:pPr>
            <w:r w:rsidRPr="008A38B9">
              <w:t>33</w:t>
            </w:r>
          </w:p>
        </w:tc>
        <w:tc>
          <w:tcPr>
            <w:tcW w:w="893" w:type="dxa"/>
            <w:shd w:val="clear" w:color="auto" w:fill="auto"/>
          </w:tcPr>
          <w:p w14:paraId="12D5F358" w14:textId="77777777" w:rsidR="00DF5F01" w:rsidRPr="008A38B9" w:rsidRDefault="00DF5F01" w:rsidP="00DF5F01">
            <w:pPr>
              <w:pStyle w:val="SingleTxtG"/>
              <w:spacing w:before="40"/>
              <w:ind w:left="0" w:right="113"/>
              <w:jc w:val="left"/>
            </w:pPr>
            <w:r w:rsidRPr="008A38B9">
              <w:t>2011</w:t>
            </w:r>
          </w:p>
        </w:tc>
      </w:tr>
      <w:tr w:rsidR="00DF5F01" w14:paraId="7407EC37" w14:textId="77777777" w:rsidTr="00DF5F01">
        <w:tc>
          <w:tcPr>
            <w:tcW w:w="630" w:type="dxa"/>
            <w:shd w:val="clear" w:color="auto" w:fill="auto"/>
          </w:tcPr>
          <w:p w14:paraId="59858776" w14:textId="77777777" w:rsidR="00DF5F01" w:rsidRPr="008A38B9" w:rsidRDefault="00DF5F01" w:rsidP="00DF5F01">
            <w:pPr>
              <w:pStyle w:val="SingleTxtG"/>
              <w:spacing w:before="40"/>
              <w:ind w:left="0" w:right="113"/>
              <w:jc w:val="left"/>
            </w:pPr>
            <w:r w:rsidRPr="008A38B9">
              <w:t>33</w:t>
            </w:r>
          </w:p>
        </w:tc>
        <w:tc>
          <w:tcPr>
            <w:tcW w:w="4955" w:type="dxa"/>
            <w:shd w:val="clear" w:color="auto" w:fill="auto"/>
          </w:tcPr>
          <w:p w14:paraId="72AA95F4" w14:textId="77777777" w:rsidR="00DF5F01" w:rsidRPr="008A38B9" w:rsidRDefault="00DF5F01" w:rsidP="00DF5F01">
            <w:pPr>
              <w:pStyle w:val="SingleTxtG"/>
              <w:spacing w:before="40"/>
              <w:ind w:left="0" w:right="113"/>
              <w:jc w:val="left"/>
            </w:pPr>
            <w:r w:rsidRPr="008A38B9">
              <w:t>Ley del Servicio y el Retiro en las Fuerzas de la Seguridad Interior</w:t>
            </w:r>
          </w:p>
        </w:tc>
        <w:tc>
          <w:tcPr>
            <w:tcW w:w="892" w:type="dxa"/>
            <w:shd w:val="clear" w:color="auto" w:fill="auto"/>
          </w:tcPr>
          <w:p w14:paraId="1547948D" w14:textId="77777777" w:rsidR="00DF5F01" w:rsidRPr="008A38B9" w:rsidRDefault="00DF5F01" w:rsidP="00DF5F01">
            <w:pPr>
              <w:pStyle w:val="SingleTxtG"/>
              <w:spacing w:before="40"/>
              <w:ind w:left="0" w:right="113"/>
              <w:jc w:val="left"/>
            </w:pPr>
            <w:r w:rsidRPr="008A38B9">
              <w:t>18</w:t>
            </w:r>
          </w:p>
        </w:tc>
        <w:tc>
          <w:tcPr>
            <w:tcW w:w="893" w:type="dxa"/>
            <w:shd w:val="clear" w:color="auto" w:fill="auto"/>
          </w:tcPr>
          <w:p w14:paraId="761A8FB4" w14:textId="77777777" w:rsidR="00DF5F01" w:rsidRPr="008A38B9" w:rsidRDefault="00DF5F01" w:rsidP="00DF5F01">
            <w:pPr>
              <w:pStyle w:val="SingleTxtG"/>
              <w:spacing w:before="40"/>
              <w:ind w:left="0" w:right="113"/>
              <w:jc w:val="left"/>
            </w:pPr>
            <w:r w:rsidRPr="008A38B9">
              <w:t>2011</w:t>
            </w:r>
          </w:p>
        </w:tc>
      </w:tr>
      <w:tr w:rsidR="00DF5F01" w14:paraId="1696B807" w14:textId="77777777" w:rsidTr="00DF5F01">
        <w:tc>
          <w:tcPr>
            <w:tcW w:w="630" w:type="dxa"/>
            <w:shd w:val="clear" w:color="auto" w:fill="auto"/>
          </w:tcPr>
          <w:p w14:paraId="6EFDF5AF" w14:textId="77777777" w:rsidR="00DF5F01" w:rsidRPr="008A38B9" w:rsidRDefault="00DF5F01" w:rsidP="00DF5F01">
            <w:pPr>
              <w:pStyle w:val="SingleTxtG"/>
              <w:spacing w:before="40"/>
              <w:ind w:left="0" w:right="113"/>
              <w:jc w:val="left"/>
            </w:pPr>
            <w:r w:rsidRPr="008A38B9">
              <w:t>34</w:t>
            </w:r>
          </w:p>
        </w:tc>
        <w:tc>
          <w:tcPr>
            <w:tcW w:w="4955" w:type="dxa"/>
            <w:shd w:val="clear" w:color="auto" w:fill="auto"/>
          </w:tcPr>
          <w:p w14:paraId="1FC73695" w14:textId="77777777" w:rsidR="00DF5F01" w:rsidRPr="008A38B9" w:rsidRDefault="00DF5F01" w:rsidP="00DF5F01">
            <w:pPr>
              <w:pStyle w:val="SingleTxtG"/>
              <w:spacing w:before="40"/>
              <w:ind w:left="0" w:right="113"/>
              <w:jc w:val="left"/>
            </w:pPr>
            <w:r w:rsidRPr="008A38B9">
              <w:t>Ley del Subsidio Mensual para los Enfermos del VIH/Sida</w:t>
            </w:r>
          </w:p>
        </w:tc>
        <w:tc>
          <w:tcPr>
            <w:tcW w:w="892" w:type="dxa"/>
            <w:shd w:val="clear" w:color="auto" w:fill="auto"/>
          </w:tcPr>
          <w:p w14:paraId="3885BD48"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7DBB541C" w14:textId="77777777" w:rsidR="00DF5F01" w:rsidRPr="008A38B9" w:rsidRDefault="00DF5F01" w:rsidP="00DF5F01">
            <w:pPr>
              <w:pStyle w:val="SingleTxtG"/>
              <w:spacing w:before="40"/>
              <w:ind w:left="0" w:right="113"/>
              <w:jc w:val="left"/>
            </w:pPr>
            <w:r w:rsidRPr="008A38B9">
              <w:t>2011</w:t>
            </w:r>
          </w:p>
        </w:tc>
      </w:tr>
      <w:tr w:rsidR="00DF5F01" w14:paraId="097BE332" w14:textId="77777777" w:rsidTr="00DF5F01">
        <w:tc>
          <w:tcPr>
            <w:tcW w:w="630" w:type="dxa"/>
            <w:shd w:val="clear" w:color="auto" w:fill="auto"/>
          </w:tcPr>
          <w:p w14:paraId="2F1E8FC7" w14:textId="77777777" w:rsidR="00DF5F01" w:rsidRPr="008A38B9" w:rsidRDefault="00DF5F01" w:rsidP="00DF5F01">
            <w:pPr>
              <w:pStyle w:val="SingleTxtG"/>
              <w:spacing w:before="40"/>
              <w:ind w:left="0" w:right="113"/>
              <w:jc w:val="left"/>
            </w:pPr>
            <w:r w:rsidRPr="008A38B9">
              <w:t>35</w:t>
            </w:r>
          </w:p>
        </w:tc>
        <w:tc>
          <w:tcPr>
            <w:tcW w:w="4955" w:type="dxa"/>
            <w:shd w:val="clear" w:color="auto" w:fill="auto"/>
          </w:tcPr>
          <w:p w14:paraId="427E97B7" w14:textId="77777777" w:rsidR="00DF5F01" w:rsidRPr="008A38B9" w:rsidRDefault="00DF5F01" w:rsidP="00DF5F01">
            <w:pPr>
              <w:pStyle w:val="SingleTxtG"/>
              <w:spacing w:before="40"/>
              <w:ind w:left="0" w:right="113"/>
              <w:jc w:val="left"/>
            </w:pPr>
            <w:r w:rsidRPr="008A38B9">
              <w:t>Ley de los Derechos de los Periodistas</w:t>
            </w:r>
          </w:p>
        </w:tc>
        <w:tc>
          <w:tcPr>
            <w:tcW w:w="892" w:type="dxa"/>
            <w:shd w:val="clear" w:color="auto" w:fill="auto"/>
          </w:tcPr>
          <w:p w14:paraId="0D8F19D4" w14:textId="77777777" w:rsidR="00DF5F01" w:rsidRPr="008A38B9" w:rsidRDefault="00DF5F01" w:rsidP="00DF5F01">
            <w:pPr>
              <w:pStyle w:val="SingleTxtG"/>
              <w:spacing w:before="40"/>
              <w:ind w:left="0" w:right="113"/>
              <w:jc w:val="left"/>
            </w:pPr>
            <w:r w:rsidRPr="008A38B9">
              <w:t>21</w:t>
            </w:r>
          </w:p>
        </w:tc>
        <w:tc>
          <w:tcPr>
            <w:tcW w:w="893" w:type="dxa"/>
            <w:shd w:val="clear" w:color="auto" w:fill="auto"/>
          </w:tcPr>
          <w:p w14:paraId="45DEA565" w14:textId="77777777" w:rsidR="00DF5F01" w:rsidRPr="008A38B9" w:rsidRDefault="00DF5F01" w:rsidP="00DF5F01">
            <w:pPr>
              <w:pStyle w:val="SingleTxtG"/>
              <w:spacing w:before="40"/>
              <w:ind w:left="0" w:right="113"/>
              <w:jc w:val="left"/>
            </w:pPr>
            <w:r w:rsidRPr="008A38B9">
              <w:t>2011</w:t>
            </w:r>
          </w:p>
        </w:tc>
      </w:tr>
      <w:tr w:rsidR="00DF5F01" w14:paraId="091D14B7" w14:textId="77777777" w:rsidTr="00DF5F01">
        <w:tc>
          <w:tcPr>
            <w:tcW w:w="630" w:type="dxa"/>
            <w:shd w:val="clear" w:color="auto" w:fill="auto"/>
          </w:tcPr>
          <w:p w14:paraId="70C79DEC" w14:textId="77777777" w:rsidR="00DF5F01" w:rsidRPr="008A38B9" w:rsidRDefault="00DF5F01" w:rsidP="00DF5F01">
            <w:pPr>
              <w:pStyle w:val="SingleTxtG"/>
              <w:spacing w:before="40"/>
              <w:ind w:left="0" w:right="113"/>
              <w:jc w:val="left"/>
            </w:pPr>
            <w:r w:rsidRPr="008A38B9">
              <w:t>36</w:t>
            </w:r>
          </w:p>
        </w:tc>
        <w:tc>
          <w:tcPr>
            <w:tcW w:w="4955" w:type="dxa"/>
            <w:shd w:val="clear" w:color="auto" w:fill="auto"/>
          </w:tcPr>
          <w:p w14:paraId="35025FBF" w14:textId="77777777" w:rsidR="00DF5F01" w:rsidRPr="008A38B9" w:rsidRDefault="00DF5F01" w:rsidP="00DF5F01">
            <w:pPr>
              <w:pStyle w:val="SingleTxtG"/>
              <w:spacing w:before="40"/>
              <w:ind w:left="0" w:right="113"/>
              <w:jc w:val="left"/>
            </w:pPr>
            <w:r w:rsidRPr="008A38B9">
              <w:t xml:space="preserve">Ley para la Prohibición del Empleo y la Proliferación de las Armas con Silenciador </w:t>
            </w:r>
          </w:p>
        </w:tc>
        <w:tc>
          <w:tcPr>
            <w:tcW w:w="892" w:type="dxa"/>
            <w:shd w:val="clear" w:color="auto" w:fill="auto"/>
          </w:tcPr>
          <w:p w14:paraId="371FE35A" w14:textId="77777777" w:rsidR="00DF5F01" w:rsidRPr="008A38B9" w:rsidRDefault="00DF5F01" w:rsidP="00DF5F01">
            <w:pPr>
              <w:pStyle w:val="SingleTxtG"/>
              <w:spacing w:before="40"/>
              <w:ind w:left="0" w:right="113"/>
              <w:jc w:val="left"/>
            </w:pPr>
            <w:r w:rsidRPr="008A38B9">
              <w:t>38</w:t>
            </w:r>
          </w:p>
        </w:tc>
        <w:tc>
          <w:tcPr>
            <w:tcW w:w="893" w:type="dxa"/>
            <w:shd w:val="clear" w:color="auto" w:fill="auto"/>
          </w:tcPr>
          <w:p w14:paraId="5D61B9AD" w14:textId="77777777" w:rsidR="00DF5F01" w:rsidRPr="008A38B9" w:rsidRDefault="00DF5F01" w:rsidP="00DF5F01">
            <w:pPr>
              <w:pStyle w:val="SingleTxtG"/>
              <w:spacing w:before="40"/>
              <w:ind w:left="0" w:right="113"/>
              <w:jc w:val="left"/>
            </w:pPr>
            <w:r w:rsidRPr="008A38B9">
              <w:t>2011</w:t>
            </w:r>
          </w:p>
        </w:tc>
      </w:tr>
      <w:tr w:rsidR="00DF5F01" w14:paraId="4D17416F" w14:textId="77777777" w:rsidTr="00DF5F01">
        <w:tc>
          <w:tcPr>
            <w:tcW w:w="630" w:type="dxa"/>
            <w:shd w:val="clear" w:color="auto" w:fill="auto"/>
          </w:tcPr>
          <w:p w14:paraId="3BB0756A" w14:textId="77777777" w:rsidR="00DF5F01" w:rsidRPr="008A38B9" w:rsidRDefault="00DF5F01" w:rsidP="00DF5F01">
            <w:pPr>
              <w:pStyle w:val="SingleTxtG"/>
              <w:spacing w:before="40"/>
              <w:ind w:left="0" w:right="113"/>
              <w:jc w:val="left"/>
            </w:pPr>
            <w:r w:rsidRPr="008A38B9">
              <w:t>37</w:t>
            </w:r>
          </w:p>
        </w:tc>
        <w:tc>
          <w:tcPr>
            <w:tcW w:w="4955" w:type="dxa"/>
            <w:shd w:val="clear" w:color="auto" w:fill="auto"/>
          </w:tcPr>
          <w:p w14:paraId="7B95418A" w14:textId="77777777" w:rsidR="00DF5F01" w:rsidRPr="008A38B9" w:rsidRDefault="00DF5F01" w:rsidP="00DF5F01">
            <w:pPr>
              <w:pStyle w:val="SingleTxtG"/>
              <w:spacing w:before="40"/>
              <w:ind w:left="0" w:right="113"/>
              <w:jc w:val="left"/>
            </w:pPr>
            <w:r w:rsidRPr="008A38B9">
              <w:t>Ley de la Alfabetización</w:t>
            </w:r>
          </w:p>
        </w:tc>
        <w:tc>
          <w:tcPr>
            <w:tcW w:w="892" w:type="dxa"/>
            <w:shd w:val="clear" w:color="auto" w:fill="auto"/>
          </w:tcPr>
          <w:p w14:paraId="280049C3" w14:textId="77777777" w:rsidR="00DF5F01" w:rsidRPr="008A38B9" w:rsidRDefault="00DF5F01" w:rsidP="00DF5F01">
            <w:pPr>
              <w:pStyle w:val="SingleTxtG"/>
              <w:spacing w:before="40"/>
              <w:ind w:left="0" w:right="113"/>
              <w:jc w:val="left"/>
            </w:pPr>
            <w:r w:rsidRPr="008A38B9">
              <w:t>23</w:t>
            </w:r>
          </w:p>
        </w:tc>
        <w:tc>
          <w:tcPr>
            <w:tcW w:w="893" w:type="dxa"/>
            <w:shd w:val="clear" w:color="auto" w:fill="auto"/>
          </w:tcPr>
          <w:p w14:paraId="2E1A96C8" w14:textId="77777777" w:rsidR="00DF5F01" w:rsidRPr="008A38B9" w:rsidRDefault="00DF5F01" w:rsidP="00DF5F01">
            <w:pPr>
              <w:pStyle w:val="SingleTxtG"/>
              <w:spacing w:before="40"/>
              <w:ind w:left="0" w:right="113"/>
              <w:jc w:val="left"/>
            </w:pPr>
            <w:r w:rsidRPr="008A38B9">
              <w:t>2011</w:t>
            </w:r>
          </w:p>
        </w:tc>
      </w:tr>
      <w:tr w:rsidR="00DF5F01" w14:paraId="78163662" w14:textId="77777777" w:rsidTr="00DF5F01">
        <w:tc>
          <w:tcPr>
            <w:tcW w:w="630" w:type="dxa"/>
            <w:shd w:val="clear" w:color="auto" w:fill="auto"/>
          </w:tcPr>
          <w:p w14:paraId="103623CE" w14:textId="77777777" w:rsidR="00DF5F01" w:rsidRPr="008A38B9" w:rsidRDefault="00DF5F01" w:rsidP="00DF5F01">
            <w:pPr>
              <w:pStyle w:val="SingleTxtG"/>
              <w:spacing w:before="40"/>
              <w:ind w:left="0" w:right="113"/>
              <w:jc w:val="left"/>
            </w:pPr>
            <w:r w:rsidRPr="008A38B9">
              <w:t>38</w:t>
            </w:r>
          </w:p>
        </w:tc>
        <w:tc>
          <w:tcPr>
            <w:tcW w:w="4955" w:type="dxa"/>
            <w:shd w:val="clear" w:color="auto" w:fill="auto"/>
          </w:tcPr>
          <w:p w14:paraId="08085F92" w14:textId="77777777" w:rsidR="00DF5F01" w:rsidRPr="008A38B9" w:rsidRDefault="00DF5F01" w:rsidP="00DF5F01">
            <w:pPr>
              <w:pStyle w:val="SingleTxtG"/>
              <w:spacing w:before="40"/>
              <w:ind w:left="0" w:right="113"/>
              <w:jc w:val="left"/>
            </w:pPr>
            <w:r w:rsidRPr="008A38B9">
              <w:t>Ley de Becas para el Alumnado de las Universidades y los Institutos Universitarios Iraquíes</w:t>
            </w:r>
          </w:p>
        </w:tc>
        <w:tc>
          <w:tcPr>
            <w:tcW w:w="892" w:type="dxa"/>
            <w:shd w:val="clear" w:color="auto" w:fill="auto"/>
          </w:tcPr>
          <w:p w14:paraId="44470D53" w14:textId="77777777" w:rsidR="00DF5F01" w:rsidRPr="008A38B9" w:rsidRDefault="00DF5F01" w:rsidP="00DF5F01">
            <w:pPr>
              <w:pStyle w:val="SingleTxtG"/>
              <w:spacing w:before="40"/>
              <w:ind w:left="0" w:right="113"/>
              <w:jc w:val="left"/>
            </w:pPr>
            <w:r w:rsidRPr="008A38B9">
              <w:t>63</w:t>
            </w:r>
          </w:p>
        </w:tc>
        <w:tc>
          <w:tcPr>
            <w:tcW w:w="893" w:type="dxa"/>
            <w:shd w:val="clear" w:color="auto" w:fill="auto"/>
          </w:tcPr>
          <w:p w14:paraId="74D70636" w14:textId="77777777" w:rsidR="00DF5F01" w:rsidRPr="008A38B9" w:rsidRDefault="00DF5F01" w:rsidP="00DF5F01">
            <w:pPr>
              <w:pStyle w:val="SingleTxtG"/>
              <w:spacing w:before="40"/>
              <w:ind w:left="0" w:right="113"/>
              <w:jc w:val="left"/>
            </w:pPr>
            <w:r w:rsidRPr="008A38B9">
              <w:t>2012</w:t>
            </w:r>
          </w:p>
        </w:tc>
      </w:tr>
      <w:tr w:rsidR="00DF5F01" w14:paraId="73A02143" w14:textId="77777777" w:rsidTr="00DF5F01">
        <w:tc>
          <w:tcPr>
            <w:tcW w:w="630" w:type="dxa"/>
            <w:shd w:val="clear" w:color="auto" w:fill="auto"/>
          </w:tcPr>
          <w:p w14:paraId="073135AE" w14:textId="77777777" w:rsidR="00DF5F01" w:rsidRPr="008A38B9" w:rsidRDefault="00DF5F01" w:rsidP="00DF5F01">
            <w:pPr>
              <w:pStyle w:val="SingleTxtG"/>
              <w:spacing w:before="40"/>
              <w:ind w:left="0" w:right="113"/>
              <w:jc w:val="left"/>
            </w:pPr>
            <w:r w:rsidRPr="008A38B9">
              <w:t>39</w:t>
            </w:r>
          </w:p>
        </w:tc>
        <w:tc>
          <w:tcPr>
            <w:tcW w:w="4955" w:type="dxa"/>
            <w:shd w:val="clear" w:color="auto" w:fill="auto"/>
          </w:tcPr>
          <w:p w14:paraId="05E5133B" w14:textId="77777777" w:rsidR="00DF5F01" w:rsidRPr="008A38B9" w:rsidRDefault="00DF5F01" w:rsidP="00DF5F01">
            <w:pPr>
              <w:pStyle w:val="SingleTxtG"/>
              <w:spacing w:before="40"/>
              <w:ind w:left="0" w:right="113"/>
              <w:jc w:val="left"/>
            </w:pPr>
            <w:r w:rsidRPr="008A38B9">
              <w:t>Ley de la Comisión Nacional para la Prohibición de las Armas Nucleares y Químicas</w:t>
            </w:r>
          </w:p>
        </w:tc>
        <w:tc>
          <w:tcPr>
            <w:tcW w:w="892" w:type="dxa"/>
            <w:shd w:val="clear" w:color="auto" w:fill="auto"/>
          </w:tcPr>
          <w:p w14:paraId="401F68B2" w14:textId="77777777" w:rsidR="00DF5F01" w:rsidRPr="008A38B9" w:rsidRDefault="00DF5F01" w:rsidP="00DF5F01">
            <w:pPr>
              <w:pStyle w:val="SingleTxtG"/>
              <w:spacing w:before="40"/>
              <w:ind w:left="0" w:right="113"/>
              <w:jc w:val="left"/>
            </w:pPr>
            <w:r w:rsidRPr="008A38B9">
              <w:t>48</w:t>
            </w:r>
          </w:p>
        </w:tc>
        <w:tc>
          <w:tcPr>
            <w:tcW w:w="893" w:type="dxa"/>
            <w:shd w:val="clear" w:color="auto" w:fill="auto"/>
          </w:tcPr>
          <w:p w14:paraId="1000393A" w14:textId="77777777" w:rsidR="00DF5F01" w:rsidRPr="008A38B9" w:rsidRDefault="00DF5F01" w:rsidP="00DF5F01">
            <w:pPr>
              <w:pStyle w:val="SingleTxtG"/>
              <w:spacing w:before="40"/>
              <w:ind w:left="0" w:right="113"/>
              <w:jc w:val="left"/>
            </w:pPr>
            <w:r w:rsidRPr="008A38B9">
              <w:t>2012</w:t>
            </w:r>
          </w:p>
        </w:tc>
      </w:tr>
      <w:tr w:rsidR="00DF5F01" w14:paraId="08EFA72F" w14:textId="77777777" w:rsidTr="00DF5F01">
        <w:tc>
          <w:tcPr>
            <w:tcW w:w="630" w:type="dxa"/>
            <w:shd w:val="clear" w:color="auto" w:fill="auto"/>
          </w:tcPr>
          <w:p w14:paraId="6128F435" w14:textId="77777777" w:rsidR="00DF5F01" w:rsidRPr="008A38B9" w:rsidRDefault="00DF5F01" w:rsidP="00DF5F01">
            <w:pPr>
              <w:pStyle w:val="SingleTxtG"/>
              <w:spacing w:before="40"/>
              <w:ind w:left="0" w:right="113"/>
              <w:jc w:val="left"/>
            </w:pPr>
            <w:r w:rsidRPr="008A38B9">
              <w:t>40</w:t>
            </w:r>
          </w:p>
        </w:tc>
        <w:tc>
          <w:tcPr>
            <w:tcW w:w="4955" w:type="dxa"/>
            <w:shd w:val="clear" w:color="auto" w:fill="auto"/>
          </w:tcPr>
          <w:p w14:paraId="7B2D929B" w14:textId="77777777" w:rsidR="00DF5F01" w:rsidRPr="008A38B9" w:rsidRDefault="00DF5F01" w:rsidP="00DF5F01">
            <w:pPr>
              <w:pStyle w:val="SingleTxtG"/>
              <w:spacing w:before="40"/>
              <w:ind w:left="0" w:right="113"/>
              <w:jc w:val="left"/>
            </w:pPr>
            <w:r w:rsidRPr="008A38B9">
              <w:t>Reglamento para la Protección del Aire Libre frente a la Contaminación</w:t>
            </w:r>
          </w:p>
        </w:tc>
        <w:tc>
          <w:tcPr>
            <w:tcW w:w="892" w:type="dxa"/>
            <w:shd w:val="clear" w:color="auto" w:fill="auto"/>
          </w:tcPr>
          <w:p w14:paraId="1E5E4018"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20CD8EE5" w14:textId="77777777" w:rsidR="00DF5F01" w:rsidRPr="008A38B9" w:rsidRDefault="00DF5F01" w:rsidP="00DF5F01">
            <w:pPr>
              <w:pStyle w:val="SingleTxtG"/>
              <w:spacing w:before="40"/>
              <w:ind w:left="0" w:right="113"/>
              <w:jc w:val="left"/>
            </w:pPr>
            <w:r w:rsidRPr="008A38B9">
              <w:t>2012</w:t>
            </w:r>
          </w:p>
        </w:tc>
      </w:tr>
      <w:tr w:rsidR="00DF5F01" w14:paraId="5EB63E8F" w14:textId="77777777" w:rsidTr="00DF5F01">
        <w:tc>
          <w:tcPr>
            <w:tcW w:w="630" w:type="dxa"/>
            <w:shd w:val="clear" w:color="auto" w:fill="auto"/>
          </w:tcPr>
          <w:p w14:paraId="6CED6E31" w14:textId="77777777" w:rsidR="00DF5F01" w:rsidRPr="008A38B9" w:rsidRDefault="00DF5F01" w:rsidP="00DF5F01">
            <w:pPr>
              <w:pStyle w:val="SingleTxtG"/>
              <w:spacing w:before="40"/>
              <w:ind w:left="0" w:right="113"/>
              <w:jc w:val="left"/>
            </w:pPr>
            <w:r w:rsidRPr="008A38B9">
              <w:t>41</w:t>
            </w:r>
          </w:p>
        </w:tc>
        <w:tc>
          <w:tcPr>
            <w:tcW w:w="4955" w:type="dxa"/>
            <w:shd w:val="clear" w:color="auto" w:fill="auto"/>
          </w:tcPr>
          <w:p w14:paraId="6BA94FE0" w14:textId="77777777" w:rsidR="00DF5F01" w:rsidRPr="008A38B9" w:rsidRDefault="00DF5F01" w:rsidP="00DF5F01">
            <w:pPr>
              <w:pStyle w:val="SingleTxtG"/>
              <w:spacing w:before="40"/>
              <w:ind w:left="0" w:right="113"/>
              <w:jc w:val="left"/>
            </w:pPr>
            <w:r w:rsidRPr="008A38B9">
              <w:t>Ley de las Aldeas Agrícolas Modernas</w:t>
            </w:r>
          </w:p>
        </w:tc>
        <w:tc>
          <w:tcPr>
            <w:tcW w:w="892" w:type="dxa"/>
            <w:shd w:val="clear" w:color="auto" w:fill="auto"/>
          </w:tcPr>
          <w:p w14:paraId="596A2ACD" w14:textId="77777777" w:rsidR="00DF5F01" w:rsidRPr="008A38B9" w:rsidRDefault="00DF5F01" w:rsidP="00DF5F01">
            <w:pPr>
              <w:pStyle w:val="SingleTxtG"/>
              <w:spacing w:before="40"/>
              <w:ind w:left="0" w:right="113"/>
              <w:jc w:val="left"/>
            </w:pPr>
            <w:r w:rsidRPr="008A38B9">
              <w:t>59</w:t>
            </w:r>
          </w:p>
        </w:tc>
        <w:tc>
          <w:tcPr>
            <w:tcW w:w="893" w:type="dxa"/>
            <w:shd w:val="clear" w:color="auto" w:fill="auto"/>
          </w:tcPr>
          <w:p w14:paraId="58F8E000" w14:textId="77777777" w:rsidR="00DF5F01" w:rsidRPr="008A38B9" w:rsidRDefault="00DF5F01" w:rsidP="00DF5F01">
            <w:pPr>
              <w:pStyle w:val="SingleTxtG"/>
              <w:spacing w:before="40"/>
              <w:ind w:left="0" w:right="113"/>
              <w:jc w:val="left"/>
            </w:pPr>
            <w:r w:rsidRPr="008A38B9">
              <w:t>2012</w:t>
            </w:r>
          </w:p>
        </w:tc>
      </w:tr>
      <w:tr w:rsidR="00DF5F01" w14:paraId="16D5DC28" w14:textId="77777777" w:rsidTr="00DF5F01">
        <w:tc>
          <w:tcPr>
            <w:tcW w:w="630" w:type="dxa"/>
            <w:shd w:val="clear" w:color="auto" w:fill="auto"/>
          </w:tcPr>
          <w:p w14:paraId="108AD6A2" w14:textId="77777777" w:rsidR="00DF5F01" w:rsidRPr="008A38B9" w:rsidRDefault="00DF5F01" w:rsidP="00DF5F01">
            <w:pPr>
              <w:pStyle w:val="SingleTxtG"/>
              <w:spacing w:before="40"/>
              <w:ind w:left="0" w:right="113"/>
              <w:jc w:val="left"/>
            </w:pPr>
            <w:r w:rsidRPr="008A38B9">
              <w:t>42</w:t>
            </w:r>
          </w:p>
        </w:tc>
        <w:tc>
          <w:tcPr>
            <w:tcW w:w="4955" w:type="dxa"/>
            <w:shd w:val="clear" w:color="auto" w:fill="auto"/>
          </w:tcPr>
          <w:p w14:paraId="3958C0CC" w14:textId="77777777" w:rsidR="00DF5F01" w:rsidRPr="008A38B9" w:rsidRDefault="00DF5F01" w:rsidP="00DF5F01">
            <w:pPr>
              <w:pStyle w:val="SingleTxtG"/>
              <w:spacing w:before="40"/>
              <w:ind w:left="0" w:right="113"/>
              <w:jc w:val="left"/>
            </w:pPr>
            <w:r w:rsidRPr="008A38B9">
              <w:t>Ley de la Oficina de los Legados Píos y las Confesiones Cristianas, Yazidíes y Sabeas Mandeas</w:t>
            </w:r>
          </w:p>
        </w:tc>
        <w:tc>
          <w:tcPr>
            <w:tcW w:w="892" w:type="dxa"/>
            <w:shd w:val="clear" w:color="auto" w:fill="auto"/>
          </w:tcPr>
          <w:p w14:paraId="1CE91193" w14:textId="77777777" w:rsidR="00DF5F01" w:rsidRPr="008A38B9" w:rsidRDefault="00DF5F01" w:rsidP="00DF5F01">
            <w:pPr>
              <w:pStyle w:val="SingleTxtG"/>
              <w:spacing w:before="40"/>
              <w:ind w:left="0" w:right="113"/>
              <w:jc w:val="left"/>
            </w:pPr>
            <w:r w:rsidRPr="008A38B9">
              <w:t>58</w:t>
            </w:r>
          </w:p>
        </w:tc>
        <w:tc>
          <w:tcPr>
            <w:tcW w:w="893" w:type="dxa"/>
            <w:shd w:val="clear" w:color="auto" w:fill="auto"/>
          </w:tcPr>
          <w:p w14:paraId="34540879" w14:textId="77777777" w:rsidR="00DF5F01" w:rsidRPr="008A38B9" w:rsidRDefault="00DF5F01" w:rsidP="00DF5F01">
            <w:pPr>
              <w:pStyle w:val="SingleTxtG"/>
              <w:spacing w:before="40"/>
              <w:ind w:left="0" w:right="113"/>
              <w:jc w:val="left"/>
            </w:pPr>
            <w:r w:rsidRPr="008A38B9">
              <w:t>2012</w:t>
            </w:r>
          </w:p>
        </w:tc>
      </w:tr>
      <w:tr w:rsidR="00DF5F01" w14:paraId="5C930068" w14:textId="77777777" w:rsidTr="00DF5F01">
        <w:tc>
          <w:tcPr>
            <w:tcW w:w="630" w:type="dxa"/>
            <w:shd w:val="clear" w:color="auto" w:fill="auto"/>
          </w:tcPr>
          <w:p w14:paraId="256BA7F9" w14:textId="77777777" w:rsidR="00DF5F01" w:rsidRPr="008A38B9" w:rsidRDefault="00DF5F01" w:rsidP="00DF5F01">
            <w:pPr>
              <w:pStyle w:val="SingleTxtG"/>
              <w:spacing w:before="40"/>
              <w:ind w:left="0" w:right="113"/>
              <w:jc w:val="left"/>
            </w:pPr>
            <w:r w:rsidRPr="008A38B9">
              <w:t>43</w:t>
            </w:r>
          </w:p>
        </w:tc>
        <w:tc>
          <w:tcPr>
            <w:tcW w:w="4955" w:type="dxa"/>
            <w:shd w:val="clear" w:color="auto" w:fill="auto"/>
          </w:tcPr>
          <w:p w14:paraId="2E17D333" w14:textId="77777777" w:rsidR="00DF5F01" w:rsidRPr="008A38B9" w:rsidRDefault="00DF5F01" w:rsidP="00DF5F01">
            <w:pPr>
              <w:pStyle w:val="SingleTxtG"/>
              <w:spacing w:before="40"/>
              <w:ind w:left="0" w:right="113"/>
              <w:jc w:val="left"/>
            </w:pPr>
            <w:r w:rsidRPr="008A38B9">
              <w:t>Resolución por la que se reconoce el Crimen de Genocidio contra los Kurdos Feilíes</w:t>
            </w:r>
          </w:p>
        </w:tc>
        <w:tc>
          <w:tcPr>
            <w:tcW w:w="892" w:type="dxa"/>
            <w:shd w:val="clear" w:color="auto" w:fill="auto"/>
          </w:tcPr>
          <w:p w14:paraId="630E19E7" w14:textId="77777777" w:rsidR="00DF5F01" w:rsidRPr="008A38B9" w:rsidRDefault="00DF5F01" w:rsidP="00DF5F01">
            <w:pPr>
              <w:pStyle w:val="SingleTxtG"/>
              <w:spacing w:before="40"/>
              <w:ind w:left="0" w:right="113"/>
              <w:jc w:val="left"/>
            </w:pPr>
            <w:r w:rsidRPr="008A38B9">
              <w:t>6</w:t>
            </w:r>
          </w:p>
        </w:tc>
        <w:tc>
          <w:tcPr>
            <w:tcW w:w="893" w:type="dxa"/>
            <w:shd w:val="clear" w:color="auto" w:fill="auto"/>
          </w:tcPr>
          <w:p w14:paraId="2F048C9C" w14:textId="77777777" w:rsidR="00DF5F01" w:rsidRPr="008A38B9" w:rsidRDefault="00DF5F01" w:rsidP="00DF5F01">
            <w:pPr>
              <w:pStyle w:val="SingleTxtG"/>
              <w:spacing w:before="40"/>
              <w:ind w:left="0" w:right="113"/>
              <w:jc w:val="left"/>
            </w:pPr>
            <w:r w:rsidRPr="008A38B9">
              <w:t>2012</w:t>
            </w:r>
          </w:p>
        </w:tc>
      </w:tr>
      <w:tr w:rsidR="00DF5F01" w14:paraId="3842E6E2" w14:textId="77777777" w:rsidTr="00DF5F01">
        <w:tc>
          <w:tcPr>
            <w:tcW w:w="630" w:type="dxa"/>
            <w:shd w:val="clear" w:color="auto" w:fill="auto"/>
          </w:tcPr>
          <w:p w14:paraId="0E83776B" w14:textId="77777777" w:rsidR="00DF5F01" w:rsidRPr="008A38B9" w:rsidRDefault="00DF5F01" w:rsidP="00DF5F01">
            <w:pPr>
              <w:pStyle w:val="SingleTxtG"/>
              <w:spacing w:before="40"/>
              <w:ind w:left="0" w:right="113"/>
              <w:jc w:val="left"/>
            </w:pPr>
            <w:r w:rsidRPr="008A38B9">
              <w:t>44</w:t>
            </w:r>
          </w:p>
        </w:tc>
        <w:tc>
          <w:tcPr>
            <w:tcW w:w="4955" w:type="dxa"/>
            <w:shd w:val="clear" w:color="auto" w:fill="auto"/>
          </w:tcPr>
          <w:p w14:paraId="6488EAFB" w14:textId="77777777" w:rsidR="00DF5F01" w:rsidRPr="008A38B9" w:rsidRDefault="00DF5F01" w:rsidP="00DF5F01">
            <w:pPr>
              <w:pStyle w:val="SingleTxtG"/>
              <w:spacing w:before="40"/>
              <w:ind w:left="0" w:right="113"/>
              <w:jc w:val="left"/>
            </w:pPr>
            <w:r w:rsidRPr="008A38B9">
              <w:t>Ley contra el Tabaquismo</w:t>
            </w:r>
          </w:p>
        </w:tc>
        <w:tc>
          <w:tcPr>
            <w:tcW w:w="892" w:type="dxa"/>
            <w:shd w:val="clear" w:color="auto" w:fill="auto"/>
          </w:tcPr>
          <w:p w14:paraId="73AB9857" w14:textId="77777777" w:rsidR="00DF5F01" w:rsidRPr="008A38B9" w:rsidRDefault="00DF5F01" w:rsidP="00DF5F01">
            <w:pPr>
              <w:pStyle w:val="SingleTxtG"/>
              <w:spacing w:before="40"/>
              <w:ind w:left="0" w:right="113"/>
              <w:jc w:val="left"/>
            </w:pPr>
            <w:r w:rsidRPr="008A38B9">
              <w:t>12</w:t>
            </w:r>
          </w:p>
        </w:tc>
        <w:tc>
          <w:tcPr>
            <w:tcW w:w="893" w:type="dxa"/>
            <w:shd w:val="clear" w:color="auto" w:fill="auto"/>
          </w:tcPr>
          <w:p w14:paraId="190036CC" w14:textId="77777777" w:rsidR="00DF5F01" w:rsidRPr="008A38B9" w:rsidRDefault="00DF5F01" w:rsidP="00DF5F01">
            <w:pPr>
              <w:pStyle w:val="SingleTxtG"/>
              <w:spacing w:before="40"/>
              <w:ind w:left="0" w:right="113"/>
              <w:jc w:val="left"/>
            </w:pPr>
            <w:r w:rsidRPr="008A38B9">
              <w:t>2012</w:t>
            </w:r>
          </w:p>
        </w:tc>
      </w:tr>
      <w:tr w:rsidR="00DF5F01" w14:paraId="3838B8A6" w14:textId="77777777" w:rsidTr="00DF5F01">
        <w:tc>
          <w:tcPr>
            <w:tcW w:w="630" w:type="dxa"/>
            <w:shd w:val="clear" w:color="auto" w:fill="auto"/>
          </w:tcPr>
          <w:p w14:paraId="79A03D78" w14:textId="77777777" w:rsidR="00DF5F01" w:rsidRPr="008A38B9" w:rsidRDefault="00DF5F01" w:rsidP="00DF5F01">
            <w:pPr>
              <w:pStyle w:val="SingleTxtG"/>
              <w:spacing w:before="40"/>
              <w:ind w:left="0" w:right="113"/>
              <w:jc w:val="left"/>
            </w:pPr>
            <w:r w:rsidRPr="008A38B9">
              <w:t>45</w:t>
            </w:r>
          </w:p>
        </w:tc>
        <w:tc>
          <w:tcPr>
            <w:tcW w:w="4955" w:type="dxa"/>
            <w:shd w:val="clear" w:color="auto" w:fill="auto"/>
          </w:tcPr>
          <w:p w14:paraId="13632ED7" w14:textId="77777777" w:rsidR="00DF5F01" w:rsidRPr="008A38B9" w:rsidRDefault="00DF5F01" w:rsidP="00DF5F01">
            <w:pPr>
              <w:pStyle w:val="SingleTxtG"/>
              <w:spacing w:before="40"/>
              <w:ind w:left="0" w:right="113"/>
              <w:jc w:val="left"/>
            </w:pPr>
            <w:r w:rsidRPr="008A38B9">
              <w:t>Ley contra la Trata de Personas</w:t>
            </w:r>
          </w:p>
        </w:tc>
        <w:tc>
          <w:tcPr>
            <w:tcW w:w="892" w:type="dxa"/>
            <w:shd w:val="clear" w:color="auto" w:fill="auto"/>
          </w:tcPr>
          <w:p w14:paraId="5F08A686" w14:textId="77777777" w:rsidR="00DF5F01" w:rsidRPr="008A38B9" w:rsidRDefault="00DF5F01" w:rsidP="00DF5F01">
            <w:pPr>
              <w:pStyle w:val="SingleTxtG"/>
              <w:spacing w:before="40"/>
              <w:ind w:left="0" w:right="113"/>
              <w:jc w:val="left"/>
            </w:pPr>
            <w:r w:rsidRPr="008A38B9">
              <w:t>28</w:t>
            </w:r>
          </w:p>
        </w:tc>
        <w:tc>
          <w:tcPr>
            <w:tcW w:w="893" w:type="dxa"/>
            <w:shd w:val="clear" w:color="auto" w:fill="auto"/>
          </w:tcPr>
          <w:p w14:paraId="69E95A43" w14:textId="77777777" w:rsidR="00DF5F01" w:rsidRPr="008A38B9" w:rsidRDefault="00DF5F01" w:rsidP="00DF5F01">
            <w:pPr>
              <w:pStyle w:val="SingleTxtG"/>
              <w:spacing w:before="40"/>
              <w:ind w:left="0" w:right="113"/>
              <w:jc w:val="left"/>
            </w:pPr>
            <w:r w:rsidRPr="008A38B9">
              <w:t>2012</w:t>
            </w:r>
          </w:p>
        </w:tc>
      </w:tr>
      <w:tr w:rsidR="00DF5F01" w14:paraId="3F536872" w14:textId="77777777" w:rsidTr="00DF5F01">
        <w:tc>
          <w:tcPr>
            <w:tcW w:w="630" w:type="dxa"/>
            <w:shd w:val="clear" w:color="auto" w:fill="auto"/>
          </w:tcPr>
          <w:p w14:paraId="731078E4" w14:textId="77777777" w:rsidR="00DF5F01" w:rsidRPr="008A38B9" w:rsidRDefault="00DF5F01" w:rsidP="00DF5F01">
            <w:pPr>
              <w:pStyle w:val="SingleTxtG"/>
              <w:spacing w:before="40"/>
              <w:ind w:left="0" w:right="113"/>
              <w:jc w:val="left"/>
            </w:pPr>
            <w:r w:rsidRPr="008A38B9">
              <w:t>46</w:t>
            </w:r>
          </w:p>
        </w:tc>
        <w:tc>
          <w:tcPr>
            <w:tcW w:w="4955" w:type="dxa"/>
            <w:shd w:val="clear" w:color="auto" w:fill="auto"/>
          </w:tcPr>
          <w:p w14:paraId="59FAB2B2" w14:textId="77777777" w:rsidR="00DF5F01" w:rsidRPr="008A38B9" w:rsidRDefault="00DF5F01" w:rsidP="00DF5F01">
            <w:pPr>
              <w:pStyle w:val="SingleTxtG"/>
              <w:spacing w:before="40"/>
              <w:ind w:left="0" w:right="113"/>
              <w:jc w:val="left"/>
            </w:pPr>
            <w:r w:rsidRPr="008A38B9">
              <w:t>Ley de Protección a los Médicos</w:t>
            </w:r>
          </w:p>
        </w:tc>
        <w:tc>
          <w:tcPr>
            <w:tcW w:w="892" w:type="dxa"/>
            <w:shd w:val="clear" w:color="auto" w:fill="auto"/>
          </w:tcPr>
          <w:p w14:paraId="01A637DA" w14:textId="77777777" w:rsidR="00DF5F01" w:rsidRPr="008A38B9" w:rsidRDefault="00DF5F01" w:rsidP="00DF5F01">
            <w:pPr>
              <w:pStyle w:val="SingleTxtG"/>
              <w:spacing w:before="40"/>
              <w:ind w:left="0" w:right="113"/>
              <w:jc w:val="left"/>
            </w:pPr>
            <w:r w:rsidRPr="008A38B9">
              <w:t>26</w:t>
            </w:r>
          </w:p>
        </w:tc>
        <w:tc>
          <w:tcPr>
            <w:tcW w:w="893" w:type="dxa"/>
            <w:shd w:val="clear" w:color="auto" w:fill="auto"/>
          </w:tcPr>
          <w:p w14:paraId="60B949DC" w14:textId="77777777" w:rsidR="00DF5F01" w:rsidRPr="008A38B9" w:rsidRDefault="00DF5F01" w:rsidP="00DF5F01">
            <w:pPr>
              <w:pStyle w:val="SingleTxtG"/>
              <w:spacing w:before="40"/>
              <w:ind w:left="0" w:right="113"/>
              <w:jc w:val="left"/>
            </w:pPr>
            <w:r w:rsidRPr="008A38B9">
              <w:t>2013</w:t>
            </w:r>
          </w:p>
        </w:tc>
      </w:tr>
      <w:tr w:rsidR="00DF5F01" w14:paraId="3DB7B4B1" w14:textId="77777777" w:rsidTr="00DF5F01">
        <w:tc>
          <w:tcPr>
            <w:tcW w:w="630" w:type="dxa"/>
            <w:shd w:val="clear" w:color="auto" w:fill="auto"/>
          </w:tcPr>
          <w:p w14:paraId="7DDAB574" w14:textId="77777777" w:rsidR="00DF5F01" w:rsidRPr="008A38B9" w:rsidRDefault="00DF5F01" w:rsidP="00DF5F01">
            <w:pPr>
              <w:pStyle w:val="SingleTxtG"/>
              <w:spacing w:before="40"/>
              <w:ind w:left="0" w:right="113"/>
              <w:jc w:val="left"/>
            </w:pPr>
            <w:r w:rsidRPr="008A38B9">
              <w:t>47</w:t>
            </w:r>
          </w:p>
        </w:tc>
        <w:tc>
          <w:tcPr>
            <w:tcW w:w="4955" w:type="dxa"/>
            <w:shd w:val="clear" w:color="auto" w:fill="auto"/>
          </w:tcPr>
          <w:p w14:paraId="4A700D63" w14:textId="77777777" w:rsidR="00DF5F01" w:rsidRPr="008A38B9" w:rsidRDefault="00DF5F01" w:rsidP="00DF5F01">
            <w:pPr>
              <w:pStyle w:val="SingleTxtG"/>
              <w:spacing w:before="40"/>
              <w:ind w:left="0" w:right="113"/>
              <w:jc w:val="left"/>
            </w:pPr>
            <w:r w:rsidRPr="008A38B9">
              <w:t>Ley de la Sanidad Animal</w:t>
            </w:r>
          </w:p>
        </w:tc>
        <w:tc>
          <w:tcPr>
            <w:tcW w:w="892" w:type="dxa"/>
            <w:shd w:val="clear" w:color="auto" w:fill="auto"/>
          </w:tcPr>
          <w:p w14:paraId="47BE7EAF" w14:textId="77777777" w:rsidR="00DF5F01" w:rsidRPr="008A38B9" w:rsidRDefault="00DF5F01" w:rsidP="00DF5F01">
            <w:pPr>
              <w:pStyle w:val="SingleTxtG"/>
              <w:spacing w:before="40"/>
              <w:ind w:left="0" w:right="113"/>
              <w:jc w:val="left"/>
            </w:pPr>
            <w:r w:rsidRPr="008A38B9">
              <w:t>32</w:t>
            </w:r>
          </w:p>
        </w:tc>
        <w:tc>
          <w:tcPr>
            <w:tcW w:w="893" w:type="dxa"/>
            <w:shd w:val="clear" w:color="auto" w:fill="auto"/>
          </w:tcPr>
          <w:p w14:paraId="720ED2BE" w14:textId="77777777" w:rsidR="00DF5F01" w:rsidRPr="008A38B9" w:rsidRDefault="00DF5F01" w:rsidP="00DF5F01">
            <w:pPr>
              <w:pStyle w:val="SingleTxtG"/>
              <w:spacing w:before="40"/>
              <w:ind w:left="0" w:right="113"/>
              <w:jc w:val="left"/>
            </w:pPr>
            <w:r w:rsidRPr="008A38B9">
              <w:t>2013</w:t>
            </w:r>
          </w:p>
        </w:tc>
      </w:tr>
      <w:tr w:rsidR="00DF5F01" w14:paraId="08686D39" w14:textId="77777777" w:rsidTr="00DF5F01">
        <w:tc>
          <w:tcPr>
            <w:tcW w:w="630" w:type="dxa"/>
            <w:shd w:val="clear" w:color="auto" w:fill="auto"/>
          </w:tcPr>
          <w:p w14:paraId="4B9BB2E8" w14:textId="77777777" w:rsidR="00DF5F01" w:rsidRPr="008A38B9" w:rsidRDefault="00DF5F01" w:rsidP="00DF5F01">
            <w:pPr>
              <w:pStyle w:val="SingleTxtG"/>
              <w:spacing w:before="40"/>
              <w:ind w:left="0" w:right="113"/>
              <w:jc w:val="left"/>
            </w:pPr>
            <w:r w:rsidRPr="008A38B9">
              <w:t>48</w:t>
            </w:r>
          </w:p>
        </w:tc>
        <w:tc>
          <w:tcPr>
            <w:tcW w:w="4955" w:type="dxa"/>
            <w:shd w:val="clear" w:color="auto" w:fill="auto"/>
          </w:tcPr>
          <w:p w14:paraId="2F2B487F" w14:textId="77777777" w:rsidR="00DF5F01" w:rsidRPr="008A38B9" w:rsidRDefault="00DF5F01" w:rsidP="00DF5F01">
            <w:pPr>
              <w:pStyle w:val="SingleTxtG"/>
              <w:spacing w:before="40"/>
              <w:ind w:left="0" w:right="113"/>
              <w:jc w:val="left"/>
            </w:pPr>
            <w:r w:rsidRPr="008A38B9">
              <w:t>Ley de la Medicina Forense</w:t>
            </w:r>
          </w:p>
        </w:tc>
        <w:tc>
          <w:tcPr>
            <w:tcW w:w="892" w:type="dxa"/>
            <w:shd w:val="clear" w:color="auto" w:fill="auto"/>
          </w:tcPr>
          <w:p w14:paraId="2A88FE4A" w14:textId="77777777" w:rsidR="00DF5F01" w:rsidRPr="008A38B9" w:rsidRDefault="00DF5F01" w:rsidP="00DF5F01">
            <w:pPr>
              <w:pStyle w:val="SingleTxtG"/>
              <w:spacing w:before="40"/>
              <w:ind w:left="0" w:right="113"/>
              <w:jc w:val="left"/>
            </w:pPr>
            <w:r w:rsidRPr="008A38B9">
              <w:t>37</w:t>
            </w:r>
          </w:p>
        </w:tc>
        <w:tc>
          <w:tcPr>
            <w:tcW w:w="893" w:type="dxa"/>
            <w:shd w:val="clear" w:color="auto" w:fill="auto"/>
          </w:tcPr>
          <w:p w14:paraId="649021AA" w14:textId="77777777" w:rsidR="00DF5F01" w:rsidRPr="008A38B9" w:rsidRDefault="00DF5F01" w:rsidP="00DF5F01">
            <w:pPr>
              <w:pStyle w:val="SingleTxtG"/>
              <w:spacing w:before="40"/>
              <w:ind w:left="0" w:right="113"/>
              <w:jc w:val="left"/>
            </w:pPr>
            <w:r w:rsidRPr="008A38B9">
              <w:t>2013</w:t>
            </w:r>
          </w:p>
        </w:tc>
      </w:tr>
      <w:tr w:rsidR="00DF5F01" w14:paraId="6AB4C4E8" w14:textId="77777777" w:rsidTr="00DF5F01">
        <w:tc>
          <w:tcPr>
            <w:tcW w:w="630" w:type="dxa"/>
            <w:shd w:val="clear" w:color="auto" w:fill="auto"/>
          </w:tcPr>
          <w:p w14:paraId="2932DDDA" w14:textId="77777777" w:rsidR="00DF5F01" w:rsidRPr="008A38B9" w:rsidRDefault="00DF5F01" w:rsidP="00DF5F01">
            <w:pPr>
              <w:pStyle w:val="SingleTxtG"/>
              <w:spacing w:before="40"/>
              <w:ind w:left="0" w:right="113"/>
              <w:jc w:val="left"/>
            </w:pPr>
            <w:r w:rsidRPr="008A38B9">
              <w:t>49</w:t>
            </w:r>
          </w:p>
        </w:tc>
        <w:tc>
          <w:tcPr>
            <w:tcW w:w="4955" w:type="dxa"/>
            <w:shd w:val="clear" w:color="auto" w:fill="auto"/>
          </w:tcPr>
          <w:p w14:paraId="1F75CC3D" w14:textId="77777777" w:rsidR="00DF5F01" w:rsidRPr="008A38B9" w:rsidRDefault="00DF5F01" w:rsidP="00DF5F01">
            <w:pPr>
              <w:pStyle w:val="SingleTxtG"/>
              <w:spacing w:before="40"/>
              <w:ind w:left="0" w:right="113"/>
              <w:jc w:val="left"/>
            </w:pPr>
            <w:r w:rsidRPr="008A38B9">
              <w:t>Ley de Atención a las Personas con Discapacidad o con Necesidades Especiales</w:t>
            </w:r>
          </w:p>
        </w:tc>
        <w:tc>
          <w:tcPr>
            <w:tcW w:w="892" w:type="dxa"/>
            <w:shd w:val="clear" w:color="auto" w:fill="auto"/>
          </w:tcPr>
          <w:p w14:paraId="0529040D" w14:textId="77777777" w:rsidR="00DF5F01" w:rsidRPr="008A38B9" w:rsidRDefault="00DF5F01" w:rsidP="00DF5F01">
            <w:pPr>
              <w:pStyle w:val="SingleTxtG"/>
              <w:spacing w:before="40"/>
              <w:ind w:left="0" w:right="113"/>
              <w:jc w:val="left"/>
            </w:pPr>
            <w:r w:rsidRPr="008A38B9">
              <w:t>38</w:t>
            </w:r>
          </w:p>
        </w:tc>
        <w:tc>
          <w:tcPr>
            <w:tcW w:w="893" w:type="dxa"/>
            <w:shd w:val="clear" w:color="auto" w:fill="auto"/>
          </w:tcPr>
          <w:p w14:paraId="118D0991" w14:textId="77777777" w:rsidR="00DF5F01" w:rsidRPr="008A38B9" w:rsidRDefault="00DF5F01" w:rsidP="00DF5F01">
            <w:pPr>
              <w:pStyle w:val="SingleTxtG"/>
              <w:spacing w:before="40"/>
              <w:ind w:left="0" w:right="113"/>
              <w:jc w:val="left"/>
            </w:pPr>
            <w:r w:rsidRPr="008A38B9">
              <w:t>2013</w:t>
            </w:r>
          </w:p>
        </w:tc>
      </w:tr>
      <w:tr w:rsidR="00DF5F01" w14:paraId="0C6464F1" w14:textId="77777777" w:rsidTr="00DF5F01">
        <w:tc>
          <w:tcPr>
            <w:tcW w:w="630" w:type="dxa"/>
            <w:shd w:val="clear" w:color="auto" w:fill="auto"/>
          </w:tcPr>
          <w:p w14:paraId="33F2F231" w14:textId="77777777" w:rsidR="00DF5F01" w:rsidRPr="008A38B9" w:rsidRDefault="00DF5F01" w:rsidP="00DF5F01">
            <w:pPr>
              <w:pStyle w:val="SingleTxtG"/>
              <w:spacing w:before="40"/>
              <w:ind w:left="0" w:right="113"/>
              <w:jc w:val="left"/>
            </w:pPr>
            <w:r w:rsidRPr="008A38B9">
              <w:t>50</w:t>
            </w:r>
          </w:p>
        </w:tc>
        <w:tc>
          <w:tcPr>
            <w:tcW w:w="4955" w:type="dxa"/>
            <w:shd w:val="clear" w:color="auto" w:fill="auto"/>
          </w:tcPr>
          <w:p w14:paraId="0A420996" w14:textId="77777777" w:rsidR="00DF5F01" w:rsidRPr="008A38B9" w:rsidRDefault="00DF5F01" w:rsidP="00DF5F01">
            <w:pPr>
              <w:pStyle w:val="SingleTxtG"/>
              <w:spacing w:before="40"/>
              <w:ind w:left="0" w:right="113"/>
              <w:jc w:val="left"/>
            </w:pPr>
            <w:r w:rsidRPr="008A38B9">
              <w:t>Ley de Prohibición de los Juegos que inciten a la Violencia</w:t>
            </w:r>
          </w:p>
        </w:tc>
        <w:tc>
          <w:tcPr>
            <w:tcW w:w="892" w:type="dxa"/>
            <w:shd w:val="clear" w:color="auto" w:fill="auto"/>
          </w:tcPr>
          <w:p w14:paraId="2276736B" w14:textId="77777777" w:rsidR="00DF5F01" w:rsidRPr="008A38B9" w:rsidRDefault="00DF5F01" w:rsidP="00DF5F01">
            <w:pPr>
              <w:pStyle w:val="SingleTxtG"/>
              <w:spacing w:before="40"/>
              <w:ind w:left="0" w:right="113"/>
              <w:jc w:val="left"/>
            </w:pPr>
            <w:r w:rsidRPr="008A38B9">
              <w:t>2</w:t>
            </w:r>
          </w:p>
        </w:tc>
        <w:tc>
          <w:tcPr>
            <w:tcW w:w="893" w:type="dxa"/>
            <w:shd w:val="clear" w:color="auto" w:fill="auto"/>
          </w:tcPr>
          <w:p w14:paraId="3536A4FE" w14:textId="77777777" w:rsidR="00DF5F01" w:rsidRPr="008A38B9" w:rsidRDefault="00DF5F01" w:rsidP="00DF5F01">
            <w:pPr>
              <w:pStyle w:val="SingleTxtG"/>
              <w:spacing w:before="40"/>
              <w:ind w:left="0" w:right="113"/>
              <w:jc w:val="left"/>
            </w:pPr>
            <w:r w:rsidRPr="008A38B9">
              <w:t>2013</w:t>
            </w:r>
          </w:p>
        </w:tc>
      </w:tr>
      <w:tr w:rsidR="00DF5F01" w14:paraId="34F2A996" w14:textId="77777777" w:rsidTr="00DF5F01">
        <w:tc>
          <w:tcPr>
            <w:tcW w:w="630" w:type="dxa"/>
            <w:shd w:val="clear" w:color="auto" w:fill="auto"/>
          </w:tcPr>
          <w:p w14:paraId="02811BAA" w14:textId="77777777" w:rsidR="00DF5F01" w:rsidRPr="008A38B9" w:rsidRDefault="00DF5F01" w:rsidP="00DF5F01">
            <w:pPr>
              <w:pStyle w:val="SingleTxtG"/>
              <w:spacing w:before="40"/>
              <w:ind w:left="0" w:right="113"/>
              <w:jc w:val="left"/>
            </w:pPr>
            <w:r w:rsidRPr="008A38B9">
              <w:t>51</w:t>
            </w:r>
          </w:p>
        </w:tc>
        <w:tc>
          <w:tcPr>
            <w:tcW w:w="4955" w:type="dxa"/>
            <w:shd w:val="clear" w:color="auto" w:fill="auto"/>
          </w:tcPr>
          <w:p w14:paraId="2E0EFF62" w14:textId="77777777" w:rsidR="00DF5F01" w:rsidRPr="008A38B9" w:rsidRDefault="00DF5F01" w:rsidP="00DF5F01">
            <w:pPr>
              <w:pStyle w:val="SingleTxtG"/>
              <w:spacing w:before="40"/>
              <w:ind w:left="0" w:right="113"/>
              <w:jc w:val="left"/>
            </w:pPr>
            <w:r w:rsidRPr="008A38B9">
              <w:t>Ley de las Elecciones a la Cámara de Representantes Iraquí</w:t>
            </w:r>
          </w:p>
        </w:tc>
        <w:tc>
          <w:tcPr>
            <w:tcW w:w="892" w:type="dxa"/>
            <w:shd w:val="clear" w:color="auto" w:fill="auto"/>
          </w:tcPr>
          <w:p w14:paraId="1068160B" w14:textId="77777777" w:rsidR="00DF5F01" w:rsidRPr="008A38B9" w:rsidRDefault="00DF5F01" w:rsidP="00DF5F01">
            <w:pPr>
              <w:pStyle w:val="SingleTxtG"/>
              <w:spacing w:before="40"/>
              <w:ind w:left="0" w:right="113"/>
              <w:jc w:val="left"/>
            </w:pPr>
            <w:r w:rsidRPr="008A38B9">
              <w:t>45</w:t>
            </w:r>
          </w:p>
        </w:tc>
        <w:tc>
          <w:tcPr>
            <w:tcW w:w="893" w:type="dxa"/>
            <w:shd w:val="clear" w:color="auto" w:fill="auto"/>
          </w:tcPr>
          <w:p w14:paraId="04225A66" w14:textId="77777777" w:rsidR="00DF5F01" w:rsidRPr="008A38B9" w:rsidRDefault="00DF5F01" w:rsidP="00DF5F01">
            <w:pPr>
              <w:pStyle w:val="SingleTxtG"/>
              <w:spacing w:before="40"/>
              <w:ind w:left="0" w:right="113"/>
              <w:jc w:val="left"/>
            </w:pPr>
            <w:r w:rsidRPr="008A38B9">
              <w:t>2013</w:t>
            </w:r>
          </w:p>
        </w:tc>
      </w:tr>
      <w:tr w:rsidR="00DF5F01" w14:paraId="18462917" w14:textId="77777777" w:rsidTr="00DF5F01">
        <w:tc>
          <w:tcPr>
            <w:tcW w:w="630" w:type="dxa"/>
            <w:shd w:val="clear" w:color="auto" w:fill="auto"/>
          </w:tcPr>
          <w:p w14:paraId="5C60B19D" w14:textId="77777777" w:rsidR="00DF5F01" w:rsidRPr="008A38B9" w:rsidRDefault="00DF5F01" w:rsidP="00DF5F01">
            <w:pPr>
              <w:pStyle w:val="SingleTxtG"/>
              <w:spacing w:before="40"/>
              <w:ind w:left="0" w:right="113"/>
              <w:jc w:val="left"/>
            </w:pPr>
            <w:r w:rsidRPr="008A38B9">
              <w:t>52</w:t>
            </w:r>
          </w:p>
        </w:tc>
        <w:tc>
          <w:tcPr>
            <w:tcW w:w="4955" w:type="dxa"/>
            <w:shd w:val="clear" w:color="auto" w:fill="auto"/>
          </w:tcPr>
          <w:p w14:paraId="048AB0E0" w14:textId="77777777" w:rsidR="00DF5F01" w:rsidRPr="008A38B9" w:rsidRDefault="00DF5F01" w:rsidP="00DF5F01">
            <w:pPr>
              <w:pStyle w:val="SingleTxtG"/>
              <w:spacing w:before="40"/>
              <w:ind w:left="0" w:right="113"/>
              <w:jc w:val="left"/>
            </w:pPr>
            <w:r w:rsidRPr="008A38B9">
              <w:t>Ley de la Protección Civil</w:t>
            </w:r>
          </w:p>
        </w:tc>
        <w:tc>
          <w:tcPr>
            <w:tcW w:w="892" w:type="dxa"/>
            <w:shd w:val="clear" w:color="auto" w:fill="auto"/>
          </w:tcPr>
          <w:p w14:paraId="57B036DF" w14:textId="77777777" w:rsidR="00DF5F01" w:rsidRPr="008A38B9" w:rsidRDefault="00DF5F01" w:rsidP="00DF5F01">
            <w:pPr>
              <w:pStyle w:val="SingleTxtG"/>
              <w:spacing w:before="40"/>
              <w:ind w:left="0" w:right="113"/>
              <w:jc w:val="left"/>
            </w:pPr>
            <w:r w:rsidRPr="008A38B9">
              <w:t>44</w:t>
            </w:r>
          </w:p>
        </w:tc>
        <w:tc>
          <w:tcPr>
            <w:tcW w:w="893" w:type="dxa"/>
            <w:shd w:val="clear" w:color="auto" w:fill="auto"/>
          </w:tcPr>
          <w:p w14:paraId="1E35FD61" w14:textId="77777777" w:rsidR="00DF5F01" w:rsidRPr="008A38B9" w:rsidRDefault="00DF5F01" w:rsidP="00DF5F01">
            <w:pPr>
              <w:pStyle w:val="SingleTxtG"/>
              <w:spacing w:before="40"/>
              <w:ind w:left="0" w:right="113"/>
              <w:jc w:val="left"/>
            </w:pPr>
            <w:r w:rsidRPr="008A38B9">
              <w:t>2013</w:t>
            </w:r>
          </w:p>
        </w:tc>
      </w:tr>
      <w:tr w:rsidR="00DF5F01" w14:paraId="2D5B0637" w14:textId="77777777" w:rsidTr="00DF5F01">
        <w:tc>
          <w:tcPr>
            <w:tcW w:w="630" w:type="dxa"/>
            <w:shd w:val="clear" w:color="auto" w:fill="auto"/>
          </w:tcPr>
          <w:p w14:paraId="56A30955" w14:textId="77777777" w:rsidR="00DF5F01" w:rsidRPr="008A38B9" w:rsidRDefault="00DF5F01" w:rsidP="00DF5F01">
            <w:pPr>
              <w:pStyle w:val="SingleTxtG"/>
              <w:spacing w:before="40"/>
              <w:ind w:left="0" w:right="113"/>
              <w:jc w:val="left"/>
            </w:pPr>
            <w:r w:rsidRPr="008A38B9">
              <w:lastRenderedPageBreak/>
              <w:t>53</w:t>
            </w:r>
          </w:p>
        </w:tc>
        <w:tc>
          <w:tcPr>
            <w:tcW w:w="4955" w:type="dxa"/>
            <w:shd w:val="clear" w:color="auto" w:fill="auto"/>
          </w:tcPr>
          <w:p w14:paraId="47A9E1A3" w14:textId="77777777" w:rsidR="00DF5F01" w:rsidRPr="008A38B9" w:rsidRDefault="00DF5F01" w:rsidP="00DF5F01">
            <w:pPr>
              <w:pStyle w:val="SingleTxtG"/>
              <w:spacing w:before="40"/>
              <w:ind w:left="0" w:right="113"/>
              <w:jc w:val="left"/>
            </w:pPr>
            <w:r w:rsidRPr="008A38B9">
              <w:t>Ley del Ministerio de Relaciones Exteriores</w:t>
            </w:r>
          </w:p>
        </w:tc>
        <w:tc>
          <w:tcPr>
            <w:tcW w:w="892" w:type="dxa"/>
            <w:shd w:val="clear" w:color="auto" w:fill="auto"/>
          </w:tcPr>
          <w:p w14:paraId="5B42094C"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0F6B95B5" w14:textId="77777777" w:rsidR="00DF5F01" w:rsidRPr="008A38B9" w:rsidRDefault="00DF5F01" w:rsidP="00DF5F01">
            <w:pPr>
              <w:pStyle w:val="SingleTxtG"/>
              <w:spacing w:before="40"/>
              <w:ind w:left="0" w:right="113"/>
              <w:jc w:val="left"/>
            </w:pPr>
            <w:r w:rsidRPr="008A38B9">
              <w:t>2013</w:t>
            </w:r>
          </w:p>
        </w:tc>
      </w:tr>
      <w:tr w:rsidR="00DF5F01" w14:paraId="00E41D40" w14:textId="77777777" w:rsidTr="00DF5F01">
        <w:tc>
          <w:tcPr>
            <w:tcW w:w="630" w:type="dxa"/>
            <w:shd w:val="clear" w:color="auto" w:fill="auto"/>
          </w:tcPr>
          <w:p w14:paraId="180A2E12" w14:textId="77777777" w:rsidR="00DF5F01" w:rsidRPr="008A38B9" w:rsidRDefault="00DF5F01" w:rsidP="00DF5F01">
            <w:pPr>
              <w:pStyle w:val="SingleTxtG"/>
              <w:spacing w:before="40"/>
              <w:ind w:left="0" w:right="113"/>
              <w:jc w:val="left"/>
            </w:pPr>
            <w:r w:rsidRPr="008A38B9">
              <w:t>54</w:t>
            </w:r>
          </w:p>
        </w:tc>
        <w:tc>
          <w:tcPr>
            <w:tcW w:w="4955" w:type="dxa"/>
            <w:shd w:val="clear" w:color="auto" w:fill="auto"/>
          </w:tcPr>
          <w:p w14:paraId="599623F5" w14:textId="77777777" w:rsidR="00DF5F01" w:rsidRPr="008A38B9" w:rsidRDefault="00DF5F01" w:rsidP="00DF5F01">
            <w:pPr>
              <w:pStyle w:val="SingleTxtG"/>
              <w:spacing w:before="40"/>
              <w:ind w:left="0" w:right="113"/>
              <w:jc w:val="left"/>
            </w:pPr>
            <w:r w:rsidRPr="008A38B9">
              <w:t>Ley por la que la República del Iraq se adhiere al Tratado de Prohibición Completa de los Ensayos Nucleares</w:t>
            </w:r>
          </w:p>
        </w:tc>
        <w:tc>
          <w:tcPr>
            <w:tcW w:w="892" w:type="dxa"/>
            <w:shd w:val="clear" w:color="auto" w:fill="auto"/>
          </w:tcPr>
          <w:p w14:paraId="6FEE496A" w14:textId="77777777" w:rsidR="00DF5F01" w:rsidRPr="008A38B9" w:rsidRDefault="00DF5F01" w:rsidP="00DF5F01">
            <w:pPr>
              <w:pStyle w:val="SingleTxtG"/>
              <w:spacing w:before="40"/>
              <w:ind w:left="0" w:right="113"/>
              <w:jc w:val="left"/>
            </w:pPr>
            <w:r w:rsidRPr="008A38B9">
              <w:t>88</w:t>
            </w:r>
          </w:p>
        </w:tc>
        <w:tc>
          <w:tcPr>
            <w:tcW w:w="893" w:type="dxa"/>
            <w:shd w:val="clear" w:color="auto" w:fill="auto"/>
          </w:tcPr>
          <w:p w14:paraId="2383586D" w14:textId="77777777" w:rsidR="00DF5F01" w:rsidRPr="008A38B9" w:rsidRDefault="00DF5F01" w:rsidP="00DF5F01">
            <w:pPr>
              <w:pStyle w:val="SingleTxtG"/>
              <w:spacing w:before="40"/>
              <w:ind w:left="0" w:right="113"/>
              <w:jc w:val="left"/>
            </w:pPr>
            <w:r w:rsidRPr="008A38B9">
              <w:t>2013</w:t>
            </w:r>
          </w:p>
        </w:tc>
      </w:tr>
      <w:tr w:rsidR="00DF5F01" w14:paraId="6D6C8130" w14:textId="77777777" w:rsidTr="00DF5F01">
        <w:tc>
          <w:tcPr>
            <w:tcW w:w="630" w:type="dxa"/>
            <w:shd w:val="clear" w:color="auto" w:fill="auto"/>
          </w:tcPr>
          <w:p w14:paraId="4A42D6F3" w14:textId="77777777" w:rsidR="00DF5F01" w:rsidRPr="008A38B9" w:rsidRDefault="00DF5F01" w:rsidP="00DF5F01">
            <w:pPr>
              <w:pStyle w:val="SingleTxtG"/>
              <w:spacing w:before="40"/>
              <w:ind w:left="0" w:right="113"/>
              <w:jc w:val="left"/>
            </w:pPr>
            <w:r w:rsidRPr="008A38B9">
              <w:t>55</w:t>
            </w:r>
          </w:p>
        </w:tc>
        <w:tc>
          <w:tcPr>
            <w:tcW w:w="4955" w:type="dxa"/>
            <w:shd w:val="clear" w:color="auto" w:fill="auto"/>
          </w:tcPr>
          <w:p w14:paraId="013CF2B0" w14:textId="77777777" w:rsidR="00DF5F01" w:rsidRPr="008A38B9" w:rsidRDefault="00DF5F01" w:rsidP="00DF5F01">
            <w:pPr>
              <w:pStyle w:val="SingleTxtG"/>
              <w:spacing w:before="40"/>
              <w:ind w:left="0" w:right="113"/>
              <w:jc w:val="left"/>
            </w:pPr>
            <w:r w:rsidRPr="008A38B9">
              <w:t>Ley de Becas para el Alumnado de las Escuelas Públicas</w:t>
            </w:r>
          </w:p>
        </w:tc>
        <w:tc>
          <w:tcPr>
            <w:tcW w:w="892" w:type="dxa"/>
            <w:shd w:val="clear" w:color="auto" w:fill="auto"/>
          </w:tcPr>
          <w:p w14:paraId="1A36F0AE" w14:textId="77777777" w:rsidR="00DF5F01" w:rsidRPr="008A38B9" w:rsidRDefault="00DF5F01" w:rsidP="00DF5F01">
            <w:pPr>
              <w:pStyle w:val="SingleTxtG"/>
              <w:spacing w:before="40"/>
              <w:ind w:left="0" w:right="113"/>
              <w:jc w:val="left"/>
            </w:pPr>
            <w:r w:rsidRPr="008A38B9">
              <w:t>3</w:t>
            </w:r>
          </w:p>
        </w:tc>
        <w:tc>
          <w:tcPr>
            <w:tcW w:w="893" w:type="dxa"/>
            <w:shd w:val="clear" w:color="auto" w:fill="auto"/>
          </w:tcPr>
          <w:p w14:paraId="48BBF32A" w14:textId="77777777" w:rsidR="00DF5F01" w:rsidRPr="008A38B9" w:rsidRDefault="00DF5F01" w:rsidP="00DF5F01">
            <w:pPr>
              <w:pStyle w:val="SingleTxtG"/>
              <w:spacing w:before="40"/>
              <w:ind w:left="0" w:right="113"/>
              <w:jc w:val="left"/>
            </w:pPr>
            <w:r w:rsidRPr="008A38B9">
              <w:t>2014</w:t>
            </w:r>
          </w:p>
        </w:tc>
      </w:tr>
      <w:tr w:rsidR="00DF5F01" w14:paraId="30BE6C4B" w14:textId="77777777" w:rsidTr="00DF5F01">
        <w:tc>
          <w:tcPr>
            <w:tcW w:w="630" w:type="dxa"/>
            <w:shd w:val="clear" w:color="auto" w:fill="auto"/>
          </w:tcPr>
          <w:p w14:paraId="76A4F862" w14:textId="77777777" w:rsidR="00DF5F01" w:rsidRPr="008A38B9" w:rsidRDefault="00DF5F01" w:rsidP="00DF5F01">
            <w:pPr>
              <w:pStyle w:val="SingleTxtG"/>
              <w:spacing w:before="40"/>
              <w:ind w:left="0" w:right="113"/>
              <w:jc w:val="left"/>
            </w:pPr>
            <w:r w:rsidRPr="008A38B9">
              <w:t>56</w:t>
            </w:r>
          </w:p>
        </w:tc>
        <w:tc>
          <w:tcPr>
            <w:tcW w:w="4955" w:type="dxa"/>
            <w:shd w:val="clear" w:color="auto" w:fill="auto"/>
          </w:tcPr>
          <w:p w14:paraId="31D9C1D0" w14:textId="77777777" w:rsidR="00DF5F01" w:rsidRPr="008A38B9" w:rsidRDefault="00DF5F01" w:rsidP="00DF5F01">
            <w:pPr>
              <w:pStyle w:val="SingleTxtG"/>
              <w:spacing w:before="40"/>
              <w:ind w:left="0" w:right="113"/>
              <w:jc w:val="left"/>
            </w:pPr>
            <w:r w:rsidRPr="008A38B9">
              <w:t>Ley sobre los Idiomas Oficiales</w:t>
            </w:r>
          </w:p>
        </w:tc>
        <w:tc>
          <w:tcPr>
            <w:tcW w:w="892" w:type="dxa"/>
            <w:shd w:val="clear" w:color="auto" w:fill="auto"/>
          </w:tcPr>
          <w:p w14:paraId="09ED05EF" w14:textId="77777777" w:rsidR="00DF5F01" w:rsidRPr="008A38B9" w:rsidRDefault="00DF5F01" w:rsidP="00DF5F01">
            <w:pPr>
              <w:pStyle w:val="SingleTxtG"/>
              <w:spacing w:before="40"/>
              <w:ind w:left="0" w:right="113"/>
              <w:jc w:val="left"/>
            </w:pPr>
            <w:r w:rsidRPr="008A38B9">
              <w:t>7</w:t>
            </w:r>
          </w:p>
        </w:tc>
        <w:tc>
          <w:tcPr>
            <w:tcW w:w="893" w:type="dxa"/>
            <w:shd w:val="clear" w:color="auto" w:fill="auto"/>
          </w:tcPr>
          <w:p w14:paraId="65094C3B" w14:textId="77777777" w:rsidR="00DF5F01" w:rsidRPr="008A38B9" w:rsidRDefault="00DF5F01" w:rsidP="00DF5F01">
            <w:pPr>
              <w:pStyle w:val="SingleTxtG"/>
              <w:spacing w:before="40"/>
              <w:ind w:left="0" w:right="113"/>
              <w:jc w:val="left"/>
            </w:pPr>
            <w:r w:rsidRPr="008A38B9">
              <w:t>2014</w:t>
            </w:r>
          </w:p>
        </w:tc>
      </w:tr>
      <w:tr w:rsidR="00DF5F01" w14:paraId="1F42D9D2" w14:textId="77777777" w:rsidTr="00DF5F01">
        <w:tc>
          <w:tcPr>
            <w:tcW w:w="630" w:type="dxa"/>
            <w:shd w:val="clear" w:color="auto" w:fill="auto"/>
          </w:tcPr>
          <w:p w14:paraId="144D5290" w14:textId="77777777" w:rsidR="00DF5F01" w:rsidRPr="008A38B9" w:rsidRDefault="00DF5F01" w:rsidP="00DF5F01">
            <w:pPr>
              <w:pStyle w:val="SingleTxtG"/>
              <w:spacing w:before="40"/>
              <w:ind w:left="0" w:right="113"/>
              <w:jc w:val="left"/>
            </w:pPr>
            <w:r w:rsidRPr="008A38B9">
              <w:t>57</w:t>
            </w:r>
          </w:p>
        </w:tc>
        <w:tc>
          <w:tcPr>
            <w:tcW w:w="4955" w:type="dxa"/>
            <w:shd w:val="clear" w:color="auto" w:fill="auto"/>
          </w:tcPr>
          <w:p w14:paraId="75652591" w14:textId="77777777" w:rsidR="00DF5F01" w:rsidRPr="008A38B9" w:rsidRDefault="00DF5F01" w:rsidP="00DF5F01">
            <w:pPr>
              <w:pStyle w:val="SingleTxtG"/>
              <w:spacing w:before="40"/>
              <w:ind w:left="0" w:right="113"/>
              <w:jc w:val="left"/>
            </w:pPr>
            <w:r w:rsidRPr="008A38B9">
              <w:t>Ley Unificada de la Jubilación</w:t>
            </w:r>
          </w:p>
        </w:tc>
        <w:tc>
          <w:tcPr>
            <w:tcW w:w="892" w:type="dxa"/>
            <w:shd w:val="clear" w:color="auto" w:fill="auto"/>
          </w:tcPr>
          <w:p w14:paraId="445F21EA" w14:textId="77777777" w:rsidR="00DF5F01" w:rsidRPr="008A38B9" w:rsidRDefault="00DF5F01" w:rsidP="00DF5F01">
            <w:pPr>
              <w:pStyle w:val="SingleTxtG"/>
              <w:spacing w:before="40"/>
              <w:ind w:left="0" w:right="113"/>
              <w:jc w:val="left"/>
            </w:pPr>
            <w:r w:rsidRPr="008A38B9">
              <w:t>9</w:t>
            </w:r>
          </w:p>
        </w:tc>
        <w:tc>
          <w:tcPr>
            <w:tcW w:w="893" w:type="dxa"/>
            <w:shd w:val="clear" w:color="auto" w:fill="auto"/>
          </w:tcPr>
          <w:p w14:paraId="10A4D9C3" w14:textId="77777777" w:rsidR="00DF5F01" w:rsidRPr="008A38B9" w:rsidRDefault="00DF5F01" w:rsidP="00DF5F01">
            <w:pPr>
              <w:pStyle w:val="SingleTxtG"/>
              <w:spacing w:before="40"/>
              <w:ind w:left="0" w:right="113"/>
              <w:jc w:val="left"/>
            </w:pPr>
            <w:r w:rsidRPr="008A38B9">
              <w:t>2014</w:t>
            </w:r>
          </w:p>
        </w:tc>
      </w:tr>
      <w:tr w:rsidR="00DF5F01" w14:paraId="44CDDF8D" w14:textId="77777777" w:rsidTr="00DF5F01">
        <w:tc>
          <w:tcPr>
            <w:tcW w:w="630" w:type="dxa"/>
            <w:shd w:val="clear" w:color="auto" w:fill="auto"/>
          </w:tcPr>
          <w:p w14:paraId="62AB07CE" w14:textId="77777777" w:rsidR="00DF5F01" w:rsidRPr="008A38B9" w:rsidRDefault="00DF5F01" w:rsidP="00DF5F01">
            <w:pPr>
              <w:pStyle w:val="SingleTxtG"/>
              <w:spacing w:before="40"/>
              <w:ind w:left="0" w:right="113"/>
              <w:jc w:val="left"/>
            </w:pPr>
            <w:r w:rsidRPr="008A38B9">
              <w:t>58</w:t>
            </w:r>
          </w:p>
        </w:tc>
        <w:tc>
          <w:tcPr>
            <w:tcW w:w="4955" w:type="dxa"/>
            <w:shd w:val="clear" w:color="auto" w:fill="auto"/>
          </w:tcPr>
          <w:p w14:paraId="565764B8" w14:textId="77777777" w:rsidR="00DF5F01" w:rsidRPr="008A38B9" w:rsidRDefault="00DF5F01" w:rsidP="00DF5F01">
            <w:pPr>
              <w:pStyle w:val="SingleTxtG"/>
              <w:spacing w:before="40"/>
              <w:ind w:left="0" w:right="113"/>
              <w:jc w:val="left"/>
            </w:pPr>
            <w:r w:rsidRPr="008A38B9">
              <w:t>Ley de la Protección Social</w:t>
            </w:r>
          </w:p>
        </w:tc>
        <w:tc>
          <w:tcPr>
            <w:tcW w:w="892" w:type="dxa"/>
            <w:shd w:val="clear" w:color="auto" w:fill="auto"/>
          </w:tcPr>
          <w:p w14:paraId="71BFBC7C" w14:textId="77777777" w:rsidR="00DF5F01" w:rsidRPr="008A38B9" w:rsidRDefault="00DF5F01" w:rsidP="00DF5F01">
            <w:pPr>
              <w:pStyle w:val="SingleTxtG"/>
              <w:spacing w:before="40"/>
              <w:ind w:left="0" w:right="113"/>
              <w:jc w:val="left"/>
            </w:pPr>
            <w:r w:rsidRPr="008A38B9">
              <w:t>11</w:t>
            </w:r>
          </w:p>
        </w:tc>
        <w:tc>
          <w:tcPr>
            <w:tcW w:w="893" w:type="dxa"/>
            <w:shd w:val="clear" w:color="auto" w:fill="auto"/>
          </w:tcPr>
          <w:p w14:paraId="63AED27D" w14:textId="77777777" w:rsidR="00DF5F01" w:rsidRPr="008A38B9" w:rsidRDefault="00DF5F01" w:rsidP="00DF5F01">
            <w:pPr>
              <w:pStyle w:val="SingleTxtG"/>
              <w:spacing w:before="40"/>
              <w:ind w:left="0" w:right="113"/>
              <w:jc w:val="left"/>
            </w:pPr>
            <w:r w:rsidRPr="008A38B9">
              <w:t>2014</w:t>
            </w:r>
          </w:p>
        </w:tc>
      </w:tr>
      <w:tr w:rsidR="00DF5F01" w14:paraId="5EFFAEE1" w14:textId="77777777" w:rsidTr="00DF5F01">
        <w:tc>
          <w:tcPr>
            <w:tcW w:w="630" w:type="dxa"/>
            <w:shd w:val="clear" w:color="auto" w:fill="auto"/>
          </w:tcPr>
          <w:p w14:paraId="2905EB68" w14:textId="77777777" w:rsidR="00DF5F01" w:rsidRPr="008A38B9" w:rsidRDefault="00DF5F01" w:rsidP="00DF5F01">
            <w:pPr>
              <w:pStyle w:val="SingleTxtG"/>
              <w:spacing w:before="40"/>
              <w:ind w:left="0" w:right="113"/>
              <w:jc w:val="left"/>
            </w:pPr>
            <w:r w:rsidRPr="008A38B9">
              <w:t>59</w:t>
            </w:r>
          </w:p>
        </w:tc>
        <w:tc>
          <w:tcPr>
            <w:tcW w:w="4955" w:type="dxa"/>
            <w:shd w:val="clear" w:color="auto" w:fill="auto"/>
          </w:tcPr>
          <w:p w14:paraId="6324BDAF" w14:textId="77777777" w:rsidR="00DF5F01" w:rsidRPr="008A38B9" w:rsidRDefault="00DF5F01" w:rsidP="00DF5F01">
            <w:pPr>
              <w:pStyle w:val="SingleTxtG"/>
              <w:spacing w:before="40"/>
              <w:ind w:left="0" w:right="113"/>
              <w:jc w:val="left"/>
            </w:pPr>
            <w:r w:rsidRPr="008A38B9">
              <w:t>Ley por la que se reconoce que la Masacre en el Centro Penitenciario de Badush constituyó un Crimen de Genocidio</w:t>
            </w:r>
          </w:p>
        </w:tc>
        <w:tc>
          <w:tcPr>
            <w:tcW w:w="892" w:type="dxa"/>
            <w:shd w:val="clear" w:color="auto" w:fill="auto"/>
          </w:tcPr>
          <w:p w14:paraId="138DD8AA"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43BDAF6D" w14:textId="77777777" w:rsidR="00DF5F01" w:rsidRPr="008A38B9" w:rsidRDefault="00DF5F01" w:rsidP="00DF5F01">
            <w:pPr>
              <w:pStyle w:val="SingleTxtG"/>
              <w:spacing w:before="40"/>
              <w:ind w:left="0" w:right="113"/>
              <w:jc w:val="left"/>
            </w:pPr>
            <w:r w:rsidRPr="008A38B9">
              <w:t>2015</w:t>
            </w:r>
          </w:p>
        </w:tc>
      </w:tr>
      <w:tr w:rsidR="00DF5F01" w14:paraId="6ACB001C" w14:textId="77777777" w:rsidTr="00DF5F01">
        <w:tc>
          <w:tcPr>
            <w:tcW w:w="630" w:type="dxa"/>
            <w:shd w:val="clear" w:color="auto" w:fill="auto"/>
          </w:tcPr>
          <w:p w14:paraId="11E4D61E" w14:textId="77777777" w:rsidR="00DF5F01" w:rsidRPr="008A38B9" w:rsidRDefault="00DF5F01" w:rsidP="00DF5F01">
            <w:pPr>
              <w:pStyle w:val="SingleTxtG"/>
              <w:spacing w:before="40"/>
              <w:ind w:left="0" w:right="113"/>
              <w:jc w:val="left"/>
            </w:pPr>
            <w:r w:rsidRPr="008A38B9">
              <w:t>60</w:t>
            </w:r>
          </w:p>
        </w:tc>
        <w:tc>
          <w:tcPr>
            <w:tcW w:w="4955" w:type="dxa"/>
            <w:shd w:val="clear" w:color="auto" w:fill="auto"/>
          </w:tcPr>
          <w:p w14:paraId="12F6F15A" w14:textId="77777777" w:rsidR="00DF5F01" w:rsidRPr="008A38B9" w:rsidRDefault="00DF5F01" w:rsidP="00DF5F01">
            <w:pPr>
              <w:pStyle w:val="SingleTxtG"/>
              <w:spacing w:before="40"/>
              <w:ind w:left="0" w:right="113"/>
              <w:jc w:val="left"/>
            </w:pPr>
            <w:r w:rsidRPr="008A38B9">
              <w:t>Reglamento Interno de la Fundación para los Presos Políticos, su Mandato y sus Dependencias</w:t>
            </w:r>
          </w:p>
        </w:tc>
        <w:tc>
          <w:tcPr>
            <w:tcW w:w="892" w:type="dxa"/>
            <w:shd w:val="clear" w:color="auto" w:fill="auto"/>
          </w:tcPr>
          <w:p w14:paraId="2695C2DE" w14:textId="77777777" w:rsidR="00DF5F01" w:rsidRPr="008A38B9" w:rsidRDefault="00DF5F01" w:rsidP="00DF5F01">
            <w:pPr>
              <w:pStyle w:val="SingleTxtG"/>
              <w:spacing w:before="40"/>
              <w:ind w:left="0" w:right="113"/>
              <w:jc w:val="left"/>
            </w:pPr>
            <w:r w:rsidRPr="008A38B9">
              <w:t>1</w:t>
            </w:r>
          </w:p>
        </w:tc>
        <w:tc>
          <w:tcPr>
            <w:tcW w:w="893" w:type="dxa"/>
            <w:shd w:val="clear" w:color="auto" w:fill="auto"/>
          </w:tcPr>
          <w:p w14:paraId="5A6188D3" w14:textId="77777777" w:rsidR="00DF5F01" w:rsidRPr="008A38B9" w:rsidRDefault="00DF5F01" w:rsidP="00DF5F01">
            <w:pPr>
              <w:pStyle w:val="SingleTxtG"/>
              <w:spacing w:before="40"/>
              <w:ind w:left="0" w:right="113"/>
              <w:jc w:val="left"/>
            </w:pPr>
            <w:r w:rsidRPr="008A38B9">
              <w:t>2015</w:t>
            </w:r>
          </w:p>
        </w:tc>
      </w:tr>
      <w:tr w:rsidR="00DF5F01" w14:paraId="24409C2C" w14:textId="77777777" w:rsidTr="00DF5F01">
        <w:tc>
          <w:tcPr>
            <w:tcW w:w="630" w:type="dxa"/>
            <w:shd w:val="clear" w:color="auto" w:fill="auto"/>
          </w:tcPr>
          <w:p w14:paraId="08D01CE0" w14:textId="77777777" w:rsidR="00DF5F01" w:rsidRPr="008A38B9" w:rsidRDefault="00DF5F01" w:rsidP="00DF5F01">
            <w:pPr>
              <w:pStyle w:val="SingleTxtG"/>
              <w:spacing w:before="40"/>
              <w:ind w:left="0" w:right="113"/>
              <w:jc w:val="left"/>
            </w:pPr>
            <w:r w:rsidRPr="008A38B9">
              <w:t>61</w:t>
            </w:r>
          </w:p>
        </w:tc>
        <w:tc>
          <w:tcPr>
            <w:tcW w:w="4955" w:type="dxa"/>
            <w:shd w:val="clear" w:color="auto" w:fill="auto"/>
          </w:tcPr>
          <w:p w14:paraId="32F063AA" w14:textId="77777777" w:rsidR="00DF5F01" w:rsidRPr="008A38B9" w:rsidRDefault="00DF5F01" w:rsidP="00DF5F01">
            <w:pPr>
              <w:pStyle w:val="SingleTxtG"/>
              <w:spacing w:before="40"/>
              <w:ind w:left="0" w:right="113"/>
              <w:jc w:val="left"/>
            </w:pPr>
            <w:r w:rsidRPr="008A38B9">
              <w:t>Ley de la Celebración de los Tratados</w:t>
            </w:r>
          </w:p>
        </w:tc>
        <w:tc>
          <w:tcPr>
            <w:tcW w:w="892" w:type="dxa"/>
            <w:shd w:val="clear" w:color="auto" w:fill="auto"/>
          </w:tcPr>
          <w:p w14:paraId="4B2C43A1" w14:textId="77777777" w:rsidR="00DF5F01" w:rsidRPr="008A38B9" w:rsidRDefault="00DF5F01" w:rsidP="00DF5F01">
            <w:pPr>
              <w:pStyle w:val="SingleTxtG"/>
              <w:spacing w:before="40"/>
              <w:ind w:left="0" w:right="113"/>
              <w:jc w:val="left"/>
            </w:pPr>
            <w:r w:rsidRPr="008A38B9">
              <w:t>35</w:t>
            </w:r>
          </w:p>
        </w:tc>
        <w:tc>
          <w:tcPr>
            <w:tcW w:w="893" w:type="dxa"/>
            <w:shd w:val="clear" w:color="auto" w:fill="auto"/>
          </w:tcPr>
          <w:p w14:paraId="7C2B4D47" w14:textId="77777777" w:rsidR="00DF5F01" w:rsidRPr="008A38B9" w:rsidRDefault="00DF5F01" w:rsidP="00DF5F01">
            <w:pPr>
              <w:pStyle w:val="SingleTxtG"/>
              <w:spacing w:before="40"/>
              <w:ind w:left="0" w:right="113"/>
              <w:jc w:val="left"/>
            </w:pPr>
            <w:r w:rsidRPr="008A38B9">
              <w:t>2015</w:t>
            </w:r>
          </w:p>
        </w:tc>
      </w:tr>
      <w:tr w:rsidR="00DF5F01" w14:paraId="3865B11C" w14:textId="77777777" w:rsidTr="00DF5F01">
        <w:tc>
          <w:tcPr>
            <w:tcW w:w="630" w:type="dxa"/>
            <w:shd w:val="clear" w:color="auto" w:fill="auto"/>
          </w:tcPr>
          <w:p w14:paraId="5DB415BB" w14:textId="77777777" w:rsidR="00DF5F01" w:rsidRPr="008A38B9" w:rsidRDefault="00DF5F01" w:rsidP="00DF5F01">
            <w:pPr>
              <w:pStyle w:val="SingleTxtG"/>
              <w:spacing w:before="40"/>
              <w:ind w:left="0" w:right="113"/>
              <w:jc w:val="left"/>
            </w:pPr>
            <w:r w:rsidRPr="008A38B9">
              <w:t>62</w:t>
            </w:r>
          </w:p>
        </w:tc>
        <w:tc>
          <w:tcPr>
            <w:tcW w:w="4955" w:type="dxa"/>
            <w:shd w:val="clear" w:color="auto" w:fill="auto"/>
          </w:tcPr>
          <w:p w14:paraId="60B2874A" w14:textId="77777777" w:rsidR="00DF5F01" w:rsidRPr="008A38B9" w:rsidRDefault="00DF5F01" w:rsidP="00DF5F01">
            <w:pPr>
              <w:pStyle w:val="SingleTxtG"/>
              <w:spacing w:before="40"/>
              <w:ind w:left="0" w:right="113"/>
              <w:jc w:val="left"/>
            </w:pPr>
            <w:r w:rsidRPr="008A38B9">
              <w:t>Ley del Pasaporte</w:t>
            </w:r>
          </w:p>
        </w:tc>
        <w:tc>
          <w:tcPr>
            <w:tcW w:w="892" w:type="dxa"/>
            <w:shd w:val="clear" w:color="auto" w:fill="auto"/>
          </w:tcPr>
          <w:p w14:paraId="3BFD125A" w14:textId="77777777" w:rsidR="00DF5F01" w:rsidRPr="008A38B9" w:rsidRDefault="00DF5F01" w:rsidP="00DF5F01">
            <w:pPr>
              <w:pStyle w:val="SingleTxtG"/>
              <w:spacing w:before="40"/>
              <w:ind w:left="0" w:right="113"/>
              <w:jc w:val="left"/>
            </w:pPr>
            <w:r w:rsidRPr="008A38B9">
              <w:t>32</w:t>
            </w:r>
          </w:p>
        </w:tc>
        <w:tc>
          <w:tcPr>
            <w:tcW w:w="893" w:type="dxa"/>
            <w:shd w:val="clear" w:color="auto" w:fill="auto"/>
          </w:tcPr>
          <w:p w14:paraId="76B5D2D2" w14:textId="77777777" w:rsidR="00DF5F01" w:rsidRPr="008A38B9" w:rsidRDefault="00DF5F01" w:rsidP="00DF5F01">
            <w:pPr>
              <w:pStyle w:val="SingleTxtG"/>
              <w:spacing w:before="40"/>
              <w:ind w:left="0" w:right="113"/>
              <w:jc w:val="left"/>
            </w:pPr>
            <w:r w:rsidRPr="008A38B9">
              <w:t>2015</w:t>
            </w:r>
          </w:p>
        </w:tc>
      </w:tr>
      <w:tr w:rsidR="00DF5F01" w14:paraId="67FDC0BA" w14:textId="77777777" w:rsidTr="00DF5F01">
        <w:tc>
          <w:tcPr>
            <w:tcW w:w="630" w:type="dxa"/>
            <w:shd w:val="clear" w:color="auto" w:fill="auto"/>
          </w:tcPr>
          <w:p w14:paraId="30484B86" w14:textId="77777777" w:rsidR="00DF5F01" w:rsidRPr="008A38B9" w:rsidRDefault="00DF5F01" w:rsidP="00DF5F01">
            <w:pPr>
              <w:pStyle w:val="SingleTxtG"/>
              <w:spacing w:before="40"/>
              <w:ind w:left="0" w:right="113"/>
              <w:jc w:val="left"/>
            </w:pPr>
            <w:r w:rsidRPr="008A38B9">
              <w:t>63</w:t>
            </w:r>
          </w:p>
        </w:tc>
        <w:tc>
          <w:tcPr>
            <w:tcW w:w="4955" w:type="dxa"/>
            <w:shd w:val="clear" w:color="auto" w:fill="auto"/>
          </w:tcPr>
          <w:p w14:paraId="6086310A" w14:textId="77777777" w:rsidR="00DF5F01" w:rsidRPr="008A38B9" w:rsidRDefault="00DF5F01" w:rsidP="00DF5F01">
            <w:pPr>
              <w:pStyle w:val="SingleTxtG"/>
              <w:spacing w:before="40"/>
              <w:ind w:left="0" w:right="113"/>
              <w:jc w:val="left"/>
            </w:pPr>
            <w:r w:rsidRPr="008A38B9">
              <w:t>Resolución por la que el Ministerio de Educación Superior e Investigación Científica queda obligado a contratar al Primer Estudiante de promoción de cada Universidad en el Movimiento Anual de la Plantilla</w:t>
            </w:r>
          </w:p>
        </w:tc>
        <w:tc>
          <w:tcPr>
            <w:tcW w:w="892" w:type="dxa"/>
            <w:shd w:val="clear" w:color="auto" w:fill="auto"/>
          </w:tcPr>
          <w:p w14:paraId="171432EA" w14:textId="77777777" w:rsidR="00DF5F01" w:rsidRPr="008A38B9" w:rsidRDefault="00DF5F01" w:rsidP="00DF5F01">
            <w:pPr>
              <w:pStyle w:val="SingleTxtG"/>
              <w:spacing w:before="40"/>
              <w:ind w:left="0" w:right="113"/>
              <w:jc w:val="left"/>
            </w:pPr>
            <w:r w:rsidRPr="008A38B9">
              <w:t>34</w:t>
            </w:r>
          </w:p>
        </w:tc>
        <w:tc>
          <w:tcPr>
            <w:tcW w:w="893" w:type="dxa"/>
            <w:shd w:val="clear" w:color="auto" w:fill="auto"/>
          </w:tcPr>
          <w:p w14:paraId="7CF1EC28" w14:textId="77777777" w:rsidR="00DF5F01" w:rsidRPr="008A38B9" w:rsidRDefault="00DF5F01" w:rsidP="00DF5F01">
            <w:pPr>
              <w:pStyle w:val="SingleTxtG"/>
              <w:spacing w:before="40"/>
              <w:ind w:left="0" w:right="113"/>
              <w:jc w:val="left"/>
            </w:pPr>
            <w:r w:rsidRPr="008A38B9">
              <w:t>2015</w:t>
            </w:r>
          </w:p>
        </w:tc>
      </w:tr>
      <w:tr w:rsidR="00DF5F01" w14:paraId="46C1A4F0" w14:textId="77777777" w:rsidTr="00DF5F01">
        <w:tc>
          <w:tcPr>
            <w:tcW w:w="630" w:type="dxa"/>
            <w:shd w:val="clear" w:color="auto" w:fill="auto"/>
          </w:tcPr>
          <w:p w14:paraId="0CD785B3" w14:textId="77777777" w:rsidR="00DF5F01" w:rsidRPr="008A38B9" w:rsidRDefault="00DF5F01" w:rsidP="00DF5F01">
            <w:pPr>
              <w:pStyle w:val="SingleTxtG"/>
              <w:spacing w:before="40"/>
              <w:ind w:left="0" w:right="113"/>
              <w:jc w:val="left"/>
            </w:pPr>
            <w:r w:rsidRPr="008A38B9">
              <w:t>64</w:t>
            </w:r>
          </w:p>
        </w:tc>
        <w:tc>
          <w:tcPr>
            <w:tcW w:w="4955" w:type="dxa"/>
            <w:shd w:val="clear" w:color="auto" w:fill="auto"/>
          </w:tcPr>
          <w:p w14:paraId="4330ED9B" w14:textId="77777777" w:rsidR="00DF5F01" w:rsidRPr="008A38B9" w:rsidRDefault="00DF5F01" w:rsidP="00DF5F01">
            <w:pPr>
              <w:pStyle w:val="SingleTxtG"/>
              <w:spacing w:before="40"/>
              <w:ind w:left="0" w:right="113"/>
              <w:jc w:val="left"/>
            </w:pPr>
            <w:r w:rsidRPr="008A38B9">
              <w:t>Directrices relativas a las Normas de Trabajo y los Salarios de los Internos en las Secciones de Corrección Social</w:t>
            </w:r>
          </w:p>
        </w:tc>
        <w:tc>
          <w:tcPr>
            <w:tcW w:w="892" w:type="dxa"/>
            <w:shd w:val="clear" w:color="auto" w:fill="auto"/>
          </w:tcPr>
          <w:p w14:paraId="47183B62"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07AB03E9" w14:textId="77777777" w:rsidR="00DF5F01" w:rsidRPr="008A38B9" w:rsidRDefault="00DF5F01" w:rsidP="00DF5F01">
            <w:pPr>
              <w:pStyle w:val="SingleTxtG"/>
              <w:spacing w:before="40"/>
              <w:ind w:left="0" w:right="113"/>
              <w:jc w:val="left"/>
            </w:pPr>
            <w:r w:rsidRPr="008A38B9">
              <w:t>2015</w:t>
            </w:r>
          </w:p>
        </w:tc>
      </w:tr>
      <w:tr w:rsidR="00DF5F01" w14:paraId="037CF2EB" w14:textId="77777777" w:rsidTr="00DF5F01">
        <w:tc>
          <w:tcPr>
            <w:tcW w:w="630" w:type="dxa"/>
            <w:shd w:val="clear" w:color="auto" w:fill="auto"/>
          </w:tcPr>
          <w:p w14:paraId="0DE153DF" w14:textId="77777777" w:rsidR="00DF5F01" w:rsidRPr="008A38B9" w:rsidRDefault="00DF5F01" w:rsidP="00DF5F01">
            <w:pPr>
              <w:pStyle w:val="SingleTxtG"/>
              <w:spacing w:before="40"/>
              <w:ind w:left="0" w:right="113"/>
              <w:jc w:val="left"/>
            </w:pPr>
            <w:r w:rsidRPr="008A38B9">
              <w:t>65</w:t>
            </w:r>
          </w:p>
        </w:tc>
        <w:tc>
          <w:tcPr>
            <w:tcW w:w="4955" w:type="dxa"/>
            <w:shd w:val="clear" w:color="auto" w:fill="auto"/>
          </w:tcPr>
          <w:p w14:paraId="185B4CD5" w14:textId="77777777" w:rsidR="00DF5F01" w:rsidRPr="008A38B9" w:rsidRDefault="00DF5F01" w:rsidP="00DF5F01">
            <w:pPr>
              <w:pStyle w:val="SingleTxtG"/>
              <w:spacing w:before="40"/>
              <w:ind w:left="0" w:right="113"/>
              <w:jc w:val="left"/>
            </w:pPr>
            <w:r w:rsidRPr="008A38B9">
              <w:t>Reglamento núm. 4/2015 del Fondo para la Reconstrucción de las Zonas Damnificadas por el Terrorismo</w:t>
            </w:r>
          </w:p>
        </w:tc>
        <w:tc>
          <w:tcPr>
            <w:tcW w:w="892" w:type="dxa"/>
            <w:shd w:val="clear" w:color="auto" w:fill="auto"/>
          </w:tcPr>
          <w:p w14:paraId="019F516A" w14:textId="77777777" w:rsidR="00DF5F01" w:rsidRPr="008A38B9" w:rsidRDefault="00DF5F01" w:rsidP="00DF5F01">
            <w:pPr>
              <w:pStyle w:val="SingleTxtG"/>
              <w:spacing w:before="40"/>
              <w:ind w:left="0" w:right="113"/>
              <w:jc w:val="left"/>
            </w:pPr>
            <w:r w:rsidRPr="008A38B9">
              <w:t>4</w:t>
            </w:r>
          </w:p>
        </w:tc>
        <w:tc>
          <w:tcPr>
            <w:tcW w:w="893" w:type="dxa"/>
            <w:shd w:val="clear" w:color="auto" w:fill="auto"/>
          </w:tcPr>
          <w:p w14:paraId="5802EE4D" w14:textId="77777777" w:rsidR="00DF5F01" w:rsidRPr="008A38B9" w:rsidRDefault="00DF5F01" w:rsidP="00DF5F01">
            <w:pPr>
              <w:pStyle w:val="SingleTxtG"/>
              <w:spacing w:before="40"/>
              <w:ind w:left="0" w:right="113"/>
              <w:jc w:val="left"/>
            </w:pPr>
            <w:r w:rsidRPr="008A38B9">
              <w:t>2015</w:t>
            </w:r>
          </w:p>
        </w:tc>
      </w:tr>
      <w:tr w:rsidR="00DF5F01" w14:paraId="457F0992" w14:textId="77777777" w:rsidTr="00DF5F01">
        <w:tc>
          <w:tcPr>
            <w:tcW w:w="630" w:type="dxa"/>
            <w:shd w:val="clear" w:color="auto" w:fill="auto"/>
          </w:tcPr>
          <w:p w14:paraId="6B7FD25F" w14:textId="77777777" w:rsidR="00DF5F01" w:rsidRPr="008A38B9" w:rsidRDefault="00DF5F01" w:rsidP="00DF5F01">
            <w:pPr>
              <w:pStyle w:val="SingleTxtG"/>
              <w:spacing w:before="40"/>
              <w:ind w:left="0" w:right="113"/>
              <w:jc w:val="left"/>
            </w:pPr>
            <w:r w:rsidRPr="008A38B9">
              <w:t>66</w:t>
            </w:r>
          </w:p>
        </w:tc>
        <w:tc>
          <w:tcPr>
            <w:tcW w:w="4955" w:type="dxa"/>
            <w:shd w:val="clear" w:color="auto" w:fill="auto"/>
          </w:tcPr>
          <w:p w14:paraId="21B67EC6" w14:textId="77777777" w:rsidR="00DF5F01" w:rsidRPr="008A38B9" w:rsidRDefault="00DF5F01" w:rsidP="00DF5F01">
            <w:pPr>
              <w:pStyle w:val="SingleTxtG"/>
              <w:spacing w:before="40"/>
              <w:ind w:left="0" w:right="113"/>
              <w:jc w:val="left"/>
            </w:pPr>
            <w:r w:rsidRPr="008A38B9">
              <w:t>Ley Federal de la Constitución de Establecimientos Sanitarios Privados</w:t>
            </w:r>
          </w:p>
        </w:tc>
        <w:tc>
          <w:tcPr>
            <w:tcW w:w="892" w:type="dxa"/>
            <w:shd w:val="clear" w:color="auto" w:fill="auto"/>
          </w:tcPr>
          <w:p w14:paraId="712A39EF" w14:textId="77777777" w:rsidR="00DF5F01" w:rsidRPr="008A38B9" w:rsidRDefault="00DF5F01" w:rsidP="00DF5F01">
            <w:pPr>
              <w:pStyle w:val="SingleTxtG"/>
              <w:spacing w:before="40"/>
              <w:ind w:left="0" w:right="113"/>
              <w:jc w:val="left"/>
            </w:pPr>
            <w:r w:rsidRPr="008A38B9">
              <w:t>25</w:t>
            </w:r>
          </w:p>
        </w:tc>
        <w:tc>
          <w:tcPr>
            <w:tcW w:w="893" w:type="dxa"/>
            <w:shd w:val="clear" w:color="auto" w:fill="auto"/>
          </w:tcPr>
          <w:p w14:paraId="7BFD7504" w14:textId="77777777" w:rsidR="00DF5F01" w:rsidRPr="008A38B9" w:rsidRDefault="00DF5F01" w:rsidP="00DF5F01">
            <w:pPr>
              <w:pStyle w:val="SingleTxtG"/>
              <w:spacing w:before="40"/>
              <w:ind w:left="0" w:right="113"/>
              <w:jc w:val="left"/>
            </w:pPr>
            <w:r w:rsidRPr="008A38B9">
              <w:t>2015</w:t>
            </w:r>
          </w:p>
        </w:tc>
      </w:tr>
      <w:tr w:rsidR="00DF5F01" w14:paraId="5D58433C" w14:textId="77777777" w:rsidTr="00DF5F01">
        <w:tc>
          <w:tcPr>
            <w:tcW w:w="630" w:type="dxa"/>
            <w:shd w:val="clear" w:color="auto" w:fill="auto"/>
          </w:tcPr>
          <w:p w14:paraId="359F0E44" w14:textId="77777777" w:rsidR="00DF5F01" w:rsidRPr="008A38B9" w:rsidRDefault="00DF5F01" w:rsidP="00DF5F01">
            <w:pPr>
              <w:pStyle w:val="SingleTxtG"/>
              <w:spacing w:before="40"/>
              <w:ind w:left="0" w:right="113"/>
              <w:jc w:val="left"/>
            </w:pPr>
            <w:r w:rsidRPr="008A38B9">
              <w:t>67</w:t>
            </w:r>
          </w:p>
        </w:tc>
        <w:tc>
          <w:tcPr>
            <w:tcW w:w="4955" w:type="dxa"/>
            <w:shd w:val="clear" w:color="auto" w:fill="auto"/>
          </w:tcPr>
          <w:p w14:paraId="31F31395" w14:textId="77777777" w:rsidR="00DF5F01" w:rsidRPr="008A38B9" w:rsidRDefault="00DF5F01" w:rsidP="00DF5F01">
            <w:pPr>
              <w:pStyle w:val="SingleTxtG"/>
              <w:spacing w:before="40"/>
              <w:ind w:left="0" w:right="113"/>
              <w:jc w:val="left"/>
            </w:pPr>
            <w:r w:rsidRPr="008A38B9">
              <w:t>Ley del Ruido</w:t>
            </w:r>
          </w:p>
        </w:tc>
        <w:tc>
          <w:tcPr>
            <w:tcW w:w="892" w:type="dxa"/>
            <w:shd w:val="clear" w:color="auto" w:fill="auto"/>
          </w:tcPr>
          <w:p w14:paraId="5542FC8A" w14:textId="77777777" w:rsidR="00DF5F01" w:rsidRPr="008A38B9" w:rsidRDefault="00DF5F01" w:rsidP="00DF5F01">
            <w:pPr>
              <w:pStyle w:val="SingleTxtG"/>
              <w:spacing w:before="40"/>
              <w:ind w:left="0" w:right="113"/>
              <w:jc w:val="left"/>
            </w:pPr>
            <w:r w:rsidRPr="008A38B9">
              <w:t>41</w:t>
            </w:r>
          </w:p>
        </w:tc>
        <w:tc>
          <w:tcPr>
            <w:tcW w:w="893" w:type="dxa"/>
            <w:shd w:val="clear" w:color="auto" w:fill="auto"/>
          </w:tcPr>
          <w:p w14:paraId="05DF29EE" w14:textId="77777777" w:rsidR="00DF5F01" w:rsidRPr="008A38B9" w:rsidRDefault="00DF5F01" w:rsidP="00DF5F01">
            <w:pPr>
              <w:pStyle w:val="SingleTxtG"/>
              <w:spacing w:before="40"/>
              <w:ind w:left="0" w:right="113"/>
              <w:jc w:val="left"/>
            </w:pPr>
            <w:r w:rsidRPr="008A38B9">
              <w:t>2015</w:t>
            </w:r>
          </w:p>
        </w:tc>
      </w:tr>
      <w:tr w:rsidR="00DF5F01" w14:paraId="29F338D2" w14:textId="77777777" w:rsidTr="00DF5F01">
        <w:tc>
          <w:tcPr>
            <w:tcW w:w="630" w:type="dxa"/>
            <w:shd w:val="clear" w:color="auto" w:fill="auto"/>
          </w:tcPr>
          <w:p w14:paraId="1E184258" w14:textId="77777777" w:rsidR="00DF5F01" w:rsidRPr="008A38B9" w:rsidRDefault="00DF5F01" w:rsidP="00DF5F01">
            <w:pPr>
              <w:pStyle w:val="SingleTxtG"/>
              <w:spacing w:before="40"/>
              <w:ind w:left="0" w:right="113"/>
              <w:jc w:val="left"/>
            </w:pPr>
            <w:r w:rsidRPr="008A38B9">
              <w:t>68</w:t>
            </w:r>
          </w:p>
        </w:tc>
        <w:tc>
          <w:tcPr>
            <w:tcW w:w="4955" w:type="dxa"/>
            <w:shd w:val="clear" w:color="auto" w:fill="auto"/>
          </w:tcPr>
          <w:p w14:paraId="23B5F2E0" w14:textId="77777777" w:rsidR="00DF5F01" w:rsidRPr="008A38B9" w:rsidRDefault="00DF5F01" w:rsidP="00DF5F01">
            <w:pPr>
              <w:pStyle w:val="SingleTxtG"/>
              <w:spacing w:before="40"/>
              <w:ind w:left="0" w:right="113"/>
              <w:jc w:val="left"/>
            </w:pPr>
            <w:r w:rsidRPr="008A38B9">
              <w:t>Ley contra el Blanqueo de Dinero y la Financiación del Terrorismo</w:t>
            </w:r>
          </w:p>
        </w:tc>
        <w:tc>
          <w:tcPr>
            <w:tcW w:w="892" w:type="dxa"/>
            <w:shd w:val="clear" w:color="auto" w:fill="auto"/>
          </w:tcPr>
          <w:p w14:paraId="16334B1A" w14:textId="77777777" w:rsidR="00DF5F01" w:rsidRPr="008A38B9" w:rsidRDefault="00DF5F01" w:rsidP="00DF5F01">
            <w:pPr>
              <w:pStyle w:val="SingleTxtG"/>
              <w:spacing w:before="40"/>
              <w:ind w:left="0" w:right="113"/>
              <w:jc w:val="left"/>
            </w:pPr>
            <w:r w:rsidRPr="008A38B9">
              <w:t>39</w:t>
            </w:r>
          </w:p>
        </w:tc>
        <w:tc>
          <w:tcPr>
            <w:tcW w:w="893" w:type="dxa"/>
            <w:shd w:val="clear" w:color="auto" w:fill="auto"/>
          </w:tcPr>
          <w:p w14:paraId="48D4E21C" w14:textId="77777777" w:rsidR="00DF5F01" w:rsidRPr="008A38B9" w:rsidRDefault="00DF5F01" w:rsidP="00DF5F01">
            <w:pPr>
              <w:pStyle w:val="SingleTxtG"/>
              <w:spacing w:before="40"/>
              <w:ind w:left="0" w:right="113"/>
              <w:jc w:val="left"/>
            </w:pPr>
            <w:r w:rsidRPr="008A38B9">
              <w:t>2015</w:t>
            </w:r>
          </w:p>
        </w:tc>
      </w:tr>
      <w:tr w:rsidR="00DF5F01" w14:paraId="58ADF34C" w14:textId="77777777" w:rsidTr="00DF5F01">
        <w:tc>
          <w:tcPr>
            <w:tcW w:w="630" w:type="dxa"/>
            <w:shd w:val="clear" w:color="auto" w:fill="auto"/>
          </w:tcPr>
          <w:p w14:paraId="72D7924C" w14:textId="77777777" w:rsidR="00DF5F01" w:rsidRPr="008A38B9" w:rsidRDefault="00DF5F01" w:rsidP="00DF5F01">
            <w:pPr>
              <w:pStyle w:val="SingleTxtG"/>
              <w:spacing w:before="40"/>
              <w:ind w:left="0" w:right="113"/>
              <w:jc w:val="left"/>
            </w:pPr>
            <w:r w:rsidRPr="008A38B9">
              <w:t>69</w:t>
            </w:r>
          </w:p>
        </w:tc>
        <w:tc>
          <w:tcPr>
            <w:tcW w:w="4955" w:type="dxa"/>
            <w:shd w:val="clear" w:color="auto" w:fill="auto"/>
          </w:tcPr>
          <w:p w14:paraId="53146EC9" w14:textId="77777777" w:rsidR="00DF5F01" w:rsidRPr="008A38B9" w:rsidRDefault="00DF5F01" w:rsidP="00DF5F01">
            <w:pPr>
              <w:pStyle w:val="SingleTxtG"/>
              <w:spacing w:before="40"/>
              <w:ind w:left="0" w:right="113"/>
              <w:jc w:val="left"/>
            </w:pPr>
            <w:r w:rsidRPr="008A38B9">
              <w:t>Ley del Trabajo</w:t>
            </w:r>
          </w:p>
        </w:tc>
        <w:tc>
          <w:tcPr>
            <w:tcW w:w="892" w:type="dxa"/>
            <w:shd w:val="clear" w:color="auto" w:fill="auto"/>
          </w:tcPr>
          <w:p w14:paraId="51EAF48D" w14:textId="77777777" w:rsidR="00DF5F01" w:rsidRPr="008A38B9" w:rsidRDefault="00DF5F01" w:rsidP="00DF5F01">
            <w:pPr>
              <w:pStyle w:val="SingleTxtG"/>
              <w:spacing w:before="40"/>
              <w:ind w:left="0" w:right="113"/>
              <w:jc w:val="left"/>
            </w:pPr>
            <w:r w:rsidRPr="008A38B9">
              <w:t>37</w:t>
            </w:r>
          </w:p>
        </w:tc>
        <w:tc>
          <w:tcPr>
            <w:tcW w:w="893" w:type="dxa"/>
            <w:shd w:val="clear" w:color="auto" w:fill="auto"/>
          </w:tcPr>
          <w:p w14:paraId="3DB4B5C4" w14:textId="77777777" w:rsidR="00DF5F01" w:rsidRPr="008A38B9" w:rsidRDefault="00DF5F01" w:rsidP="00DF5F01">
            <w:pPr>
              <w:pStyle w:val="SingleTxtG"/>
              <w:spacing w:before="40"/>
              <w:ind w:left="0" w:right="113"/>
              <w:jc w:val="left"/>
            </w:pPr>
            <w:r w:rsidRPr="008A38B9">
              <w:t>2015</w:t>
            </w:r>
          </w:p>
        </w:tc>
      </w:tr>
      <w:tr w:rsidR="00DF5F01" w14:paraId="0492FFB0" w14:textId="77777777" w:rsidTr="00DF5F01">
        <w:tc>
          <w:tcPr>
            <w:tcW w:w="630" w:type="dxa"/>
            <w:shd w:val="clear" w:color="auto" w:fill="auto"/>
          </w:tcPr>
          <w:p w14:paraId="245B954F" w14:textId="77777777" w:rsidR="00DF5F01" w:rsidRPr="008A38B9" w:rsidRDefault="00DF5F01" w:rsidP="00DF5F01">
            <w:pPr>
              <w:pStyle w:val="SingleTxtG"/>
              <w:spacing w:before="40"/>
              <w:ind w:left="0" w:right="113"/>
              <w:jc w:val="left"/>
            </w:pPr>
            <w:r w:rsidRPr="008A38B9">
              <w:t>70</w:t>
            </w:r>
          </w:p>
        </w:tc>
        <w:tc>
          <w:tcPr>
            <w:tcW w:w="4955" w:type="dxa"/>
            <w:shd w:val="clear" w:color="auto" w:fill="auto"/>
          </w:tcPr>
          <w:p w14:paraId="687BC459" w14:textId="77777777" w:rsidR="00DF5F01" w:rsidRPr="008A38B9" w:rsidRDefault="00DF5F01" w:rsidP="00DF5F01">
            <w:pPr>
              <w:pStyle w:val="SingleTxtG"/>
              <w:spacing w:before="40"/>
              <w:ind w:left="0" w:right="113"/>
              <w:jc w:val="left"/>
            </w:pPr>
            <w:r w:rsidRPr="008A38B9">
              <w:t>Ley de los Partidos Políticos</w:t>
            </w:r>
          </w:p>
        </w:tc>
        <w:tc>
          <w:tcPr>
            <w:tcW w:w="892" w:type="dxa"/>
            <w:shd w:val="clear" w:color="auto" w:fill="auto"/>
          </w:tcPr>
          <w:p w14:paraId="6F288390"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004C2779" w14:textId="77777777" w:rsidR="00DF5F01" w:rsidRPr="008A38B9" w:rsidRDefault="00DF5F01" w:rsidP="00DF5F01">
            <w:pPr>
              <w:pStyle w:val="SingleTxtG"/>
              <w:spacing w:before="40"/>
              <w:ind w:left="0" w:right="113"/>
              <w:jc w:val="left"/>
            </w:pPr>
            <w:r w:rsidRPr="008A38B9">
              <w:t>2015</w:t>
            </w:r>
          </w:p>
        </w:tc>
      </w:tr>
      <w:tr w:rsidR="00DF5F01" w14:paraId="6DF1B3F0" w14:textId="77777777" w:rsidTr="00DF5F01">
        <w:tc>
          <w:tcPr>
            <w:tcW w:w="630" w:type="dxa"/>
            <w:shd w:val="clear" w:color="auto" w:fill="auto"/>
          </w:tcPr>
          <w:p w14:paraId="1667B54B" w14:textId="77777777" w:rsidR="00DF5F01" w:rsidRPr="008A38B9" w:rsidRDefault="00DF5F01" w:rsidP="00DF5F01">
            <w:pPr>
              <w:pStyle w:val="SingleTxtG"/>
              <w:spacing w:before="40"/>
              <w:ind w:left="0" w:right="113"/>
              <w:jc w:val="left"/>
            </w:pPr>
            <w:r w:rsidRPr="008A38B9">
              <w:t>71</w:t>
            </w:r>
          </w:p>
        </w:tc>
        <w:tc>
          <w:tcPr>
            <w:tcW w:w="4955" w:type="dxa"/>
            <w:shd w:val="clear" w:color="auto" w:fill="auto"/>
          </w:tcPr>
          <w:p w14:paraId="23A2C27E" w14:textId="77777777" w:rsidR="00DF5F01" w:rsidRPr="008A38B9" w:rsidRDefault="00DF5F01" w:rsidP="00DF5F01">
            <w:pPr>
              <w:pStyle w:val="SingleTxtG"/>
              <w:spacing w:before="40"/>
              <w:ind w:left="0" w:right="113"/>
              <w:jc w:val="left"/>
            </w:pPr>
            <w:r w:rsidRPr="008A38B9">
              <w:t>Ley de la Red de Medios de Comunicación Iraquíes (Iraqi Media Network)</w:t>
            </w:r>
          </w:p>
        </w:tc>
        <w:tc>
          <w:tcPr>
            <w:tcW w:w="892" w:type="dxa"/>
            <w:shd w:val="clear" w:color="auto" w:fill="auto"/>
          </w:tcPr>
          <w:p w14:paraId="360C30EE" w14:textId="77777777" w:rsidR="00DF5F01" w:rsidRPr="008A38B9" w:rsidRDefault="00DF5F01" w:rsidP="00DF5F01">
            <w:pPr>
              <w:pStyle w:val="SingleTxtG"/>
              <w:spacing w:before="40"/>
              <w:ind w:left="0" w:right="113"/>
              <w:jc w:val="left"/>
            </w:pPr>
            <w:r w:rsidRPr="008A38B9">
              <w:t>26</w:t>
            </w:r>
          </w:p>
        </w:tc>
        <w:tc>
          <w:tcPr>
            <w:tcW w:w="893" w:type="dxa"/>
            <w:shd w:val="clear" w:color="auto" w:fill="auto"/>
          </w:tcPr>
          <w:p w14:paraId="0CBDF1CB" w14:textId="77777777" w:rsidR="00DF5F01" w:rsidRPr="008A38B9" w:rsidRDefault="00DF5F01" w:rsidP="00DF5F01">
            <w:pPr>
              <w:pStyle w:val="SingleTxtG"/>
              <w:spacing w:before="40"/>
              <w:ind w:left="0" w:right="113"/>
              <w:jc w:val="left"/>
            </w:pPr>
            <w:r w:rsidRPr="008A38B9">
              <w:t>2015</w:t>
            </w:r>
          </w:p>
        </w:tc>
      </w:tr>
      <w:tr w:rsidR="00DF5F01" w14:paraId="3B07E73B" w14:textId="77777777" w:rsidTr="00DF5F01">
        <w:tc>
          <w:tcPr>
            <w:tcW w:w="630" w:type="dxa"/>
            <w:shd w:val="clear" w:color="auto" w:fill="auto"/>
          </w:tcPr>
          <w:p w14:paraId="6C90EB0E" w14:textId="77777777" w:rsidR="00DF5F01" w:rsidRPr="008A38B9" w:rsidRDefault="00DF5F01" w:rsidP="00DF5F01">
            <w:pPr>
              <w:pStyle w:val="SingleTxtG"/>
              <w:spacing w:before="40"/>
              <w:ind w:left="0" w:right="113"/>
              <w:jc w:val="left"/>
            </w:pPr>
            <w:r w:rsidRPr="008A38B9">
              <w:t>72</w:t>
            </w:r>
          </w:p>
        </w:tc>
        <w:tc>
          <w:tcPr>
            <w:tcW w:w="4955" w:type="dxa"/>
            <w:shd w:val="clear" w:color="auto" w:fill="auto"/>
          </w:tcPr>
          <w:p w14:paraId="0E967572" w14:textId="77777777" w:rsidR="00DF5F01" w:rsidRPr="008A38B9" w:rsidRDefault="00DF5F01" w:rsidP="00DF5F01">
            <w:pPr>
              <w:pStyle w:val="SingleTxtG"/>
              <w:spacing w:before="40"/>
              <w:ind w:left="0" w:right="113"/>
              <w:jc w:val="left"/>
            </w:pPr>
            <w:r w:rsidRPr="008A38B9">
              <w:t>Directrices para Facilitar la Aplicación de la Ley de Prohibición de los Juegos que inciten a la Violencia</w:t>
            </w:r>
          </w:p>
        </w:tc>
        <w:tc>
          <w:tcPr>
            <w:tcW w:w="892" w:type="dxa"/>
            <w:shd w:val="clear" w:color="auto" w:fill="auto"/>
          </w:tcPr>
          <w:p w14:paraId="3D24458B" w14:textId="77777777" w:rsidR="00DF5F01" w:rsidRPr="008A38B9" w:rsidRDefault="00DF5F01" w:rsidP="00DF5F01">
            <w:pPr>
              <w:pStyle w:val="SingleTxtG"/>
              <w:spacing w:before="40"/>
              <w:ind w:left="0" w:right="113"/>
              <w:jc w:val="left"/>
            </w:pPr>
            <w:r w:rsidRPr="008A38B9">
              <w:t>3</w:t>
            </w:r>
          </w:p>
        </w:tc>
        <w:tc>
          <w:tcPr>
            <w:tcW w:w="893" w:type="dxa"/>
            <w:shd w:val="clear" w:color="auto" w:fill="auto"/>
          </w:tcPr>
          <w:p w14:paraId="338CC900" w14:textId="77777777" w:rsidR="00DF5F01" w:rsidRPr="008A38B9" w:rsidRDefault="00DF5F01" w:rsidP="00DF5F01">
            <w:pPr>
              <w:pStyle w:val="SingleTxtG"/>
              <w:spacing w:before="40"/>
              <w:ind w:left="0" w:right="113"/>
              <w:jc w:val="left"/>
            </w:pPr>
            <w:r w:rsidRPr="008A38B9">
              <w:t>2015</w:t>
            </w:r>
          </w:p>
        </w:tc>
      </w:tr>
      <w:tr w:rsidR="00DF5F01" w14:paraId="052A6B93" w14:textId="77777777" w:rsidTr="00DF5F01">
        <w:tc>
          <w:tcPr>
            <w:tcW w:w="630" w:type="dxa"/>
            <w:shd w:val="clear" w:color="auto" w:fill="auto"/>
          </w:tcPr>
          <w:p w14:paraId="393EA14B" w14:textId="77777777" w:rsidR="00DF5F01" w:rsidRPr="008A38B9" w:rsidRDefault="00DF5F01" w:rsidP="00DF5F01">
            <w:pPr>
              <w:pStyle w:val="SingleTxtG"/>
              <w:spacing w:before="40"/>
              <w:ind w:left="0" w:right="113"/>
              <w:jc w:val="left"/>
            </w:pPr>
            <w:r w:rsidRPr="008A38B9">
              <w:t>73</w:t>
            </w:r>
          </w:p>
        </w:tc>
        <w:tc>
          <w:tcPr>
            <w:tcW w:w="4955" w:type="dxa"/>
            <w:shd w:val="clear" w:color="auto" w:fill="auto"/>
          </w:tcPr>
          <w:p w14:paraId="32BE9270" w14:textId="77777777" w:rsidR="00DF5F01" w:rsidRPr="008A38B9" w:rsidRDefault="00DF5F01" w:rsidP="00DF5F01">
            <w:pPr>
              <w:pStyle w:val="SingleTxtG"/>
              <w:spacing w:before="40"/>
              <w:ind w:left="0" w:right="113"/>
              <w:jc w:val="left"/>
            </w:pPr>
            <w:r w:rsidRPr="008A38B9">
              <w:t>Ley de la Compensación</w:t>
            </w:r>
          </w:p>
        </w:tc>
        <w:tc>
          <w:tcPr>
            <w:tcW w:w="892" w:type="dxa"/>
            <w:shd w:val="clear" w:color="auto" w:fill="auto"/>
          </w:tcPr>
          <w:p w14:paraId="5404A482" w14:textId="77777777" w:rsidR="00DF5F01" w:rsidRPr="008A38B9" w:rsidRDefault="00DF5F01" w:rsidP="00DF5F01">
            <w:pPr>
              <w:pStyle w:val="SingleTxtG"/>
              <w:spacing w:before="40"/>
              <w:ind w:left="0" w:right="113"/>
              <w:jc w:val="left"/>
            </w:pPr>
            <w:r w:rsidRPr="008A38B9">
              <w:t>31</w:t>
            </w:r>
          </w:p>
        </w:tc>
        <w:tc>
          <w:tcPr>
            <w:tcW w:w="893" w:type="dxa"/>
            <w:shd w:val="clear" w:color="auto" w:fill="auto"/>
          </w:tcPr>
          <w:p w14:paraId="5127F68D" w14:textId="77777777" w:rsidR="00DF5F01" w:rsidRPr="008A38B9" w:rsidRDefault="00DF5F01" w:rsidP="00DF5F01">
            <w:pPr>
              <w:pStyle w:val="SingleTxtG"/>
              <w:spacing w:before="40"/>
              <w:ind w:left="0" w:right="113"/>
              <w:jc w:val="left"/>
            </w:pPr>
            <w:r w:rsidRPr="008A38B9">
              <w:t>2015</w:t>
            </w:r>
          </w:p>
        </w:tc>
      </w:tr>
      <w:tr w:rsidR="00DF5F01" w14:paraId="3282B6B6" w14:textId="77777777" w:rsidTr="00DF5F01">
        <w:tc>
          <w:tcPr>
            <w:tcW w:w="630" w:type="dxa"/>
            <w:shd w:val="clear" w:color="auto" w:fill="auto"/>
          </w:tcPr>
          <w:p w14:paraId="476D8C8A" w14:textId="77777777" w:rsidR="00DF5F01" w:rsidRPr="008A38B9" w:rsidRDefault="00DF5F01" w:rsidP="00DF5F01">
            <w:pPr>
              <w:pStyle w:val="SingleTxtG"/>
              <w:spacing w:before="40"/>
              <w:ind w:left="0" w:right="113"/>
              <w:jc w:val="left"/>
            </w:pPr>
            <w:r w:rsidRPr="008A38B9">
              <w:t>74</w:t>
            </w:r>
          </w:p>
        </w:tc>
        <w:tc>
          <w:tcPr>
            <w:tcW w:w="4955" w:type="dxa"/>
            <w:shd w:val="clear" w:color="auto" w:fill="auto"/>
          </w:tcPr>
          <w:p w14:paraId="50B5756E" w14:textId="77777777" w:rsidR="00DF5F01" w:rsidRPr="008A38B9" w:rsidRDefault="00DF5F01" w:rsidP="00DF5F01">
            <w:pPr>
              <w:pStyle w:val="SingleTxtG"/>
              <w:spacing w:before="40"/>
              <w:ind w:left="0" w:right="113"/>
              <w:jc w:val="left"/>
            </w:pPr>
            <w:r w:rsidRPr="008A38B9">
              <w:t>Ley del Documento Nacional</w:t>
            </w:r>
          </w:p>
        </w:tc>
        <w:tc>
          <w:tcPr>
            <w:tcW w:w="892" w:type="dxa"/>
            <w:shd w:val="clear" w:color="auto" w:fill="auto"/>
          </w:tcPr>
          <w:p w14:paraId="5C66DAFF" w14:textId="77777777" w:rsidR="00DF5F01" w:rsidRPr="008A38B9" w:rsidRDefault="00DF5F01" w:rsidP="00DF5F01">
            <w:pPr>
              <w:pStyle w:val="SingleTxtG"/>
              <w:spacing w:before="40"/>
              <w:ind w:left="0" w:right="113"/>
              <w:jc w:val="left"/>
            </w:pPr>
            <w:r w:rsidRPr="008A38B9">
              <w:t>3</w:t>
            </w:r>
          </w:p>
        </w:tc>
        <w:tc>
          <w:tcPr>
            <w:tcW w:w="893" w:type="dxa"/>
            <w:shd w:val="clear" w:color="auto" w:fill="auto"/>
          </w:tcPr>
          <w:p w14:paraId="70EC40E6" w14:textId="77777777" w:rsidR="00DF5F01" w:rsidRPr="008A38B9" w:rsidRDefault="00DF5F01" w:rsidP="00DF5F01">
            <w:pPr>
              <w:pStyle w:val="SingleTxtG"/>
              <w:spacing w:before="40"/>
              <w:ind w:left="0" w:right="113"/>
              <w:jc w:val="left"/>
            </w:pPr>
            <w:r w:rsidRPr="008A38B9">
              <w:t>2016</w:t>
            </w:r>
          </w:p>
        </w:tc>
      </w:tr>
      <w:tr w:rsidR="00DF5F01" w14:paraId="5837BA49" w14:textId="77777777" w:rsidTr="00DF5F01">
        <w:tc>
          <w:tcPr>
            <w:tcW w:w="630" w:type="dxa"/>
            <w:shd w:val="clear" w:color="auto" w:fill="auto"/>
          </w:tcPr>
          <w:p w14:paraId="5BA82108" w14:textId="77777777" w:rsidR="00DF5F01" w:rsidRPr="008A38B9" w:rsidRDefault="00DF5F01" w:rsidP="00DF5F01">
            <w:pPr>
              <w:pStyle w:val="SingleTxtG"/>
              <w:spacing w:before="40"/>
              <w:ind w:left="0" w:right="113"/>
              <w:jc w:val="left"/>
            </w:pPr>
            <w:r w:rsidRPr="008A38B9">
              <w:t>75</w:t>
            </w:r>
          </w:p>
        </w:tc>
        <w:tc>
          <w:tcPr>
            <w:tcW w:w="4955" w:type="dxa"/>
            <w:shd w:val="clear" w:color="auto" w:fill="auto"/>
          </w:tcPr>
          <w:p w14:paraId="5C082398" w14:textId="77777777" w:rsidR="00DF5F01" w:rsidRPr="008A38B9" w:rsidRDefault="00DF5F01" w:rsidP="00DF5F01">
            <w:pPr>
              <w:pStyle w:val="SingleTxtG"/>
              <w:spacing w:before="40"/>
              <w:ind w:left="0" w:right="113"/>
              <w:jc w:val="left"/>
            </w:pPr>
            <w:r w:rsidRPr="008A38B9">
              <w:t>Ley de la Fundación de los Mártires</w:t>
            </w:r>
          </w:p>
        </w:tc>
        <w:tc>
          <w:tcPr>
            <w:tcW w:w="892" w:type="dxa"/>
            <w:shd w:val="clear" w:color="auto" w:fill="auto"/>
          </w:tcPr>
          <w:p w14:paraId="3F4A6971" w14:textId="77777777" w:rsidR="00DF5F01" w:rsidRPr="008A38B9" w:rsidRDefault="00DF5F01" w:rsidP="00DF5F01">
            <w:pPr>
              <w:pStyle w:val="SingleTxtG"/>
              <w:spacing w:before="40"/>
              <w:ind w:left="0" w:right="113"/>
              <w:jc w:val="left"/>
            </w:pPr>
            <w:r w:rsidRPr="008A38B9">
              <w:t>2</w:t>
            </w:r>
          </w:p>
        </w:tc>
        <w:tc>
          <w:tcPr>
            <w:tcW w:w="893" w:type="dxa"/>
            <w:shd w:val="clear" w:color="auto" w:fill="auto"/>
          </w:tcPr>
          <w:p w14:paraId="24BBEB1F" w14:textId="77777777" w:rsidR="00DF5F01" w:rsidRPr="008A38B9" w:rsidRDefault="00DF5F01" w:rsidP="00DF5F01">
            <w:pPr>
              <w:pStyle w:val="SingleTxtG"/>
              <w:spacing w:before="40"/>
              <w:ind w:left="0" w:right="113"/>
              <w:jc w:val="left"/>
            </w:pPr>
            <w:r w:rsidRPr="008A38B9">
              <w:t>2016</w:t>
            </w:r>
          </w:p>
        </w:tc>
      </w:tr>
      <w:tr w:rsidR="00DF5F01" w14:paraId="5F3127AF" w14:textId="77777777" w:rsidTr="00DF5F01">
        <w:tc>
          <w:tcPr>
            <w:tcW w:w="630" w:type="dxa"/>
            <w:shd w:val="clear" w:color="auto" w:fill="auto"/>
          </w:tcPr>
          <w:p w14:paraId="6CF25AEF" w14:textId="77777777" w:rsidR="00DF5F01" w:rsidRPr="008A38B9" w:rsidRDefault="00DF5F01" w:rsidP="00DF5F01">
            <w:pPr>
              <w:pStyle w:val="SingleTxtG"/>
              <w:spacing w:before="40"/>
              <w:ind w:left="0" w:right="113"/>
              <w:jc w:val="left"/>
            </w:pPr>
            <w:r w:rsidRPr="008A38B9">
              <w:t>76</w:t>
            </w:r>
          </w:p>
        </w:tc>
        <w:tc>
          <w:tcPr>
            <w:tcW w:w="4955" w:type="dxa"/>
            <w:shd w:val="clear" w:color="auto" w:fill="auto"/>
          </w:tcPr>
          <w:p w14:paraId="2897698D" w14:textId="77777777" w:rsidR="00DF5F01" w:rsidRPr="008A38B9" w:rsidRDefault="00DF5F01" w:rsidP="00DF5F01">
            <w:pPr>
              <w:pStyle w:val="SingleTxtG"/>
              <w:spacing w:before="40"/>
              <w:ind w:left="0" w:right="113"/>
              <w:jc w:val="left"/>
            </w:pPr>
            <w:r w:rsidRPr="008A38B9">
              <w:t>Resolución por la que se fijan las Indemnizaciones y Prestaciones y se estiman los Daños del Distrito de Tuz Jurmatu</w:t>
            </w:r>
          </w:p>
        </w:tc>
        <w:tc>
          <w:tcPr>
            <w:tcW w:w="892" w:type="dxa"/>
            <w:shd w:val="clear" w:color="auto" w:fill="auto"/>
          </w:tcPr>
          <w:p w14:paraId="53B92142" w14:textId="77777777" w:rsidR="00DF5F01" w:rsidRPr="008A38B9" w:rsidRDefault="00DF5F01" w:rsidP="00DF5F01">
            <w:pPr>
              <w:pStyle w:val="SingleTxtG"/>
              <w:spacing w:before="40"/>
              <w:ind w:left="0" w:right="113"/>
              <w:jc w:val="left"/>
            </w:pPr>
            <w:r w:rsidRPr="008A38B9">
              <w:t>27</w:t>
            </w:r>
          </w:p>
        </w:tc>
        <w:tc>
          <w:tcPr>
            <w:tcW w:w="893" w:type="dxa"/>
            <w:shd w:val="clear" w:color="auto" w:fill="auto"/>
          </w:tcPr>
          <w:p w14:paraId="003DD56B" w14:textId="77777777" w:rsidR="00DF5F01" w:rsidRPr="008A38B9" w:rsidRDefault="00DF5F01" w:rsidP="00DF5F01">
            <w:pPr>
              <w:pStyle w:val="SingleTxtG"/>
              <w:spacing w:before="40"/>
              <w:ind w:left="0" w:right="113"/>
              <w:jc w:val="left"/>
            </w:pPr>
            <w:r w:rsidRPr="008A38B9">
              <w:t>2016</w:t>
            </w:r>
          </w:p>
        </w:tc>
      </w:tr>
      <w:tr w:rsidR="00DF5F01" w14:paraId="09821E50" w14:textId="77777777" w:rsidTr="00DF5F01">
        <w:tc>
          <w:tcPr>
            <w:tcW w:w="630" w:type="dxa"/>
            <w:shd w:val="clear" w:color="auto" w:fill="auto"/>
          </w:tcPr>
          <w:p w14:paraId="7BCC5F28" w14:textId="77777777" w:rsidR="00DF5F01" w:rsidRPr="008A38B9" w:rsidRDefault="00DF5F01" w:rsidP="00DF5F01">
            <w:pPr>
              <w:pStyle w:val="SingleTxtG"/>
              <w:spacing w:before="40"/>
              <w:ind w:left="0" w:right="113"/>
              <w:jc w:val="left"/>
            </w:pPr>
            <w:r w:rsidRPr="008A38B9">
              <w:lastRenderedPageBreak/>
              <w:t>77</w:t>
            </w:r>
          </w:p>
        </w:tc>
        <w:tc>
          <w:tcPr>
            <w:tcW w:w="4955" w:type="dxa"/>
            <w:shd w:val="clear" w:color="auto" w:fill="auto"/>
          </w:tcPr>
          <w:p w14:paraId="6A6B700C" w14:textId="77777777" w:rsidR="00DF5F01" w:rsidRPr="008A38B9" w:rsidRDefault="00DF5F01" w:rsidP="00DF5F01">
            <w:pPr>
              <w:pStyle w:val="SingleTxtG"/>
              <w:spacing w:before="40"/>
              <w:ind w:left="0" w:right="113"/>
              <w:jc w:val="left"/>
            </w:pPr>
            <w:r w:rsidRPr="008A38B9">
              <w:t>Ley de la Comisión para la Salvaguardia de los Derechos de las Regiones y las Provincias no incluidas en una Región</w:t>
            </w:r>
          </w:p>
        </w:tc>
        <w:tc>
          <w:tcPr>
            <w:tcW w:w="892" w:type="dxa"/>
            <w:shd w:val="clear" w:color="auto" w:fill="auto"/>
          </w:tcPr>
          <w:p w14:paraId="36B67991" w14:textId="77777777" w:rsidR="00DF5F01" w:rsidRPr="008A38B9" w:rsidRDefault="00DF5F01" w:rsidP="00DF5F01">
            <w:pPr>
              <w:pStyle w:val="SingleTxtG"/>
              <w:spacing w:before="40"/>
              <w:ind w:left="0" w:right="113"/>
              <w:jc w:val="left"/>
            </w:pPr>
            <w:r w:rsidRPr="008A38B9">
              <w:t>26</w:t>
            </w:r>
          </w:p>
        </w:tc>
        <w:tc>
          <w:tcPr>
            <w:tcW w:w="893" w:type="dxa"/>
            <w:shd w:val="clear" w:color="auto" w:fill="auto"/>
          </w:tcPr>
          <w:p w14:paraId="11627729" w14:textId="77777777" w:rsidR="00DF5F01" w:rsidRPr="008A38B9" w:rsidRDefault="00DF5F01" w:rsidP="00DF5F01">
            <w:pPr>
              <w:pStyle w:val="SingleTxtG"/>
              <w:spacing w:before="40"/>
              <w:ind w:left="0" w:right="113"/>
              <w:jc w:val="left"/>
            </w:pPr>
            <w:r w:rsidRPr="008A38B9">
              <w:t>2016</w:t>
            </w:r>
          </w:p>
        </w:tc>
      </w:tr>
      <w:tr w:rsidR="00DF5F01" w14:paraId="44E5D05F" w14:textId="77777777" w:rsidTr="00DF5F01">
        <w:tc>
          <w:tcPr>
            <w:tcW w:w="630" w:type="dxa"/>
            <w:shd w:val="clear" w:color="auto" w:fill="auto"/>
          </w:tcPr>
          <w:p w14:paraId="5FD1A24D" w14:textId="77777777" w:rsidR="00DF5F01" w:rsidRPr="008A38B9" w:rsidRDefault="00DF5F01" w:rsidP="00DF5F01">
            <w:pPr>
              <w:pStyle w:val="SingleTxtG"/>
              <w:spacing w:before="40"/>
              <w:ind w:left="0" w:right="113"/>
              <w:jc w:val="left"/>
            </w:pPr>
            <w:r w:rsidRPr="008A38B9">
              <w:t>78</w:t>
            </w:r>
          </w:p>
        </w:tc>
        <w:tc>
          <w:tcPr>
            <w:tcW w:w="4955" w:type="dxa"/>
            <w:shd w:val="clear" w:color="auto" w:fill="auto"/>
          </w:tcPr>
          <w:p w14:paraId="084C4981" w14:textId="77777777" w:rsidR="00DF5F01" w:rsidRPr="008A38B9" w:rsidRDefault="00DF5F01" w:rsidP="00DF5F01">
            <w:pPr>
              <w:pStyle w:val="SingleTxtG"/>
              <w:spacing w:before="40"/>
              <w:ind w:left="0" w:right="113"/>
              <w:jc w:val="left"/>
            </w:pPr>
            <w:r w:rsidRPr="008A38B9">
              <w:t>Ley de Amnistía</w:t>
            </w:r>
          </w:p>
        </w:tc>
        <w:tc>
          <w:tcPr>
            <w:tcW w:w="892" w:type="dxa"/>
            <w:shd w:val="clear" w:color="auto" w:fill="auto"/>
          </w:tcPr>
          <w:p w14:paraId="71AC920F" w14:textId="77777777" w:rsidR="00DF5F01" w:rsidRPr="008A38B9" w:rsidRDefault="00DF5F01" w:rsidP="00DF5F01">
            <w:pPr>
              <w:pStyle w:val="SingleTxtG"/>
              <w:spacing w:before="40"/>
              <w:ind w:left="0" w:right="113"/>
              <w:jc w:val="left"/>
            </w:pPr>
            <w:r w:rsidRPr="008A38B9">
              <w:t>27</w:t>
            </w:r>
          </w:p>
        </w:tc>
        <w:tc>
          <w:tcPr>
            <w:tcW w:w="893" w:type="dxa"/>
            <w:shd w:val="clear" w:color="auto" w:fill="auto"/>
          </w:tcPr>
          <w:p w14:paraId="046C2C22" w14:textId="77777777" w:rsidR="00DF5F01" w:rsidRPr="008A38B9" w:rsidRDefault="00DF5F01" w:rsidP="00DF5F01">
            <w:pPr>
              <w:pStyle w:val="SingleTxtG"/>
              <w:spacing w:before="40"/>
              <w:ind w:left="0" w:right="113"/>
              <w:jc w:val="left"/>
            </w:pPr>
            <w:r w:rsidRPr="008A38B9">
              <w:t>2016</w:t>
            </w:r>
          </w:p>
        </w:tc>
      </w:tr>
      <w:tr w:rsidR="00DF5F01" w14:paraId="48776F9B" w14:textId="77777777" w:rsidTr="00DF5F01">
        <w:tc>
          <w:tcPr>
            <w:tcW w:w="630" w:type="dxa"/>
            <w:shd w:val="clear" w:color="auto" w:fill="auto"/>
          </w:tcPr>
          <w:p w14:paraId="3F7792F2" w14:textId="77777777" w:rsidR="00DF5F01" w:rsidRPr="008A38B9" w:rsidRDefault="00DF5F01" w:rsidP="00DF5F01">
            <w:pPr>
              <w:pStyle w:val="SingleTxtG"/>
              <w:spacing w:before="40"/>
              <w:ind w:left="0" w:right="113"/>
              <w:jc w:val="left"/>
            </w:pPr>
            <w:r w:rsidRPr="008A38B9">
              <w:t>79</w:t>
            </w:r>
          </w:p>
        </w:tc>
        <w:tc>
          <w:tcPr>
            <w:tcW w:w="4955" w:type="dxa"/>
            <w:shd w:val="clear" w:color="auto" w:fill="auto"/>
          </w:tcPr>
          <w:p w14:paraId="694D1DDC" w14:textId="77777777" w:rsidR="00DF5F01" w:rsidRPr="008A38B9" w:rsidRDefault="00DF5F01" w:rsidP="00DF5F01">
            <w:pPr>
              <w:pStyle w:val="SingleTxtG"/>
              <w:spacing w:before="40"/>
              <w:ind w:left="0" w:right="113"/>
              <w:jc w:val="left"/>
            </w:pPr>
            <w:r w:rsidRPr="008A38B9">
              <w:t>Ley de la Agencia Antiterrorista</w:t>
            </w:r>
          </w:p>
        </w:tc>
        <w:tc>
          <w:tcPr>
            <w:tcW w:w="892" w:type="dxa"/>
            <w:shd w:val="clear" w:color="auto" w:fill="auto"/>
          </w:tcPr>
          <w:p w14:paraId="4E7F79DB" w14:textId="77777777" w:rsidR="00DF5F01" w:rsidRPr="008A38B9" w:rsidRDefault="00DF5F01" w:rsidP="00DF5F01">
            <w:pPr>
              <w:pStyle w:val="SingleTxtG"/>
              <w:spacing w:before="40"/>
              <w:ind w:left="0" w:right="113"/>
              <w:jc w:val="left"/>
            </w:pPr>
            <w:r w:rsidRPr="008A38B9">
              <w:t>31</w:t>
            </w:r>
          </w:p>
        </w:tc>
        <w:tc>
          <w:tcPr>
            <w:tcW w:w="893" w:type="dxa"/>
            <w:shd w:val="clear" w:color="auto" w:fill="auto"/>
          </w:tcPr>
          <w:p w14:paraId="0B72A6D8" w14:textId="77777777" w:rsidR="00DF5F01" w:rsidRPr="008A38B9" w:rsidRDefault="00DF5F01" w:rsidP="00DF5F01">
            <w:pPr>
              <w:pStyle w:val="SingleTxtG"/>
              <w:spacing w:before="40"/>
              <w:ind w:left="0" w:right="113"/>
              <w:jc w:val="left"/>
            </w:pPr>
            <w:r w:rsidRPr="008A38B9">
              <w:t>2016</w:t>
            </w:r>
          </w:p>
        </w:tc>
      </w:tr>
      <w:tr w:rsidR="00DF5F01" w14:paraId="624E1F7D" w14:textId="77777777" w:rsidTr="00DF5F01">
        <w:tc>
          <w:tcPr>
            <w:tcW w:w="630" w:type="dxa"/>
            <w:shd w:val="clear" w:color="auto" w:fill="auto"/>
          </w:tcPr>
          <w:p w14:paraId="29015D8F" w14:textId="77777777" w:rsidR="00DF5F01" w:rsidRPr="008A38B9" w:rsidRDefault="00DF5F01" w:rsidP="00DF5F01">
            <w:pPr>
              <w:pStyle w:val="SingleTxtG"/>
              <w:spacing w:before="40"/>
              <w:ind w:left="0" w:right="113"/>
              <w:jc w:val="left"/>
            </w:pPr>
            <w:r w:rsidRPr="008A38B9">
              <w:t>80</w:t>
            </w:r>
          </w:p>
        </w:tc>
        <w:tc>
          <w:tcPr>
            <w:tcW w:w="4955" w:type="dxa"/>
            <w:shd w:val="clear" w:color="auto" w:fill="auto"/>
          </w:tcPr>
          <w:p w14:paraId="346EFF08" w14:textId="77777777" w:rsidR="00DF5F01" w:rsidRPr="008A38B9" w:rsidRDefault="00DF5F01" w:rsidP="00DF5F01">
            <w:pPr>
              <w:pStyle w:val="SingleTxtG"/>
              <w:spacing w:before="40"/>
              <w:ind w:left="0" w:right="113"/>
              <w:jc w:val="left"/>
            </w:pPr>
            <w:r w:rsidRPr="008A38B9">
              <w:t xml:space="preserve">Ley de Prohibición del Partido Baaz y de las Organizaciones, los Partidos y las Actividades Racistas, Terroristas y </w:t>
            </w:r>
            <w:r w:rsidRPr="00DF5F01">
              <w:t>Takfiríes</w:t>
            </w:r>
          </w:p>
        </w:tc>
        <w:tc>
          <w:tcPr>
            <w:tcW w:w="892" w:type="dxa"/>
            <w:shd w:val="clear" w:color="auto" w:fill="auto"/>
          </w:tcPr>
          <w:p w14:paraId="213AA5B5" w14:textId="77777777" w:rsidR="00DF5F01" w:rsidRPr="008A38B9" w:rsidRDefault="00DF5F01" w:rsidP="00DF5F01">
            <w:pPr>
              <w:pStyle w:val="SingleTxtG"/>
              <w:spacing w:before="40"/>
              <w:ind w:left="0" w:right="113"/>
              <w:jc w:val="left"/>
            </w:pPr>
            <w:r w:rsidRPr="008A38B9">
              <w:t>32</w:t>
            </w:r>
          </w:p>
        </w:tc>
        <w:tc>
          <w:tcPr>
            <w:tcW w:w="893" w:type="dxa"/>
            <w:shd w:val="clear" w:color="auto" w:fill="auto"/>
          </w:tcPr>
          <w:p w14:paraId="61F3D563" w14:textId="77777777" w:rsidR="00DF5F01" w:rsidRPr="008A38B9" w:rsidRDefault="00DF5F01" w:rsidP="00DF5F01">
            <w:pPr>
              <w:pStyle w:val="SingleTxtG"/>
              <w:spacing w:before="40"/>
              <w:ind w:left="0" w:right="113"/>
              <w:jc w:val="left"/>
            </w:pPr>
            <w:r w:rsidRPr="008A38B9">
              <w:t>2016</w:t>
            </w:r>
          </w:p>
        </w:tc>
      </w:tr>
      <w:tr w:rsidR="00DF5F01" w14:paraId="5C480560" w14:textId="77777777" w:rsidTr="00DF5F01">
        <w:tc>
          <w:tcPr>
            <w:tcW w:w="630" w:type="dxa"/>
            <w:shd w:val="clear" w:color="auto" w:fill="auto"/>
          </w:tcPr>
          <w:p w14:paraId="6A1AE728" w14:textId="77777777" w:rsidR="00DF5F01" w:rsidRPr="008A38B9" w:rsidRDefault="00DF5F01" w:rsidP="00DF5F01">
            <w:pPr>
              <w:pStyle w:val="SingleTxtG"/>
              <w:spacing w:before="40"/>
              <w:ind w:left="0" w:right="113"/>
              <w:jc w:val="left"/>
            </w:pPr>
            <w:r w:rsidRPr="008A38B9">
              <w:t>81</w:t>
            </w:r>
          </w:p>
        </w:tc>
        <w:tc>
          <w:tcPr>
            <w:tcW w:w="4955" w:type="dxa"/>
            <w:shd w:val="clear" w:color="auto" w:fill="auto"/>
          </w:tcPr>
          <w:p w14:paraId="2522E730" w14:textId="77777777" w:rsidR="00DF5F01" w:rsidRPr="008A38B9" w:rsidRDefault="00DF5F01" w:rsidP="00DF5F01">
            <w:pPr>
              <w:pStyle w:val="SingleTxtG"/>
              <w:spacing w:before="40"/>
              <w:ind w:left="0" w:right="113"/>
              <w:jc w:val="left"/>
            </w:pPr>
            <w:r w:rsidRPr="008A38B9">
              <w:t>Ley del Trasplante de Órganos Humanos y de la Prevención de su Tráfico</w:t>
            </w:r>
          </w:p>
        </w:tc>
        <w:tc>
          <w:tcPr>
            <w:tcW w:w="892" w:type="dxa"/>
            <w:shd w:val="clear" w:color="auto" w:fill="auto"/>
          </w:tcPr>
          <w:p w14:paraId="470BE75E" w14:textId="77777777" w:rsidR="00DF5F01" w:rsidRPr="008A38B9" w:rsidRDefault="00DF5F01" w:rsidP="00DF5F01">
            <w:pPr>
              <w:pStyle w:val="SingleTxtG"/>
              <w:spacing w:before="40"/>
              <w:ind w:left="0" w:right="113"/>
              <w:jc w:val="left"/>
            </w:pPr>
            <w:r w:rsidRPr="008A38B9">
              <w:t>11</w:t>
            </w:r>
          </w:p>
        </w:tc>
        <w:tc>
          <w:tcPr>
            <w:tcW w:w="893" w:type="dxa"/>
            <w:shd w:val="clear" w:color="auto" w:fill="auto"/>
          </w:tcPr>
          <w:p w14:paraId="2EB7CD34" w14:textId="77777777" w:rsidR="00DF5F01" w:rsidRPr="008A38B9" w:rsidRDefault="00DF5F01" w:rsidP="00DF5F01">
            <w:pPr>
              <w:pStyle w:val="SingleTxtG"/>
              <w:spacing w:before="40"/>
              <w:ind w:left="0" w:right="113"/>
              <w:jc w:val="left"/>
            </w:pPr>
            <w:r w:rsidRPr="008A38B9">
              <w:t>2016</w:t>
            </w:r>
          </w:p>
        </w:tc>
      </w:tr>
      <w:tr w:rsidR="00DF5F01" w14:paraId="083BDE89" w14:textId="77777777" w:rsidTr="00DF5F01">
        <w:tc>
          <w:tcPr>
            <w:tcW w:w="630" w:type="dxa"/>
            <w:shd w:val="clear" w:color="auto" w:fill="auto"/>
          </w:tcPr>
          <w:p w14:paraId="52032AA3" w14:textId="77777777" w:rsidR="00DF5F01" w:rsidRPr="008A38B9" w:rsidRDefault="00DF5F01" w:rsidP="00DF5F01">
            <w:pPr>
              <w:pStyle w:val="SingleTxtG"/>
              <w:spacing w:before="40"/>
              <w:ind w:left="0" w:right="113"/>
              <w:jc w:val="left"/>
            </w:pPr>
            <w:r w:rsidRPr="008A38B9">
              <w:t>82</w:t>
            </w:r>
          </w:p>
        </w:tc>
        <w:tc>
          <w:tcPr>
            <w:tcW w:w="4955" w:type="dxa"/>
            <w:shd w:val="clear" w:color="auto" w:fill="auto"/>
          </w:tcPr>
          <w:p w14:paraId="5E87853B" w14:textId="77777777" w:rsidR="00DF5F01" w:rsidRPr="008A38B9" w:rsidRDefault="00DF5F01" w:rsidP="00DF5F01">
            <w:pPr>
              <w:pStyle w:val="SingleTxtG"/>
              <w:spacing w:before="40"/>
              <w:ind w:left="0" w:right="113"/>
              <w:jc w:val="left"/>
            </w:pPr>
            <w:r w:rsidRPr="008A38B9">
              <w:t>Ley de Apoyo a los Médicos</w:t>
            </w:r>
          </w:p>
        </w:tc>
        <w:tc>
          <w:tcPr>
            <w:tcW w:w="892" w:type="dxa"/>
            <w:shd w:val="clear" w:color="auto" w:fill="auto"/>
          </w:tcPr>
          <w:p w14:paraId="100F165B"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2DD96672" w14:textId="77777777" w:rsidR="00DF5F01" w:rsidRPr="008A38B9" w:rsidRDefault="00DF5F01" w:rsidP="00DF5F01">
            <w:pPr>
              <w:pStyle w:val="SingleTxtG"/>
              <w:spacing w:before="40"/>
              <w:ind w:left="0" w:right="113"/>
              <w:jc w:val="left"/>
            </w:pPr>
            <w:r w:rsidRPr="008A38B9">
              <w:t>2016</w:t>
            </w:r>
          </w:p>
        </w:tc>
      </w:tr>
      <w:tr w:rsidR="00DF5F01" w14:paraId="288E686F" w14:textId="77777777" w:rsidTr="00DF5F01">
        <w:tc>
          <w:tcPr>
            <w:tcW w:w="630" w:type="dxa"/>
            <w:shd w:val="clear" w:color="auto" w:fill="auto"/>
          </w:tcPr>
          <w:p w14:paraId="7BD4ED4E" w14:textId="77777777" w:rsidR="00DF5F01" w:rsidRPr="008A38B9" w:rsidRDefault="00DF5F01" w:rsidP="00DF5F01">
            <w:pPr>
              <w:pStyle w:val="SingleTxtG"/>
              <w:spacing w:before="40"/>
              <w:ind w:left="0" w:right="113"/>
              <w:jc w:val="left"/>
            </w:pPr>
            <w:r w:rsidRPr="008A38B9">
              <w:t>83</w:t>
            </w:r>
          </w:p>
        </w:tc>
        <w:tc>
          <w:tcPr>
            <w:tcW w:w="4955" w:type="dxa"/>
            <w:shd w:val="clear" w:color="auto" w:fill="auto"/>
          </w:tcPr>
          <w:p w14:paraId="32A0CABD" w14:textId="77777777" w:rsidR="00DF5F01" w:rsidRPr="008A38B9" w:rsidRDefault="00DF5F01" w:rsidP="00DF5F01">
            <w:pPr>
              <w:pStyle w:val="SingleTxtG"/>
              <w:spacing w:before="40"/>
              <w:ind w:left="0" w:right="113"/>
              <w:jc w:val="left"/>
            </w:pPr>
            <w:r w:rsidRPr="008A38B9">
              <w:t>Ley de Procedimiento Penal Militar</w:t>
            </w:r>
          </w:p>
        </w:tc>
        <w:tc>
          <w:tcPr>
            <w:tcW w:w="892" w:type="dxa"/>
            <w:shd w:val="clear" w:color="auto" w:fill="auto"/>
          </w:tcPr>
          <w:p w14:paraId="5D8E82CF" w14:textId="77777777" w:rsidR="00DF5F01" w:rsidRPr="008A38B9" w:rsidRDefault="00DF5F01" w:rsidP="00DF5F01">
            <w:pPr>
              <w:pStyle w:val="SingleTxtG"/>
              <w:spacing w:before="40"/>
              <w:ind w:left="0" w:right="113"/>
              <w:jc w:val="left"/>
            </w:pPr>
            <w:r w:rsidRPr="008A38B9">
              <w:t>22</w:t>
            </w:r>
          </w:p>
        </w:tc>
        <w:tc>
          <w:tcPr>
            <w:tcW w:w="893" w:type="dxa"/>
            <w:shd w:val="clear" w:color="auto" w:fill="auto"/>
          </w:tcPr>
          <w:p w14:paraId="3F3D2A59" w14:textId="77777777" w:rsidR="00DF5F01" w:rsidRPr="008A38B9" w:rsidRDefault="00DF5F01" w:rsidP="00DF5F01">
            <w:pPr>
              <w:pStyle w:val="SingleTxtG"/>
              <w:spacing w:before="40"/>
              <w:ind w:left="0" w:right="113"/>
              <w:jc w:val="left"/>
            </w:pPr>
            <w:r w:rsidRPr="008A38B9">
              <w:t>2016</w:t>
            </w:r>
          </w:p>
        </w:tc>
      </w:tr>
      <w:tr w:rsidR="00DF5F01" w14:paraId="755467CA" w14:textId="77777777" w:rsidTr="00DF5F01">
        <w:tc>
          <w:tcPr>
            <w:tcW w:w="630" w:type="dxa"/>
            <w:shd w:val="clear" w:color="auto" w:fill="auto"/>
          </w:tcPr>
          <w:p w14:paraId="7A492477" w14:textId="77777777" w:rsidR="00DF5F01" w:rsidRPr="008A38B9" w:rsidRDefault="00DF5F01" w:rsidP="00DF5F01">
            <w:pPr>
              <w:pStyle w:val="SingleTxtG"/>
              <w:spacing w:before="40"/>
              <w:ind w:left="0" w:right="113"/>
              <w:jc w:val="left"/>
            </w:pPr>
            <w:r w:rsidRPr="008A38B9">
              <w:t>84</w:t>
            </w:r>
          </w:p>
        </w:tc>
        <w:tc>
          <w:tcPr>
            <w:tcW w:w="4955" w:type="dxa"/>
            <w:shd w:val="clear" w:color="auto" w:fill="auto"/>
          </w:tcPr>
          <w:p w14:paraId="6308E7A2" w14:textId="77777777" w:rsidR="00DF5F01" w:rsidRPr="008A38B9" w:rsidRDefault="00DF5F01" w:rsidP="00DF5F01">
            <w:pPr>
              <w:pStyle w:val="SingleTxtG"/>
              <w:spacing w:before="40"/>
              <w:ind w:left="0" w:right="113"/>
              <w:jc w:val="left"/>
            </w:pPr>
            <w:r w:rsidRPr="008A38B9">
              <w:t>Ley de la Adhesión de la República del Iraq a la Convención Internacional para la Prevención de la Contaminación del Mar Originada por Buques (1973) en su formulación modificada por el Protocolo de 1978 (Convenio MARPOL 73/78)</w:t>
            </w:r>
          </w:p>
        </w:tc>
        <w:tc>
          <w:tcPr>
            <w:tcW w:w="892" w:type="dxa"/>
            <w:shd w:val="clear" w:color="auto" w:fill="auto"/>
          </w:tcPr>
          <w:p w14:paraId="67AB1C2C" w14:textId="77777777" w:rsidR="00DF5F01" w:rsidRPr="008A38B9" w:rsidRDefault="00DF5F01" w:rsidP="00DF5F01">
            <w:pPr>
              <w:pStyle w:val="SingleTxtG"/>
              <w:spacing w:before="40"/>
              <w:ind w:left="0" w:right="113"/>
              <w:jc w:val="left"/>
            </w:pPr>
            <w:r w:rsidRPr="008A38B9">
              <w:t>42</w:t>
            </w:r>
          </w:p>
        </w:tc>
        <w:tc>
          <w:tcPr>
            <w:tcW w:w="893" w:type="dxa"/>
            <w:shd w:val="clear" w:color="auto" w:fill="auto"/>
          </w:tcPr>
          <w:p w14:paraId="2A64BA86" w14:textId="77777777" w:rsidR="00DF5F01" w:rsidRPr="008A38B9" w:rsidRDefault="00DF5F01" w:rsidP="00DF5F01">
            <w:pPr>
              <w:pStyle w:val="SingleTxtG"/>
              <w:spacing w:before="40"/>
              <w:ind w:left="0" w:right="113"/>
              <w:jc w:val="left"/>
            </w:pPr>
            <w:r w:rsidRPr="008A38B9">
              <w:t>2016</w:t>
            </w:r>
          </w:p>
        </w:tc>
      </w:tr>
      <w:tr w:rsidR="00DF5F01" w14:paraId="568C5D02" w14:textId="77777777" w:rsidTr="00DF5F01">
        <w:tc>
          <w:tcPr>
            <w:tcW w:w="630" w:type="dxa"/>
            <w:shd w:val="clear" w:color="auto" w:fill="auto"/>
          </w:tcPr>
          <w:p w14:paraId="421EAAAA" w14:textId="77777777" w:rsidR="00DF5F01" w:rsidRPr="008A38B9" w:rsidRDefault="00DF5F01" w:rsidP="00DF5F01">
            <w:pPr>
              <w:pStyle w:val="SingleTxtG"/>
              <w:spacing w:before="40"/>
              <w:ind w:left="0" w:right="113"/>
              <w:jc w:val="left"/>
            </w:pPr>
            <w:r w:rsidRPr="008A38B9">
              <w:t>85</w:t>
            </w:r>
          </w:p>
        </w:tc>
        <w:tc>
          <w:tcPr>
            <w:tcW w:w="4955" w:type="dxa"/>
            <w:shd w:val="clear" w:color="auto" w:fill="auto"/>
          </w:tcPr>
          <w:p w14:paraId="2D862662" w14:textId="77777777" w:rsidR="00DF5F01" w:rsidRPr="008A38B9" w:rsidRDefault="00DF5F01" w:rsidP="00DF5F01">
            <w:pPr>
              <w:pStyle w:val="SingleTxtG"/>
              <w:spacing w:before="40"/>
              <w:ind w:left="0" w:right="113"/>
              <w:jc w:val="left"/>
            </w:pPr>
            <w:r w:rsidRPr="008A38B9">
              <w:t>Ley del Consejo Superior de la Magistratura</w:t>
            </w:r>
          </w:p>
        </w:tc>
        <w:tc>
          <w:tcPr>
            <w:tcW w:w="892" w:type="dxa"/>
            <w:shd w:val="clear" w:color="auto" w:fill="auto"/>
          </w:tcPr>
          <w:p w14:paraId="0E7B434A" w14:textId="77777777" w:rsidR="00DF5F01" w:rsidRPr="008A38B9" w:rsidRDefault="00DF5F01" w:rsidP="00DF5F01">
            <w:pPr>
              <w:pStyle w:val="SingleTxtG"/>
              <w:spacing w:before="40"/>
              <w:ind w:left="0" w:right="113"/>
              <w:jc w:val="left"/>
            </w:pPr>
            <w:r w:rsidRPr="008A38B9">
              <w:t>45</w:t>
            </w:r>
          </w:p>
        </w:tc>
        <w:tc>
          <w:tcPr>
            <w:tcW w:w="893" w:type="dxa"/>
            <w:shd w:val="clear" w:color="auto" w:fill="auto"/>
          </w:tcPr>
          <w:p w14:paraId="29D11E83" w14:textId="77777777" w:rsidR="00DF5F01" w:rsidRPr="008A38B9" w:rsidRDefault="00DF5F01" w:rsidP="00DF5F01">
            <w:pPr>
              <w:pStyle w:val="SingleTxtG"/>
              <w:spacing w:before="40"/>
              <w:ind w:left="0" w:right="113"/>
              <w:jc w:val="left"/>
            </w:pPr>
            <w:r w:rsidRPr="008A38B9">
              <w:t>2017</w:t>
            </w:r>
          </w:p>
        </w:tc>
      </w:tr>
      <w:tr w:rsidR="00DF5F01" w14:paraId="0C11845D" w14:textId="77777777" w:rsidTr="00DF5F01">
        <w:tc>
          <w:tcPr>
            <w:tcW w:w="630" w:type="dxa"/>
            <w:shd w:val="clear" w:color="auto" w:fill="auto"/>
          </w:tcPr>
          <w:p w14:paraId="61D8F243" w14:textId="77777777" w:rsidR="00DF5F01" w:rsidRPr="008A38B9" w:rsidRDefault="00DF5F01" w:rsidP="00DF5F01">
            <w:pPr>
              <w:pStyle w:val="SingleTxtG"/>
              <w:spacing w:before="40"/>
              <w:ind w:left="0" w:right="113"/>
              <w:jc w:val="left"/>
            </w:pPr>
            <w:r w:rsidRPr="008A38B9">
              <w:t>86</w:t>
            </w:r>
          </w:p>
        </w:tc>
        <w:tc>
          <w:tcPr>
            <w:tcW w:w="4955" w:type="dxa"/>
            <w:shd w:val="clear" w:color="auto" w:fill="auto"/>
          </w:tcPr>
          <w:p w14:paraId="5AD2DAB1" w14:textId="77777777" w:rsidR="00DF5F01" w:rsidRPr="008A38B9" w:rsidRDefault="00DF5F01" w:rsidP="00DF5F01">
            <w:pPr>
              <w:pStyle w:val="SingleTxtG"/>
              <w:spacing w:before="40"/>
              <w:ind w:left="0" w:right="113"/>
              <w:jc w:val="left"/>
            </w:pPr>
            <w:r w:rsidRPr="008A38B9">
              <w:t>Ley de la Fiscalía</w:t>
            </w:r>
          </w:p>
        </w:tc>
        <w:tc>
          <w:tcPr>
            <w:tcW w:w="892" w:type="dxa"/>
            <w:shd w:val="clear" w:color="auto" w:fill="auto"/>
          </w:tcPr>
          <w:p w14:paraId="661C96C9" w14:textId="77777777" w:rsidR="00DF5F01" w:rsidRPr="008A38B9" w:rsidRDefault="00DF5F01" w:rsidP="00DF5F01">
            <w:pPr>
              <w:pStyle w:val="SingleTxtG"/>
              <w:spacing w:before="40"/>
              <w:ind w:left="0" w:right="113"/>
              <w:jc w:val="left"/>
            </w:pPr>
            <w:r w:rsidRPr="008A38B9">
              <w:t>49</w:t>
            </w:r>
          </w:p>
        </w:tc>
        <w:tc>
          <w:tcPr>
            <w:tcW w:w="893" w:type="dxa"/>
            <w:shd w:val="clear" w:color="auto" w:fill="auto"/>
          </w:tcPr>
          <w:p w14:paraId="71D178BB" w14:textId="77777777" w:rsidR="00DF5F01" w:rsidRPr="008A38B9" w:rsidRDefault="00DF5F01" w:rsidP="00DF5F01">
            <w:pPr>
              <w:pStyle w:val="SingleTxtG"/>
              <w:spacing w:before="40"/>
              <w:ind w:left="0" w:right="113"/>
              <w:jc w:val="left"/>
            </w:pPr>
            <w:r w:rsidRPr="008A38B9">
              <w:t>2017</w:t>
            </w:r>
          </w:p>
        </w:tc>
      </w:tr>
      <w:tr w:rsidR="00DF5F01" w14:paraId="15CDFEF7" w14:textId="77777777" w:rsidTr="00DF5F01">
        <w:tc>
          <w:tcPr>
            <w:tcW w:w="630" w:type="dxa"/>
            <w:shd w:val="clear" w:color="auto" w:fill="auto"/>
          </w:tcPr>
          <w:p w14:paraId="170FA2F4" w14:textId="77777777" w:rsidR="00DF5F01" w:rsidRPr="008A38B9" w:rsidRDefault="00DF5F01" w:rsidP="00DF5F01">
            <w:pPr>
              <w:pStyle w:val="SingleTxtG"/>
              <w:spacing w:before="40"/>
              <w:ind w:left="0" w:right="113"/>
              <w:jc w:val="left"/>
            </w:pPr>
            <w:r w:rsidRPr="008A38B9">
              <w:t>87</w:t>
            </w:r>
          </w:p>
        </w:tc>
        <w:tc>
          <w:tcPr>
            <w:tcW w:w="4955" w:type="dxa"/>
            <w:shd w:val="clear" w:color="auto" w:fill="auto"/>
          </w:tcPr>
          <w:p w14:paraId="4DEB22D6" w14:textId="77777777" w:rsidR="00DF5F01" w:rsidRPr="008A38B9" w:rsidRDefault="00DF5F01" w:rsidP="00DF5F01">
            <w:pPr>
              <w:pStyle w:val="SingleTxtG"/>
              <w:spacing w:before="40"/>
              <w:ind w:left="0" w:right="113"/>
              <w:jc w:val="left"/>
            </w:pPr>
            <w:r w:rsidRPr="008A38B9">
              <w:t>Ley de Protección a los Testigos, los Peritos, los Informadores y las Víctimas</w:t>
            </w:r>
          </w:p>
        </w:tc>
        <w:tc>
          <w:tcPr>
            <w:tcW w:w="892" w:type="dxa"/>
            <w:shd w:val="clear" w:color="auto" w:fill="auto"/>
          </w:tcPr>
          <w:p w14:paraId="50A44E6C" w14:textId="77777777" w:rsidR="00DF5F01" w:rsidRPr="008A38B9" w:rsidRDefault="00DF5F01" w:rsidP="00DF5F01">
            <w:pPr>
              <w:pStyle w:val="SingleTxtG"/>
              <w:spacing w:before="40"/>
              <w:ind w:left="0" w:right="113"/>
              <w:jc w:val="left"/>
            </w:pPr>
            <w:r w:rsidRPr="008A38B9">
              <w:t>58</w:t>
            </w:r>
          </w:p>
        </w:tc>
        <w:tc>
          <w:tcPr>
            <w:tcW w:w="893" w:type="dxa"/>
            <w:shd w:val="clear" w:color="auto" w:fill="auto"/>
          </w:tcPr>
          <w:p w14:paraId="4A61678A" w14:textId="77777777" w:rsidR="00DF5F01" w:rsidRPr="008A38B9" w:rsidRDefault="00DF5F01" w:rsidP="00DF5F01">
            <w:pPr>
              <w:pStyle w:val="SingleTxtG"/>
              <w:spacing w:before="40"/>
              <w:ind w:left="0" w:right="113"/>
              <w:jc w:val="left"/>
            </w:pPr>
            <w:r w:rsidRPr="008A38B9">
              <w:t>2017</w:t>
            </w:r>
          </w:p>
        </w:tc>
      </w:tr>
      <w:tr w:rsidR="00DF5F01" w14:paraId="699C928D" w14:textId="77777777" w:rsidTr="00DF5F01">
        <w:tc>
          <w:tcPr>
            <w:tcW w:w="630" w:type="dxa"/>
            <w:shd w:val="clear" w:color="auto" w:fill="auto"/>
          </w:tcPr>
          <w:p w14:paraId="1ABAF770" w14:textId="77777777" w:rsidR="00DF5F01" w:rsidRPr="008A38B9" w:rsidRDefault="00DF5F01" w:rsidP="00DF5F01">
            <w:pPr>
              <w:pStyle w:val="SingleTxtG"/>
              <w:spacing w:before="40"/>
              <w:ind w:left="0" w:right="113"/>
              <w:jc w:val="left"/>
            </w:pPr>
            <w:r w:rsidRPr="008A38B9">
              <w:t>88</w:t>
            </w:r>
          </w:p>
        </w:tc>
        <w:tc>
          <w:tcPr>
            <w:tcW w:w="4955" w:type="dxa"/>
            <w:shd w:val="clear" w:color="auto" w:fill="auto"/>
          </w:tcPr>
          <w:p w14:paraId="11B355E3" w14:textId="77777777" w:rsidR="00DF5F01" w:rsidRPr="008A38B9" w:rsidRDefault="00DF5F01" w:rsidP="00DF5F01">
            <w:pPr>
              <w:pStyle w:val="SingleTxtG"/>
              <w:spacing w:before="40"/>
              <w:ind w:left="0" w:right="113"/>
              <w:jc w:val="left"/>
            </w:pPr>
            <w:r w:rsidRPr="008A38B9">
              <w:t>Ley de las Armas</w:t>
            </w:r>
          </w:p>
        </w:tc>
        <w:tc>
          <w:tcPr>
            <w:tcW w:w="892" w:type="dxa"/>
            <w:shd w:val="clear" w:color="auto" w:fill="auto"/>
          </w:tcPr>
          <w:p w14:paraId="27F2A2E8" w14:textId="77777777" w:rsidR="00DF5F01" w:rsidRPr="008A38B9" w:rsidRDefault="00DF5F01" w:rsidP="00DF5F01">
            <w:pPr>
              <w:pStyle w:val="SingleTxtG"/>
              <w:spacing w:before="40"/>
              <w:ind w:left="0" w:right="113"/>
              <w:jc w:val="left"/>
            </w:pPr>
            <w:r w:rsidRPr="008A38B9">
              <w:t>51</w:t>
            </w:r>
          </w:p>
        </w:tc>
        <w:tc>
          <w:tcPr>
            <w:tcW w:w="893" w:type="dxa"/>
            <w:shd w:val="clear" w:color="auto" w:fill="auto"/>
          </w:tcPr>
          <w:p w14:paraId="22607606" w14:textId="77777777" w:rsidR="00DF5F01" w:rsidRPr="008A38B9" w:rsidRDefault="00DF5F01" w:rsidP="00DF5F01">
            <w:pPr>
              <w:pStyle w:val="SingleTxtG"/>
              <w:spacing w:before="40"/>
              <w:ind w:left="0" w:right="113"/>
              <w:jc w:val="left"/>
            </w:pPr>
            <w:r w:rsidRPr="008A38B9">
              <w:t>2017</w:t>
            </w:r>
          </w:p>
        </w:tc>
      </w:tr>
      <w:tr w:rsidR="00DF5F01" w14:paraId="0EB0CED2" w14:textId="77777777" w:rsidTr="00DF5F01">
        <w:tc>
          <w:tcPr>
            <w:tcW w:w="630" w:type="dxa"/>
            <w:shd w:val="clear" w:color="auto" w:fill="auto"/>
          </w:tcPr>
          <w:p w14:paraId="36AF2B47" w14:textId="77777777" w:rsidR="00DF5F01" w:rsidRPr="008A38B9" w:rsidRDefault="00DF5F01" w:rsidP="00DF5F01">
            <w:pPr>
              <w:pStyle w:val="SingleTxtG"/>
              <w:spacing w:before="40"/>
              <w:ind w:left="0" w:right="113"/>
              <w:jc w:val="left"/>
            </w:pPr>
            <w:r w:rsidRPr="008A38B9">
              <w:t>89</w:t>
            </w:r>
          </w:p>
        </w:tc>
        <w:tc>
          <w:tcPr>
            <w:tcW w:w="4955" w:type="dxa"/>
            <w:shd w:val="clear" w:color="auto" w:fill="auto"/>
          </w:tcPr>
          <w:p w14:paraId="791C0686" w14:textId="77777777" w:rsidR="00DF5F01" w:rsidRPr="008A38B9" w:rsidRDefault="00DF5F01" w:rsidP="00DF5F01">
            <w:pPr>
              <w:pStyle w:val="SingleTxtG"/>
              <w:spacing w:before="40"/>
              <w:ind w:left="0" w:right="113"/>
              <w:jc w:val="left"/>
            </w:pPr>
            <w:r w:rsidRPr="008A38B9">
              <w:t>Ley de las Empresas Privadas de Seguridad</w:t>
            </w:r>
          </w:p>
        </w:tc>
        <w:tc>
          <w:tcPr>
            <w:tcW w:w="892" w:type="dxa"/>
            <w:shd w:val="clear" w:color="auto" w:fill="auto"/>
          </w:tcPr>
          <w:p w14:paraId="43334AAD" w14:textId="77777777" w:rsidR="00DF5F01" w:rsidRPr="008A38B9" w:rsidRDefault="00DF5F01" w:rsidP="00DF5F01">
            <w:pPr>
              <w:pStyle w:val="SingleTxtG"/>
              <w:spacing w:before="40"/>
              <w:ind w:left="0" w:right="113"/>
              <w:jc w:val="left"/>
            </w:pPr>
            <w:r w:rsidRPr="008A38B9">
              <w:t>52</w:t>
            </w:r>
          </w:p>
        </w:tc>
        <w:tc>
          <w:tcPr>
            <w:tcW w:w="893" w:type="dxa"/>
            <w:shd w:val="clear" w:color="auto" w:fill="auto"/>
          </w:tcPr>
          <w:p w14:paraId="21C49C67" w14:textId="77777777" w:rsidR="00DF5F01" w:rsidRPr="008A38B9" w:rsidRDefault="00DF5F01" w:rsidP="00DF5F01">
            <w:pPr>
              <w:pStyle w:val="SingleTxtG"/>
              <w:spacing w:before="40"/>
              <w:ind w:left="0" w:right="113"/>
              <w:jc w:val="left"/>
            </w:pPr>
            <w:r w:rsidRPr="008A38B9">
              <w:t>2017</w:t>
            </w:r>
          </w:p>
        </w:tc>
      </w:tr>
      <w:tr w:rsidR="00DF5F01" w14:paraId="4B3B681A" w14:textId="77777777" w:rsidTr="00DF5F01">
        <w:tc>
          <w:tcPr>
            <w:tcW w:w="630" w:type="dxa"/>
            <w:shd w:val="clear" w:color="auto" w:fill="auto"/>
          </w:tcPr>
          <w:p w14:paraId="2FFB18FE" w14:textId="77777777" w:rsidR="00DF5F01" w:rsidRPr="008A38B9" w:rsidRDefault="00DF5F01" w:rsidP="00DF5F01">
            <w:pPr>
              <w:pStyle w:val="SingleTxtG"/>
              <w:spacing w:before="40"/>
              <w:ind w:left="0" w:right="113"/>
              <w:jc w:val="left"/>
            </w:pPr>
            <w:r w:rsidRPr="008A38B9">
              <w:t>90</w:t>
            </w:r>
          </w:p>
        </w:tc>
        <w:tc>
          <w:tcPr>
            <w:tcW w:w="4955" w:type="dxa"/>
            <w:shd w:val="clear" w:color="auto" w:fill="auto"/>
          </w:tcPr>
          <w:p w14:paraId="4EFAA5C9" w14:textId="77777777" w:rsidR="00DF5F01" w:rsidRPr="008A38B9" w:rsidRDefault="00DF5F01" w:rsidP="00DF5F01">
            <w:pPr>
              <w:pStyle w:val="SingleTxtG"/>
              <w:spacing w:before="40"/>
              <w:ind w:left="0" w:right="113"/>
              <w:jc w:val="left"/>
            </w:pPr>
            <w:r w:rsidRPr="008A38B9">
              <w:t>Ley del Ministerio de Energía Eléctrica</w:t>
            </w:r>
          </w:p>
        </w:tc>
        <w:tc>
          <w:tcPr>
            <w:tcW w:w="892" w:type="dxa"/>
            <w:shd w:val="clear" w:color="auto" w:fill="auto"/>
          </w:tcPr>
          <w:p w14:paraId="00B6DDE0" w14:textId="77777777" w:rsidR="00DF5F01" w:rsidRPr="008A38B9" w:rsidRDefault="00DF5F01" w:rsidP="00DF5F01">
            <w:pPr>
              <w:pStyle w:val="SingleTxtG"/>
              <w:spacing w:before="40"/>
              <w:ind w:left="0" w:right="113"/>
              <w:jc w:val="left"/>
            </w:pPr>
            <w:r w:rsidRPr="008A38B9">
              <w:t>53</w:t>
            </w:r>
          </w:p>
        </w:tc>
        <w:tc>
          <w:tcPr>
            <w:tcW w:w="893" w:type="dxa"/>
            <w:shd w:val="clear" w:color="auto" w:fill="auto"/>
          </w:tcPr>
          <w:p w14:paraId="026A834A" w14:textId="77777777" w:rsidR="00DF5F01" w:rsidRPr="008A38B9" w:rsidRDefault="00DF5F01" w:rsidP="00DF5F01">
            <w:pPr>
              <w:pStyle w:val="SingleTxtG"/>
              <w:spacing w:before="40"/>
              <w:ind w:left="0" w:right="113"/>
              <w:jc w:val="left"/>
            </w:pPr>
            <w:r w:rsidRPr="008A38B9">
              <w:t>2017</w:t>
            </w:r>
          </w:p>
        </w:tc>
      </w:tr>
      <w:tr w:rsidR="00DF5F01" w14:paraId="61E6299E" w14:textId="77777777" w:rsidTr="00DF5F01">
        <w:tc>
          <w:tcPr>
            <w:tcW w:w="630" w:type="dxa"/>
            <w:shd w:val="clear" w:color="auto" w:fill="auto"/>
          </w:tcPr>
          <w:p w14:paraId="411597F4" w14:textId="77777777" w:rsidR="00DF5F01" w:rsidRPr="008A38B9" w:rsidRDefault="00DF5F01" w:rsidP="00DF5F01">
            <w:pPr>
              <w:pStyle w:val="SingleTxtG"/>
              <w:spacing w:before="40"/>
              <w:ind w:left="0" w:right="113"/>
              <w:jc w:val="left"/>
            </w:pPr>
            <w:r w:rsidRPr="008A38B9">
              <w:t>91</w:t>
            </w:r>
          </w:p>
        </w:tc>
        <w:tc>
          <w:tcPr>
            <w:tcW w:w="4955" w:type="dxa"/>
            <w:shd w:val="clear" w:color="auto" w:fill="auto"/>
          </w:tcPr>
          <w:p w14:paraId="74734973" w14:textId="77777777" w:rsidR="00DF5F01" w:rsidRPr="008A38B9" w:rsidRDefault="00DF5F01" w:rsidP="00DF5F01">
            <w:pPr>
              <w:pStyle w:val="SingleTxtG"/>
              <w:spacing w:before="40"/>
              <w:ind w:left="0" w:right="113"/>
              <w:jc w:val="left"/>
            </w:pPr>
            <w:r w:rsidRPr="008A38B9">
              <w:t xml:space="preserve">Ley para el Empleo de los Titulados Superiores </w:t>
            </w:r>
          </w:p>
        </w:tc>
        <w:tc>
          <w:tcPr>
            <w:tcW w:w="892" w:type="dxa"/>
            <w:shd w:val="clear" w:color="auto" w:fill="auto"/>
          </w:tcPr>
          <w:p w14:paraId="05D5AA81" w14:textId="77777777" w:rsidR="00DF5F01" w:rsidRPr="008A38B9" w:rsidRDefault="00DF5F01" w:rsidP="00DF5F01">
            <w:pPr>
              <w:pStyle w:val="SingleTxtG"/>
              <w:spacing w:before="40"/>
              <w:ind w:left="0" w:right="113"/>
              <w:jc w:val="left"/>
            </w:pPr>
            <w:r w:rsidRPr="008A38B9">
              <w:t>59</w:t>
            </w:r>
          </w:p>
        </w:tc>
        <w:tc>
          <w:tcPr>
            <w:tcW w:w="893" w:type="dxa"/>
            <w:shd w:val="clear" w:color="auto" w:fill="auto"/>
          </w:tcPr>
          <w:p w14:paraId="70FAD5BA" w14:textId="77777777" w:rsidR="00DF5F01" w:rsidRPr="008A38B9" w:rsidRDefault="00DF5F01" w:rsidP="00DF5F01">
            <w:pPr>
              <w:pStyle w:val="SingleTxtG"/>
              <w:spacing w:before="40"/>
              <w:ind w:left="0" w:right="113"/>
              <w:jc w:val="left"/>
            </w:pPr>
            <w:r w:rsidRPr="008A38B9">
              <w:t>2017</w:t>
            </w:r>
          </w:p>
        </w:tc>
      </w:tr>
      <w:tr w:rsidR="00DF5F01" w14:paraId="0D7E40F6" w14:textId="77777777" w:rsidTr="00DF5F01">
        <w:tc>
          <w:tcPr>
            <w:tcW w:w="630" w:type="dxa"/>
            <w:shd w:val="clear" w:color="auto" w:fill="auto"/>
          </w:tcPr>
          <w:p w14:paraId="55D785B6" w14:textId="77777777" w:rsidR="00DF5F01" w:rsidRPr="008A38B9" w:rsidRDefault="00DF5F01" w:rsidP="00DF5F01">
            <w:pPr>
              <w:pStyle w:val="SingleTxtG"/>
              <w:spacing w:before="40"/>
              <w:ind w:left="0" w:right="113"/>
              <w:jc w:val="left"/>
            </w:pPr>
            <w:r w:rsidRPr="008A38B9">
              <w:t>92</w:t>
            </w:r>
          </w:p>
        </w:tc>
        <w:tc>
          <w:tcPr>
            <w:tcW w:w="4955" w:type="dxa"/>
            <w:shd w:val="clear" w:color="auto" w:fill="auto"/>
          </w:tcPr>
          <w:p w14:paraId="483185DC" w14:textId="77777777" w:rsidR="00DF5F01" w:rsidRPr="008A38B9" w:rsidRDefault="00DF5F01" w:rsidP="00DF5F01">
            <w:pPr>
              <w:pStyle w:val="SingleTxtG"/>
              <w:spacing w:before="40"/>
              <w:ind w:left="0" w:right="113"/>
              <w:jc w:val="left"/>
            </w:pPr>
            <w:r w:rsidRPr="008A38B9">
              <w:t>Ley para el Empleo de los Primeros de Promoción</w:t>
            </w:r>
          </w:p>
        </w:tc>
        <w:tc>
          <w:tcPr>
            <w:tcW w:w="892" w:type="dxa"/>
            <w:shd w:val="clear" w:color="auto" w:fill="auto"/>
          </w:tcPr>
          <w:p w14:paraId="2EE93498" w14:textId="77777777" w:rsidR="00DF5F01" w:rsidRPr="008A38B9" w:rsidRDefault="00DF5F01" w:rsidP="00DF5F01">
            <w:pPr>
              <w:pStyle w:val="SingleTxtG"/>
              <w:spacing w:before="40"/>
              <w:ind w:left="0" w:right="113"/>
              <w:jc w:val="left"/>
            </w:pPr>
            <w:r w:rsidRPr="008A38B9">
              <w:t>67</w:t>
            </w:r>
          </w:p>
        </w:tc>
        <w:tc>
          <w:tcPr>
            <w:tcW w:w="893" w:type="dxa"/>
            <w:shd w:val="clear" w:color="auto" w:fill="auto"/>
          </w:tcPr>
          <w:p w14:paraId="439385BB" w14:textId="77777777" w:rsidR="00DF5F01" w:rsidRPr="008A38B9" w:rsidRDefault="00DF5F01" w:rsidP="00DF5F01">
            <w:pPr>
              <w:pStyle w:val="SingleTxtG"/>
              <w:spacing w:before="40"/>
              <w:ind w:left="0" w:right="113"/>
              <w:jc w:val="left"/>
            </w:pPr>
            <w:r w:rsidRPr="008A38B9">
              <w:t>2017</w:t>
            </w:r>
          </w:p>
        </w:tc>
      </w:tr>
      <w:tr w:rsidR="00DF5F01" w14:paraId="09DCF82E" w14:textId="77777777" w:rsidTr="00DF5F01">
        <w:tc>
          <w:tcPr>
            <w:tcW w:w="630" w:type="dxa"/>
            <w:shd w:val="clear" w:color="auto" w:fill="auto"/>
          </w:tcPr>
          <w:p w14:paraId="3F8ED1AB" w14:textId="77777777" w:rsidR="00DF5F01" w:rsidRPr="008A38B9" w:rsidRDefault="00DF5F01" w:rsidP="00DF5F01">
            <w:pPr>
              <w:pStyle w:val="SingleTxtG"/>
              <w:spacing w:before="40"/>
              <w:ind w:left="0" w:right="113"/>
              <w:jc w:val="left"/>
            </w:pPr>
            <w:r w:rsidRPr="008A38B9">
              <w:t>93</w:t>
            </w:r>
          </w:p>
        </w:tc>
        <w:tc>
          <w:tcPr>
            <w:tcW w:w="4955" w:type="dxa"/>
            <w:shd w:val="clear" w:color="auto" w:fill="auto"/>
          </w:tcPr>
          <w:p w14:paraId="650E5EB7" w14:textId="77777777" w:rsidR="00DF5F01" w:rsidRPr="008A38B9" w:rsidRDefault="00DF5F01" w:rsidP="00DF5F01">
            <w:pPr>
              <w:pStyle w:val="SingleTxtG"/>
              <w:spacing w:before="40"/>
              <w:ind w:left="0" w:right="113"/>
              <w:jc w:val="left"/>
            </w:pPr>
            <w:r w:rsidRPr="008A38B9">
              <w:t>Reglamento de los Centros de Atención a las Víctimas de la Trata de Personas</w:t>
            </w:r>
          </w:p>
        </w:tc>
        <w:tc>
          <w:tcPr>
            <w:tcW w:w="892" w:type="dxa"/>
            <w:shd w:val="clear" w:color="auto" w:fill="auto"/>
          </w:tcPr>
          <w:p w14:paraId="73548B43" w14:textId="77777777" w:rsidR="00DF5F01" w:rsidRPr="008A38B9" w:rsidRDefault="00DF5F01" w:rsidP="00DF5F01">
            <w:pPr>
              <w:pStyle w:val="SingleTxtG"/>
              <w:spacing w:before="40"/>
              <w:ind w:left="0" w:right="113"/>
              <w:jc w:val="left"/>
            </w:pPr>
            <w:r w:rsidRPr="008A38B9">
              <w:t>7</w:t>
            </w:r>
          </w:p>
        </w:tc>
        <w:tc>
          <w:tcPr>
            <w:tcW w:w="893" w:type="dxa"/>
            <w:shd w:val="clear" w:color="auto" w:fill="auto"/>
          </w:tcPr>
          <w:p w14:paraId="0D6F820E" w14:textId="77777777" w:rsidR="00DF5F01" w:rsidRPr="008A38B9" w:rsidRDefault="00DF5F01" w:rsidP="00DF5F01">
            <w:pPr>
              <w:pStyle w:val="SingleTxtG"/>
              <w:spacing w:before="40"/>
              <w:ind w:left="0" w:right="113"/>
              <w:jc w:val="left"/>
            </w:pPr>
            <w:r w:rsidRPr="008A38B9">
              <w:t>2017</w:t>
            </w:r>
          </w:p>
        </w:tc>
      </w:tr>
      <w:tr w:rsidR="00DF5F01" w14:paraId="7741042B" w14:textId="77777777" w:rsidTr="00DF5F01">
        <w:tc>
          <w:tcPr>
            <w:tcW w:w="630" w:type="dxa"/>
            <w:shd w:val="clear" w:color="auto" w:fill="auto"/>
          </w:tcPr>
          <w:p w14:paraId="7D29ACD0" w14:textId="77777777" w:rsidR="00DF5F01" w:rsidRPr="008A38B9" w:rsidRDefault="00DF5F01" w:rsidP="00DF5F01">
            <w:pPr>
              <w:pStyle w:val="SingleTxtG"/>
              <w:spacing w:before="40"/>
              <w:ind w:left="0" w:right="113"/>
              <w:jc w:val="left"/>
            </w:pPr>
            <w:r w:rsidRPr="008A38B9">
              <w:t>94</w:t>
            </w:r>
          </w:p>
        </w:tc>
        <w:tc>
          <w:tcPr>
            <w:tcW w:w="4955" w:type="dxa"/>
            <w:shd w:val="clear" w:color="auto" w:fill="auto"/>
          </w:tcPr>
          <w:p w14:paraId="42D798EE" w14:textId="77777777" w:rsidR="00DF5F01" w:rsidRPr="008A38B9" w:rsidRDefault="00DF5F01" w:rsidP="00DF5F01">
            <w:pPr>
              <w:pStyle w:val="SingleTxtG"/>
              <w:spacing w:before="40"/>
              <w:ind w:left="0" w:right="113"/>
              <w:jc w:val="left"/>
            </w:pPr>
            <w:r w:rsidRPr="008A38B9">
              <w:t>Ley para la conmemoración de los sacrificios realizados por los mártires de la guerra contra las bandas de Dáesh, la agilización de sus trámites y la prestación de la asistencia debida a los heridos</w:t>
            </w:r>
          </w:p>
        </w:tc>
        <w:tc>
          <w:tcPr>
            <w:tcW w:w="892" w:type="dxa"/>
            <w:shd w:val="clear" w:color="auto" w:fill="auto"/>
          </w:tcPr>
          <w:p w14:paraId="6412B58E" w14:textId="77777777" w:rsidR="00DF5F01" w:rsidRPr="008A38B9" w:rsidRDefault="00DF5F01" w:rsidP="00DF5F01">
            <w:pPr>
              <w:pStyle w:val="SingleTxtG"/>
              <w:spacing w:before="40"/>
              <w:ind w:left="0" w:right="113"/>
              <w:jc w:val="left"/>
            </w:pPr>
            <w:r w:rsidRPr="008A38B9">
              <w:t>81</w:t>
            </w:r>
          </w:p>
        </w:tc>
        <w:tc>
          <w:tcPr>
            <w:tcW w:w="893" w:type="dxa"/>
            <w:shd w:val="clear" w:color="auto" w:fill="auto"/>
          </w:tcPr>
          <w:p w14:paraId="3CCBF349" w14:textId="77777777" w:rsidR="00DF5F01" w:rsidRPr="008A38B9" w:rsidRDefault="00DF5F01" w:rsidP="00DF5F01">
            <w:pPr>
              <w:pStyle w:val="SingleTxtG"/>
              <w:spacing w:before="40"/>
              <w:ind w:left="0" w:right="113"/>
              <w:jc w:val="left"/>
            </w:pPr>
            <w:r w:rsidRPr="008A38B9">
              <w:t>2017</w:t>
            </w:r>
          </w:p>
        </w:tc>
      </w:tr>
      <w:tr w:rsidR="00DF5F01" w14:paraId="7630F7C9" w14:textId="77777777" w:rsidTr="00DF5F01">
        <w:tc>
          <w:tcPr>
            <w:tcW w:w="630" w:type="dxa"/>
            <w:shd w:val="clear" w:color="auto" w:fill="auto"/>
          </w:tcPr>
          <w:p w14:paraId="1449DEDC" w14:textId="77777777" w:rsidR="00DF5F01" w:rsidRPr="008A38B9" w:rsidRDefault="00DF5F01" w:rsidP="00DF5F01">
            <w:pPr>
              <w:pStyle w:val="SingleTxtG"/>
              <w:spacing w:before="40"/>
              <w:ind w:left="0" w:right="113"/>
              <w:jc w:val="left"/>
            </w:pPr>
            <w:r w:rsidRPr="008A38B9">
              <w:t>95</w:t>
            </w:r>
          </w:p>
        </w:tc>
        <w:tc>
          <w:tcPr>
            <w:tcW w:w="4955" w:type="dxa"/>
            <w:shd w:val="clear" w:color="auto" w:fill="auto"/>
          </w:tcPr>
          <w:p w14:paraId="70F74D80" w14:textId="77777777" w:rsidR="00DF5F01" w:rsidRPr="008A38B9" w:rsidRDefault="00DF5F01" w:rsidP="00DF5F01">
            <w:pPr>
              <w:pStyle w:val="SingleTxtG"/>
              <w:spacing w:before="40"/>
              <w:ind w:left="0" w:right="113"/>
              <w:jc w:val="left"/>
            </w:pPr>
            <w:r w:rsidRPr="008A38B9">
              <w:t>Ley Federal de los Parlamentarios Iraquíes</w:t>
            </w:r>
          </w:p>
        </w:tc>
        <w:tc>
          <w:tcPr>
            <w:tcW w:w="892" w:type="dxa"/>
            <w:shd w:val="clear" w:color="auto" w:fill="auto"/>
          </w:tcPr>
          <w:p w14:paraId="5A650E73" w14:textId="77777777" w:rsidR="00DF5F01" w:rsidRPr="008A38B9" w:rsidRDefault="00DF5F01" w:rsidP="00DF5F01">
            <w:pPr>
              <w:pStyle w:val="SingleTxtG"/>
              <w:spacing w:before="40"/>
              <w:ind w:left="0" w:right="113"/>
              <w:jc w:val="left"/>
            </w:pPr>
            <w:r w:rsidRPr="008A38B9">
              <w:t>86</w:t>
            </w:r>
          </w:p>
        </w:tc>
        <w:tc>
          <w:tcPr>
            <w:tcW w:w="893" w:type="dxa"/>
            <w:shd w:val="clear" w:color="auto" w:fill="auto"/>
          </w:tcPr>
          <w:p w14:paraId="71E841CB" w14:textId="77777777" w:rsidR="00DF5F01" w:rsidRPr="008A38B9" w:rsidRDefault="00DF5F01" w:rsidP="00DF5F01">
            <w:pPr>
              <w:pStyle w:val="SingleTxtG"/>
              <w:spacing w:before="40"/>
              <w:ind w:left="0" w:right="113"/>
              <w:jc w:val="left"/>
            </w:pPr>
            <w:r w:rsidRPr="008A38B9">
              <w:t>2017</w:t>
            </w:r>
          </w:p>
        </w:tc>
      </w:tr>
      <w:tr w:rsidR="00DF5F01" w14:paraId="6091D755" w14:textId="77777777" w:rsidTr="00DF5F01">
        <w:tc>
          <w:tcPr>
            <w:tcW w:w="630" w:type="dxa"/>
            <w:shd w:val="clear" w:color="auto" w:fill="auto"/>
          </w:tcPr>
          <w:p w14:paraId="4F9EE1B7" w14:textId="77777777" w:rsidR="00DF5F01" w:rsidRPr="008A38B9" w:rsidRDefault="00DF5F01" w:rsidP="00DF5F01">
            <w:pPr>
              <w:pStyle w:val="SingleTxtG"/>
              <w:spacing w:before="40"/>
              <w:ind w:left="0" w:right="113"/>
              <w:jc w:val="left"/>
            </w:pPr>
            <w:r w:rsidRPr="008A38B9">
              <w:t>96</w:t>
            </w:r>
          </w:p>
        </w:tc>
        <w:tc>
          <w:tcPr>
            <w:tcW w:w="4955" w:type="dxa"/>
            <w:shd w:val="clear" w:color="auto" w:fill="auto"/>
          </w:tcPr>
          <w:p w14:paraId="1D460186" w14:textId="77777777" w:rsidR="00DF5F01" w:rsidRPr="008A38B9" w:rsidRDefault="00DF5F01" w:rsidP="00DF5F01">
            <w:pPr>
              <w:pStyle w:val="SingleTxtG"/>
              <w:spacing w:before="40"/>
              <w:ind w:left="0" w:right="113"/>
              <w:jc w:val="left"/>
            </w:pPr>
            <w:r w:rsidRPr="008A38B9">
              <w:t>Ley de Extranjería</w:t>
            </w:r>
          </w:p>
        </w:tc>
        <w:tc>
          <w:tcPr>
            <w:tcW w:w="892" w:type="dxa"/>
            <w:shd w:val="clear" w:color="auto" w:fill="auto"/>
          </w:tcPr>
          <w:p w14:paraId="21B53591" w14:textId="77777777" w:rsidR="00DF5F01" w:rsidRPr="008A38B9" w:rsidRDefault="00DF5F01" w:rsidP="00DF5F01">
            <w:pPr>
              <w:pStyle w:val="SingleTxtG"/>
              <w:spacing w:before="40"/>
              <w:ind w:left="0" w:right="113"/>
              <w:jc w:val="left"/>
            </w:pPr>
            <w:r w:rsidRPr="008A38B9">
              <w:t>76</w:t>
            </w:r>
          </w:p>
        </w:tc>
        <w:tc>
          <w:tcPr>
            <w:tcW w:w="893" w:type="dxa"/>
            <w:shd w:val="clear" w:color="auto" w:fill="auto"/>
          </w:tcPr>
          <w:p w14:paraId="3FD4C4E2" w14:textId="77777777" w:rsidR="00DF5F01" w:rsidRPr="008A38B9" w:rsidRDefault="00DF5F01" w:rsidP="00DF5F01">
            <w:pPr>
              <w:pStyle w:val="SingleTxtG"/>
              <w:spacing w:before="40"/>
              <w:ind w:left="0" w:right="113"/>
              <w:jc w:val="left"/>
            </w:pPr>
            <w:r w:rsidRPr="008A38B9">
              <w:t>2017</w:t>
            </w:r>
          </w:p>
        </w:tc>
      </w:tr>
      <w:tr w:rsidR="00DF5F01" w14:paraId="36AC7FD9" w14:textId="77777777" w:rsidTr="00DF5F01">
        <w:tc>
          <w:tcPr>
            <w:tcW w:w="630" w:type="dxa"/>
            <w:shd w:val="clear" w:color="auto" w:fill="auto"/>
          </w:tcPr>
          <w:p w14:paraId="55FED1C9" w14:textId="77777777" w:rsidR="00DF5F01" w:rsidRPr="008A38B9" w:rsidRDefault="00DF5F01" w:rsidP="00DF5F01">
            <w:pPr>
              <w:pStyle w:val="SingleTxtG"/>
              <w:spacing w:before="40"/>
              <w:ind w:left="0" w:right="113"/>
              <w:jc w:val="left"/>
            </w:pPr>
            <w:r w:rsidRPr="008A38B9">
              <w:t>97</w:t>
            </w:r>
          </w:p>
        </w:tc>
        <w:tc>
          <w:tcPr>
            <w:tcW w:w="4955" w:type="dxa"/>
            <w:shd w:val="clear" w:color="auto" w:fill="auto"/>
          </w:tcPr>
          <w:p w14:paraId="2BC2FA2A" w14:textId="77777777" w:rsidR="00DF5F01" w:rsidRPr="008A38B9" w:rsidRDefault="00DF5F01" w:rsidP="00DF5F01">
            <w:pPr>
              <w:pStyle w:val="SingleTxtG"/>
              <w:spacing w:before="40"/>
              <w:ind w:left="0" w:right="113"/>
              <w:jc w:val="left"/>
            </w:pPr>
            <w:r w:rsidRPr="008A38B9">
              <w:t>Ley de los Partidos Políticos</w:t>
            </w:r>
          </w:p>
        </w:tc>
        <w:tc>
          <w:tcPr>
            <w:tcW w:w="892" w:type="dxa"/>
            <w:shd w:val="clear" w:color="auto" w:fill="auto"/>
          </w:tcPr>
          <w:p w14:paraId="7203F78B" w14:textId="77777777" w:rsidR="00DF5F01" w:rsidRPr="008A38B9" w:rsidRDefault="00DF5F01" w:rsidP="00DF5F01">
            <w:pPr>
              <w:pStyle w:val="SingleTxtG"/>
              <w:spacing w:before="40"/>
              <w:ind w:left="0" w:right="113"/>
              <w:jc w:val="left"/>
            </w:pPr>
            <w:r w:rsidRPr="008A38B9">
              <w:t>36</w:t>
            </w:r>
          </w:p>
        </w:tc>
        <w:tc>
          <w:tcPr>
            <w:tcW w:w="893" w:type="dxa"/>
            <w:shd w:val="clear" w:color="auto" w:fill="auto"/>
          </w:tcPr>
          <w:p w14:paraId="1D3C8AFB" w14:textId="77777777" w:rsidR="00DF5F01" w:rsidRPr="008A38B9" w:rsidRDefault="00DF5F01" w:rsidP="00DF5F01">
            <w:pPr>
              <w:pStyle w:val="SingleTxtG"/>
              <w:spacing w:before="40"/>
              <w:ind w:left="0" w:right="113"/>
              <w:jc w:val="left"/>
            </w:pPr>
            <w:r w:rsidRPr="008A38B9">
              <w:t>2017</w:t>
            </w:r>
          </w:p>
        </w:tc>
      </w:tr>
      <w:tr w:rsidR="00DF5F01" w14:paraId="3D6236FF" w14:textId="77777777" w:rsidTr="00DF5F01">
        <w:tc>
          <w:tcPr>
            <w:tcW w:w="630" w:type="dxa"/>
            <w:shd w:val="clear" w:color="auto" w:fill="auto"/>
          </w:tcPr>
          <w:p w14:paraId="12B1784F" w14:textId="77777777" w:rsidR="00DF5F01" w:rsidRPr="008A38B9" w:rsidRDefault="00DF5F01" w:rsidP="00DF5F01">
            <w:pPr>
              <w:pStyle w:val="SingleTxtG"/>
              <w:spacing w:before="40"/>
              <w:ind w:left="0" w:right="113"/>
              <w:jc w:val="left"/>
            </w:pPr>
            <w:r w:rsidRPr="008A38B9">
              <w:t>98</w:t>
            </w:r>
          </w:p>
        </w:tc>
        <w:tc>
          <w:tcPr>
            <w:tcW w:w="4955" w:type="dxa"/>
            <w:shd w:val="clear" w:color="auto" w:fill="auto"/>
          </w:tcPr>
          <w:p w14:paraId="3D612553" w14:textId="77777777" w:rsidR="00DF5F01" w:rsidRPr="008A38B9" w:rsidRDefault="00DF5F01" w:rsidP="00DF5F01">
            <w:pPr>
              <w:pStyle w:val="SingleTxtG"/>
              <w:spacing w:before="40"/>
              <w:ind w:left="0" w:right="113"/>
              <w:jc w:val="left"/>
            </w:pPr>
            <w:r w:rsidRPr="008A38B9">
              <w:t>Ley de la Comisión para la Vigilancia de la Asignación de los Ingresos Federales</w:t>
            </w:r>
          </w:p>
        </w:tc>
        <w:tc>
          <w:tcPr>
            <w:tcW w:w="892" w:type="dxa"/>
            <w:shd w:val="clear" w:color="auto" w:fill="auto"/>
          </w:tcPr>
          <w:p w14:paraId="52E1A496" w14:textId="77777777" w:rsidR="00DF5F01" w:rsidRPr="008A38B9" w:rsidRDefault="00DF5F01" w:rsidP="00DF5F01">
            <w:pPr>
              <w:pStyle w:val="SingleTxtG"/>
              <w:spacing w:before="40"/>
              <w:ind w:left="0" w:right="113"/>
              <w:jc w:val="left"/>
            </w:pPr>
            <w:r w:rsidRPr="008A38B9">
              <w:t>55</w:t>
            </w:r>
          </w:p>
        </w:tc>
        <w:tc>
          <w:tcPr>
            <w:tcW w:w="893" w:type="dxa"/>
            <w:shd w:val="clear" w:color="auto" w:fill="auto"/>
          </w:tcPr>
          <w:p w14:paraId="3573FA9D" w14:textId="77777777" w:rsidR="00DF5F01" w:rsidRPr="008A38B9" w:rsidRDefault="00DF5F01" w:rsidP="00DF5F01">
            <w:pPr>
              <w:pStyle w:val="SingleTxtG"/>
              <w:spacing w:before="40"/>
              <w:ind w:left="0" w:right="113"/>
              <w:jc w:val="left"/>
            </w:pPr>
            <w:r w:rsidRPr="008A38B9">
              <w:t>2017</w:t>
            </w:r>
          </w:p>
        </w:tc>
      </w:tr>
      <w:tr w:rsidR="00DF5F01" w14:paraId="50D9EE3C" w14:textId="77777777" w:rsidTr="00DF5F01">
        <w:tc>
          <w:tcPr>
            <w:tcW w:w="630" w:type="dxa"/>
            <w:shd w:val="clear" w:color="auto" w:fill="auto"/>
          </w:tcPr>
          <w:p w14:paraId="7BE4A5EE" w14:textId="77777777" w:rsidR="00DF5F01" w:rsidRPr="008A38B9" w:rsidRDefault="00DF5F01" w:rsidP="00DF5F01">
            <w:pPr>
              <w:pStyle w:val="SingleTxtG"/>
              <w:spacing w:before="40"/>
              <w:ind w:left="0" w:right="113"/>
              <w:jc w:val="left"/>
            </w:pPr>
            <w:r w:rsidRPr="008A38B9">
              <w:t>99</w:t>
            </w:r>
          </w:p>
        </w:tc>
        <w:tc>
          <w:tcPr>
            <w:tcW w:w="4955" w:type="dxa"/>
            <w:shd w:val="clear" w:color="auto" w:fill="auto"/>
          </w:tcPr>
          <w:p w14:paraId="0DBE9EBD" w14:textId="77777777" w:rsidR="00DF5F01" w:rsidRPr="008A38B9" w:rsidRDefault="00DF5F01" w:rsidP="00DF5F01">
            <w:pPr>
              <w:pStyle w:val="SingleTxtG"/>
              <w:spacing w:before="40"/>
              <w:ind w:left="0" w:right="113"/>
              <w:jc w:val="left"/>
            </w:pPr>
            <w:r w:rsidRPr="008A38B9">
              <w:t>Directrices para Facilitar la Aplicación de la Ley de la Protección Social</w:t>
            </w:r>
          </w:p>
        </w:tc>
        <w:tc>
          <w:tcPr>
            <w:tcW w:w="892" w:type="dxa"/>
            <w:shd w:val="clear" w:color="auto" w:fill="auto"/>
          </w:tcPr>
          <w:p w14:paraId="64DC7520" w14:textId="77777777" w:rsidR="00DF5F01" w:rsidRPr="008A38B9" w:rsidRDefault="00DF5F01" w:rsidP="00DF5F01">
            <w:pPr>
              <w:pStyle w:val="SingleTxtG"/>
              <w:spacing w:before="40"/>
              <w:ind w:left="0" w:right="113"/>
              <w:jc w:val="left"/>
            </w:pPr>
            <w:r w:rsidRPr="008A38B9">
              <w:t>8</w:t>
            </w:r>
          </w:p>
        </w:tc>
        <w:tc>
          <w:tcPr>
            <w:tcW w:w="893" w:type="dxa"/>
            <w:shd w:val="clear" w:color="auto" w:fill="auto"/>
          </w:tcPr>
          <w:p w14:paraId="78863CDD" w14:textId="77777777" w:rsidR="00DF5F01" w:rsidRPr="008A38B9" w:rsidRDefault="00DF5F01" w:rsidP="00DF5F01">
            <w:pPr>
              <w:pStyle w:val="SingleTxtG"/>
              <w:spacing w:before="40"/>
              <w:ind w:left="0" w:right="113"/>
              <w:jc w:val="left"/>
            </w:pPr>
            <w:r w:rsidRPr="008A38B9">
              <w:t>2017</w:t>
            </w:r>
          </w:p>
        </w:tc>
      </w:tr>
      <w:tr w:rsidR="00DF5F01" w14:paraId="07DDBF6C" w14:textId="77777777" w:rsidTr="00DF5F01">
        <w:tc>
          <w:tcPr>
            <w:tcW w:w="630" w:type="dxa"/>
            <w:shd w:val="clear" w:color="auto" w:fill="auto"/>
          </w:tcPr>
          <w:p w14:paraId="539548B1" w14:textId="77777777" w:rsidR="00DF5F01" w:rsidRPr="008A38B9" w:rsidRDefault="00DF5F01" w:rsidP="00DF5F01">
            <w:pPr>
              <w:pStyle w:val="SingleTxtG"/>
              <w:keepNext/>
              <w:keepLines/>
              <w:spacing w:before="40"/>
              <w:ind w:left="0" w:right="113"/>
              <w:jc w:val="left"/>
            </w:pPr>
            <w:r w:rsidRPr="008A38B9">
              <w:lastRenderedPageBreak/>
              <w:t>100</w:t>
            </w:r>
          </w:p>
        </w:tc>
        <w:tc>
          <w:tcPr>
            <w:tcW w:w="4955" w:type="dxa"/>
            <w:shd w:val="clear" w:color="auto" w:fill="auto"/>
          </w:tcPr>
          <w:p w14:paraId="2112806D" w14:textId="77777777" w:rsidR="00DF5F01" w:rsidRPr="008A38B9" w:rsidRDefault="00DF5F01" w:rsidP="00DF5F01">
            <w:pPr>
              <w:pStyle w:val="SingleTxtG"/>
              <w:keepNext/>
              <w:keepLines/>
              <w:spacing w:before="40"/>
              <w:ind w:left="0" w:right="113"/>
              <w:jc w:val="left"/>
            </w:pPr>
            <w:r w:rsidRPr="008A38B9">
              <w:t>Directrices del Mecanismo de Trabajo de las Comisiones de Alto Nivel y de las Subcomisiones para la Ley de la Protección Social</w:t>
            </w:r>
          </w:p>
        </w:tc>
        <w:tc>
          <w:tcPr>
            <w:tcW w:w="892" w:type="dxa"/>
            <w:shd w:val="clear" w:color="auto" w:fill="auto"/>
          </w:tcPr>
          <w:p w14:paraId="5DD58C12" w14:textId="77777777" w:rsidR="00DF5F01" w:rsidRPr="008A38B9" w:rsidRDefault="00DF5F01" w:rsidP="00DF5F01">
            <w:pPr>
              <w:pStyle w:val="SingleTxtG"/>
              <w:keepNext/>
              <w:keepLines/>
              <w:spacing w:before="40"/>
              <w:ind w:left="0" w:right="113"/>
              <w:jc w:val="left"/>
            </w:pPr>
            <w:r w:rsidRPr="008A38B9">
              <w:t>7</w:t>
            </w:r>
          </w:p>
        </w:tc>
        <w:tc>
          <w:tcPr>
            <w:tcW w:w="893" w:type="dxa"/>
            <w:shd w:val="clear" w:color="auto" w:fill="auto"/>
          </w:tcPr>
          <w:p w14:paraId="646B6A66" w14:textId="77777777" w:rsidR="00DF5F01" w:rsidRPr="008A38B9" w:rsidRDefault="00DF5F01" w:rsidP="00DF5F01">
            <w:pPr>
              <w:pStyle w:val="SingleTxtG"/>
              <w:keepNext/>
              <w:keepLines/>
              <w:spacing w:before="40"/>
              <w:ind w:left="0" w:right="113"/>
              <w:jc w:val="left"/>
            </w:pPr>
            <w:r w:rsidRPr="008A38B9">
              <w:t>2017</w:t>
            </w:r>
          </w:p>
        </w:tc>
      </w:tr>
      <w:tr w:rsidR="00DF5F01" w14:paraId="40B44DE4" w14:textId="77777777" w:rsidTr="00DF5F01">
        <w:tc>
          <w:tcPr>
            <w:tcW w:w="630" w:type="dxa"/>
            <w:shd w:val="clear" w:color="auto" w:fill="auto"/>
          </w:tcPr>
          <w:p w14:paraId="61054915" w14:textId="77777777" w:rsidR="00DF5F01" w:rsidRPr="008A38B9" w:rsidRDefault="00DF5F01" w:rsidP="00DF5F01">
            <w:pPr>
              <w:pStyle w:val="SingleTxtG"/>
              <w:spacing w:before="40"/>
              <w:ind w:left="0" w:right="113"/>
              <w:jc w:val="left"/>
            </w:pPr>
            <w:r w:rsidRPr="008A38B9">
              <w:t>101</w:t>
            </w:r>
          </w:p>
        </w:tc>
        <w:tc>
          <w:tcPr>
            <w:tcW w:w="4955" w:type="dxa"/>
            <w:shd w:val="clear" w:color="auto" w:fill="auto"/>
          </w:tcPr>
          <w:p w14:paraId="22D182F9" w14:textId="77777777" w:rsidR="00DF5F01" w:rsidRPr="008A38B9" w:rsidRDefault="00DF5F01" w:rsidP="00DF5F01">
            <w:pPr>
              <w:pStyle w:val="SingleTxtG"/>
              <w:spacing w:before="40"/>
              <w:ind w:left="0" w:right="113"/>
              <w:jc w:val="left"/>
            </w:pPr>
            <w:r w:rsidRPr="008A38B9">
              <w:t>Directrices sobre la labor de la Comisión de Indemnización de los Perjudicados y sobre la Determinación de los Colectivos cubiertos por la Indemnización</w:t>
            </w:r>
          </w:p>
        </w:tc>
        <w:tc>
          <w:tcPr>
            <w:tcW w:w="892" w:type="dxa"/>
            <w:shd w:val="clear" w:color="auto" w:fill="auto"/>
          </w:tcPr>
          <w:p w14:paraId="5A9A43DA" w14:textId="77777777" w:rsidR="00DF5F01" w:rsidRPr="008A38B9" w:rsidRDefault="00DF5F01" w:rsidP="00DF5F01">
            <w:pPr>
              <w:pStyle w:val="SingleTxtG"/>
              <w:spacing w:before="40"/>
              <w:ind w:left="0" w:right="113"/>
              <w:jc w:val="left"/>
            </w:pPr>
            <w:r w:rsidRPr="008A38B9">
              <w:t>1</w:t>
            </w:r>
          </w:p>
        </w:tc>
        <w:tc>
          <w:tcPr>
            <w:tcW w:w="893" w:type="dxa"/>
            <w:shd w:val="clear" w:color="auto" w:fill="auto"/>
          </w:tcPr>
          <w:p w14:paraId="6B29E147" w14:textId="77777777" w:rsidR="00DF5F01" w:rsidRPr="008A38B9" w:rsidRDefault="00DF5F01" w:rsidP="00DF5F01">
            <w:pPr>
              <w:pStyle w:val="SingleTxtG"/>
              <w:spacing w:before="40"/>
              <w:ind w:left="0" w:right="113"/>
              <w:jc w:val="left"/>
            </w:pPr>
            <w:r w:rsidRPr="008A38B9">
              <w:t>2017</w:t>
            </w:r>
          </w:p>
        </w:tc>
      </w:tr>
      <w:tr w:rsidR="00DF5F01" w14:paraId="4A0A5FF0" w14:textId="77777777" w:rsidTr="00DF5F01">
        <w:tc>
          <w:tcPr>
            <w:tcW w:w="630" w:type="dxa"/>
            <w:shd w:val="clear" w:color="auto" w:fill="auto"/>
          </w:tcPr>
          <w:p w14:paraId="601CE949" w14:textId="77777777" w:rsidR="00DF5F01" w:rsidRPr="008A38B9" w:rsidRDefault="00DF5F01" w:rsidP="00DF5F01">
            <w:pPr>
              <w:pStyle w:val="SingleTxtG"/>
              <w:spacing w:before="40"/>
              <w:ind w:left="0" w:right="113"/>
              <w:jc w:val="left"/>
            </w:pPr>
            <w:r w:rsidRPr="008A38B9">
              <w:t>102</w:t>
            </w:r>
          </w:p>
        </w:tc>
        <w:tc>
          <w:tcPr>
            <w:tcW w:w="4955" w:type="dxa"/>
            <w:shd w:val="clear" w:color="auto" w:fill="auto"/>
          </w:tcPr>
          <w:p w14:paraId="502E7DF8" w14:textId="77777777" w:rsidR="00DF5F01" w:rsidRPr="008A38B9" w:rsidRDefault="00DF5F01" w:rsidP="00DF5F01">
            <w:pPr>
              <w:pStyle w:val="SingleTxtG"/>
              <w:spacing w:before="40"/>
              <w:ind w:left="0" w:right="113"/>
              <w:jc w:val="left"/>
            </w:pPr>
            <w:r w:rsidRPr="008A38B9">
              <w:t>Ley para la Reforma de los Reclusos y Detenidos</w:t>
            </w:r>
          </w:p>
        </w:tc>
        <w:tc>
          <w:tcPr>
            <w:tcW w:w="892" w:type="dxa"/>
            <w:shd w:val="clear" w:color="auto" w:fill="auto"/>
          </w:tcPr>
          <w:p w14:paraId="22A374E1" w14:textId="77777777" w:rsidR="00DF5F01" w:rsidRPr="008A38B9" w:rsidRDefault="00DF5F01" w:rsidP="00DF5F01">
            <w:pPr>
              <w:pStyle w:val="SingleTxtG"/>
              <w:spacing w:before="40"/>
              <w:ind w:left="0" w:right="113"/>
              <w:jc w:val="left"/>
            </w:pPr>
            <w:r w:rsidRPr="008A38B9">
              <w:t>14</w:t>
            </w:r>
          </w:p>
        </w:tc>
        <w:tc>
          <w:tcPr>
            <w:tcW w:w="893" w:type="dxa"/>
            <w:shd w:val="clear" w:color="auto" w:fill="auto"/>
          </w:tcPr>
          <w:p w14:paraId="73C790C9" w14:textId="77777777" w:rsidR="00DF5F01" w:rsidRPr="008A38B9" w:rsidRDefault="00DF5F01" w:rsidP="00DF5F01">
            <w:pPr>
              <w:pStyle w:val="SingleTxtG"/>
              <w:spacing w:before="40"/>
              <w:ind w:left="0" w:right="113"/>
              <w:jc w:val="left"/>
            </w:pPr>
            <w:r w:rsidRPr="008A38B9">
              <w:t>2018</w:t>
            </w:r>
          </w:p>
        </w:tc>
      </w:tr>
      <w:tr w:rsidR="00DF5F01" w14:paraId="79944F3A" w14:textId="77777777" w:rsidTr="00DF5F01">
        <w:tc>
          <w:tcPr>
            <w:tcW w:w="630" w:type="dxa"/>
            <w:tcBorders>
              <w:bottom w:val="single" w:sz="12" w:space="0" w:color="auto"/>
            </w:tcBorders>
            <w:shd w:val="clear" w:color="auto" w:fill="auto"/>
          </w:tcPr>
          <w:p w14:paraId="0B0F49D7" w14:textId="77777777" w:rsidR="00DF5F01" w:rsidRPr="008A38B9" w:rsidRDefault="00DF5F01" w:rsidP="00DF5F01">
            <w:pPr>
              <w:pStyle w:val="SingleTxtG"/>
              <w:spacing w:before="40"/>
              <w:ind w:left="0" w:right="113"/>
              <w:jc w:val="left"/>
            </w:pPr>
            <w:r w:rsidRPr="008A38B9">
              <w:t>103</w:t>
            </w:r>
          </w:p>
        </w:tc>
        <w:tc>
          <w:tcPr>
            <w:tcW w:w="4955" w:type="dxa"/>
            <w:tcBorders>
              <w:bottom w:val="single" w:sz="12" w:space="0" w:color="auto"/>
            </w:tcBorders>
            <w:shd w:val="clear" w:color="auto" w:fill="auto"/>
          </w:tcPr>
          <w:p w14:paraId="649073CD" w14:textId="77777777" w:rsidR="00DF5F01" w:rsidRPr="008A38B9" w:rsidRDefault="00DF5F01" w:rsidP="00DF5F01">
            <w:pPr>
              <w:pStyle w:val="SingleTxtG"/>
              <w:spacing w:before="40"/>
              <w:ind w:left="0" w:right="113"/>
              <w:jc w:val="left"/>
            </w:pPr>
            <w:r w:rsidRPr="008A38B9">
              <w:t>Ley de las Sustancias Estupefacientes y Psicotrópicas</w:t>
            </w:r>
          </w:p>
        </w:tc>
        <w:tc>
          <w:tcPr>
            <w:tcW w:w="892" w:type="dxa"/>
            <w:tcBorders>
              <w:bottom w:val="single" w:sz="12" w:space="0" w:color="auto"/>
            </w:tcBorders>
            <w:shd w:val="clear" w:color="auto" w:fill="auto"/>
          </w:tcPr>
          <w:p w14:paraId="14B7703E" w14:textId="77777777" w:rsidR="00DF5F01" w:rsidRPr="008A38B9" w:rsidRDefault="00DF5F01" w:rsidP="00DF5F01">
            <w:pPr>
              <w:pStyle w:val="SingleTxtG"/>
              <w:spacing w:before="40"/>
              <w:ind w:left="0" w:right="113"/>
              <w:jc w:val="left"/>
            </w:pPr>
            <w:r w:rsidRPr="008A38B9">
              <w:t>50</w:t>
            </w:r>
          </w:p>
        </w:tc>
        <w:tc>
          <w:tcPr>
            <w:tcW w:w="893" w:type="dxa"/>
            <w:tcBorders>
              <w:bottom w:val="single" w:sz="12" w:space="0" w:color="auto"/>
            </w:tcBorders>
            <w:shd w:val="clear" w:color="auto" w:fill="auto"/>
          </w:tcPr>
          <w:p w14:paraId="5C59BC29" w14:textId="77777777" w:rsidR="00DF5F01" w:rsidRPr="008A38B9" w:rsidRDefault="00DF5F01" w:rsidP="00DF5F01">
            <w:pPr>
              <w:pStyle w:val="SingleTxtG"/>
              <w:spacing w:before="40"/>
              <w:ind w:left="0" w:right="113"/>
              <w:jc w:val="left"/>
            </w:pPr>
            <w:r w:rsidRPr="008A38B9">
              <w:t>2018</w:t>
            </w:r>
          </w:p>
        </w:tc>
      </w:tr>
    </w:tbl>
    <w:p w14:paraId="49B05835" w14:textId="77777777" w:rsidR="008A38B9" w:rsidRDefault="008A38B9" w:rsidP="00DF5F01">
      <w:pPr>
        <w:pStyle w:val="SingleTxtG"/>
        <w:spacing w:before="240"/>
      </w:pPr>
      <w:r w:rsidRPr="008A38B9">
        <w:t>99.</w:t>
      </w:r>
      <w:r w:rsidRPr="008A38B9">
        <w:tab/>
        <w:t>En el cuadro siguiente figura la legislación de derechos humanos de la Región del Kurdistán.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0"/>
        <w:gridCol w:w="4955"/>
        <w:gridCol w:w="896"/>
        <w:gridCol w:w="889"/>
      </w:tblGrid>
      <w:tr w:rsidR="00DF5F01" w:rsidRPr="00DF5F01" w14:paraId="11D1CC9D" w14:textId="77777777" w:rsidTr="00DF5F01">
        <w:tc>
          <w:tcPr>
            <w:tcW w:w="630" w:type="dxa"/>
            <w:tcBorders>
              <w:top w:val="single" w:sz="4" w:space="0" w:color="auto"/>
              <w:bottom w:val="single" w:sz="12" w:space="0" w:color="auto"/>
            </w:tcBorders>
            <w:shd w:val="clear" w:color="auto" w:fill="auto"/>
            <w:vAlign w:val="bottom"/>
          </w:tcPr>
          <w:p w14:paraId="0D34D814" w14:textId="77777777" w:rsidR="00DF5F01" w:rsidRPr="00DF5F01" w:rsidRDefault="00DF5F01" w:rsidP="00DF5F01">
            <w:pPr>
              <w:pStyle w:val="SingleTxtG"/>
              <w:spacing w:before="80" w:after="80" w:line="200" w:lineRule="exact"/>
              <w:ind w:left="0" w:right="113"/>
              <w:jc w:val="left"/>
              <w:rPr>
                <w:i/>
                <w:sz w:val="16"/>
              </w:rPr>
            </w:pPr>
          </w:p>
        </w:tc>
        <w:tc>
          <w:tcPr>
            <w:tcW w:w="4955" w:type="dxa"/>
            <w:tcBorders>
              <w:top w:val="single" w:sz="4" w:space="0" w:color="auto"/>
              <w:bottom w:val="single" w:sz="12" w:space="0" w:color="auto"/>
            </w:tcBorders>
            <w:shd w:val="clear" w:color="auto" w:fill="auto"/>
            <w:vAlign w:val="center"/>
          </w:tcPr>
          <w:p w14:paraId="3F521D2E" w14:textId="77777777" w:rsidR="00DF5F01" w:rsidRPr="00DF5F01" w:rsidRDefault="00DF5F01" w:rsidP="00DF5F01">
            <w:pPr>
              <w:pStyle w:val="SingleTxtG"/>
              <w:spacing w:before="80" w:after="80" w:line="200" w:lineRule="exact"/>
              <w:ind w:left="0" w:right="113"/>
              <w:jc w:val="left"/>
              <w:rPr>
                <w:i/>
                <w:sz w:val="16"/>
              </w:rPr>
            </w:pPr>
            <w:r w:rsidRPr="00DF5F01">
              <w:rPr>
                <w:i/>
                <w:sz w:val="16"/>
              </w:rPr>
              <w:t>Ley</w:t>
            </w:r>
          </w:p>
        </w:tc>
        <w:tc>
          <w:tcPr>
            <w:tcW w:w="896" w:type="dxa"/>
            <w:tcBorders>
              <w:top w:val="single" w:sz="4" w:space="0" w:color="auto"/>
              <w:bottom w:val="single" w:sz="12" w:space="0" w:color="auto"/>
            </w:tcBorders>
            <w:shd w:val="clear" w:color="auto" w:fill="auto"/>
          </w:tcPr>
          <w:p w14:paraId="4C36441A" w14:textId="77777777" w:rsidR="00DF5F01" w:rsidRPr="00DF5F01" w:rsidRDefault="00DF5F01" w:rsidP="00DF5F01">
            <w:pPr>
              <w:pStyle w:val="SingleTxtG"/>
              <w:spacing w:before="80" w:after="80" w:line="200" w:lineRule="exact"/>
              <w:ind w:left="0" w:right="113"/>
              <w:jc w:val="left"/>
              <w:rPr>
                <w:i/>
                <w:sz w:val="16"/>
              </w:rPr>
            </w:pPr>
            <w:r w:rsidRPr="00DF5F01">
              <w:rPr>
                <w:i/>
                <w:sz w:val="16"/>
              </w:rPr>
              <w:t>Núm.</w:t>
            </w:r>
          </w:p>
        </w:tc>
        <w:tc>
          <w:tcPr>
            <w:tcW w:w="889" w:type="dxa"/>
            <w:tcBorders>
              <w:top w:val="single" w:sz="4" w:space="0" w:color="auto"/>
              <w:bottom w:val="single" w:sz="12" w:space="0" w:color="auto"/>
            </w:tcBorders>
            <w:shd w:val="clear" w:color="auto" w:fill="auto"/>
            <w:vAlign w:val="center"/>
          </w:tcPr>
          <w:p w14:paraId="58DF83D8" w14:textId="77777777" w:rsidR="00DF5F01" w:rsidRPr="00DF5F01" w:rsidRDefault="00DF5F01" w:rsidP="00DF5F01">
            <w:pPr>
              <w:pStyle w:val="SingleTxtG"/>
              <w:spacing w:before="80" w:after="80" w:line="200" w:lineRule="exact"/>
              <w:ind w:left="0" w:right="113"/>
              <w:jc w:val="left"/>
              <w:rPr>
                <w:i/>
                <w:sz w:val="16"/>
              </w:rPr>
            </w:pPr>
            <w:r w:rsidRPr="00DF5F01">
              <w:rPr>
                <w:i/>
                <w:sz w:val="16"/>
              </w:rPr>
              <w:t>Año</w:t>
            </w:r>
          </w:p>
        </w:tc>
      </w:tr>
      <w:tr w:rsidR="00DF5F01" w14:paraId="39277C83" w14:textId="77777777" w:rsidTr="00DF5F01">
        <w:trPr>
          <w:trHeight w:hRule="exact" w:val="113"/>
        </w:trPr>
        <w:tc>
          <w:tcPr>
            <w:tcW w:w="630" w:type="dxa"/>
            <w:tcBorders>
              <w:top w:val="single" w:sz="12" w:space="0" w:color="auto"/>
            </w:tcBorders>
            <w:shd w:val="clear" w:color="auto" w:fill="auto"/>
          </w:tcPr>
          <w:p w14:paraId="38A36007" w14:textId="77777777" w:rsidR="00DF5F01" w:rsidRDefault="00DF5F01" w:rsidP="00DF5F01">
            <w:pPr>
              <w:pStyle w:val="SingleTxtG"/>
              <w:spacing w:before="40"/>
              <w:ind w:left="0" w:right="113"/>
              <w:jc w:val="left"/>
            </w:pPr>
          </w:p>
        </w:tc>
        <w:tc>
          <w:tcPr>
            <w:tcW w:w="4955" w:type="dxa"/>
            <w:tcBorders>
              <w:top w:val="single" w:sz="12" w:space="0" w:color="auto"/>
            </w:tcBorders>
            <w:shd w:val="clear" w:color="auto" w:fill="auto"/>
          </w:tcPr>
          <w:p w14:paraId="6EA7C0D6" w14:textId="77777777" w:rsidR="00DF5F01" w:rsidRDefault="00DF5F01" w:rsidP="00DF5F01">
            <w:pPr>
              <w:pStyle w:val="SingleTxtG"/>
              <w:spacing w:before="40"/>
              <w:ind w:left="0" w:right="113"/>
              <w:jc w:val="left"/>
            </w:pPr>
          </w:p>
        </w:tc>
        <w:tc>
          <w:tcPr>
            <w:tcW w:w="896" w:type="dxa"/>
            <w:tcBorders>
              <w:top w:val="single" w:sz="12" w:space="0" w:color="auto"/>
            </w:tcBorders>
            <w:shd w:val="clear" w:color="auto" w:fill="auto"/>
          </w:tcPr>
          <w:p w14:paraId="349DB8D8" w14:textId="77777777" w:rsidR="00DF5F01" w:rsidRDefault="00DF5F01" w:rsidP="00DF5F01">
            <w:pPr>
              <w:pStyle w:val="SingleTxtG"/>
              <w:spacing w:before="40"/>
              <w:ind w:left="0" w:right="113"/>
              <w:jc w:val="left"/>
            </w:pPr>
          </w:p>
        </w:tc>
        <w:tc>
          <w:tcPr>
            <w:tcW w:w="889" w:type="dxa"/>
            <w:tcBorders>
              <w:top w:val="single" w:sz="12" w:space="0" w:color="auto"/>
            </w:tcBorders>
            <w:shd w:val="clear" w:color="auto" w:fill="auto"/>
          </w:tcPr>
          <w:p w14:paraId="21C90DEA" w14:textId="77777777" w:rsidR="00DF5F01" w:rsidRDefault="00DF5F01" w:rsidP="00DF5F01">
            <w:pPr>
              <w:pStyle w:val="SingleTxtG"/>
              <w:spacing w:before="40"/>
              <w:ind w:left="0" w:right="113"/>
              <w:jc w:val="left"/>
            </w:pPr>
          </w:p>
        </w:tc>
      </w:tr>
      <w:tr w:rsidR="00DF5F01" w14:paraId="6028CB04" w14:textId="77777777" w:rsidTr="00DF5F01">
        <w:tc>
          <w:tcPr>
            <w:tcW w:w="630" w:type="dxa"/>
            <w:shd w:val="clear" w:color="auto" w:fill="auto"/>
          </w:tcPr>
          <w:p w14:paraId="3AE07167" w14:textId="77777777" w:rsidR="00DF5F01" w:rsidRPr="008A38B9" w:rsidRDefault="00DF5F01" w:rsidP="00DF5F01">
            <w:pPr>
              <w:pStyle w:val="SingleTxtG"/>
              <w:spacing w:before="40"/>
              <w:ind w:left="0" w:right="113"/>
              <w:jc w:val="left"/>
            </w:pPr>
            <w:r w:rsidRPr="008A38B9">
              <w:t>1</w:t>
            </w:r>
          </w:p>
        </w:tc>
        <w:tc>
          <w:tcPr>
            <w:tcW w:w="4955" w:type="dxa"/>
            <w:shd w:val="clear" w:color="auto" w:fill="auto"/>
          </w:tcPr>
          <w:p w14:paraId="4F6B3EA7" w14:textId="77777777" w:rsidR="00DF5F01" w:rsidRPr="008A38B9" w:rsidRDefault="00DF5F01" w:rsidP="00DF5F01">
            <w:pPr>
              <w:pStyle w:val="SingleTxtG"/>
              <w:spacing w:before="40"/>
              <w:ind w:left="0" w:right="113"/>
              <w:jc w:val="left"/>
            </w:pPr>
            <w:r w:rsidRPr="008A38B9">
              <w:t xml:space="preserve">Ley anexa a la Ley de la Fiscalía para la Región del Kurdistán </w:t>
            </w:r>
          </w:p>
        </w:tc>
        <w:tc>
          <w:tcPr>
            <w:tcW w:w="896" w:type="dxa"/>
            <w:shd w:val="clear" w:color="auto" w:fill="auto"/>
          </w:tcPr>
          <w:p w14:paraId="604F7C62" w14:textId="77777777" w:rsidR="00DF5F01" w:rsidRPr="008A38B9" w:rsidRDefault="00DF5F01" w:rsidP="00DF5F01">
            <w:pPr>
              <w:pStyle w:val="SingleTxtG"/>
              <w:spacing w:before="40"/>
              <w:ind w:left="0" w:right="113"/>
              <w:jc w:val="left"/>
            </w:pPr>
            <w:r w:rsidRPr="008A38B9">
              <w:t>159</w:t>
            </w:r>
          </w:p>
        </w:tc>
        <w:tc>
          <w:tcPr>
            <w:tcW w:w="889" w:type="dxa"/>
            <w:shd w:val="clear" w:color="auto" w:fill="auto"/>
          </w:tcPr>
          <w:p w14:paraId="6463B522" w14:textId="77777777" w:rsidR="00DF5F01" w:rsidRPr="008A38B9" w:rsidRDefault="00DF5F01" w:rsidP="00DF5F01">
            <w:pPr>
              <w:pStyle w:val="SingleTxtG"/>
              <w:spacing w:before="40"/>
              <w:ind w:left="0" w:right="113"/>
              <w:jc w:val="left"/>
            </w:pPr>
            <w:r w:rsidRPr="008A38B9">
              <w:t>1979</w:t>
            </w:r>
          </w:p>
        </w:tc>
      </w:tr>
      <w:tr w:rsidR="00DF5F01" w14:paraId="71F6F19D" w14:textId="77777777" w:rsidTr="00DF5F01">
        <w:tc>
          <w:tcPr>
            <w:tcW w:w="630" w:type="dxa"/>
            <w:shd w:val="clear" w:color="auto" w:fill="auto"/>
          </w:tcPr>
          <w:p w14:paraId="1801475A" w14:textId="77777777" w:rsidR="00DF5F01" w:rsidRPr="008A38B9" w:rsidRDefault="00DF5F01" w:rsidP="00DF5F01">
            <w:pPr>
              <w:pStyle w:val="SingleTxtG"/>
              <w:spacing w:before="40"/>
              <w:ind w:left="0" w:right="113"/>
              <w:jc w:val="left"/>
            </w:pPr>
            <w:r w:rsidRPr="008A38B9">
              <w:t>2</w:t>
            </w:r>
          </w:p>
        </w:tc>
        <w:tc>
          <w:tcPr>
            <w:tcW w:w="4955" w:type="dxa"/>
            <w:shd w:val="clear" w:color="auto" w:fill="auto"/>
          </w:tcPr>
          <w:p w14:paraId="041AF495" w14:textId="77777777" w:rsidR="00DF5F01" w:rsidRPr="008A38B9" w:rsidRDefault="00DF5F01" w:rsidP="00DF5F01">
            <w:pPr>
              <w:pStyle w:val="SingleTxtG"/>
              <w:spacing w:before="40"/>
              <w:ind w:left="0" w:right="113"/>
              <w:jc w:val="left"/>
            </w:pPr>
            <w:r w:rsidRPr="008A38B9">
              <w:t xml:space="preserve">Ley de la Elección de los Consejos Provinciales, de Distrito y de Subdistrito en la Región del Kurdistán </w:t>
            </w:r>
          </w:p>
        </w:tc>
        <w:tc>
          <w:tcPr>
            <w:tcW w:w="896" w:type="dxa"/>
            <w:shd w:val="clear" w:color="auto" w:fill="auto"/>
          </w:tcPr>
          <w:p w14:paraId="1925A40A" w14:textId="77777777" w:rsidR="00DF5F01" w:rsidRPr="008A38B9" w:rsidRDefault="00DF5F01" w:rsidP="00DF5F01">
            <w:pPr>
              <w:pStyle w:val="SingleTxtG"/>
              <w:spacing w:before="40"/>
              <w:ind w:left="0" w:right="113"/>
              <w:jc w:val="left"/>
            </w:pPr>
            <w:r w:rsidRPr="008A38B9">
              <w:t>4</w:t>
            </w:r>
          </w:p>
        </w:tc>
        <w:tc>
          <w:tcPr>
            <w:tcW w:w="889" w:type="dxa"/>
            <w:shd w:val="clear" w:color="auto" w:fill="auto"/>
          </w:tcPr>
          <w:p w14:paraId="5412D80B" w14:textId="77777777" w:rsidR="00DF5F01" w:rsidRPr="008A38B9" w:rsidRDefault="00DF5F01" w:rsidP="00DF5F01">
            <w:pPr>
              <w:pStyle w:val="SingleTxtG"/>
              <w:spacing w:before="40"/>
              <w:ind w:left="0" w:right="113"/>
              <w:jc w:val="left"/>
            </w:pPr>
            <w:r w:rsidRPr="008A38B9">
              <w:t>2009</w:t>
            </w:r>
          </w:p>
        </w:tc>
      </w:tr>
      <w:tr w:rsidR="00DF5F01" w14:paraId="109EECD6" w14:textId="77777777" w:rsidTr="00DF5F01">
        <w:tc>
          <w:tcPr>
            <w:tcW w:w="630" w:type="dxa"/>
            <w:shd w:val="clear" w:color="auto" w:fill="auto"/>
          </w:tcPr>
          <w:p w14:paraId="29A00926" w14:textId="77777777" w:rsidR="00DF5F01" w:rsidRPr="008A38B9" w:rsidRDefault="00DF5F01" w:rsidP="00DF5F01">
            <w:pPr>
              <w:pStyle w:val="SingleTxtG"/>
              <w:spacing w:before="40"/>
              <w:ind w:left="0" w:right="113"/>
              <w:jc w:val="left"/>
            </w:pPr>
            <w:r w:rsidRPr="008A38B9">
              <w:t>3</w:t>
            </w:r>
          </w:p>
        </w:tc>
        <w:tc>
          <w:tcPr>
            <w:tcW w:w="4955" w:type="dxa"/>
            <w:shd w:val="clear" w:color="auto" w:fill="auto"/>
          </w:tcPr>
          <w:p w14:paraId="7B8BCD0B" w14:textId="77777777" w:rsidR="00DF5F01" w:rsidRPr="008A38B9" w:rsidRDefault="00DF5F01" w:rsidP="00DF5F01">
            <w:pPr>
              <w:pStyle w:val="SingleTxtG"/>
              <w:spacing w:before="40"/>
              <w:ind w:left="0" w:right="113"/>
              <w:jc w:val="left"/>
            </w:pPr>
            <w:r w:rsidRPr="008A38B9">
              <w:t>Ley del Instituto Judicial para la Región del Kurdistán</w:t>
            </w:r>
          </w:p>
        </w:tc>
        <w:tc>
          <w:tcPr>
            <w:tcW w:w="896" w:type="dxa"/>
            <w:shd w:val="clear" w:color="auto" w:fill="auto"/>
          </w:tcPr>
          <w:p w14:paraId="3D4621D2" w14:textId="77777777" w:rsidR="00DF5F01" w:rsidRPr="008A38B9" w:rsidRDefault="00DF5F01" w:rsidP="00DF5F01">
            <w:pPr>
              <w:pStyle w:val="SingleTxtG"/>
              <w:spacing w:before="40"/>
              <w:ind w:left="0" w:right="113"/>
              <w:jc w:val="left"/>
            </w:pPr>
            <w:r w:rsidRPr="008A38B9">
              <w:t>7</w:t>
            </w:r>
          </w:p>
        </w:tc>
        <w:tc>
          <w:tcPr>
            <w:tcW w:w="889" w:type="dxa"/>
            <w:shd w:val="clear" w:color="auto" w:fill="auto"/>
          </w:tcPr>
          <w:p w14:paraId="468C54D3" w14:textId="77777777" w:rsidR="00DF5F01" w:rsidRPr="008A38B9" w:rsidRDefault="00DF5F01" w:rsidP="00DF5F01">
            <w:pPr>
              <w:pStyle w:val="SingleTxtG"/>
              <w:spacing w:before="40"/>
              <w:ind w:left="0" w:right="113"/>
              <w:jc w:val="left"/>
            </w:pPr>
            <w:r w:rsidRPr="008A38B9">
              <w:t>2009</w:t>
            </w:r>
          </w:p>
        </w:tc>
      </w:tr>
      <w:tr w:rsidR="00DF5F01" w14:paraId="021F9E36" w14:textId="77777777" w:rsidTr="00DF5F01">
        <w:tc>
          <w:tcPr>
            <w:tcW w:w="630" w:type="dxa"/>
            <w:tcBorders>
              <w:bottom w:val="single" w:sz="12" w:space="0" w:color="auto"/>
            </w:tcBorders>
            <w:shd w:val="clear" w:color="auto" w:fill="auto"/>
          </w:tcPr>
          <w:p w14:paraId="3BF07A7A" w14:textId="77777777" w:rsidR="00DF5F01" w:rsidRPr="008A38B9" w:rsidRDefault="00DF5F01" w:rsidP="00DF5F01">
            <w:pPr>
              <w:pStyle w:val="SingleTxtG"/>
              <w:spacing w:before="40"/>
              <w:ind w:left="0" w:right="113"/>
              <w:jc w:val="left"/>
            </w:pPr>
            <w:r w:rsidRPr="008A38B9">
              <w:t>4</w:t>
            </w:r>
          </w:p>
        </w:tc>
        <w:tc>
          <w:tcPr>
            <w:tcW w:w="4955" w:type="dxa"/>
            <w:tcBorders>
              <w:bottom w:val="single" w:sz="12" w:space="0" w:color="auto"/>
            </w:tcBorders>
            <w:shd w:val="clear" w:color="auto" w:fill="auto"/>
          </w:tcPr>
          <w:p w14:paraId="13975EA8" w14:textId="77777777" w:rsidR="00DF5F01" w:rsidRPr="008A38B9" w:rsidRDefault="00DF5F01" w:rsidP="00DF5F01">
            <w:pPr>
              <w:pStyle w:val="SingleTxtG"/>
              <w:spacing w:before="40"/>
              <w:ind w:left="0" w:right="113"/>
              <w:jc w:val="left"/>
            </w:pPr>
            <w:r w:rsidRPr="008A38B9">
              <w:t>Ley por la que se modifica la aplicación del Código Penal Iraquí (Ley núm. 111/1969) reformado en la Región del Kurdistán</w:t>
            </w:r>
          </w:p>
        </w:tc>
        <w:tc>
          <w:tcPr>
            <w:tcW w:w="896" w:type="dxa"/>
            <w:tcBorders>
              <w:bottom w:val="single" w:sz="12" w:space="0" w:color="auto"/>
            </w:tcBorders>
            <w:shd w:val="clear" w:color="auto" w:fill="auto"/>
          </w:tcPr>
          <w:p w14:paraId="31171FAF" w14:textId="77777777" w:rsidR="00DF5F01" w:rsidRPr="008A38B9" w:rsidRDefault="00DF5F01" w:rsidP="00DF5F01">
            <w:pPr>
              <w:pStyle w:val="SingleTxtG"/>
              <w:spacing w:before="40"/>
              <w:ind w:left="0" w:right="113"/>
              <w:jc w:val="left"/>
            </w:pPr>
            <w:r w:rsidRPr="008A38B9">
              <w:t>3</w:t>
            </w:r>
          </w:p>
        </w:tc>
        <w:tc>
          <w:tcPr>
            <w:tcW w:w="889" w:type="dxa"/>
            <w:tcBorders>
              <w:bottom w:val="single" w:sz="12" w:space="0" w:color="auto"/>
            </w:tcBorders>
            <w:shd w:val="clear" w:color="auto" w:fill="auto"/>
          </w:tcPr>
          <w:p w14:paraId="5F274F71" w14:textId="77777777" w:rsidR="00DF5F01" w:rsidRPr="008A38B9" w:rsidRDefault="00DF5F01" w:rsidP="00DF5F01">
            <w:pPr>
              <w:pStyle w:val="SingleTxtG"/>
              <w:spacing w:before="40"/>
              <w:ind w:left="0" w:right="113"/>
              <w:jc w:val="left"/>
            </w:pPr>
            <w:r w:rsidRPr="008A38B9">
              <w:t>2015</w:t>
            </w:r>
          </w:p>
        </w:tc>
      </w:tr>
    </w:tbl>
    <w:p w14:paraId="12053046" w14:textId="77777777" w:rsidR="008A38B9" w:rsidRPr="008A38B9" w:rsidRDefault="008A38B9" w:rsidP="00DF5F01">
      <w:pPr>
        <w:pStyle w:val="SingleTxtG"/>
        <w:spacing w:before="240"/>
      </w:pPr>
      <w:r w:rsidRPr="008A38B9">
        <w:t>100.</w:t>
      </w:r>
      <w:r w:rsidRPr="008A38B9">
        <w:tab/>
        <w:t>Los organismos de difusión y sus medios impresos y audiovisuales llevan a cabo en el Iraq una labor de concienciación sobre los derechos humanos a todos los niveles y cubren, gracias a la Red de Medios de Comunicación Iraquíes (Iraqi Media Network), las actividades pertinentes. Los medios, canales satelitales, periódicos y emisoras de radio de ese organismo independiente informan a los colectivos iraquíes de destino (por ejemplo a los niños, las mujeres, los trabajadores o los campesinos), emiten los debates de la Cámara de Representantes relativos a la aprobación y ratificación de los tratados de derechos humanos y programación infantil de concienciación y organizan seminarios sobre los derechos de la mujer, en particular el derecho a la educación y la salud.</w:t>
      </w:r>
    </w:p>
    <w:p w14:paraId="6C1998D0" w14:textId="77777777" w:rsidR="008A38B9" w:rsidRPr="008A38B9" w:rsidRDefault="008A38B9" w:rsidP="00DF5F01">
      <w:pPr>
        <w:pStyle w:val="SingleTxtG"/>
      </w:pPr>
      <w:r w:rsidRPr="008A38B9">
        <w:t>101.</w:t>
      </w:r>
      <w:r w:rsidRPr="008A38B9">
        <w:tab/>
        <w:t xml:space="preserve">El Ministerio de Cultura edita publicaciones de índole cultural en todas las lenguas de las comunidades que componen el pueblo iraquí. La editorial </w:t>
      </w:r>
      <w:r w:rsidRPr="008A38B9">
        <w:rPr>
          <w:i/>
          <w:iCs/>
        </w:rPr>
        <w:t>Dar Zaqafat al-Atfal</w:t>
      </w:r>
      <w:r w:rsidRPr="008A38B9">
        <w:t xml:space="preserve"> [Centro para la Cultura Infantil] organiza festivales, exposiciones de dibujo infantil, obras teatrales, charlas, conferencias y concursos nacionales e internacionales, así como edita publicaciones para niños.</w:t>
      </w:r>
    </w:p>
    <w:p w14:paraId="2D085AED" w14:textId="77777777" w:rsidR="008A38B9" w:rsidRPr="008A38B9" w:rsidRDefault="008A38B9" w:rsidP="00DF5F01">
      <w:pPr>
        <w:pStyle w:val="SingleTxtG"/>
      </w:pPr>
      <w:r w:rsidRPr="008A38B9">
        <w:t>102.</w:t>
      </w:r>
      <w:r w:rsidRPr="008A38B9">
        <w:tab/>
        <w:t>El Estado, con la colaboración de los Ministerios concernidos, formuló y apoyó el proyecto para la inclusión de la asignatura Derechos Humanos en los programas curriculares. Existen comisiones ministeriales de derechos humanos que también se ocupan de difundir y promover la cultura de los derechos humanos.</w:t>
      </w:r>
    </w:p>
    <w:p w14:paraId="3494F736" w14:textId="77777777" w:rsidR="008A38B9" w:rsidRPr="008A38B9" w:rsidRDefault="008A38B9" w:rsidP="00DF5F01">
      <w:pPr>
        <w:pStyle w:val="SingleTxtG"/>
      </w:pPr>
      <w:r w:rsidRPr="008A38B9">
        <w:t>103.</w:t>
      </w:r>
      <w:r w:rsidRPr="008A38B9">
        <w:tab/>
        <w:t>La Comisión de Derechos Humanos de la Cámara de Representantes iraquí vigila con celo la situación de los derechos humanos en el Iraq, así como propone y examina los proyectos de ley pertinentes. La Comisión opera con sujeción a lo dispuesto en el reglamento interno de la Cámara de Representantes.</w:t>
      </w:r>
    </w:p>
    <w:p w14:paraId="51DCA689" w14:textId="77777777" w:rsidR="008A38B9" w:rsidRDefault="008A38B9" w:rsidP="00B0740E">
      <w:pPr>
        <w:pStyle w:val="SingleTxtG"/>
        <w:keepNext/>
        <w:keepLines/>
      </w:pPr>
      <w:r w:rsidRPr="008A38B9">
        <w:lastRenderedPageBreak/>
        <w:t>104.</w:t>
      </w:r>
      <w:r w:rsidRPr="008A38B9">
        <w:tab/>
        <w:t>En el cuadro siguiente figuran datos sobre los medios de difusión en el Iraq.</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2"/>
        <w:gridCol w:w="5571"/>
        <w:gridCol w:w="1267"/>
      </w:tblGrid>
      <w:tr w:rsidR="00FF7FB5" w:rsidRPr="00FF7FB5" w14:paraId="745DB724" w14:textId="77777777" w:rsidTr="00FF7FB5">
        <w:tc>
          <w:tcPr>
            <w:tcW w:w="532" w:type="dxa"/>
            <w:tcBorders>
              <w:top w:val="single" w:sz="4" w:space="0" w:color="auto"/>
              <w:bottom w:val="single" w:sz="12" w:space="0" w:color="auto"/>
            </w:tcBorders>
            <w:shd w:val="clear" w:color="auto" w:fill="auto"/>
            <w:vAlign w:val="bottom"/>
          </w:tcPr>
          <w:p w14:paraId="18EDC065" w14:textId="77777777" w:rsidR="00FF7FB5" w:rsidRPr="00FF7FB5" w:rsidRDefault="00FF7FB5" w:rsidP="00971FE8">
            <w:pPr>
              <w:pStyle w:val="SingleTxtG"/>
              <w:keepNext/>
              <w:keepLines/>
              <w:spacing w:before="80" w:after="80" w:line="200" w:lineRule="exact"/>
              <w:ind w:left="0" w:right="113"/>
              <w:jc w:val="left"/>
              <w:rPr>
                <w:i/>
                <w:sz w:val="16"/>
              </w:rPr>
            </w:pPr>
          </w:p>
        </w:tc>
        <w:tc>
          <w:tcPr>
            <w:tcW w:w="5571" w:type="dxa"/>
            <w:tcBorders>
              <w:top w:val="single" w:sz="4" w:space="0" w:color="auto"/>
              <w:bottom w:val="single" w:sz="12" w:space="0" w:color="auto"/>
            </w:tcBorders>
            <w:shd w:val="clear" w:color="auto" w:fill="auto"/>
            <w:vAlign w:val="center"/>
          </w:tcPr>
          <w:p w14:paraId="73FAA85F" w14:textId="77777777" w:rsidR="00FF7FB5" w:rsidRPr="00FF7FB5" w:rsidRDefault="00FF7FB5" w:rsidP="00971FE8">
            <w:pPr>
              <w:pStyle w:val="SingleTxtG"/>
              <w:keepNext/>
              <w:keepLines/>
              <w:spacing w:before="80" w:after="80" w:line="200" w:lineRule="exact"/>
              <w:ind w:left="0" w:right="113"/>
              <w:jc w:val="left"/>
              <w:rPr>
                <w:i/>
                <w:sz w:val="16"/>
              </w:rPr>
            </w:pPr>
            <w:r w:rsidRPr="00FF7FB5">
              <w:rPr>
                <w:i/>
                <w:sz w:val="16"/>
              </w:rPr>
              <w:t>Indicador</w:t>
            </w:r>
          </w:p>
        </w:tc>
        <w:tc>
          <w:tcPr>
            <w:tcW w:w="1267" w:type="dxa"/>
            <w:tcBorders>
              <w:top w:val="single" w:sz="4" w:space="0" w:color="auto"/>
              <w:bottom w:val="single" w:sz="12" w:space="0" w:color="auto"/>
            </w:tcBorders>
            <w:shd w:val="clear" w:color="auto" w:fill="auto"/>
            <w:vAlign w:val="center"/>
          </w:tcPr>
          <w:p w14:paraId="721A41DD" w14:textId="77777777" w:rsidR="00FF7FB5" w:rsidRPr="00FF7FB5" w:rsidRDefault="00FF7FB5" w:rsidP="00971FE8">
            <w:pPr>
              <w:pStyle w:val="SingleTxtG"/>
              <w:keepNext/>
              <w:keepLines/>
              <w:spacing w:before="80" w:after="80" w:line="200" w:lineRule="exact"/>
              <w:ind w:left="0" w:right="113"/>
              <w:jc w:val="left"/>
              <w:rPr>
                <w:i/>
                <w:sz w:val="16"/>
              </w:rPr>
            </w:pPr>
            <w:r w:rsidRPr="00FF7FB5">
              <w:rPr>
                <w:i/>
                <w:sz w:val="16"/>
              </w:rPr>
              <w:t>Núm</w:t>
            </w:r>
            <w:r>
              <w:rPr>
                <w:i/>
                <w:sz w:val="16"/>
              </w:rPr>
              <w:t>ero</w:t>
            </w:r>
          </w:p>
        </w:tc>
      </w:tr>
      <w:tr w:rsidR="00FF7FB5" w14:paraId="2E8B9971" w14:textId="77777777" w:rsidTr="00FF7FB5">
        <w:trPr>
          <w:trHeight w:hRule="exact" w:val="113"/>
        </w:trPr>
        <w:tc>
          <w:tcPr>
            <w:tcW w:w="532" w:type="dxa"/>
            <w:tcBorders>
              <w:top w:val="single" w:sz="12" w:space="0" w:color="auto"/>
            </w:tcBorders>
            <w:shd w:val="clear" w:color="auto" w:fill="auto"/>
          </w:tcPr>
          <w:p w14:paraId="4A47C3A8" w14:textId="77777777" w:rsidR="00FF7FB5" w:rsidRDefault="00FF7FB5" w:rsidP="00971FE8">
            <w:pPr>
              <w:pStyle w:val="SingleTxtG"/>
              <w:keepNext/>
              <w:keepLines/>
              <w:spacing w:before="40"/>
              <w:ind w:left="0" w:right="113"/>
              <w:jc w:val="left"/>
            </w:pPr>
          </w:p>
        </w:tc>
        <w:tc>
          <w:tcPr>
            <w:tcW w:w="5571" w:type="dxa"/>
            <w:tcBorders>
              <w:top w:val="single" w:sz="12" w:space="0" w:color="auto"/>
            </w:tcBorders>
            <w:shd w:val="clear" w:color="auto" w:fill="auto"/>
          </w:tcPr>
          <w:p w14:paraId="3E29ED4E" w14:textId="77777777" w:rsidR="00FF7FB5" w:rsidRDefault="00FF7FB5" w:rsidP="00971FE8">
            <w:pPr>
              <w:pStyle w:val="SingleTxtG"/>
              <w:keepNext/>
              <w:keepLines/>
              <w:spacing w:before="40"/>
              <w:ind w:left="0" w:right="113"/>
              <w:jc w:val="left"/>
            </w:pPr>
          </w:p>
        </w:tc>
        <w:tc>
          <w:tcPr>
            <w:tcW w:w="1267" w:type="dxa"/>
            <w:tcBorders>
              <w:top w:val="single" w:sz="12" w:space="0" w:color="auto"/>
            </w:tcBorders>
            <w:shd w:val="clear" w:color="auto" w:fill="auto"/>
          </w:tcPr>
          <w:p w14:paraId="6981AB0A" w14:textId="77777777" w:rsidR="00FF7FB5" w:rsidRDefault="00FF7FB5" w:rsidP="00971FE8">
            <w:pPr>
              <w:pStyle w:val="SingleTxtG"/>
              <w:keepNext/>
              <w:keepLines/>
              <w:spacing w:before="40"/>
              <w:ind w:left="0" w:right="113"/>
              <w:jc w:val="left"/>
            </w:pPr>
          </w:p>
        </w:tc>
      </w:tr>
      <w:tr w:rsidR="00FF7FB5" w14:paraId="45BC82D7" w14:textId="77777777" w:rsidTr="00FF7FB5">
        <w:tc>
          <w:tcPr>
            <w:tcW w:w="532" w:type="dxa"/>
            <w:shd w:val="clear" w:color="auto" w:fill="auto"/>
            <w:vAlign w:val="center"/>
          </w:tcPr>
          <w:p w14:paraId="3C8A52BA" w14:textId="77777777" w:rsidR="00FF7FB5" w:rsidRPr="008A38B9" w:rsidRDefault="00FF7FB5" w:rsidP="00FF7FB5">
            <w:pPr>
              <w:pStyle w:val="SingleTxtG"/>
              <w:spacing w:before="40"/>
              <w:ind w:left="0" w:right="113"/>
              <w:jc w:val="left"/>
            </w:pPr>
            <w:r w:rsidRPr="008A38B9">
              <w:t>1</w:t>
            </w:r>
          </w:p>
        </w:tc>
        <w:tc>
          <w:tcPr>
            <w:tcW w:w="5571" w:type="dxa"/>
            <w:shd w:val="clear" w:color="auto" w:fill="auto"/>
            <w:vAlign w:val="center"/>
          </w:tcPr>
          <w:p w14:paraId="219478C6" w14:textId="77777777" w:rsidR="00FF7FB5" w:rsidRPr="008A38B9" w:rsidRDefault="00FF7FB5" w:rsidP="00FF7FB5">
            <w:pPr>
              <w:pStyle w:val="SingleTxtG"/>
              <w:spacing w:before="40"/>
              <w:ind w:left="0" w:right="113"/>
              <w:jc w:val="left"/>
            </w:pPr>
            <w:r w:rsidRPr="008A38B9">
              <w:t>Canales satelitales</w:t>
            </w:r>
          </w:p>
        </w:tc>
        <w:tc>
          <w:tcPr>
            <w:tcW w:w="1267" w:type="dxa"/>
            <w:shd w:val="clear" w:color="auto" w:fill="auto"/>
            <w:vAlign w:val="center"/>
          </w:tcPr>
          <w:p w14:paraId="57E9F72E" w14:textId="77777777" w:rsidR="00FF7FB5" w:rsidRPr="008A38B9" w:rsidRDefault="00FF7FB5" w:rsidP="00FF7FB5">
            <w:pPr>
              <w:pStyle w:val="SingleTxtG"/>
              <w:spacing w:before="40"/>
              <w:ind w:left="0" w:right="113"/>
              <w:jc w:val="left"/>
            </w:pPr>
            <w:r w:rsidRPr="008A38B9">
              <w:t>68</w:t>
            </w:r>
          </w:p>
        </w:tc>
      </w:tr>
      <w:tr w:rsidR="00FF7FB5" w14:paraId="4A267770" w14:textId="77777777" w:rsidTr="00FF7FB5">
        <w:tc>
          <w:tcPr>
            <w:tcW w:w="532" w:type="dxa"/>
            <w:shd w:val="clear" w:color="auto" w:fill="auto"/>
            <w:vAlign w:val="center"/>
          </w:tcPr>
          <w:p w14:paraId="6BF457DB" w14:textId="77777777" w:rsidR="00FF7FB5" w:rsidRPr="008A38B9" w:rsidRDefault="00FF7FB5" w:rsidP="00FF7FB5">
            <w:pPr>
              <w:pStyle w:val="SingleTxtG"/>
              <w:spacing w:before="40"/>
              <w:ind w:left="0" w:right="113"/>
              <w:jc w:val="left"/>
            </w:pPr>
            <w:r w:rsidRPr="008A38B9">
              <w:t>2</w:t>
            </w:r>
          </w:p>
        </w:tc>
        <w:tc>
          <w:tcPr>
            <w:tcW w:w="5571" w:type="dxa"/>
            <w:shd w:val="clear" w:color="auto" w:fill="auto"/>
            <w:vAlign w:val="center"/>
          </w:tcPr>
          <w:p w14:paraId="17DB6007" w14:textId="77777777" w:rsidR="00FF7FB5" w:rsidRPr="008A38B9" w:rsidRDefault="00FF7FB5" w:rsidP="00FF7FB5">
            <w:pPr>
              <w:pStyle w:val="SingleTxtG"/>
              <w:spacing w:before="40"/>
              <w:ind w:left="0" w:right="113"/>
              <w:jc w:val="left"/>
            </w:pPr>
            <w:r w:rsidRPr="008A38B9">
              <w:t>Emisoras radiofónicas</w:t>
            </w:r>
          </w:p>
        </w:tc>
        <w:tc>
          <w:tcPr>
            <w:tcW w:w="1267" w:type="dxa"/>
            <w:shd w:val="clear" w:color="auto" w:fill="auto"/>
            <w:vAlign w:val="center"/>
          </w:tcPr>
          <w:p w14:paraId="55FF9C92" w14:textId="77777777" w:rsidR="00FF7FB5" w:rsidRPr="008A38B9" w:rsidRDefault="00FF7FB5" w:rsidP="00FF7FB5">
            <w:pPr>
              <w:pStyle w:val="SingleTxtG"/>
              <w:spacing w:before="40"/>
              <w:ind w:left="0" w:right="113"/>
              <w:jc w:val="left"/>
            </w:pPr>
            <w:r w:rsidRPr="008A38B9">
              <w:t>50</w:t>
            </w:r>
          </w:p>
        </w:tc>
      </w:tr>
      <w:tr w:rsidR="00FF7FB5" w14:paraId="3A8CBFF0" w14:textId="77777777" w:rsidTr="00FF7FB5">
        <w:tc>
          <w:tcPr>
            <w:tcW w:w="532" w:type="dxa"/>
            <w:shd w:val="clear" w:color="auto" w:fill="auto"/>
            <w:vAlign w:val="center"/>
          </w:tcPr>
          <w:p w14:paraId="40C0DAD4" w14:textId="77777777" w:rsidR="00FF7FB5" w:rsidRPr="008A38B9" w:rsidRDefault="00FF7FB5" w:rsidP="00FF7FB5">
            <w:pPr>
              <w:pStyle w:val="SingleTxtG"/>
              <w:spacing w:before="40"/>
              <w:ind w:left="0" w:right="113"/>
              <w:jc w:val="left"/>
            </w:pPr>
            <w:r w:rsidRPr="008A38B9">
              <w:t>3</w:t>
            </w:r>
          </w:p>
        </w:tc>
        <w:tc>
          <w:tcPr>
            <w:tcW w:w="5571" w:type="dxa"/>
            <w:shd w:val="clear" w:color="auto" w:fill="auto"/>
            <w:vAlign w:val="center"/>
          </w:tcPr>
          <w:p w14:paraId="4197DA5F" w14:textId="77777777" w:rsidR="00FF7FB5" w:rsidRPr="008A38B9" w:rsidRDefault="00FF7FB5" w:rsidP="00FF7FB5">
            <w:pPr>
              <w:pStyle w:val="SingleTxtG"/>
              <w:spacing w:before="40"/>
              <w:ind w:left="0" w:right="113"/>
              <w:jc w:val="left"/>
            </w:pPr>
            <w:r w:rsidRPr="008A38B9">
              <w:t>Periódicos locales a los que se dio seguimiento en mayo de 2017</w:t>
            </w:r>
          </w:p>
        </w:tc>
        <w:tc>
          <w:tcPr>
            <w:tcW w:w="1267" w:type="dxa"/>
            <w:shd w:val="clear" w:color="auto" w:fill="auto"/>
            <w:vAlign w:val="center"/>
          </w:tcPr>
          <w:p w14:paraId="79A142CE" w14:textId="77777777" w:rsidR="00FF7FB5" w:rsidRPr="008A38B9" w:rsidRDefault="00FF7FB5" w:rsidP="00FF7FB5">
            <w:pPr>
              <w:pStyle w:val="SingleTxtG"/>
              <w:spacing w:before="40"/>
              <w:ind w:left="0" w:right="113"/>
              <w:jc w:val="left"/>
            </w:pPr>
            <w:r w:rsidRPr="008A38B9">
              <w:t>12</w:t>
            </w:r>
          </w:p>
        </w:tc>
      </w:tr>
      <w:tr w:rsidR="00FF7FB5" w14:paraId="026AB141" w14:textId="77777777" w:rsidTr="00FF7FB5">
        <w:tc>
          <w:tcPr>
            <w:tcW w:w="532" w:type="dxa"/>
            <w:tcBorders>
              <w:bottom w:val="single" w:sz="12" w:space="0" w:color="auto"/>
            </w:tcBorders>
            <w:shd w:val="clear" w:color="auto" w:fill="auto"/>
            <w:vAlign w:val="center"/>
          </w:tcPr>
          <w:p w14:paraId="44AC31A1" w14:textId="77777777" w:rsidR="00FF7FB5" w:rsidRPr="008A38B9" w:rsidRDefault="00FF7FB5" w:rsidP="00FF7FB5">
            <w:pPr>
              <w:pStyle w:val="SingleTxtG"/>
              <w:spacing w:before="40"/>
              <w:ind w:left="0" w:right="113"/>
              <w:jc w:val="left"/>
            </w:pPr>
            <w:r w:rsidRPr="008A38B9">
              <w:t>4</w:t>
            </w:r>
          </w:p>
        </w:tc>
        <w:tc>
          <w:tcPr>
            <w:tcW w:w="5571" w:type="dxa"/>
            <w:tcBorders>
              <w:bottom w:val="single" w:sz="12" w:space="0" w:color="auto"/>
            </w:tcBorders>
            <w:shd w:val="clear" w:color="auto" w:fill="auto"/>
            <w:vAlign w:val="center"/>
          </w:tcPr>
          <w:p w14:paraId="1CF8C65B" w14:textId="77777777" w:rsidR="00FF7FB5" w:rsidRPr="008A38B9" w:rsidRDefault="00FF7FB5" w:rsidP="00FF7FB5">
            <w:pPr>
              <w:pStyle w:val="SingleTxtG"/>
              <w:spacing w:before="40"/>
              <w:ind w:left="0" w:right="113"/>
              <w:jc w:val="left"/>
            </w:pPr>
            <w:r w:rsidRPr="008A38B9">
              <w:t>Páginas web</w:t>
            </w:r>
          </w:p>
        </w:tc>
        <w:tc>
          <w:tcPr>
            <w:tcW w:w="1267" w:type="dxa"/>
            <w:tcBorders>
              <w:bottom w:val="single" w:sz="12" w:space="0" w:color="auto"/>
            </w:tcBorders>
            <w:shd w:val="clear" w:color="auto" w:fill="auto"/>
            <w:vAlign w:val="center"/>
          </w:tcPr>
          <w:p w14:paraId="0EDE54DF" w14:textId="77777777" w:rsidR="00FF7FB5" w:rsidRPr="008A38B9" w:rsidRDefault="00FF7FB5" w:rsidP="00FF7FB5">
            <w:pPr>
              <w:pStyle w:val="SingleTxtG"/>
              <w:spacing w:before="40"/>
              <w:ind w:left="0" w:right="113"/>
              <w:jc w:val="left"/>
            </w:pPr>
            <w:r w:rsidRPr="008A38B9">
              <w:t>147</w:t>
            </w:r>
          </w:p>
        </w:tc>
      </w:tr>
    </w:tbl>
    <w:p w14:paraId="521EAD9B" w14:textId="77777777" w:rsidR="008A38B9" w:rsidRPr="00FF7FB5" w:rsidRDefault="008A38B9" w:rsidP="00FF7FB5">
      <w:pPr>
        <w:pStyle w:val="SingleTxtG"/>
        <w:spacing w:before="120" w:after="240"/>
        <w:ind w:firstLine="170"/>
        <w:rPr>
          <w:sz w:val="18"/>
          <w:szCs w:val="18"/>
        </w:rPr>
      </w:pPr>
      <w:r w:rsidRPr="00FF7FB5">
        <w:rPr>
          <w:i/>
          <w:iCs/>
          <w:sz w:val="18"/>
          <w:szCs w:val="18"/>
        </w:rPr>
        <w:t>Fuente</w:t>
      </w:r>
      <w:r w:rsidRPr="00FF7FB5">
        <w:rPr>
          <w:i/>
          <w:sz w:val="18"/>
          <w:szCs w:val="18"/>
        </w:rPr>
        <w:t>:</w:t>
      </w:r>
      <w:r w:rsidRPr="00FF7FB5">
        <w:rPr>
          <w:sz w:val="18"/>
          <w:szCs w:val="18"/>
        </w:rPr>
        <w:t xml:space="preserve"> Comisión de Difusión y Comunicaciones.</w:t>
      </w:r>
    </w:p>
    <w:p w14:paraId="7DF6E67A" w14:textId="77777777" w:rsidR="008A38B9" w:rsidRDefault="008A38B9" w:rsidP="00FF7FB5">
      <w:pPr>
        <w:pStyle w:val="SingleTxtG"/>
      </w:pPr>
      <w:r w:rsidRPr="008A38B9">
        <w:t>105.</w:t>
      </w:r>
      <w:r w:rsidRPr="008A38B9">
        <w:tab/>
        <w:t>En el cuadro siguiente figuran indicadores relativos a las comunicaciones, los teléfonos celulares y el porcentaje de la población que utiliza Internet y computadora.</w:t>
      </w:r>
    </w:p>
    <w:tbl>
      <w:tblPr>
        <w:tblStyle w:val="Tablaconcuadrcula"/>
        <w:tblW w:w="84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6"/>
        <w:gridCol w:w="952"/>
        <w:gridCol w:w="910"/>
        <w:gridCol w:w="993"/>
        <w:gridCol w:w="1064"/>
        <w:gridCol w:w="1050"/>
        <w:gridCol w:w="910"/>
      </w:tblGrid>
      <w:tr w:rsidR="00FF7FB5" w:rsidRPr="00FF7FB5" w14:paraId="16275495" w14:textId="77777777" w:rsidTr="00FF7FB5">
        <w:tc>
          <w:tcPr>
            <w:tcW w:w="2576" w:type="dxa"/>
            <w:tcBorders>
              <w:top w:val="single" w:sz="4" w:space="0" w:color="auto"/>
              <w:bottom w:val="single" w:sz="12" w:space="0" w:color="auto"/>
            </w:tcBorders>
            <w:shd w:val="clear" w:color="auto" w:fill="auto"/>
            <w:vAlign w:val="bottom"/>
          </w:tcPr>
          <w:p w14:paraId="03F4DEFE" w14:textId="77777777" w:rsidR="00FF7FB5" w:rsidRPr="00FF7FB5" w:rsidRDefault="00FF7FB5" w:rsidP="00FF7FB5">
            <w:pPr>
              <w:pStyle w:val="SingleTxtG"/>
              <w:spacing w:before="80" w:after="80" w:line="200" w:lineRule="exact"/>
              <w:ind w:left="0" w:right="0"/>
              <w:jc w:val="left"/>
              <w:rPr>
                <w:i/>
                <w:sz w:val="16"/>
              </w:rPr>
            </w:pPr>
            <w:r w:rsidRPr="00FF7FB5">
              <w:rPr>
                <w:i/>
                <w:sz w:val="16"/>
              </w:rPr>
              <w:t>Indicadores relativos a las comunicaciones</w:t>
            </w:r>
          </w:p>
        </w:tc>
        <w:tc>
          <w:tcPr>
            <w:tcW w:w="952" w:type="dxa"/>
            <w:tcBorders>
              <w:top w:val="single" w:sz="4" w:space="0" w:color="auto"/>
              <w:bottom w:val="single" w:sz="12" w:space="0" w:color="auto"/>
            </w:tcBorders>
            <w:shd w:val="clear" w:color="auto" w:fill="auto"/>
            <w:vAlign w:val="center"/>
          </w:tcPr>
          <w:p w14:paraId="641B75BC"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2011</w:t>
            </w:r>
          </w:p>
        </w:tc>
        <w:tc>
          <w:tcPr>
            <w:tcW w:w="910" w:type="dxa"/>
            <w:tcBorders>
              <w:top w:val="single" w:sz="4" w:space="0" w:color="auto"/>
              <w:bottom w:val="single" w:sz="12" w:space="0" w:color="auto"/>
            </w:tcBorders>
            <w:shd w:val="clear" w:color="auto" w:fill="auto"/>
            <w:vAlign w:val="center"/>
          </w:tcPr>
          <w:p w14:paraId="0C80A7BC"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2012</w:t>
            </w:r>
          </w:p>
        </w:tc>
        <w:tc>
          <w:tcPr>
            <w:tcW w:w="993" w:type="dxa"/>
            <w:tcBorders>
              <w:top w:val="single" w:sz="4" w:space="0" w:color="auto"/>
              <w:bottom w:val="single" w:sz="12" w:space="0" w:color="auto"/>
            </w:tcBorders>
            <w:shd w:val="clear" w:color="auto" w:fill="auto"/>
            <w:vAlign w:val="center"/>
          </w:tcPr>
          <w:p w14:paraId="3EAF8321"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2013</w:t>
            </w:r>
          </w:p>
        </w:tc>
        <w:tc>
          <w:tcPr>
            <w:tcW w:w="1064" w:type="dxa"/>
            <w:tcBorders>
              <w:top w:val="single" w:sz="4" w:space="0" w:color="auto"/>
              <w:bottom w:val="single" w:sz="12" w:space="0" w:color="auto"/>
            </w:tcBorders>
            <w:shd w:val="clear" w:color="auto" w:fill="auto"/>
            <w:vAlign w:val="center"/>
          </w:tcPr>
          <w:p w14:paraId="6E466CCA"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2014</w:t>
            </w:r>
          </w:p>
        </w:tc>
        <w:tc>
          <w:tcPr>
            <w:tcW w:w="1050" w:type="dxa"/>
            <w:tcBorders>
              <w:top w:val="single" w:sz="4" w:space="0" w:color="auto"/>
              <w:bottom w:val="single" w:sz="12" w:space="0" w:color="auto"/>
            </w:tcBorders>
            <w:shd w:val="clear" w:color="auto" w:fill="auto"/>
            <w:vAlign w:val="center"/>
          </w:tcPr>
          <w:p w14:paraId="1EC87F7D"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2015</w:t>
            </w:r>
          </w:p>
        </w:tc>
        <w:tc>
          <w:tcPr>
            <w:tcW w:w="910" w:type="dxa"/>
            <w:tcBorders>
              <w:top w:val="single" w:sz="4" w:space="0" w:color="auto"/>
              <w:bottom w:val="single" w:sz="12" w:space="0" w:color="auto"/>
            </w:tcBorders>
            <w:shd w:val="clear" w:color="auto" w:fill="auto"/>
            <w:vAlign w:val="center"/>
          </w:tcPr>
          <w:p w14:paraId="0CCFACDD" w14:textId="77777777" w:rsidR="00FF7FB5" w:rsidRPr="00FF7FB5" w:rsidRDefault="00FF7FB5" w:rsidP="00FF7FB5">
            <w:pPr>
              <w:pStyle w:val="SingleTxtG"/>
              <w:spacing w:before="80" w:after="80" w:line="200" w:lineRule="exact"/>
              <w:ind w:left="0" w:right="0"/>
              <w:jc w:val="right"/>
              <w:rPr>
                <w:i/>
                <w:sz w:val="16"/>
              </w:rPr>
            </w:pPr>
            <w:r w:rsidRPr="00FF7FB5">
              <w:rPr>
                <w:i/>
                <w:sz w:val="16"/>
              </w:rPr>
              <w:t>2016</w:t>
            </w:r>
          </w:p>
        </w:tc>
      </w:tr>
      <w:tr w:rsidR="00FF7FB5" w:rsidRPr="00FF7FB5" w14:paraId="552FE3AA" w14:textId="77777777" w:rsidTr="00FF7FB5">
        <w:tc>
          <w:tcPr>
            <w:tcW w:w="2576" w:type="dxa"/>
            <w:tcBorders>
              <w:top w:val="single" w:sz="12" w:space="0" w:color="auto"/>
            </w:tcBorders>
            <w:shd w:val="clear" w:color="auto" w:fill="auto"/>
            <w:vAlign w:val="center"/>
          </w:tcPr>
          <w:p w14:paraId="7DE497BD" w14:textId="77777777" w:rsidR="00FF7FB5" w:rsidRPr="00FF7FB5" w:rsidRDefault="00FF7FB5" w:rsidP="00FF7FB5">
            <w:pPr>
              <w:pStyle w:val="SingleTxtG"/>
              <w:spacing w:before="40" w:after="40" w:line="220" w:lineRule="exact"/>
              <w:ind w:left="0" w:right="0"/>
              <w:jc w:val="left"/>
              <w:rPr>
                <w:sz w:val="18"/>
              </w:rPr>
            </w:pPr>
            <w:r w:rsidRPr="00FF7FB5">
              <w:rPr>
                <w:sz w:val="18"/>
              </w:rPr>
              <w:t>Centrales telefónicas</w:t>
            </w:r>
          </w:p>
        </w:tc>
        <w:tc>
          <w:tcPr>
            <w:tcW w:w="952" w:type="dxa"/>
            <w:tcBorders>
              <w:top w:val="single" w:sz="12" w:space="0" w:color="auto"/>
            </w:tcBorders>
            <w:shd w:val="clear" w:color="auto" w:fill="auto"/>
            <w:vAlign w:val="bottom"/>
          </w:tcPr>
          <w:p w14:paraId="459E3608" w14:textId="77777777" w:rsidR="00FF7FB5" w:rsidRPr="00FF7FB5" w:rsidRDefault="00FF7FB5" w:rsidP="00FF7FB5">
            <w:pPr>
              <w:pStyle w:val="SingleTxtG"/>
              <w:spacing w:before="40" w:after="40" w:line="220" w:lineRule="exact"/>
              <w:ind w:left="0" w:right="0"/>
              <w:jc w:val="right"/>
              <w:rPr>
                <w:sz w:val="18"/>
              </w:rPr>
            </w:pPr>
            <w:r w:rsidRPr="00FF7FB5">
              <w:rPr>
                <w:sz w:val="18"/>
              </w:rPr>
              <w:t>331</w:t>
            </w:r>
          </w:p>
        </w:tc>
        <w:tc>
          <w:tcPr>
            <w:tcW w:w="910" w:type="dxa"/>
            <w:tcBorders>
              <w:top w:val="single" w:sz="12" w:space="0" w:color="auto"/>
            </w:tcBorders>
            <w:shd w:val="clear" w:color="auto" w:fill="auto"/>
            <w:vAlign w:val="bottom"/>
          </w:tcPr>
          <w:p w14:paraId="618B9ADC" w14:textId="77777777" w:rsidR="00FF7FB5" w:rsidRPr="00FF7FB5" w:rsidRDefault="00FF7FB5" w:rsidP="00FF7FB5">
            <w:pPr>
              <w:pStyle w:val="SingleTxtG"/>
              <w:spacing w:before="40" w:after="40" w:line="220" w:lineRule="exact"/>
              <w:ind w:left="0" w:right="0"/>
              <w:jc w:val="right"/>
              <w:rPr>
                <w:sz w:val="18"/>
              </w:rPr>
            </w:pPr>
            <w:r w:rsidRPr="00FF7FB5">
              <w:rPr>
                <w:sz w:val="18"/>
              </w:rPr>
              <w:t>328</w:t>
            </w:r>
          </w:p>
        </w:tc>
        <w:tc>
          <w:tcPr>
            <w:tcW w:w="993" w:type="dxa"/>
            <w:tcBorders>
              <w:top w:val="single" w:sz="12" w:space="0" w:color="auto"/>
            </w:tcBorders>
            <w:shd w:val="clear" w:color="auto" w:fill="auto"/>
            <w:vAlign w:val="bottom"/>
          </w:tcPr>
          <w:p w14:paraId="43C0CE7A" w14:textId="77777777" w:rsidR="00FF7FB5" w:rsidRPr="00FF7FB5" w:rsidRDefault="00FF7FB5" w:rsidP="00FF7FB5">
            <w:pPr>
              <w:pStyle w:val="SingleTxtG"/>
              <w:spacing w:before="40" w:after="40" w:line="220" w:lineRule="exact"/>
              <w:ind w:left="0" w:right="0"/>
              <w:jc w:val="right"/>
              <w:rPr>
                <w:sz w:val="18"/>
              </w:rPr>
            </w:pPr>
            <w:r w:rsidRPr="00FF7FB5">
              <w:rPr>
                <w:sz w:val="18"/>
              </w:rPr>
              <w:t>329</w:t>
            </w:r>
          </w:p>
        </w:tc>
        <w:tc>
          <w:tcPr>
            <w:tcW w:w="1064" w:type="dxa"/>
            <w:tcBorders>
              <w:top w:val="single" w:sz="12" w:space="0" w:color="auto"/>
            </w:tcBorders>
            <w:shd w:val="clear" w:color="auto" w:fill="auto"/>
            <w:vAlign w:val="bottom"/>
          </w:tcPr>
          <w:p w14:paraId="56BDEF04" w14:textId="77777777" w:rsidR="00FF7FB5" w:rsidRPr="00FF7FB5" w:rsidRDefault="00FF7FB5" w:rsidP="00FF7FB5">
            <w:pPr>
              <w:pStyle w:val="SingleTxtG"/>
              <w:spacing w:before="40" w:after="40" w:line="220" w:lineRule="exact"/>
              <w:ind w:left="0" w:right="0"/>
              <w:jc w:val="right"/>
              <w:rPr>
                <w:sz w:val="18"/>
              </w:rPr>
            </w:pPr>
            <w:r w:rsidRPr="00FF7FB5">
              <w:rPr>
                <w:sz w:val="18"/>
              </w:rPr>
              <w:t>323</w:t>
            </w:r>
          </w:p>
        </w:tc>
        <w:tc>
          <w:tcPr>
            <w:tcW w:w="1050" w:type="dxa"/>
            <w:tcBorders>
              <w:top w:val="single" w:sz="12" w:space="0" w:color="auto"/>
            </w:tcBorders>
            <w:shd w:val="clear" w:color="auto" w:fill="auto"/>
            <w:vAlign w:val="bottom"/>
          </w:tcPr>
          <w:p w14:paraId="4F875E58" w14:textId="77777777" w:rsidR="00FF7FB5" w:rsidRPr="00FF7FB5" w:rsidRDefault="00FF7FB5" w:rsidP="00FF7FB5">
            <w:pPr>
              <w:pStyle w:val="SingleTxtG"/>
              <w:spacing w:before="40" w:after="40" w:line="220" w:lineRule="exact"/>
              <w:ind w:left="0" w:right="0"/>
              <w:jc w:val="right"/>
              <w:rPr>
                <w:sz w:val="18"/>
              </w:rPr>
            </w:pPr>
            <w:r w:rsidRPr="00FF7FB5">
              <w:rPr>
                <w:sz w:val="18"/>
              </w:rPr>
              <w:t>321</w:t>
            </w:r>
          </w:p>
        </w:tc>
        <w:tc>
          <w:tcPr>
            <w:tcW w:w="910" w:type="dxa"/>
            <w:tcBorders>
              <w:top w:val="single" w:sz="12" w:space="0" w:color="auto"/>
            </w:tcBorders>
            <w:shd w:val="clear" w:color="auto" w:fill="auto"/>
            <w:vAlign w:val="bottom"/>
          </w:tcPr>
          <w:p w14:paraId="173B3368" w14:textId="77777777" w:rsidR="00FF7FB5" w:rsidRPr="00FF7FB5" w:rsidRDefault="00FF7FB5" w:rsidP="00FF7FB5">
            <w:pPr>
              <w:pStyle w:val="SingleTxtG"/>
              <w:spacing w:before="40" w:after="40" w:line="220" w:lineRule="exact"/>
              <w:ind w:left="0" w:right="0"/>
              <w:jc w:val="right"/>
              <w:rPr>
                <w:sz w:val="18"/>
              </w:rPr>
            </w:pPr>
            <w:r w:rsidRPr="00FF7FB5">
              <w:rPr>
                <w:sz w:val="18"/>
              </w:rPr>
              <w:t>248</w:t>
            </w:r>
          </w:p>
        </w:tc>
      </w:tr>
      <w:tr w:rsidR="00FF7FB5" w:rsidRPr="00FF7FB5" w14:paraId="58A1F5DD" w14:textId="77777777" w:rsidTr="00FF7FB5">
        <w:tc>
          <w:tcPr>
            <w:tcW w:w="2576" w:type="dxa"/>
            <w:shd w:val="clear" w:color="auto" w:fill="auto"/>
            <w:vAlign w:val="center"/>
          </w:tcPr>
          <w:p w14:paraId="293DC428" w14:textId="77777777" w:rsidR="00FF7FB5" w:rsidRPr="00FF7FB5" w:rsidRDefault="00FF7FB5" w:rsidP="00FF7FB5">
            <w:pPr>
              <w:pStyle w:val="SingleTxtG"/>
              <w:spacing w:before="40" w:after="40" w:line="220" w:lineRule="exact"/>
              <w:ind w:left="0" w:right="0"/>
              <w:jc w:val="left"/>
              <w:rPr>
                <w:sz w:val="18"/>
              </w:rPr>
            </w:pPr>
            <w:r w:rsidRPr="00FF7FB5">
              <w:rPr>
                <w:sz w:val="18"/>
              </w:rPr>
              <w:t>Líneas telefónicas (en millones)</w:t>
            </w:r>
          </w:p>
        </w:tc>
        <w:tc>
          <w:tcPr>
            <w:tcW w:w="952" w:type="dxa"/>
            <w:shd w:val="clear" w:color="auto" w:fill="auto"/>
            <w:vAlign w:val="bottom"/>
          </w:tcPr>
          <w:p w14:paraId="419AEC60" w14:textId="77777777" w:rsidR="00FF7FB5" w:rsidRPr="00FF7FB5" w:rsidRDefault="00FF7FB5" w:rsidP="00FF7FB5">
            <w:pPr>
              <w:pStyle w:val="SingleTxtG"/>
              <w:spacing w:before="40" w:after="40" w:line="220" w:lineRule="exact"/>
              <w:ind w:left="0" w:right="0"/>
              <w:jc w:val="right"/>
              <w:rPr>
                <w:sz w:val="18"/>
              </w:rPr>
            </w:pPr>
            <w:r w:rsidRPr="00FF7FB5">
              <w:rPr>
                <w:sz w:val="18"/>
              </w:rPr>
              <w:t>2</w:t>
            </w:r>
          </w:p>
        </w:tc>
        <w:tc>
          <w:tcPr>
            <w:tcW w:w="910" w:type="dxa"/>
            <w:shd w:val="clear" w:color="auto" w:fill="auto"/>
            <w:vAlign w:val="bottom"/>
          </w:tcPr>
          <w:p w14:paraId="6F6B0167" w14:textId="77777777" w:rsidR="00FF7FB5" w:rsidRPr="00FF7FB5" w:rsidRDefault="00FF7FB5" w:rsidP="00FF7FB5">
            <w:pPr>
              <w:pStyle w:val="SingleTxtG"/>
              <w:spacing w:before="40" w:after="40" w:line="220" w:lineRule="exact"/>
              <w:ind w:left="0" w:right="0"/>
              <w:jc w:val="right"/>
              <w:rPr>
                <w:sz w:val="18"/>
              </w:rPr>
            </w:pPr>
            <w:r w:rsidRPr="00FF7FB5">
              <w:rPr>
                <w:sz w:val="18"/>
              </w:rPr>
              <w:t>2,1</w:t>
            </w:r>
          </w:p>
        </w:tc>
        <w:tc>
          <w:tcPr>
            <w:tcW w:w="993" w:type="dxa"/>
            <w:shd w:val="clear" w:color="auto" w:fill="auto"/>
            <w:vAlign w:val="bottom"/>
          </w:tcPr>
          <w:p w14:paraId="7721C726" w14:textId="77777777" w:rsidR="00FF7FB5" w:rsidRPr="00FF7FB5" w:rsidRDefault="00FF7FB5" w:rsidP="00FF7FB5">
            <w:pPr>
              <w:pStyle w:val="SingleTxtG"/>
              <w:spacing w:before="40" w:after="40" w:line="220" w:lineRule="exact"/>
              <w:ind w:left="0" w:right="0"/>
              <w:jc w:val="right"/>
              <w:rPr>
                <w:sz w:val="18"/>
              </w:rPr>
            </w:pPr>
            <w:r w:rsidRPr="00FF7FB5">
              <w:rPr>
                <w:sz w:val="18"/>
              </w:rPr>
              <w:t>2,1</w:t>
            </w:r>
          </w:p>
        </w:tc>
        <w:tc>
          <w:tcPr>
            <w:tcW w:w="1064" w:type="dxa"/>
            <w:shd w:val="clear" w:color="auto" w:fill="auto"/>
            <w:vAlign w:val="bottom"/>
          </w:tcPr>
          <w:p w14:paraId="65E1EB06" w14:textId="77777777" w:rsidR="00FF7FB5" w:rsidRPr="00FF7FB5" w:rsidRDefault="00FF7FB5" w:rsidP="00FF7FB5">
            <w:pPr>
              <w:pStyle w:val="SingleTxtG"/>
              <w:spacing w:before="40" w:after="40" w:line="220" w:lineRule="exact"/>
              <w:ind w:left="0" w:right="0"/>
              <w:jc w:val="right"/>
              <w:rPr>
                <w:sz w:val="18"/>
              </w:rPr>
            </w:pPr>
            <w:r w:rsidRPr="00FF7FB5">
              <w:rPr>
                <w:sz w:val="18"/>
              </w:rPr>
              <w:t>2,2</w:t>
            </w:r>
          </w:p>
        </w:tc>
        <w:tc>
          <w:tcPr>
            <w:tcW w:w="1050" w:type="dxa"/>
            <w:shd w:val="clear" w:color="auto" w:fill="auto"/>
            <w:vAlign w:val="bottom"/>
          </w:tcPr>
          <w:p w14:paraId="27022683" w14:textId="77777777" w:rsidR="00FF7FB5" w:rsidRPr="00FF7FB5" w:rsidRDefault="00FF7FB5" w:rsidP="00FF7FB5">
            <w:pPr>
              <w:pStyle w:val="SingleTxtG"/>
              <w:spacing w:before="40" w:after="40" w:line="220" w:lineRule="exact"/>
              <w:ind w:left="0" w:right="0"/>
              <w:jc w:val="right"/>
              <w:rPr>
                <w:sz w:val="18"/>
              </w:rPr>
            </w:pPr>
            <w:r w:rsidRPr="00FF7FB5">
              <w:rPr>
                <w:sz w:val="18"/>
              </w:rPr>
              <w:t>2,2</w:t>
            </w:r>
          </w:p>
        </w:tc>
        <w:tc>
          <w:tcPr>
            <w:tcW w:w="910" w:type="dxa"/>
            <w:shd w:val="clear" w:color="auto" w:fill="auto"/>
            <w:vAlign w:val="bottom"/>
          </w:tcPr>
          <w:p w14:paraId="188C478F" w14:textId="77777777" w:rsidR="00FF7FB5" w:rsidRPr="00FF7FB5" w:rsidRDefault="00FF7FB5" w:rsidP="00FF7FB5">
            <w:pPr>
              <w:pStyle w:val="SingleTxtG"/>
              <w:spacing w:before="40" w:after="40" w:line="220" w:lineRule="exact"/>
              <w:ind w:left="0" w:right="0"/>
              <w:jc w:val="right"/>
              <w:rPr>
                <w:sz w:val="18"/>
              </w:rPr>
            </w:pPr>
            <w:r w:rsidRPr="00FF7FB5">
              <w:rPr>
                <w:sz w:val="18"/>
              </w:rPr>
              <w:t>2</w:t>
            </w:r>
          </w:p>
        </w:tc>
      </w:tr>
      <w:tr w:rsidR="00FF7FB5" w:rsidRPr="00FF7FB5" w14:paraId="2DFA8781" w14:textId="77777777" w:rsidTr="00FF7FB5">
        <w:tc>
          <w:tcPr>
            <w:tcW w:w="2576" w:type="dxa"/>
            <w:shd w:val="clear" w:color="auto" w:fill="auto"/>
            <w:vAlign w:val="center"/>
          </w:tcPr>
          <w:p w14:paraId="586212F9" w14:textId="77777777" w:rsidR="00FF7FB5" w:rsidRPr="00FF7FB5" w:rsidRDefault="00FF7FB5" w:rsidP="00FF7FB5">
            <w:pPr>
              <w:pStyle w:val="SingleTxtG"/>
              <w:spacing w:before="40" w:after="40" w:line="220" w:lineRule="exact"/>
              <w:ind w:left="0" w:right="0"/>
              <w:jc w:val="left"/>
              <w:rPr>
                <w:sz w:val="18"/>
              </w:rPr>
            </w:pPr>
            <w:r w:rsidRPr="00FF7FB5">
              <w:rPr>
                <w:sz w:val="18"/>
              </w:rPr>
              <w:t>Teledensidad (por cada 100 habitantes)</w:t>
            </w:r>
          </w:p>
        </w:tc>
        <w:tc>
          <w:tcPr>
            <w:tcW w:w="952" w:type="dxa"/>
            <w:shd w:val="clear" w:color="auto" w:fill="auto"/>
            <w:vAlign w:val="bottom"/>
          </w:tcPr>
          <w:p w14:paraId="457EC5AE" w14:textId="77777777" w:rsidR="00FF7FB5" w:rsidRPr="00FF7FB5" w:rsidRDefault="00FF7FB5" w:rsidP="00FF7FB5">
            <w:pPr>
              <w:pStyle w:val="SingleTxtG"/>
              <w:spacing w:before="40" w:after="40" w:line="220" w:lineRule="exact"/>
              <w:ind w:left="0" w:right="0"/>
              <w:jc w:val="right"/>
              <w:rPr>
                <w:sz w:val="18"/>
              </w:rPr>
            </w:pPr>
            <w:r w:rsidRPr="00FF7FB5">
              <w:rPr>
                <w:sz w:val="18"/>
              </w:rPr>
              <w:t>7</w:t>
            </w:r>
          </w:p>
        </w:tc>
        <w:tc>
          <w:tcPr>
            <w:tcW w:w="910" w:type="dxa"/>
            <w:shd w:val="clear" w:color="auto" w:fill="auto"/>
            <w:vAlign w:val="bottom"/>
          </w:tcPr>
          <w:p w14:paraId="2B727B47" w14:textId="77777777" w:rsidR="00FF7FB5" w:rsidRPr="00FF7FB5" w:rsidRDefault="00FF7FB5" w:rsidP="00FF7FB5">
            <w:pPr>
              <w:pStyle w:val="SingleTxtG"/>
              <w:spacing w:before="40" w:after="40" w:line="220" w:lineRule="exact"/>
              <w:ind w:left="0" w:right="0"/>
              <w:jc w:val="right"/>
              <w:rPr>
                <w:sz w:val="18"/>
              </w:rPr>
            </w:pPr>
            <w:r w:rsidRPr="00FF7FB5">
              <w:rPr>
                <w:sz w:val="18"/>
              </w:rPr>
              <w:t>7</w:t>
            </w:r>
          </w:p>
        </w:tc>
        <w:tc>
          <w:tcPr>
            <w:tcW w:w="993" w:type="dxa"/>
            <w:shd w:val="clear" w:color="auto" w:fill="auto"/>
            <w:vAlign w:val="bottom"/>
          </w:tcPr>
          <w:p w14:paraId="61F02F2E" w14:textId="77777777" w:rsidR="00FF7FB5" w:rsidRPr="00FF7FB5" w:rsidRDefault="00FF7FB5" w:rsidP="00FF7FB5">
            <w:pPr>
              <w:pStyle w:val="SingleTxtG"/>
              <w:spacing w:before="40" w:after="40" w:line="220" w:lineRule="exact"/>
              <w:ind w:left="0" w:right="0"/>
              <w:jc w:val="right"/>
              <w:rPr>
                <w:sz w:val="18"/>
              </w:rPr>
            </w:pPr>
            <w:r w:rsidRPr="00FF7FB5">
              <w:rPr>
                <w:sz w:val="18"/>
              </w:rPr>
              <w:t>6,8</w:t>
            </w:r>
          </w:p>
        </w:tc>
        <w:tc>
          <w:tcPr>
            <w:tcW w:w="1064" w:type="dxa"/>
            <w:shd w:val="clear" w:color="auto" w:fill="auto"/>
            <w:vAlign w:val="bottom"/>
          </w:tcPr>
          <w:p w14:paraId="564ED020" w14:textId="77777777" w:rsidR="00FF7FB5" w:rsidRPr="00FF7FB5" w:rsidRDefault="00FF7FB5" w:rsidP="00FF7FB5">
            <w:pPr>
              <w:pStyle w:val="SingleTxtG"/>
              <w:spacing w:before="40" w:after="40" w:line="220" w:lineRule="exact"/>
              <w:ind w:left="0" w:right="0"/>
              <w:jc w:val="right"/>
              <w:rPr>
                <w:sz w:val="18"/>
              </w:rPr>
            </w:pPr>
            <w:r w:rsidRPr="00FF7FB5">
              <w:rPr>
                <w:sz w:val="18"/>
              </w:rPr>
              <w:t>7</w:t>
            </w:r>
          </w:p>
        </w:tc>
        <w:tc>
          <w:tcPr>
            <w:tcW w:w="1050" w:type="dxa"/>
            <w:shd w:val="clear" w:color="auto" w:fill="auto"/>
            <w:vAlign w:val="bottom"/>
          </w:tcPr>
          <w:p w14:paraId="2893425A" w14:textId="77777777" w:rsidR="00FF7FB5" w:rsidRPr="00FF7FB5" w:rsidRDefault="00FF7FB5" w:rsidP="00FF7FB5">
            <w:pPr>
              <w:pStyle w:val="SingleTxtG"/>
              <w:spacing w:before="40" w:after="40" w:line="220" w:lineRule="exact"/>
              <w:ind w:left="0" w:right="0"/>
              <w:jc w:val="right"/>
              <w:rPr>
                <w:sz w:val="18"/>
              </w:rPr>
            </w:pPr>
            <w:r w:rsidRPr="00FF7FB5">
              <w:rPr>
                <w:sz w:val="18"/>
              </w:rPr>
              <w:t>6,9</w:t>
            </w:r>
          </w:p>
        </w:tc>
        <w:tc>
          <w:tcPr>
            <w:tcW w:w="910" w:type="dxa"/>
            <w:shd w:val="clear" w:color="auto" w:fill="auto"/>
            <w:vAlign w:val="bottom"/>
          </w:tcPr>
          <w:p w14:paraId="346551A9" w14:textId="77777777" w:rsidR="00FF7FB5" w:rsidRPr="00FF7FB5" w:rsidRDefault="00FF7FB5" w:rsidP="00FF7FB5">
            <w:pPr>
              <w:pStyle w:val="SingleTxtG"/>
              <w:spacing w:before="40" w:after="40" w:line="220" w:lineRule="exact"/>
              <w:ind w:left="0" w:right="0"/>
              <w:jc w:val="right"/>
              <w:rPr>
                <w:sz w:val="18"/>
              </w:rPr>
            </w:pPr>
            <w:r w:rsidRPr="00FF7FB5">
              <w:rPr>
                <w:sz w:val="18"/>
              </w:rPr>
              <w:t>6,9</w:t>
            </w:r>
          </w:p>
        </w:tc>
      </w:tr>
      <w:tr w:rsidR="00FF7FB5" w:rsidRPr="00FF7FB5" w14:paraId="23EE2CA2" w14:textId="77777777" w:rsidTr="00FF7FB5">
        <w:tc>
          <w:tcPr>
            <w:tcW w:w="2576" w:type="dxa"/>
            <w:shd w:val="clear" w:color="auto" w:fill="auto"/>
            <w:vAlign w:val="center"/>
          </w:tcPr>
          <w:p w14:paraId="7F2D21CC" w14:textId="77777777" w:rsidR="00FF7FB5" w:rsidRPr="00FF7FB5" w:rsidRDefault="00FF7FB5" w:rsidP="00FF7FB5">
            <w:pPr>
              <w:pStyle w:val="SingleTxtG"/>
              <w:spacing w:before="40" w:after="40" w:line="220" w:lineRule="exact"/>
              <w:ind w:left="0" w:right="0"/>
              <w:jc w:val="left"/>
              <w:rPr>
                <w:sz w:val="18"/>
              </w:rPr>
            </w:pPr>
            <w:r w:rsidRPr="00FF7FB5">
              <w:rPr>
                <w:sz w:val="18"/>
              </w:rPr>
              <w:t>Líneas móviles (en miles)</w:t>
            </w:r>
          </w:p>
        </w:tc>
        <w:tc>
          <w:tcPr>
            <w:tcW w:w="952" w:type="dxa"/>
            <w:shd w:val="clear" w:color="auto" w:fill="auto"/>
            <w:vAlign w:val="bottom"/>
          </w:tcPr>
          <w:p w14:paraId="01768952" w14:textId="77777777" w:rsidR="00FF7FB5" w:rsidRPr="00FF7FB5" w:rsidRDefault="00FF7FB5" w:rsidP="00FF7FB5">
            <w:pPr>
              <w:pStyle w:val="SingleTxtG"/>
              <w:spacing w:before="40" w:after="40" w:line="220" w:lineRule="exact"/>
              <w:ind w:left="0" w:right="0"/>
              <w:jc w:val="right"/>
              <w:rPr>
                <w:sz w:val="18"/>
              </w:rPr>
            </w:pPr>
            <w:r w:rsidRPr="00FF7FB5">
              <w:rPr>
                <w:sz w:val="18"/>
              </w:rPr>
              <w:t>25</w:t>
            </w:r>
            <w:r w:rsidR="00E27734">
              <w:rPr>
                <w:sz w:val="18"/>
              </w:rPr>
              <w:t xml:space="preserve"> </w:t>
            </w:r>
            <w:r w:rsidRPr="00FF7FB5">
              <w:rPr>
                <w:sz w:val="18"/>
              </w:rPr>
              <w:t>363</w:t>
            </w:r>
          </w:p>
        </w:tc>
        <w:tc>
          <w:tcPr>
            <w:tcW w:w="910" w:type="dxa"/>
            <w:shd w:val="clear" w:color="auto" w:fill="auto"/>
            <w:vAlign w:val="bottom"/>
          </w:tcPr>
          <w:p w14:paraId="3B7ECC28" w14:textId="77777777" w:rsidR="00FF7FB5" w:rsidRPr="00FF7FB5" w:rsidRDefault="00FF7FB5" w:rsidP="00FF7FB5">
            <w:pPr>
              <w:pStyle w:val="SingleTxtG"/>
              <w:spacing w:before="40" w:after="40" w:line="220" w:lineRule="exact"/>
              <w:ind w:left="0" w:right="0"/>
              <w:jc w:val="right"/>
              <w:rPr>
                <w:sz w:val="18"/>
              </w:rPr>
            </w:pPr>
            <w:r w:rsidRPr="00FF7FB5">
              <w:rPr>
                <w:sz w:val="18"/>
              </w:rPr>
              <w:t>29</w:t>
            </w:r>
            <w:r w:rsidR="00E27734">
              <w:rPr>
                <w:sz w:val="18"/>
              </w:rPr>
              <w:t xml:space="preserve"> </w:t>
            </w:r>
            <w:r w:rsidRPr="00FF7FB5">
              <w:rPr>
                <w:sz w:val="18"/>
              </w:rPr>
              <w:t>763</w:t>
            </w:r>
          </w:p>
        </w:tc>
        <w:tc>
          <w:tcPr>
            <w:tcW w:w="993" w:type="dxa"/>
            <w:shd w:val="clear" w:color="auto" w:fill="auto"/>
            <w:vAlign w:val="bottom"/>
          </w:tcPr>
          <w:p w14:paraId="0A6AEB4F" w14:textId="77777777" w:rsidR="00FF7FB5" w:rsidRPr="00FF7FB5" w:rsidRDefault="00FF7FB5" w:rsidP="00FF7FB5">
            <w:pPr>
              <w:pStyle w:val="SingleTxtG"/>
              <w:spacing w:before="40" w:after="40" w:line="220" w:lineRule="exact"/>
              <w:ind w:left="0" w:right="0"/>
              <w:jc w:val="right"/>
              <w:rPr>
                <w:sz w:val="18"/>
              </w:rPr>
            </w:pPr>
            <w:r w:rsidRPr="00FF7FB5">
              <w:rPr>
                <w:sz w:val="18"/>
              </w:rPr>
              <w:t>34</w:t>
            </w:r>
            <w:r w:rsidR="00E27734">
              <w:rPr>
                <w:sz w:val="18"/>
              </w:rPr>
              <w:t xml:space="preserve"> </w:t>
            </w:r>
            <w:r w:rsidRPr="00FF7FB5">
              <w:rPr>
                <w:sz w:val="18"/>
              </w:rPr>
              <w:t>257</w:t>
            </w:r>
          </w:p>
        </w:tc>
        <w:tc>
          <w:tcPr>
            <w:tcW w:w="1064" w:type="dxa"/>
            <w:shd w:val="clear" w:color="auto" w:fill="auto"/>
            <w:vAlign w:val="bottom"/>
          </w:tcPr>
          <w:p w14:paraId="42D1ED4C" w14:textId="77777777" w:rsidR="00FF7FB5" w:rsidRPr="00FF7FB5" w:rsidRDefault="00FF7FB5" w:rsidP="00FF7FB5">
            <w:pPr>
              <w:pStyle w:val="SingleTxtG"/>
              <w:spacing w:before="40" w:after="40" w:line="220" w:lineRule="exact"/>
              <w:ind w:left="0" w:right="0"/>
              <w:jc w:val="right"/>
              <w:rPr>
                <w:sz w:val="18"/>
              </w:rPr>
            </w:pPr>
            <w:r w:rsidRPr="00FF7FB5">
              <w:rPr>
                <w:sz w:val="18"/>
              </w:rPr>
              <w:t>35</w:t>
            </w:r>
            <w:r w:rsidR="00E27734">
              <w:rPr>
                <w:sz w:val="18"/>
              </w:rPr>
              <w:t xml:space="preserve"> </w:t>
            </w:r>
            <w:r w:rsidRPr="00FF7FB5">
              <w:rPr>
                <w:sz w:val="18"/>
              </w:rPr>
              <w:t>847</w:t>
            </w:r>
          </w:p>
        </w:tc>
        <w:tc>
          <w:tcPr>
            <w:tcW w:w="1050" w:type="dxa"/>
            <w:shd w:val="clear" w:color="auto" w:fill="auto"/>
            <w:vAlign w:val="bottom"/>
          </w:tcPr>
          <w:p w14:paraId="0A894DE9" w14:textId="77777777" w:rsidR="00FF7FB5" w:rsidRPr="00FF7FB5" w:rsidRDefault="00FF7FB5" w:rsidP="00FF7FB5">
            <w:pPr>
              <w:pStyle w:val="SingleTxtG"/>
              <w:spacing w:before="40" w:after="40" w:line="220" w:lineRule="exact"/>
              <w:ind w:left="0" w:right="0"/>
              <w:jc w:val="right"/>
              <w:rPr>
                <w:sz w:val="18"/>
              </w:rPr>
            </w:pPr>
            <w:r w:rsidRPr="00FF7FB5">
              <w:rPr>
                <w:sz w:val="18"/>
              </w:rPr>
              <w:t>33</w:t>
            </w:r>
            <w:r w:rsidR="00E27734">
              <w:rPr>
                <w:sz w:val="18"/>
              </w:rPr>
              <w:t xml:space="preserve"> </w:t>
            </w:r>
            <w:r w:rsidRPr="00FF7FB5">
              <w:rPr>
                <w:sz w:val="18"/>
              </w:rPr>
              <w:t>471</w:t>
            </w:r>
          </w:p>
        </w:tc>
        <w:tc>
          <w:tcPr>
            <w:tcW w:w="910" w:type="dxa"/>
            <w:shd w:val="clear" w:color="auto" w:fill="auto"/>
            <w:vAlign w:val="bottom"/>
          </w:tcPr>
          <w:p w14:paraId="507E9A31" w14:textId="77777777" w:rsidR="00FF7FB5" w:rsidRPr="00FF7FB5" w:rsidRDefault="00FF7FB5" w:rsidP="00FF7FB5">
            <w:pPr>
              <w:pStyle w:val="SingleTxtG"/>
              <w:spacing w:before="40" w:after="40" w:line="220" w:lineRule="exact"/>
              <w:ind w:left="0" w:right="0"/>
              <w:jc w:val="right"/>
              <w:rPr>
                <w:sz w:val="18"/>
              </w:rPr>
            </w:pPr>
            <w:r w:rsidRPr="00FF7FB5">
              <w:rPr>
                <w:sz w:val="18"/>
              </w:rPr>
              <w:t>34</w:t>
            </w:r>
            <w:r w:rsidR="00E27734">
              <w:rPr>
                <w:sz w:val="18"/>
              </w:rPr>
              <w:t xml:space="preserve"> </w:t>
            </w:r>
            <w:r w:rsidRPr="00FF7FB5">
              <w:rPr>
                <w:sz w:val="18"/>
              </w:rPr>
              <w:t>958</w:t>
            </w:r>
          </w:p>
        </w:tc>
      </w:tr>
      <w:tr w:rsidR="00FF7FB5" w:rsidRPr="00FF7FB5" w14:paraId="13538C97" w14:textId="77777777" w:rsidTr="00FF7FB5">
        <w:tc>
          <w:tcPr>
            <w:tcW w:w="2576" w:type="dxa"/>
            <w:shd w:val="clear" w:color="auto" w:fill="auto"/>
            <w:vAlign w:val="center"/>
          </w:tcPr>
          <w:p w14:paraId="03330CBC" w14:textId="77777777" w:rsidR="00FF7FB5" w:rsidRPr="00FF7FB5" w:rsidRDefault="00FF7FB5" w:rsidP="00FF7FB5">
            <w:pPr>
              <w:pStyle w:val="SingleTxtG"/>
              <w:spacing w:before="40" w:after="40" w:line="220" w:lineRule="exact"/>
              <w:ind w:left="0" w:right="0"/>
              <w:jc w:val="left"/>
              <w:rPr>
                <w:sz w:val="18"/>
              </w:rPr>
            </w:pPr>
            <w:r w:rsidRPr="00FF7FB5">
              <w:rPr>
                <w:sz w:val="18"/>
              </w:rPr>
              <w:t>Porcentaje de la población que utiliza Internet</w:t>
            </w:r>
          </w:p>
        </w:tc>
        <w:tc>
          <w:tcPr>
            <w:tcW w:w="952" w:type="dxa"/>
            <w:shd w:val="clear" w:color="auto" w:fill="auto"/>
            <w:vAlign w:val="bottom"/>
          </w:tcPr>
          <w:p w14:paraId="587C3F85"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10" w:type="dxa"/>
            <w:shd w:val="clear" w:color="auto" w:fill="auto"/>
            <w:vAlign w:val="bottom"/>
          </w:tcPr>
          <w:p w14:paraId="319DA624"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93" w:type="dxa"/>
            <w:shd w:val="clear" w:color="auto" w:fill="auto"/>
            <w:vAlign w:val="bottom"/>
          </w:tcPr>
          <w:p w14:paraId="07FB6EE0"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1064" w:type="dxa"/>
            <w:shd w:val="clear" w:color="auto" w:fill="auto"/>
            <w:vAlign w:val="bottom"/>
          </w:tcPr>
          <w:p w14:paraId="53D938E7" w14:textId="77777777" w:rsidR="00FF7FB5" w:rsidRPr="00FF7FB5" w:rsidRDefault="00FF7FB5" w:rsidP="00FF7FB5">
            <w:pPr>
              <w:pStyle w:val="SingleTxtG"/>
              <w:spacing w:before="40" w:after="40" w:line="220" w:lineRule="exact"/>
              <w:ind w:left="0" w:right="0"/>
              <w:jc w:val="right"/>
              <w:rPr>
                <w:sz w:val="18"/>
              </w:rPr>
            </w:pPr>
            <w:r w:rsidRPr="00FF7FB5">
              <w:rPr>
                <w:sz w:val="18"/>
              </w:rPr>
              <w:t>13,21</w:t>
            </w:r>
          </w:p>
        </w:tc>
        <w:tc>
          <w:tcPr>
            <w:tcW w:w="1050" w:type="dxa"/>
            <w:shd w:val="clear" w:color="auto" w:fill="auto"/>
            <w:vAlign w:val="bottom"/>
          </w:tcPr>
          <w:p w14:paraId="4F68D23B"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10" w:type="dxa"/>
            <w:shd w:val="clear" w:color="auto" w:fill="auto"/>
            <w:vAlign w:val="bottom"/>
          </w:tcPr>
          <w:p w14:paraId="0355F2E2"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r>
      <w:tr w:rsidR="00FF7FB5" w:rsidRPr="00FF7FB5" w14:paraId="70EA8A7F" w14:textId="77777777" w:rsidTr="00FF7FB5">
        <w:tc>
          <w:tcPr>
            <w:tcW w:w="2576" w:type="dxa"/>
            <w:tcBorders>
              <w:bottom w:val="single" w:sz="12" w:space="0" w:color="auto"/>
            </w:tcBorders>
            <w:shd w:val="clear" w:color="auto" w:fill="auto"/>
            <w:vAlign w:val="center"/>
          </w:tcPr>
          <w:p w14:paraId="07453116" w14:textId="77777777" w:rsidR="00FF7FB5" w:rsidRPr="00FF7FB5" w:rsidRDefault="00FF7FB5" w:rsidP="00FF7FB5">
            <w:pPr>
              <w:pStyle w:val="SingleTxtG"/>
              <w:spacing w:before="40" w:after="40" w:line="220" w:lineRule="exact"/>
              <w:ind w:left="0" w:right="0"/>
              <w:jc w:val="left"/>
              <w:rPr>
                <w:sz w:val="18"/>
              </w:rPr>
            </w:pPr>
            <w:r w:rsidRPr="00FF7FB5">
              <w:rPr>
                <w:sz w:val="18"/>
              </w:rPr>
              <w:t>Porcentaje de la población que utiliza computadora</w:t>
            </w:r>
          </w:p>
        </w:tc>
        <w:tc>
          <w:tcPr>
            <w:tcW w:w="952" w:type="dxa"/>
            <w:tcBorders>
              <w:bottom w:val="single" w:sz="12" w:space="0" w:color="auto"/>
            </w:tcBorders>
            <w:shd w:val="clear" w:color="auto" w:fill="auto"/>
            <w:vAlign w:val="bottom"/>
          </w:tcPr>
          <w:p w14:paraId="0478BD43"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10" w:type="dxa"/>
            <w:tcBorders>
              <w:bottom w:val="single" w:sz="12" w:space="0" w:color="auto"/>
            </w:tcBorders>
            <w:shd w:val="clear" w:color="auto" w:fill="auto"/>
            <w:vAlign w:val="bottom"/>
          </w:tcPr>
          <w:p w14:paraId="27016385"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93" w:type="dxa"/>
            <w:tcBorders>
              <w:bottom w:val="single" w:sz="12" w:space="0" w:color="auto"/>
            </w:tcBorders>
            <w:shd w:val="clear" w:color="auto" w:fill="auto"/>
            <w:vAlign w:val="bottom"/>
          </w:tcPr>
          <w:p w14:paraId="7B53B749"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1064" w:type="dxa"/>
            <w:tcBorders>
              <w:bottom w:val="single" w:sz="12" w:space="0" w:color="auto"/>
            </w:tcBorders>
            <w:shd w:val="clear" w:color="auto" w:fill="auto"/>
            <w:vAlign w:val="bottom"/>
          </w:tcPr>
          <w:p w14:paraId="55AB60C8" w14:textId="77777777" w:rsidR="00FF7FB5" w:rsidRPr="00FF7FB5" w:rsidRDefault="00FF7FB5" w:rsidP="00FF7FB5">
            <w:pPr>
              <w:pStyle w:val="SingleTxtG"/>
              <w:spacing w:before="40" w:after="40" w:line="220" w:lineRule="exact"/>
              <w:ind w:left="0" w:right="0"/>
              <w:jc w:val="right"/>
              <w:rPr>
                <w:sz w:val="18"/>
              </w:rPr>
            </w:pPr>
            <w:r w:rsidRPr="00FF7FB5">
              <w:rPr>
                <w:sz w:val="18"/>
              </w:rPr>
              <w:t>14,76</w:t>
            </w:r>
          </w:p>
        </w:tc>
        <w:tc>
          <w:tcPr>
            <w:tcW w:w="1050" w:type="dxa"/>
            <w:tcBorders>
              <w:bottom w:val="single" w:sz="12" w:space="0" w:color="auto"/>
            </w:tcBorders>
            <w:shd w:val="clear" w:color="auto" w:fill="auto"/>
            <w:vAlign w:val="bottom"/>
          </w:tcPr>
          <w:p w14:paraId="2AACBCD6"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c>
          <w:tcPr>
            <w:tcW w:w="910" w:type="dxa"/>
            <w:tcBorders>
              <w:bottom w:val="single" w:sz="12" w:space="0" w:color="auto"/>
            </w:tcBorders>
            <w:shd w:val="clear" w:color="auto" w:fill="auto"/>
            <w:vAlign w:val="bottom"/>
          </w:tcPr>
          <w:p w14:paraId="3FD531F6" w14:textId="77777777" w:rsidR="00FF7FB5" w:rsidRPr="00FF7FB5" w:rsidRDefault="00FF7FB5" w:rsidP="00FF7FB5">
            <w:pPr>
              <w:pStyle w:val="SingleTxtG"/>
              <w:spacing w:before="40" w:after="40" w:line="220" w:lineRule="exact"/>
              <w:ind w:left="0" w:right="0"/>
              <w:jc w:val="right"/>
              <w:rPr>
                <w:sz w:val="18"/>
              </w:rPr>
            </w:pPr>
            <w:r w:rsidRPr="00FF7FB5">
              <w:rPr>
                <w:sz w:val="18"/>
              </w:rPr>
              <w:t>-</w:t>
            </w:r>
          </w:p>
        </w:tc>
      </w:tr>
    </w:tbl>
    <w:p w14:paraId="70D02C0F" w14:textId="77777777" w:rsidR="008A38B9" w:rsidRPr="00FF7FB5" w:rsidRDefault="008A38B9" w:rsidP="00FF7FB5">
      <w:pPr>
        <w:pStyle w:val="SingleTxtG"/>
        <w:spacing w:before="120" w:after="240"/>
        <w:ind w:right="567" w:firstLine="170"/>
        <w:rPr>
          <w:sz w:val="18"/>
          <w:szCs w:val="18"/>
        </w:rPr>
      </w:pPr>
      <w:r w:rsidRPr="00FF7FB5">
        <w:rPr>
          <w:i/>
          <w:iCs/>
          <w:sz w:val="18"/>
          <w:szCs w:val="18"/>
        </w:rPr>
        <w:t>Fuente</w:t>
      </w:r>
      <w:r w:rsidRPr="00F0669B">
        <w:rPr>
          <w:i/>
          <w:sz w:val="18"/>
          <w:szCs w:val="18"/>
        </w:rPr>
        <w:t>:</w:t>
      </w:r>
      <w:r w:rsidR="00FF7FB5" w:rsidRPr="00FF7FB5">
        <w:rPr>
          <w:sz w:val="18"/>
          <w:szCs w:val="18"/>
        </w:rPr>
        <w:t xml:space="preserve"> </w:t>
      </w:r>
      <w:r w:rsidRPr="00FF7FB5">
        <w:rPr>
          <w:sz w:val="18"/>
          <w:szCs w:val="18"/>
        </w:rPr>
        <w:t xml:space="preserve">Indicadores estadísticos sobre la situación económica y social en el Iraq (2011-2015) y </w:t>
      </w:r>
      <w:r w:rsidRPr="00FF7FB5">
        <w:rPr>
          <w:i/>
          <w:iCs/>
          <w:sz w:val="18"/>
          <w:szCs w:val="18"/>
        </w:rPr>
        <w:t>Boletín estadístico anual</w:t>
      </w:r>
      <w:r w:rsidRPr="00FF7FB5">
        <w:rPr>
          <w:sz w:val="18"/>
          <w:szCs w:val="18"/>
        </w:rPr>
        <w:t xml:space="preserve"> (2017).</w:t>
      </w:r>
    </w:p>
    <w:p w14:paraId="7D373A73" w14:textId="77777777" w:rsidR="008A38B9" w:rsidRDefault="008A38B9" w:rsidP="00FF7FB5">
      <w:pPr>
        <w:pStyle w:val="SingleTxtG"/>
      </w:pPr>
      <w:r w:rsidRPr="008A38B9">
        <w:t>106.</w:t>
      </w:r>
      <w:r w:rsidRPr="008A38B9">
        <w:tab/>
        <w:t xml:space="preserve">En el cuadro siguiente figuran datos correspondientes a 2016 sobre el número de líneas de telefonía móvil e inalámbrica, con datos desglosados por provincia.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26781D" w:rsidRPr="0040336A" w14:paraId="0B51773B" w14:textId="77777777" w:rsidTr="0026781D">
        <w:trPr>
          <w:tblHeader/>
        </w:trPr>
        <w:tc>
          <w:tcPr>
            <w:tcW w:w="1842" w:type="dxa"/>
            <w:tcBorders>
              <w:top w:val="single" w:sz="4" w:space="0" w:color="auto"/>
            </w:tcBorders>
            <w:shd w:val="clear" w:color="auto" w:fill="auto"/>
            <w:vAlign w:val="bottom"/>
          </w:tcPr>
          <w:p w14:paraId="4ACA497C" w14:textId="77777777" w:rsidR="0026781D" w:rsidRPr="0040336A" w:rsidRDefault="0026781D" w:rsidP="0026781D">
            <w:pPr>
              <w:pStyle w:val="SingleTxtG"/>
              <w:spacing w:before="80" w:after="80" w:line="200" w:lineRule="exact"/>
              <w:ind w:left="0" w:right="0"/>
              <w:jc w:val="left"/>
              <w:rPr>
                <w:i/>
                <w:sz w:val="16"/>
              </w:rPr>
            </w:pPr>
          </w:p>
        </w:tc>
        <w:tc>
          <w:tcPr>
            <w:tcW w:w="1842" w:type="dxa"/>
            <w:tcBorders>
              <w:top w:val="single" w:sz="4" w:space="0" w:color="auto"/>
              <w:bottom w:val="single" w:sz="4" w:space="0" w:color="auto"/>
              <w:right w:val="single" w:sz="24" w:space="0" w:color="FFFFFF" w:themeColor="background1"/>
            </w:tcBorders>
            <w:shd w:val="clear" w:color="auto" w:fill="auto"/>
            <w:vAlign w:val="bottom"/>
          </w:tcPr>
          <w:p w14:paraId="4D71EFB0" w14:textId="77777777" w:rsidR="0026781D" w:rsidRPr="0026781D" w:rsidRDefault="0026781D" w:rsidP="0026781D">
            <w:pPr>
              <w:pStyle w:val="SingleTxtG"/>
              <w:spacing w:before="80" w:after="80" w:line="200" w:lineRule="exact"/>
              <w:ind w:left="0" w:right="0"/>
              <w:jc w:val="center"/>
              <w:rPr>
                <w:i/>
                <w:sz w:val="16"/>
              </w:rPr>
            </w:pPr>
            <w:r w:rsidRPr="0026781D">
              <w:rPr>
                <w:i/>
                <w:sz w:val="16"/>
              </w:rPr>
              <w:t>Núm</w:t>
            </w:r>
            <w:r w:rsidR="00F0669B">
              <w:rPr>
                <w:i/>
                <w:sz w:val="16"/>
              </w:rPr>
              <w:t>ero</w:t>
            </w:r>
            <w:r w:rsidRPr="0026781D">
              <w:rPr>
                <w:i/>
                <w:sz w:val="16"/>
              </w:rPr>
              <w:t xml:space="preserve"> de líneas de telefonía móvil</w:t>
            </w:r>
          </w:p>
        </w:tc>
        <w:tc>
          <w:tcPr>
            <w:tcW w:w="3686" w:type="dxa"/>
            <w:gridSpan w:val="2"/>
            <w:tcBorders>
              <w:top w:val="single" w:sz="4" w:space="0" w:color="auto"/>
              <w:left w:val="single" w:sz="24" w:space="0" w:color="FFFFFF" w:themeColor="background1"/>
              <w:bottom w:val="single" w:sz="4" w:space="0" w:color="auto"/>
            </w:tcBorders>
            <w:shd w:val="clear" w:color="auto" w:fill="auto"/>
            <w:vAlign w:val="bottom"/>
          </w:tcPr>
          <w:p w14:paraId="27052461" w14:textId="77777777" w:rsidR="0026781D" w:rsidRPr="0026781D" w:rsidRDefault="0026781D" w:rsidP="0026781D">
            <w:pPr>
              <w:pStyle w:val="SingleTxtG"/>
              <w:spacing w:before="80" w:after="80" w:line="200" w:lineRule="exact"/>
              <w:ind w:left="0" w:right="0"/>
              <w:jc w:val="center"/>
              <w:rPr>
                <w:i/>
                <w:sz w:val="16"/>
              </w:rPr>
            </w:pPr>
            <w:r w:rsidRPr="0026781D">
              <w:rPr>
                <w:i/>
                <w:sz w:val="16"/>
              </w:rPr>
              <w:t>Núm</w:t>
            </w:r>
            <w:r w:rsidR="00F0669B">
              <w:rPr>
                <w:i/>
                <w:sz w:val="16"/>
              </w:rPr>
              <w:t>ero</w:t>
            </w:r>
            <w:r w:rsidRPr="0026781D">
              <w:rPr>
                <w:i/>
                <w:sz w:val="16"/>
              </w:rPr>
              <w:t xml:space="preserve"> de líneas de telefonía </w:t>
            </w:r>
            <w:r>
              <w:rPr>
                <w:i/>
                <w:sz w:val="16"/>
              </w:rPr>
              <w:br/>
            </w:r>
            <w:r w:rsidRPr="0026781D">
              <w:rPr>
                <w:i/>
                <w:sz w:val="16"/>
              </w:rPr>
              <w:t>inalámbrica</w:t>
            </w:r>
          </w:p>
        </w:tc>
      </w:tr>
      <w:tr w:rsidR="0026781D" w:rsidRPr="0040336A" w14:paraId="3FA42813" w14:textId="77777777" w:rsidTr="0026781D">
        <w:trPr>
          <w:tblHeader/>
        </w:trPr>
        <w:tc>
          <w:tcPr>
            <w:tcW w:w="1842" w:type="dxa"/>
            <w:tcBorders>
              <w:bottom w:val="single" w:sz="12" w:space="0" w:color="auto"/>
            </w:tcBorders>
            <w:shd w:val="clear" w:color="auto" w:fill="auto"/>
            <w:vAlign w:val="bottom"/>
          </w:tcPr>
          <w:p w14:paraId="4F57CBAE" w14:textId="77777777" w:rsidR="0026781D" w:rsidRPr="0040336A" w:rsidRDefault="0026781D" w:rsidP="0026781D">
            <w:pPr>
              <w:pStyle w:val="SingleTxtG"/>
              <w:spacing w:before="80" w:after="80" w:line="200" w:lineRule="exact"/>
              <w:ind w:left="0" w:right="0"/>
              <w:jc w:val="left"/>
              <w:rPr>
                <w:i/>
                <w:sz w:val="16"/>
              </w:rPr>
            </w:pPr>
            <w:r w:rsidRPr="0026781D">
              <w:rPr>
                <w:i/>
                <w:sz w:val="16"/>
              </w:rPr>
              <w:t>Provincia</w:t>
            </w:r>
          </w:p>
        </w:tc>
        <w:tc>
          <w:tcPr>
            <w:tcW w:w="1842" w:type="dxa"/>
            <w:tcBorders>
              <w:top w:val="single" w:sz="4" w:space="0" w:color="auto"/>
              <w:bottom w:val="single" w:sz="12" w:space="0" w:color="auto"/>
              <w:right w:val="single" w:sz="24" w:space="0" w:color="FFFFFF" w:themeColor="background1"/>
            </w:tcBorders>
            <w:shd w:val="clear" w:color="auto" w:fill="auto"/>
            <w:vAlign w:val="bottom"/>
          </w:tcPr>
          <w:p w14:paraId="762DA35B" w14:textId="77777777" w:rsidR="0026781D" w:rsidRPr="0026781D" w:rsidRDefault="0026781D" w:rsidP="0026781D">
            <w:pPr>
              <w:pStyle w:val="SingleTxtG"/>
              <w:spacing w:before="80" w:after="80" w:line="200" w:lineRule="exact"/>
              <w:ind w:left="0" w:right="57"/>
              <w:jc w:val="right"/>
              <w:rPr>
                <w:i/>
                <w:sz w:val="16"/>
              </w:rPr>
            </w:pPr>
            <w:r w:rsidRPr="0026781D">
              <w:rPr>
                <w:i/>
                <w:sz w:val="16"/>
              </w:rPr>
              <w:t>Zain, Asia Cell, Korek</w:t>
            </w:r>
          </w:p>
        </w:tc>
        <w:tc>
          <w:tcPr>
            <w:tcW w:w="1843" w:type="dxa"/>
            <w:tcBorders>
              <w:top w:val="single" w:sz="4" w:space="0" w:color="auto"/>
              <w:left w:val="single" w:sz="24" w:space="0" w:color="FFFFFF" w:themeColor="background1"/>
              <w:bottom w:val="single" w:sz="12" w:space="0" w:color="auto"/>
            </w:tcBorders>
            <w:shd w:val="clear" w:color="auto" w:fill="auto"/>
            <w:vAlign w:val="bottom"/>
          </w:tcPr>
          <w:p w14:paraId="4FE0CF65" w14:textId="77777777" w:rsidR="0026781D" w:rsidRPr="0026781D" w:rsidRDefault="0026781D" w:rsidP="0026781D">
            <w:pPr>
              <w:pStyle w:val="SingleTxtG"/>
              <w:spacing w:before="80" w:after="80" w:line="200" w:lineRule="exact"/>
              <w:ind w:left="0" w:right="0"/>
              <w:jc w:val="right"/>
              <w:rPr>
                <w:i/>
                <w:sz w:val="16"/>
              </w:rPr>
            </w:pPr>
            <w:r w:rsidRPr="0026781D">
              <w:rPr>
                <w:i/>
                <w:sz w:val="16"/>
              </w:rPr>
              <w:t>Kalimaat, Fanoos</w:t>
            </w:r>
          </w:p>
        </w:tc>
        <w:tc>
          <w:tcPr>
            <w:tcW w:w="1843" w:type="dxa"/>
            <w:tcBorders>
              <w:top w:val="single" w:sz="4" w:space="0" w:color="auto"/>
              <w:bottom w:val="single" w:sz="12" w:space="0" w:color="auto"/>
            </w:tcBorders>
            <w:shd w:val="clear" w:color="auto" w:fill="auto"/>
            <w:vAlign w:val="bottom"/>
          </w:tcPr>
          <w:p w14:paraId="7E8140E9" w14:textId="77777777" w:rsidR="0026781D" w:rsidRPr="0026781D" w:rsidRDefault="0026781D" w:rsidP="0026781D">
            <w:pPr>
              <w:pStyle w:val="SingleTxtG"/>
              <w:spacing w:before="80" w:after="80" w:line="200" w:lineRule="exact"/>
              <w:ind w:left="0" w:right="0"/>
              <w:jc w:val="right"/>
              <w:rPr>
                <w:i/>
                <w:sz w:val="16"/>
              </w:rPr>
            </w:pPr>
            <w:r w:rsidRPr="0026781D">
              <w:rPr>
                <w:i/>
                <w:sz w:val="16"/>
              </w:rPr>
              <w:t>Iraqi Telecommunication and Post Company</w:t>
            </w:r>
            <w:r>
              <w:rPr>
                <w:i/>
                <w:sz w:val="16"/>
              </w:rPr>
              <w:br/>
            </w:r>
            <w:r w:rsidRPr="0026781D">
              <w:rPr>
                <w:i/>
                <w:sz w:val="16"/>
              </w:rPr>
              <w:t>(de seguridad, nacional)</w:t>
            </w:r>
          </w:p>
        </w:tc>
      </w:tr>
      <w:tr w:rsidR="0026781D" w:rsidRPr="0040336A" w14:paraId="26C6FF1A" w14:textId="77777777" w:rsidTr="00AC7712">
        <w:tc>
          <w:tcPr>
            <w:tcW w:w="1842" w:type="dxa"/>
            <w:tcBorders>
              <w:top w:val="single" w:sz="12" w:space="0" w:color="auto"/>
            </w:tcBorders>
            <w:shd w:val="clear" w:color="auto" w:fill="auto"/>
            <w:vAlign w:val="center"/>
          </w:tcPr>
          <w:p w14:paraId="17A23D71" w14:textId="77777777" w:rsidR="0026781D" w:rsidRPr="0026781D" w:rsidRDefault="0026781D" w:rsidP="0026781D">
            <w:pPr>
              <w:pStyle w:val="SingleTxtG"/>
              <w:spacing w:before="40" w:after="40" w:line="220" w:lineRule="exact"/>
              <w:ind w:left="0" w:right="0"/>
              <w:jc w:val="left"/>
              <w:rPr>
                <w:sz w:val="18"/>
              </w:rPr>
            </w:pPr>
            <w:r w:rsidRPr="0026781D">
              <w:rPr>
                <w:sz w:val="18"/>
              </w:rPr>
              <w:t>Nínive</w:t>
            </w:r>
          </w:p>
        </w:tc>
        <w:tc>
          <w:tcPr>
            <w:tcW w:w="1842" w:type="dxa"/>
            <w:tcBorders>
              <w:top w:val="single" w:sz="12" w:space="0" w:color="auto"/>
            </w:tcBorders>
            <w:shd w:val="clear" w:color="auto" w:fill="auto"/>
            <w:vAlign w:val="center"/>
          </w:tcPr>
          <w:p w14:paraId="461BD80A"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383</w:t>
            </w:r>
            <w:r w:rsidR="00F0669B">
              <w:rPr>
                <w:sz w:val="18"/>
              </w:rPr>
              <w:t xml:space="preserve"> </w:t>
            </w:r>
            <w:r w:rsidRPr="0026781D">
              <w:rPr>
                <w:sz w:val="18"/>
              </w:rPr>
              <w:t>336</w:t>
            </w:r>
          </w:p>
        </w:tc>
        <w:tc>
          <w:tcPr>
            <w:tcW w:w="1843" w:type="dxa"/>
            <w:tcBorders>
              <w:top w:val="single" w:sz="12" w:space="0" w:color="auto"/>
            </w:tcBorders>
            <w:shd w:val="clear" w:color="auto" w:fill="auto"/>
            <w:vAlign w:val="center"/>
          </w:tcPr>
          <w:p w14:paraId="353BD61E" w14:textId="77777777" w:rsidR="0026781D" w:rsidRPr="0026781D" w:rsidRDefault="0026781D" w:rsidP="0026781D">
            <w:pPr>
              <w:pStyle w:val="SingleTxtG"/>
              <w:spacing w:before="40" w:after="40" w:line="220" w:lineRule="exact"/>
              <w:ind w:left="0" w:right="0"/>
              <w:jc w:val="right"/>
              <w:rPr>
                <w:sz w:val="18"/>
              </w:rPr>
            </w:pPr>
            <w:r w:rsidRPr="0026781D">
              <w:rPr>
                <w:sz w:val="18"/>
              </w:rPr>
              <w:t>54</w:t>
            </w:r>
          </w:p>
        </w:tc>
        <w:tc>
          <w:tcPr>
            <w:tcW w:w="1843" w:type="dxa"/>
            <w:tcBorders>
              <w:top w:val="single" w:sz="12" w:space="0" w:color="auto"/>
            </w:tcBorders>
            <w:shd w:val="clear" w:color="auto" w:fill="auto"/>
            <w:vAlign w:val="center"/>
          </w:tcPr>
          <w:p w14:paraId="5392189C" w14:textId="77777777" w:rsidR="0026781D" w:rsidRPr="0026781D" w:rsidRDefault="0026781D" w:rsidP="0026781D">
            <w:pPr>
              <w:pStyle w:val="SingleTxtG"/>
              <w:spacing w:before="40" w:after="40" w:line="220" w:lineRule="exact"/>
              <w:ind w:left="0" w:right="0"/>
              <w:jc w:val="right"/>
              <w:rPr>
                <w:sz w:val="18"/>
              </w:rPr>
            </w:pPr>
            <w:r w:rsidRPr="0026781D">
              <w:rPr>
                <w:sz w:val="18"/>
              </w:rPr>
              <w:t>2</w:t>
            </w:r>
            <w:r w:rsidR="00F0669B">
              <w:rPr>
                <w:sz w:val="18"/>
              </w:rPr>
              <w:t xml:space="preserve"> </w:t>
            </w:r>
            <w:r w:rsidRPr="0026781D">
              <w:rPr>
                <w:sz w:val="18"/>
              </w:rPr>
              <w:t>692</w:t>
            </w:r>
          </w:p>
        </w:tc>
      </w:tr>
      <w:tr w:rsidR="0026781D" w:rsidRPr="0040336A" w14:paraId="78C89490" w14:textId="77777777" w:rsidTr="00AC7712">
        <w:tc>
          <w:tcPr>
            <w:tcW w:w="1842" w:type="dxa"/>
            <w:shd w:val="clear" w:color="auto" w:fill="auto"/>
            <w:vAlign w:val="center"/>
          </w:tcPr>
          <w:p w14:paraId="3B354789" w14:textId="77777777" w:rsidR="0026781D" w:rsidRPr="0026781D" w:rsidRDefault="0026781D" w:rsidP="0026781D">
            <w:pPr>
              <w:pStyle w:val="SingleTxtG"/>
              <w:spacing w:before="40" w:after="40" w:line="220" w:lineRule="exact"/>
              <w:ind w:left="0" w:right="0"/>
              <w:jc w:val="left"/>
              <w:rPr>
                <w:sz w:val="18"/>
              </w:rPr>
            </w:pPr>
            <w:r w:rsidRPr="0026781D">
              <w:rPr>
                <w:sz w:val="18"/>
              </w:rPr>
              <w:t>Kirkuk</w:t>
            </w:r>
          </w:p>
        </w:tc>
        <w:tc>
          <w:tcPr>
            <w:tcW w:w="1842" w:type="dxa"/>
            <w:shd w:val="clear" w:color="auto" w:fill="auto"/>
            <w:vAlign w:val="center"/>
          </w:tcPr>
          <w:p w14:paraId="06062A5D"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254</w:t>
            </w:r>
            <w:r w:rsidR="00F0669B">
              <w:rPr>
                <w:sz w:val="18"/>
              </w:rPr>
              <w:t xml:space="preserve"> </w:t>
            </w:r>
            <w:r w:rsidRPr="0026781D">
              <w:rPr>
                <w:sz w:val="18"/>
              </w:rPr>
              <w:t>767</w:t>
            </w:r>
          </w:p>
        </w:tc>
        <w:tc>
          <w:tcPr>
            <w:tcW w:w="1843" w:type="dxa"/>
            <w:shd w:val="clear" w:color="auto" w:fill="auto"/>
            <w:vAlign w:val="center"/>
          </w:tcPr>
          <w:p w14:paraId="3593F239" w14:textId="77777777" w:rsidR="0026781D" w:rsidRPr="0026781D" w:rsidRDefault="0026781D" w:rsidP="0026781D">
            <w:pPr>
              <w:pStyle w:val="SingleTxtG"/>
              <w:spacing w:before="40" w:after="40" w:line="220" w:lineRule="exact"/>
              <w:ind w:left="0" w:right="0"/>
              <w:jc w:val="right"/>
              <w:rPr>
                <w:sz w:val="18"/>
              </w:rPr>
            </w:pPr>
            <w:r w:rsidRPr="0026781D">
              <w:rPr>
                <w:sz w:val="18"/>
              </w:rPr>
              <w:t>26</w:t>
            </w:r>
            <w:r w:rsidR="00F0669B">
              <w:rPr>
                <w:sz w:val="18"/>
              </w:rPr>
              <w:t xml:space="preserve"> </w:t>
            </w:r>
            <w:r w:rsidRPr="0026781D">
              <w:rPr>
                <w:sz w:val="18"/>
              </w:rPr>
              <w:t>090</w:t>
            </w:r>
          </w:p>
        </w:tc>
        <w:tc>
          <w:tcPr>
            <w:tcW w:w="1843" w:type="dxa"/>
            <w:shd w:val="clear" w:color="auto" w:fill="auto"/>
            <w:vAlign w:val="center"/>
          </w:tcPr>
          <w:p w14:paraId="07C056A4"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r>
      <w:tr w:rsidR="0026781D" w:rsidRPr="0040336A" w14:paraId="7C35D4CC" w14:textId="77777777" w:rsidTr="00AC7712">
        <w:tc>
          <w:tcPr>
            <w:tcW w:w="1842" w:type="dxa"/>
            <w:shd w:val="clear" w:color="auto" w:fill="auto"/>
            <w:vAlign w:val="center"/>
          </w:tcPr>
          <w:p w14:paraId="41F840FD" w14:textId="77777777" w:rsidR="0026781D" w:rsidRPr="0026781D" w:rsidRDefault="0026781D" w:rsidP="0026781D">
            <w:pPr>
              <w:pStyle w:val="SingleTxtG"/>
              <w:spacing w:before="40" w:after="40" w:line="220" w:lineRule="exact"/>
              <w:ind w:left="0" w:right="0"/>
              <w:jc w:val="left"/>
              <w:rPr>
                <w:sz w:val="18"/>
              </w:rPr>
            </w:pPr>
            <w:r w:rsidRPr="0026781D">
              <w:rPr>
                <w:sz w:val="18"/>
              </w:rPr>
              <w:t>Diyala</w:t>
            </w:r>
          </w:p>
        </w:tc>
        <w:tc>
          <w:tcPr>
            <w:tcW w:w="1842" w:type="dxa"/>
            <w:shd w:val="clear" w:color="auto" w:fill="auto"/>
            <w:vAlign w:val="center"/>
          </w:tcPr>
          <w:p w14:paraId="6BE1FA4E"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408</w:t>
            </w:r>
            <w:r w:rsidR="00F0669B">
              <w:rPr>
                <w:sz w:val="18"/>
              </w:rPr>
              <w:t xml:space="preserve"> </w:t>
            </w:r>
            <w:r w:rsidRPr="0026781D">
              <w:rPr>
                <w:sz w:val="18"/>
              </w:rPr>
              <w:t>671</w:t>
            </w:r>
          </w:p>
        </w:tc>
        <w:tc>
          <w:tcPr>
            <w:tcW w:w="1843" w:type="dxa"/>
            <w:shd w:val="clear" w:color="auto" w:fill="auto"/>
            <w:vAlign w:val="center"/>
          </w:tcPr>
          <w:p w14:paraId="574C7EB7" w14:textId="77777777" w:rsidR="0026781D" w:rsidRPr="0026781D" w:rsidRDefault="0026781D" w:rsidP="0026781D">
            <w:pPr>
              <w:pStyle w:val="SingleTxtG"/>
              <w:spacing w:before="40" w:after="40" w:line="220" w:lineRule="exact"/>
              <w:ind w:left="0" w:right="0"/>
              <w:jc w:val="right"/>
              <w:rPr>
                <w:sz w:val="18"/>
              </w:rPr>
            </w:pPr>
            <w:r w:rsidRPr="0026781D">
              <w:rPr>
                <w:sz w:val="18"/>
              </w:rPr>
              <w:t>12</w:t>
            </w:r>
            <w:r w:rsidR="00F0669B">
              <w:rPr>
                <w:sz w:val="18"/>
              </w:rPr>
              <w:t xml:space="preserve"> </w:t>
            </w:r>
            <w:r w:rsidRPr="0026781D">
              <w:rPr>
                <w:sz w:val="18"/>
              </w:rPr>
              <w:t>601</w:t>
            </w:r>
          </w:p>
        </w:tc>
        <w:tc>
          <w:tcPr>
            <w:tcW w:w="1843" w:type="dxa"/>
            <w:shd w:val="clear" w:color="auto" w:fill="auto"/>
            <w:vAlign w:val="center"/>
          </w:tcPr>
          <w:p w14:paraId="2CA62067" w14:textId="77777777" w:rsidR="0026781D" w:rsidRPr="0026781D" w:rsidRDefault="0026781D" w:rsidP="0026781D">
            <w:pPr>
              <w:pStyle w:val="SingleTxtG"/>
              <w:spacing w:before="40" w:after="40" w:line="220" w:lineRule="exact"/>
              <w:ind w:left="0" w:right="0"/>
              <w:jc w:val="right"/>
              <w:rPr>
                <w:sz w:val="18"/>
              </w:rPr>
            </w:pPr>
            <w:r w:rsidRPr="0026781D">
              <w:rPr>
                <w:sz w:val="18"/>
              </w:rPr>
              <w:t>38</w:t>
            </w:r>
            <w:r w:rsidR="00F0669B">
              <w:rPr>
                <w:sz w:val="18"/>
              </w:rPr>
              <w:t xml:space="preserve"> </w:t>
            </w:r>
            <w:r w:rsidRPr="0026781D">
              <w:rPr>
                <w:sz w:val="18"/>
              </w:rPr>
              <w:t>492</w:t>
            </w:r>
          </w:p>
        </w:tc>
      </w:tr>
      <w:tr w:rsidR="0026781D" w:rsidRPr="0040336A" w14:paraId="0DAC55DB" w14:textId="77777777" w:rsidTr="00AC7712">
        <w:tc>
          <w:tcPr>
            <w:tcW w:w="1842" w:type="dxa"/>
            <w:shd w:val="clear" w:color="auto" w:fill="auto"/>
            <w:vAlign w:val="center"/>
          </w:tcPr>
          <w:p w14:paraId="38319DF5" w14:textId="77777777" w:rsidR="0026781D" w:rsidRPr="0026781D" w:rsidRDefault="0026781D" w:rsidP="0026781D">
            <w:pPr>
              <w:pStyle w:val="SingleTxtG"/>
              <w:spacing w:before="40" w:after="40" w:line="220" w:lineRule="exact"/>
              <w:ind w:left="0" w:right="0"/>
              <w:jc w:val="left"/>
              <w:rPr>
                <w:sz w:val="18"/>
              </w:rPr>
            </w:pPr>
            <w:r w:rsidRPr="0026781D">
              <w:rPr>
                <w:sz w:val="18"/>
              </w:rPr>
              <w:t>Al-Anbar</w:t>
            </w:r>
          </w:p>
        </w:tc>
        <w:tc>
          <w:tcPr>
            <w:tcW w:w="1842" w:type="dxa"/>
            <w:shd w:val="clear" w:color="auto" w:fill="auto"/>
            <w:vAlign w:val="center"/>
          </w:tcPr>
          <w:p w14:paraId="62857F9E" w14:textId="77777777" w:rsidR="0026781D" w:rsidRPr="0026781D" w:rsidRDefault="0026781D" w:rsidP="0026781D">
            <w:pPr>
              <w:pStyle w:val="SingleTxtG"/>
              <w:spacing w:before="40" w:after="40" w:line="220" w:lineRule="exact"/>
              <w:ind w:left="0" w:right="57"/>
              <w:jc w:val="right"/>
              <w:rPr>
                <w:sz w:val="18"/>
              </w:rPr>
            </w:pPr>
            <w:r w:rsidRPr="0026781D">
              <w:rPr>
                <w:sz w:val="18"/>
              </w:rPr>
              <w:t>942</w:t>
            </w:r>
            <w:r w:rsidR="00F0669B">
              <w:rPr>
                <w:sz w:val="18"/>
              </w:rPr>
              <w:t xml:space="preserve"> </w:t>
            </w:r>
            <w:r w:rsidRPr="0026781D">
              <w:rPr>
                <w:sz w:val="18"/>
              </w:rPr>
              <w:t>265</w:t>
            </w:r>
          </w:p>
        </w:tc>
        <w:tc>
          <w:tcPr>
            <w:tcW w:w="1843" w:type="dxa"/>
            <w:shd w:val="clear" w:color="auto" w:fill="auto"/>
            <w:vAlign w:val="center"/>
          </w:tcPr>
          <w:p w14:paraId="367DB268" w14:textId="77777777" w:rsidR="0026781D" w:rsidRPr="0026781D" w:rsidRDefault="0026781D" w:rsidP="0026781D">
            <w:pPr>
              <w:pStyle w:val="SingleTxtG"/>
              <w:spacing w:before="40" w:after="40" w:line="220" w:lineRule="exact"/>
              <w:ind w:left="0" w:right="0"/>
              <w:jc w:val="right"/>
              <w:rPr>
                <w:sz w:val="18"/>
              </w:rPr>
            </w:pPr>
            <w:r w:rsidRPr="0026781D">
              <w:rPr>
                <w:sz w:val="18"/>
              </w:rPr>
              <w:t>221</w:t>
            </w:r>
          </w:p>
        </w:tc>
        <w:tc>
          <w:tcPr>
            <w:tcW w:w="1843" w:type="dxa"/>
            <w:shd w:val="clear" w:color="auto" w:fill="auto"/>
            <w:vAlign w:val="center"/>
          </w:tcPr>
          <w:p w14:paraId="0F3209BD" w14:textId="77777777" w:rsidR="0026781D" w:rsidRPr="0026781D" w:rsidRDefault="0026781D" w:rsidP="0026781D">
            <w:pPr>
              <w:pStyle w:val="SingleTxtG"/>
              <w:spacing w:before="40" w:after="40" w:line="220" w:lineRule="exact"/>
              <w:ind w:left="0" w:right="0"/>
              <w:jc w:val="right"/>
              <w:rPr>
                <w:sz w:val="18"/>
              </w:rPr>
            </w:pPr>
            <w:r w:rsidRPr="0026781D">
              <w:rPr>
                <w:sz w:val="18"/>
              </w:rPr>
              <w:t>2</w:t>
            </w:r>
          </w:p>
        </w:tc>
      </w:tr>
      <w:tr w:rsidR="0026781D" w:rsidRPr="0040336A" w14:paraId="72F49806" w14:textId="77777777" w:rsidTr="00AC7712">
        <w:tc>
          <w:tcPr>
            <w:tcW w:w="1842" w:type="dxa"/>
            <w:shd w:val="clear" w:color="auto" w:fill="auto"/>
            <w:vAlign w:val="center"/>
          </w:tcPr>
          <w:p w14:paraId="27665CE5" w14:textId="77777777" w:rsidR="0026781D" w:rsidRPr="0026781D" w:rsidRDefault="0026781D" w:rsidP="0026781D">
            <w:pPr>
              <w:pStyle w:val="SingleTxtG"/>
              <w:spacing w:before="40" w:after="40" w:line="220" w:lineRule="exact"/>
              <w:ind w:left="0" w:right="0"/>
              <w:jc w:val="left"/>
              <w:rPr>
                <w:sz w:val="18"/>
              </w:rPr>
            </w:pPr>
            <w:r w:rsidRPr="0026781D">
              <w:rPr>
                <w:sz w:val="18"/>
              </w:rPr>
              <w:t>Bagdad</w:t>
            </w:r>
          </w:p>
        </w:tc>
        <w:tc>
          <w:tcPr>
            <w:tcW w:w="1842" w:type="dxa"/>
            <w:shd w:val="clear" w:color="auto" w:fill="auto"/>
            <w:vAlign w:val="center"/>
          </w:tcPr>
          <w:p w14:paraId="1D0688B9" w14:textId="77777777" w:rsidR="0026781D" w:rsidRPr="0026781D" w:rsidRDefault="0026781D" w:rsidP="0026781D">
            <w:pPr>
              <w:pStyle w:val="SingleTxtG"/>
              <w:spacing w:before="40" w:after="40" w:line="220" w:lineRule="exact"/>
              <w:ind w:left="0" w:right="57"/>
              <w:jc w:val="right"/>
              <w:rPr>
                <w:sz w:val="18"/>
              </w:rPr>
            </w:pPr>
            <w:r w:rsidRPr="0026781D">
              <w:rPr>
                <w:sz w:val="18"/>
              </w:rPr>
              <w:t>9</w:t>
            </w:r>
            <w:r w:rsidR="00F0669B">
              <w:rPr>
                <w:sz w:val="18"/>
              </w:rPr>
              <w:t xml:space="preserve"> </w:t>
            </w:r>
            <w:r w:rsidRPr="0026781D">
              <w:rPr>
                <w:sz w:val="18"/>
              </w:rPr>
              <w:t>013</w:t>
            </w:r>
            <w:r w:rsidR="00F0669B">
              <w:rPr>
                <w:sz w:val="18"/>
              </w:rPr>
              <w:t xml:space="preserve"> </w:t>
            </w:r>
            <w:r w:rsidRPr="0026781D">
              <w:rPr>
                <w:sz w:val="18"/>
              </w:rPr>
              <w:t>423</w:t>
            </w:r>
          </w:p>
        </w:tc>
        <w:tc>
          <w:tcPr>
            <w:tcW w:w="1843" w:type="dxa"/>
            <w:shd w:val="clear" w:color="auto" w:fill="auto"/>
            <w:vAlign w:val="center"/>
          </w:tcPr>
          <w:p w14:paraId="1EB7D848" w14:textId="77777777" w:rsidR="0026781D" w:rsidRPr="0026781D" w:rsidRDefault="0026781D" w:rsidP="0026781D">
            <w:pPr>
              <w:pStyle w:val="SingleTxtG"/>
              <w:spacing w:before="40" w:after="40" w:line="220" w:lineRule="exact"/>
              <w:ind w:left="0" w:right="0"/>
              <w:jc w:val="right"/>
              <w:rPr>
                <w:sz w:val="18"/>
              </w:rPr>
            </w:pPr>
            <w:r w:rsidRPr="0026781D">
              <w:rPr>
                <w:sz w:val="18"/>
              </w:rPr>
              <w:t>3</w:t>
            </w:r>
            <w:r w:rsidR="00F0669B">
              <w:rPr>
                <w:sz w:val="18"/>
              </w:rPr>
              <w:t xml:space="preserve"> </w:t>
            </w:r>
            <w:r w:rsidRPr="0026781D">
              <w:rPr>
                <w:sz w:val="18"/>
              </w:rPr>
              <w:t>960</w:t>
            </w:r>
          </w:p>
        </w:tc>
        <w:tc>
          <w:tcPr>
            <w:tcW w:w="1843" w:type="dxa"/>
            <w:shd w:val="clear" w:color="auto" w:fill="auto"/>
            <w:vAlign w:val="center"/>
          </w:tcPr>
          <w:p w14:paraId="0DF1090B" w14:textId="77777777" w:rsidR="0026781D" w:rsidRPr="0026781D" w:rsidRDefault="0026781D" w:rsidP="0026781D">
            <w:pPr>
              <w:pStyle w:val="SingleTxtG"/>
              <w:spacing w:before="40" w:after="40" w:line="220" w:lineRule="exact"/>
              <w:ind w:left="0" w:right="0"/>
              <w:jc w:val="right"/>
              <w:rPr>
                <w:sz w:val="18"/>
              </w:rPr>
            </w:pPr>
            <w:r w:rsidRPr="0026781D">
              <w:rPr>
                <w:sz w:val="18"/>
              </w:rPr>
              <w:t>51</w:t>
            </w:r>
            <w:r w:rsidR="00F0669B">
              <w:rPr>
                <w:sz w:val="18"/>
              </w:rPr>
              <w:t xml:space="preserve"> </w:t>
            </w:r>
            <w:r w:rsidRPr="0026781D">
              <w:rPr>
                <w:sz w:val="18"/>
              </w:rPr>
              <w:t>426</w:t>
            </w:r>
          </w:p>
        </w:tc>
      </w:tr>
      <w:tr w:rsidR="0026781D" w:rsidRPr="0040336A" w14:paraId="0B170D13" w14:textId="77777777" w:rsidTr="00AC7712">
        <w:tc>
          <w:tcPr>
            <w:tcW w:w="1842" w:type="dxa"/>
            <w:shd w:val="clear" w:color="auto" w:fill="auto"/>
            <w:vAlign w:val="center"/>
          </w:tcPr>
          <w:p w14:paraId="2C7924C1" w14:textId="77777777" w:rsidR="0026781D" w:rsidRPr="0026781D" w:rsidRDefault="0026781D" w:rsidP="0026781D">
            <w:pPr>
              <w:pStyle w:val="SingleTxtG"/>
              <w:spacing w:before="40" w:after="40" w:line="220" w:lineRule="exact"/>
              <w:ind w:left="0" w:right="0"/>
              <w:jc w:val="left"/>
              <w:rPr>
                <w:sz w:val="18"/>
              </w:rPr>
            </w:pPr>
            <w:r w:rsidRPr="0026781D">
              <w:rPr>
                <w:sz w:val="18"/>
              </w:rPr>
              <w:t>Babel</w:t>
            </w:r>
          </w:p>
        </w:tc>
        <w:tc>
          <w:tcPr>
            <w:tcW w:w="1842" w:type="dxa"/>
            <w:shd w:val="clear" w:color="auto" w:fill="auto"/>
            <w:vAlign w:val="center"/>
          </w:tcPr>
          <w:p w14:paraId="3E83BC48"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698</w:t>
            </w:r>
            <w:r w:rsidR="00F0669B">
              <w:rPr>
                <w:sz w:val="18"/>
              </w:rPr>
              <w:t xml:space="preserve"> </w:t>
            </w:r>
            <w:r w:rsidRPr="0026781D">
              <w:rPr>
                <w:sz w:val="18"/>
              </w:rPr>
              <w:t>916</w:t>
            </w:r>
          </w:p>
        </w:tc>
        <w:tc>
          <w:tcPr>
            <w:tcW w:w="1843" w:type="dxa"/>
            <w:shd w:val="clear" w:color="auto" w:fill="auto"/>
            <w:vAlign w:val="center"/>
          </w:tcPr>
          <w:p w14:paraId="5EDAEA86" w14:textId="77777777" w:rsidR="0026781D" w:rsidRPr="0026781D" w:rsidRDefault="0026781D" w:rsidP="0026781D">
            <w:pPr>
              <w:pStyle w:val="SingleTxtG"/>
              <w:spacing w:before="40" w:after="40" w:line="220" w:lineRule="exact"/>
              <w:ind w:left="0" w:right="0"/>
              <w:jc w:val="right"/>
              <w:rPr>
                <w:sz w:val="18"/>
              </w:rPr>
            </w:pPr>
            <w:r w:rsidRPr="0026781D">
              <w:rPr>
                <w:sz w:val="18"/>
              </w:rPr>
              <w:t>3</w:t>
            </w:r>
            <w:r w:rsidR="00F0669B">
              <w:rPr>
                <w:sz w:val="18"/>
              </w:rPr>
              <w:t xml:space="preserve"> </w:t>
            </w:r>
            <w:r w:rsidRPr="0026781D">
              <w:rPr>
                <w:sz w:val="18"/>
              </w:rPr>
              <w:t>479</w:t>
            </w:r>
          </w:p>
        </w:tc>
        <w:tc>
          <w:tcPr>
            <w:tcW w:w="1843" w:type="dxa"/>
            <w:shd w:val="clear" w:color="auto" w:fill="auto"/>
            <w:vAlign w:val="center"/>
          </w:tcPr>
          <w:p w14:paraId="0F6404C1" w14:textId="77777777" w:rsidR="0026781D" w:rsidRPr="0026781D" w:rsidRDefault="0026781D" w:rsidP="0026781D">
            <w:pPr>
              <w:pStyle w:val="SingleTxtG"/>
              <w:spacing w:before="40" w:after="40" w:line="220" w:lineRule="exact"/>
              <w:ind w:left="0" w:right="0"/>
              <w:jc w:val="right"/>
              <w:rPr>
                <w:sz w:val="18"/>
              </w:rPr>
            </w:pPr>
            <w:r w:rsidRPr="0026781D">
              <w:rPr>
                <w:sz w:val="18"/>
              </w:rPr>
              <w:t>95</w:t>
            </w:r>
            <w:r w:rsidR="00F0669B">
              <w:rPr>
                <w:sz w:val="18"/>
              </w:rPr>
              <w:t xml:space="preserve"> </w:t>
            </w:r>
            <w:r w:rsidRPr="0026781D">
              <w:rPr>
                <w:sz w:val="18"/>
              </w:rPr>
              <w:t>949</w:t>
            </w:r>
          </w:p>
        </w:tc>
      </w:tr>
      <w:tr w:rsidR="0026781D" w:rsidRPr="0040336A" w14:paraId="20FD3EF1" w14:textId="77777777" w:rsidTr="00AC7712">
        <w:tc>
          <w:tcPr>
            <w:tcW w:w="1842" w:type="dxa"/>
            <w:shd w:val="clear" w:color="auto" w:fill="auto"/>
            <w:vAlign w:val="center"/>
          </w:tcPr>
          <w:p w14:paraId="0E5D44C8" w14:textId="77777777" w:rsidR="0026781D" w:rsidRPr="0026781D" w:rsidRDefault="0026781D" w:rsidP="0026781D">
            <w:pPr>
              <w:pStyle w:val="SingleTxtG"/>
              <w:spacing w:before="40" w:after="40" w:line="220" w:lineRule="exact"/>
              <w:ind w:left="0" w:right="0"/>
              <w:jc w:val="left"/>
              <w:rPr>
                <w:sz w:val="18"/>
              </w:rPr>
            </w:pPr>
            <w:r w:rsidRPr="0026781D">
              <w:rPr>
                <w:sz w:val="18"/>
              </w:rPr>
              <w:t>Kerbala</w:t>
            </w:r>
          </w:p>
        </w:tc>
        <w:tc>
          <w:tcPr>
            <w:tcW w:w="1842" w:type="dxa"/>
            <w:shd w:val="clear" w:color="auto" w:fill="auto"/>
            <w:vAlign w:val="center"/>
          </w:tcPr>
          <w:p w14:paraId="2B246CF2"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268</w:t>
            </w:r>
            <w:r w:rsidR="00F0669B">
              <w:rPr>
                <w:sz w:val="18"/>
              </w:rPr>
              <w:t xml:space="preserve"> </w:t>
            </w:r>
            <w:r w:rsidRPr="0026781D">
              <w:rPr>
                <w:sz w:val="18"/>
              </w:rPr>
              <w:t>924</w:t>
            </w:r>
          </w:p>
        </w:tc>
        <w:tc>
          <w:tcPr>
            <w:tcW w:w="1843" w:type="dxa"/>
            <w:shd w:val="clear" w:color="auto" w:fill="auto"/>
            <w:vAlign w:val="center"/>
          </w:tcPr>
          <w:p w14:paraId="2F7453E9" w14:textId="77777777" w:rsidR="0026781D" w:rsidRPr="0026781D" w:rsidRDefault="0026781D" w:rsidP="0026781D">
            <w:pPr>
              <w:pStyle w:val="SingleTxtG"/>
              <w:spacing w:before="40" w:after="40" w:line="220" w:lineRule="exact"/>
              <w:ind w:left="0" w:right="0"/>
              <w:jc w:val="right"/>
              <w:rPr>
                <w:sz w:val="18"/>
              </w:rPr>
            </w:pPr>
            <w:r w:rsidRPr="0026781D">
              <w:rPr>
                <w:sz w:val="18"/>
              </w:rPr>
              <w:t>4</w:t>
            </w:r>
            <w:r w:rsidR="00F0669B">
              <w:rPr>
                <w:sz w:val="18"/>
              </w:rPr>
              <w:t xml:space="preserve"> </w:t>
            </w:r>
            <w:r w:rsidRPr="0026781D">
              <w:rPr>
                <w:sz w:val="18"/>
              </w:rPr>
              <w:t>187</w:t>
            </w:r>
          </w:p>
        </w:tc>
        <w:tc>
          <w:tcPr>
            <w:tcW w:w="1843" w:type="dxa"/>
            <w:shd w:val="clear" w:color="auto" w:fill="auto"/>
            <w:vAlign w:val="center"/>
          </w:tcPr>
          <w:p w14:paraId="1CC3DCE0" w14:textId="77777777" w:rsidR="0026781D" w:rsidRPr="0026781D" w:rsidRDefault="0026781D" w:rsidP="0026781D">
            <w:pPr>
              <w:pStyle w:val="SingleTxtG"/>
              <w:spacing w:before="40" w:after="40" w:line="220" w:lineRule="exact"/>
              <w:ind w:left="0" w:right="0"/>
              <w:jc w:val="right"/>
              <w:rPr>
                <w:sz w:val="18"/>
              </w:rPr>
            </w:pPr>
            <w:r w:rsidRPr="0026781D">
              <w:rPr>
                <w:sz w:val="18"/>
              </w:rPr>
              <w:t>32</w:t>
            </w:r>
            <w:r w:rsidR="00F0669B">
              <w:rPr>
                <w:sz w:val="18"/>
              </w:rPr>
              <w:t xml:space="preserve"> </w:t>
            </w:r>
            <w:r w:rsidRPr="0026781D">
              <w:rPr>
                <w:sz w:val="18"/>
              </w:rPr>
              <w:t>473</w:t>
            </w:r>
          </w:p>
        </w:tc>
      </w:tr>
      <w:tr w:rsidR="0026781D" w:rsidRPr="0040336A" w14:paraId="10E7693D" w14:textId="77777777" w:rsidTr="00AC7712">
        <w:tc>
          <w:tcPr>
            <w:tcW w:w="1842" w:type="dxa"/>
            <w:shd w:val="clear" w:color="auto" w:fill="auto"/>
            <w:vAlign w:val="center"/>
          </w:tcPr>
          <w:p w14:paraId="2E64548E" w14:textId="77777777" w:rsidR="0026781D" w:rsidRPr="0026781D" w:rsidRDefault="0026781D" w:rsidP="0026781D">
            <w:pPr>
              <w:pStyle w:val="SingleTxtG"/>
              <w:spacing w:before="40" w:after="40" w:line="220" w:lineRule="exact"/>
              <w:ind w:left="0" w:right="0"/>
              <w:jc w:val="left"/>
              <w:rPr>
                <w:sz w:val="18"/>
              </w:rPr>
            </w:pPr>
            <w:r w:rsidRPr="0026781D">
              <w:rPr>
                <w:sz w:val="18"/>
              </w:rPr>
              <w:t>Wasit</w:t>
            </w:r>
          </w:p>
        </w:tc>
        <w:tc>
          <w:tcPr>
            <w:tcW w:w="1842" w:type="dxa"/>
            <w:shd w:val="clear" w:color="auto" w:fill="auto"/>
            <w:vAlign w:val="center"/>
          </w:tcPr>
          <w:p w14:paraId="5A0C9D7B"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120</w:t>
            </w:r>
            <w:r w:rsidR="00F0669B">
              <w:rPr>
                <w:sz w:val="18"/>
              </w:rPr>
              <w:t xml:space="preserve"> </w:t>
            </w:r>
            <w:r w:rsidRPr="0026781D">
              <w:rPr>
                <w:sz w:val="18"/>
              </w:rPr>
              <w:t>169</w:t>
            </w:r>
          </w:p>
        </w:tc>
        <w:tc>
          <w:tcPr>
            <w:tcW w:w="1843" w:type="dxa"/>
            <w:shd w:val="clear" w:color="auto" w:fill="auto"/>
            <w:vAlign w:val="center"/>
          </w:tcPr>
          <w:p w14:paraId="310265FB"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c>
          <w:tcPr>
            <w:tcW w:w="1843" w:type="dxa"/>
            <w:shd w:val="clear" w:color="auto" w:fill="auto"/>
            <w:vAlign w:val="center"/>
          </w:tcPr>
          <w:p w14:paraId="440F100C" w14:textId="77777777" w:rsidR="0026781D" w:rsidRPr="0026781D" w:rsidRDefault="0026781D" w:rsidP="0026781D">
            <w:pPr>
              <w:pStyle w:val="SingleTxtG"/>
              <w:spacing w:before="40" w:after="40" w:line="220" w:lineRule="exact"/>
              <w:ind w:left="0" w:right="0"/>
              <w:jc w:val="right"/>
              <w:rPr>
                <w:sz w:val="18"/>
              </w:rPr>
            </w:pPr>
            <w:r w:rsidRPr="0026781D">
              <w:rPr>
                <w:sz w:val="18"/>
              </w:rPr>
              <w:t>518</w:t>
            </w:r>
          </w:p>
        </w:tc>
      </w:tr>
      <w:tr w:rsidR="0026781D" w:rsidRPr="0040336A" w14:paraId="5B009F67" w14:textId="77777777" w:rsidTr="00AC7712">
        <w:tc>
          <w:tcPr>
            <w:tcW w:w="1842" w:type="dxa"/>
            <w:shd w:val="clear" w:color="auto" w:fill="auto"/>
            <w:vAlign w:val="center"/>
          </w:tcPr>
          <w:p w14:paraId="18BD0A93" w14:textId="77777777" w:rsidR="0026781D" w:rsidRPr="0026781D" w:rsidRDefault="0026781D" w:rsidP="0026781D">
            <w:pPr>
              <w:pStyle w:val="SingleTxtG"/>
              <w:spacing w:before="40" w:after="40" w:line="220" w:lineRule="exact"/>
              <w:ind w:left="0" w:right="0"/>
              <w:jc w:val="left"/>
              <w:rPr>
                <w:sz w:val="18"/>
              </w:rPr>
            </w:pPr>
            <w:r w:rsidRPr="0026781D">
              <w:rPr>
                <w:sz w:val="18"/>
              </w:rPr>
              <w:t>Salah ad-Din</w:t>
            </w:r>
          </w:p>
        </w:tc>
        <w:tc>
          <w:tcPr>
            <w:tcW w:w="1842" w:type="dxa"/>
            <w:shd w:val="clear" w:color="auto" w:fill="auto"/>
            <w:vAlign w:val="center"/>
          </w:tcPr>
          <w:p w14:paraId="274B72D5"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070</w:t>
            </w:r>
            <w:r w:rsidR="00F0669B">
              <w:rPr>
                <w:sz w:val="18"/>
              </w:rPr>
              <w:t xml:space="preserve"> </w:t>
            </w:r>
            <w:r w:rsidRPr="0026781D">
              <w:rPr>
                <w:sz w:val="18"/>
              </w:rPr>
              <w:t>802</w:t>
            </w:r>
          </w:p>
        </w:tc>
        <w:tc>
          <w:tcPr>
            <w:tcW w:w="1843" w:type="dxa"/>
            <w:shd w:val="clear" w:color="auto" w:fill="auto"/>
            <w:vAlign w:val="center"/>
          </w:tcPr>
          <w:p w14:paraId="14812F85" w14:textId="77777777" w:rsidR="0026781D" w:rsidRPr="0026781D" w:rsidRDefault="0026781D" w:rsidP="0026781D">
            <w:pPr>
              <w:pStyle w:val="SingleTxtG"/>
              <w:spacing w:before="40" w:after="40" w:line="220" w:lineRule="exact"/>
              <w:ind w:left="0" w:right="0"/>
              <w:jc w:val="right"/>
              <w:rPr>
                <w:sz w:val="18"/>
              </w:rPr>
            </w:pPr>
            <w:r w:rsidRPr="0026781D">
              <w:rPr>
                <w:sz w:val="18"/>
              </w:rPr>
              <w:t>9</w:t>
            </w:r>
            <w:r w:rsidR="00F0669B">
              <w:rPr>
                <w:sz w:val="18"/>
              </w:rPr>
              <w:t xml:space="preserve"> </w:t>
            </w:r>
            <w:r w:rsidRPr="0026781D">
              <w:rPr>
                <w:sz w:val="18"/>
              </w:rPr>
              <w:t>710</w:t>
            </w:r>
          </w:p>
        </w:tc>
        <w:tc>
          <w:tcPr>
            <w:tcW w:w="1843" w:type="dxa"/>
            <w:shd w:val="clear" w:color="auto" w:fill="auto"/>
            <w:vAlign w:val="center"/>
          </w:tcPr>
          <w:p w14:paraId="3B08C880"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r>
      <w:tr w:rsidR="0026781D" w:rsidRPr="0040336A" w14:paraId="265A08B2" w14:textId="77777777" w:rsidTr="00AC7712">
        <w:tc>
          <w:tcPr>
            <w:tcW w:w="1842" w:type="dxa"/>
            <w:shd w:val="clear" w:color="auto" w:fill="auto"/>
            <w:vAlign w:val="center"/>
          </w:tcPr>
          <w:p w14:paraId="41F02881" w14:textId="77777777" w:rsidR="0026781D" w:rsidRPr="0026781D" w:rsidRDefault="0026781D" w:rsidP="0026781D">
            <w:pPr>
              <w:pStyle w:val="SingleTxtG"/>
              <w:spacing w:before="40" w:after="40" w:line="220" w:lineRule="exact"/>
              <w:ind w:left="0" w:right="0"/>
              <w:jc w:val="left"/>
              <w:rPr>
                <w:sz w:val="18"/>
              </w:rPr>
            </w:pPr>
            <w:r w:rsidRPr="0026781D">
              <w:rPr>
                <w:sz w:val="18"/>
              </w:rPr>
              <w:t>Al-Nayaf</w:t>
            </w:r>
          </w:p>
        </w:tc>
        <w:tc>
          <w:tcPr>
            <w:tcW w:w="1842" w:type="dxa"/>
            <w:shd w:val="clear" w:color="auto" w:fill="auto"/>
            <w:vAlign w:val="center"/>
          </w:tcPr>
          <w:p w14:paraId="354EC0E5"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537</w:t>
            </w:r>
            <w:r w:rsidR="00F0669B">
              <w:rPr>
                <w:sz w:val="18"/>
              </w:rPr>
              <w:t xml:space="preserve"> </w:t>
            </w:r>
            <w:r w:rsidRPr="0026781D">
              <w:rPr>
                <w:sz w:val="18"/>
              </w:rPr>
              <w:t>600</w:t>
            </w:r>
          </w:p>
        </w:tc>
        <w:tc>
          <w:tcPr>
            <w:tcW w:w="1843" w:type="dxa"/>
            <w:shd w:val="clear" w:color="auto" w:fill="auto"/>
            <w:vAlign w:val="center"/>
          </w:tcPr>
          <w:p w14:paraId="294AD77A" w14:textId="77777777" w:rsidR="0026781D" w:rsidRPr="0026781D" w:rsidRDefault="0026781D" w:rsidP="0026781D">
            <w:pPr>
              <w:pStyle w:val="SingleTxtG"/>
              <w:spacing w:before="40" w:after="40" w:line="220" w:lineRule="exact"/>
              <w:ind w:left="0" w:right="0"/>
              <w:jc w:val="right"/>
              <w:rPr>
                <w:sz w:val="18"/>
              </w:rPr>
            </w:pPr>
            <w:r w:rsidRPr="0026781D">
              <w:rPr>
                <w:sz w:val="18"/>
              </w:rPr>
              <w:t>8</w:t>
            </w:r>
            <w:r w:rsidR="00F0669B">
              <w:rPr>
                <w:sz w:val="18"/>
              </w:rPr>
              <w:t xml:space="preserve"> </w:t>
            </w:r>
            <w:r w:rsidRPr="0026781D">
              <w:rPr>
                <w:sz w:val="18"/>
              </w:rPr>
              <w:t>164</w:t>
            </w:r>
          </w:p>
        </w:tc>
        <w:tc>
          <w:tcPr>
            <w:tcW w:w="1843" w:type="dxa"/>
            <w:shd w:val="clear" w:color="auto" w:fill="auto"/>
            <w:vAlign w:val="center"/>
          </w:tcPr>
          <w:p w14:paraId="37392555" w14:textId="77777777" w:rsidR="0026781D" w:rsidRPr="0026781D" w:rsidRDefault="0026781D" w:rsidP="0026781D">
            <w:pPr>
              <w:pStyle w:val="SingleTxtG"/>
              <w:spacing w:before="40" w:after="40" w:line="220" w:lineRule="exact"/>
              <w:ind w:left="0" w:right="0"/>
              <w:jc w:val="right"/>
              <w:rPr>
                <w:sz w:val="18"/>
              </w:rPr>
            </w:pPr>
            <w:r w:rsidRPr="0026781D">
              <w:rPr>
                <w:sz w:val="18"/>
              </w:rPr>
              <w:t>55</w:t>
            </w:r>
            <w:r w:rsidR="00F0669B">
              <w:rPr>
                <w:sz w:val="18"/>
              </w:rPr>
              <w:t xml:space="preserve"> </w:t>
            </w:r>
            <w:r w:rsidRPr="0026781D">
              <w:rPr>
                <w:sz w:val="18"/>
              </w:rPr>
              <w:t>929</w:t>
            </w:r>
          </w:p>
        </w:tc>
      </w:tr>
      <w:tr w:rsidR="0026781D" w:rsidRPr="0040336A" w14:paraId="20A1A022" w14:textId="77777777" w:rsidTr="00AC7712">
        <w:tc>
          <w:tcPr>
            <w:tcW w:w="1842" w:type="dxa"/>
            <w:shd w:val="clear" w:color="auto" w:fill="auto"/>
            <w:vAlign w:val="center"/>
          </w:tcPr>
          <w:p w14:paraId="670C4DD5" w14:textId="77777777" w:rsidR="0026781D" w:rsidRPr="0026781D" w:rsidRDefault="0026781D" w:rsidP="0026781D">
            <w:pPr>
              <w:pStyle w:val="SingleTxtG"/>
              <w:spacing w:before="40" w:after="40" w:line="220" w:lineRule="exact"/>
              <w:ind w:left="0" w:right="0"/>
              <w:jc w:val="left"/>
              <w:rPr>
                <w:sz w:val="18"/>
              </w:rPr>
            </w:pPr>
            <w:r w:rsidRPr="0026781D">
              <w:rPr>
                <w:sz w:val="18"/>
              </w:rPr>
              <w:t>Al-Qadisiya</w:t>
            </w:r>
          </w:p>
        </w:tc>
        <w:tc>
          <w:tcPr>
            <w:tcW w:w="1842" w:type="dxa"/>
            <w:shd w:val="clear" w:color="auto" w:fill="auto"/>
            <w:vAlign w:val="center"/>
          </w:tcPr>
          <w:p w14:paraId="5E12D4EB" w14:textId="77777777" w:rsidR="0026781D" w:rsidRPr="0026781D" w:rsidRDefault="0026781D" w:rsidP="0026781D">
            <w:pPr>
              <w:pStyle w:val="SingleTxtG"/>
              <w:spacing w:before="40" w:after="40" w:line="220" w:lineRule="exact"/>
              <w:ind w:left="0" w:right="57"/>
              <w:jc w:val="right"/>
              <w:rPr>
                <w:sz w:val="18"/>
              </w:rPr>
            </w:pPr>
            <w:r w:rsidRPr="0026781D">
              <w:rPr>
                <w:sz w:val="18"/>
              </w:rPr>
              <w:t>897</w:t>
            </w:r>
            <w:r w:rsidR="00F0669B">
              <w:rPr>
                <w:sz w:val="18"/>
              </w:rPr>
              <w:t xml:space="preserve"> </w:t>
            </w:r>
            <w:r w:rsidRPr="0026781D">
              <w:rPr>
                <w:sz w:val="18"/>
              </w:rPr>
              <w:t>703</w:t>
            </w:r>
          </w:p>
        </w:tc>
        <w:tc>
          <w:tcPr>
            <w:tcW w:w="1843" w:type="dxa"/>
            <w:shd w:val="clear" w:color="auto" w:fill="auto"/>
            <w:vAlign w:val="center"/>
          </w:tcPr>
          <w:p w14:paraId="137F34D5" w14:textId="77777777" w:rsidR="0026781D" w:rsidRPr="0026781D" w:rsidRDefault="0026781D" w:rsidP="0026781D">
            <w:pPr>
              <w:pStyle w:val="SingleTxtG"/>
              <w:spacing w:before="40" w:after="40" w:line="220" w:lineRule="exact"/>
              <w:ind w:left="0" w:right="0"/>
              <w:jc w:val="right"/>
              <w:rPr>
                <w:sz w:val="18"/>
              </w:rPr>
            </w:pPr>
            <w:r w:rsidRPr="0026781D">
              <w:rPr>
                <w:sz w:val="18"/>
              </w:rPr>
              <w:t>3</w:t>
            </w:r>
            <w:r w:rsidR="00F0669B">
              <w:rPr>
                <w:sz w:val="18"/>
              </w:rPr>
              <w:t xml:space="preserve"> </w:t>
            </w:r>
            <w:r w:rsidRPr="0026781D">
              <w:rPr>
                <w:sz w:val="18"/>
              </w:rPr>
              <w:t>977</w:t>
            </w:r>
          </w:p>
        </w:tc>
        <w:tc>
          <w:tcPr>
            <w:tcW w:w="1843" w:type="dxa"/>
            <w:shd w:val="clear" w:color="auto" w:fill="auto"/>
            <w:vAlign w:val="center"/>
          </w:tcPr>
          <w:p w14:paraId="121A93B7" w14:textId="77777777" w:rsidR="0026781D" w:rsidRPr="0026781D" w:rsidRDefault="0026781D" w:rsidP="0026781D">
            <w:pPr>
              <w:pStyle w:val="SingleTxtG"/>
              <w:spacing w:before="40" w:after="40" w:line="220" w:lineRule="exact"/>
              <w:ind w:left="0" w:right="0"/>
              <w:jc w:val="right"/>
              <w:rPr>
                <w:sz w:val="18"/>
              </w:rPr>
            </w:pPr>
            <w:r w:rsidRPr="0026781D">
              <w:rPr>
                <w:sz w:val="18"/>
              </w:rPr>
              <w:t>4</w:t>
            </w:r>
            <w:r w:rsidR="00F0669B">
              <w:rPr>
                <w:sz w:val="18"/>
              </w:rPr>
              <w:t xml:space="preserve"> </w:t>
            </w:r>
            <w:r w:rsidRPr="0026781D">
              <w:rPr>
                <w:sz w:val="18"/>
              </w:rPr>
              <w:t>892</w:t>
            </w:r>
          </w:p>
        </w:tc>
      </w:tr>
      <w:tr w:rsidR="0026781D" w:rsidRPr="0040336A" w14:paraId="1608EC26" w14:textId="77777777" w:rsidTr="00AC7712">
        <w:tc>
          <w:tcPr>
            <w:tcW w:w="1842" w:type="dxa"/>
            <w:shd w:val="clear" w:color="auto" w:fill="auto"/>
            <w:vAlign w:val="center"/>
          </w:tcPr>
          <w:p w14:paraId="73890B38" w14:textId="77777777" w:rsidR="0026781D" w:rsidRPr="0026781D" w:rsidRDefault="0026781D" w:rsidP="0026781D">
            <w:pPr>
              <w:pStyle w:val="SingleTxtG"/>
              <w:spacing w:before="40" w:after="40" w:line="220" w:lineRule="exact"/>
              <w:ind w:left="0" w:right="0"/>
              <w:jc w:val="left"/>
              <w:rPr>
                <w:sz w:val="18"/>
              </w:rPr>
            </w:pPr>
            <w:r w:rsidRPr="0026781D">
              <w:rPr>
                <w:sz w:val="18"/>
              </w:rPr>
              <w:t>Al-Muthanna</w:t>
            </w:r>
          </w:p>
        </w:tc>
        <w:tc>
          <w:tcPr>
            <w:tcW w:w="1842" w:type="dxa"/>
            <w:shd w:val="clear" w:color="auto" w:fill="auto"/>
            <w:vAlign w:val="center"/>
          </w:tcPr>
          <w:p w14:paraId="6B805F7F" w14:textId="77777777" w:rsidR="0026781D" w:rsidRPr="0026781D" w:rsidRDefault="0026781D" w:rsidP="0026781D">
            <w:pPr>
              <w:pStyle w:val="SingleTxtG"/>
              <w:spacing w:before="40" w:after="40" w:line="220" w:lineRule="exact"/>
              <w:ind w:left="0" w:right="57"/>
              <w:jc w:val="right"/>
              <w:rPr>
                <w:sz w:val="18"/>
              </w:rPr>
            </w:pPr>
            <w:r w:rsidRPr="0026781D">
              <w:rPr>
                <w:sz w:val="18"/>
              </w:rPr>
              <w:t>615</w:t>
            </w:r>
            <w:r w:rsidR="00F0669B">
              <w:rPr>
                <w:sz w:val="18"/>
              </w:rPr>
              <w:t xml:space="preserve"> </w:t>
            </w:r>
            <w:r w:rsidRPr="0026781D">
              <w:rPr>
                <w:sz w:val="18"/>
              </w:rPr>
              <w:t>946</w:t>
            </w:r>
          </w:p>
        </w:tc>
        <w:tc>
          <w:tcPr>
            <w:tcW w:w="1843" w:type="dxa"/>
            <w:shd w:val="clear" w:color="auto" w:fill="auto"/>
            <w:vAlign w:val="center"/>
          </w:tcPr>
          <w:p w14:paraId="36DC8A97"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c>
          <w:tcPr>
            <w:tcW w:w="1843" w:type="dxa"/>
            <w:shd w:val="clear" w:color="auto" w:fill="auto"/>
            <w:vAlign w:val="center"/>
          </w:tcPr>
          <w:p w14:paraId="45BD9BA5" w14:textId="77777777" w:rsidR="0026781D" w:rsidRPr="0026781D" w:rsidRDefault="0026781D" w:rsidP="0026781D">
            <w:pPr>
              <w:pStyle w:val="SingleTxtG"/>
              <w:spacing w:before="40" w:after="40" w:line="220" w:lineRule="exact"/>
              <w:ind w:left="0" w:right="0"/>
              <w:jc w:val="right"/>
              <w:rPr>
                <w:sz w:val="18"/>
              </w:rPr>
            </w:pPr>
            <w:r w:rsidRPr="0026781D">
              <w:rPr>
                <w:sz w:val="18"/>
              </w:rPr>
              <w:t>4</w:t>
            </w:r>
            <w:r w:rsidR="00F0669B">
              <w:rPr>
                <w:sz w:val="18"/>
              </w:rPr>
              <w:t xml:space="preserve"> </w:t>
            </w:r>
            <w:r w:rsidRPr="0026781D">
              <w:rPr>
                <w:sz w:val="18"/>
              </w:rPr>
              <w:t>611</w:t>
            </w:r>
          </w:p>
        </w:tc>
      </w:tr>
      <w:tr w:rsidR="0026781D" w:rsidRPr="0040336A" w14:paraId="6C8C473F" w14:textId="77777777" w:rsidTr="00AC7712">
        <w:tc>
          <w:tcPr>
            <w:tcW w:w="1842" w:type="dxa"/>
            <w:shd w:val="clear" w:color="auto" w:fill="auto"/>
            <w:vAlign w:val="center"/>
          </w:tcPr>
          <w:p w14:paraId="6F583429" w14:textId="77777777" w:rsidR="0026781D" w:rsidRPr="0026781D" w:rsidRDefault="0026781D" w:rsidP="0026781D">
            <w:pPr>
              <w:pStyle w:val="SingleTxtG"/>
              <w:spacing w:before="40" w:after="40" w:line="220" w:lineRule="exact"/>
              <w:ind w:left="0" w:right="0"/>
              <w:jc w:val="left"/>
              <w:rPr>
                <w:sz w:val="18"/>
              </w:rPr>
            </w:pPr>
            <w:r w:rsidRPr="0026781D">
              <w:rPr>
                <w:sz w:val="18"/>
              </w:rPr>
              <w:t>Dhi Qar</w:t>
            </w:r>
          </w:p>
        </w:tc>
        <w:tc>
          <w:tcPr>
            <w:tcW w:w="1842" w:type="dxa"/>
            <w:shd w:val="clear" w:color="auto" w:fill="auto"/>
            <w:vAlign w:val="center"/>
          </w:tcPr>
          <w:p w14:paraId="25D5F83D"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540</w:t>
            </w:r>
            <w:r w:rsidR="00F0669B">
              <w:rPr>
                <w:sz w:val="18"/>
              </w:rPr>
              <w:t xml:space="preserve"> </w:t>
            </w:r>
            <w:r w:rsidRPr="0026781D">
              <w:rPr>
                <w:sz w:val="18"/>
              </w:rPr>
              <w:t>100</w:t>
            </w:r>
          </w:p>
        </w:tc>
        <w:tc>
          <w:tcPr>
            <w:tcW w:w="1843" w:type="dxa"/>
            <w:shd w:val="clear" w:color="auto" w:fill="auto"/>
            <w:vAlign w:val="center"/>
          </w:tcPr>
          <w:p w14:paraId="1CA11301"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c>
          <w:tcPr>
            <w:tcW w:w="1843" w:type="dxa"/>
            <w:shd w:val="clear" w:color="auto" w:fill="auto"/>
            <w:vAlign w:val="center"/>
          </w:tcPr>
          <w:p w14:paraId="6A62D4D8" w14:textId="77777777" w:rsidR="0026781D" w:rsidRPr="0026781D" w:rsidRDefault="0026781D" w:rsidP="0026781D">
            <w:pPr>
              <w:pStyle w:val="SingleTxtG"/>
              <w:spacing w:before="40" w:after="40" w:line="220" w:lineRule="exact"/>
              <w:ind w:left="0" w:right="0"/>
              <w:jc w:val="right"/>
              <w:rPr>
                <w:sz w:val="18"/>
              </w:rPr>
            </w:pPr>
            <w:r w:rsidRPr="0026781D">
              <w:rPr>
                <w:sz w:val="18"/>
              </w:rPr>
              <w:t>322</w:t>
            </w:r>
          </w:p>
        </w:tc>
      </w:tr>
      <w:tr w:rsidR="0026781D" w:rsidRPr="0040336A" w14:paraId="2E7DF67C" w14:textId="77777777" w:rsidTr="00AC7712">
        <w:tc>
          <w:tcPr>
            <w:tcW w:w="1842" w:type="dxa"/>
            <w:shd w:val="clear" w:color="auto" w:fill="auto"/>
            <w:vAlign w:val="center"/>
          </w:tcPr>
          <w:p w14:paraId="5C96217D" w14:textId="77777777" w:rsidR="0026781D" w:rsidRPr="0026781D" w:rsidRDefault="0026781D" w:rsidP="0026781D">
            <w:pPr>
              <w:pStyle w:val="SingleTxtG"/>
              <w:spacing w:before="40" w:after="40" w:line="220" w:lineRule="exact"/>
              <w:ind w:left="0" w:right="0"/>
              <w:jc w:val="left"/>
              <w:rPr>
                <w:sz w:val="18"/>
              </w:rPr>
            </w:pPr>
            <w:r w:rsidRPr="0026781D">
              <w:rPr>
                <w:sz w:val="18"/>
              </w:rPr>
              <w:t>Misan</w:t>
            </w:r>
          </w:p>
        </w:tc>
        <w:tc>
          <w:tcPr>
            <w:tcW w:w="1842" w:type="dxa"/>
            <w:shd w:val="clear" w:color="auto" w:fill="auto"/>
            <w:vAlign w:val="center"/>
          </w:tcPr>
          <w:p w14:paraId="068F9DF1" w14:textId="77777777" w:rsidR="0026781D" w:rsidRPr="0026781D" w:rsidRDefault="0026781D" w:rsidP="0026781D">
            <w:pPr>
              <w:pStyle w:val="SingleTxtG"/>
              <w:spacing w:before="40" w:after="40" w:line="220" w:lineRule="exact"/>
              <w:ind w:left="0" w:right="57"/>
              <w:jc w:val="right"/>
              <w:rPr>
                <w:sz w:val="18"/>
              </w:rPr>
            </w:pPr>
            <w:r w:rsidRPr="0026781D">
              <w:rPr>
                <w:sz w:val="18"/>
              </w:rPr>
              <w:t>853</w:t>
            </w:r>
            <w:r w:rsidR="00F0669B">
              <w:rPr>
                <w:sz w:val="18"/>
              </w:rPr>
              <w:t xml:space="preserve"> </w:t>
            </w:r>
            <w:r w:rsidRPr="0026781D">
              <w:rPr>
                <w:sz w:val="18"/>
              </w:rPr>
              <w:t>748</w:t>
            </w:r>
          </w:p>
        </w:tc>
        <w:tc>
          <w:tcPr>
            <w:tcW w:w="1843" w:type="dxa"/>
            <w:shd w:val="clear" w:color="auto" w:fill="auto"/>
            <w:vAlign w:val="center"/>
          </w:tcPr>
          <w:p w14:paraId="4EAADEBF"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c>
          <w:tcPr>
            <w:tcW w:w="1843" w:type="dxa"/>
            <w:shd w:val="clear" w:color="auto" w:fill="auto"/>
            <w:vAlign w:val="center"/>
          </w:tcPr>
          <w:p w14:paraId="0C302812" w14:textId="77777777" w:rsidR="0026781D" w:rsidRPr="0026781D" w:rsidRDefault="0026781D" w:rsidP="0026781D">
            <w:pPr>
              <w:pStyle w:val="SingleTxtG"/>
              <w:spacing w:before="40" w:after="40" w:line="220" w:lineRule="exact"/>
              <w:ind w:left="0" w:right="0"/>
              <w:jc w:val="right"/>
              <w:rPr>
                <w:sz w:val="18"/>
              </w:rPr>
            </w:pPr>
            <w:r w:rsidRPr="0026781D">
              <w:rPr>
                <w:sz w:val="18"/>
              </w:rPr>
              <w:t>74</w:t>
            </w:r>
          </w:p>
        </w:tc>
      </w:tr>
      <w:tr w:rsidR="0026781D" w:rsidRPr="0040336A" w14:paraId="2297C723" w14:textId="77777777" w:rsidTr="00AC7712">
        <w:tc>
          <w:tcPr>
            <w:tcW w:w="1842" w:type="dxa"/>
            <w:shd w:val="clear" w:color="auto" w:fill="auto"/>
            <w:vAlign w:val="center"/>
          </w:tcPr>
          <w:p w14:paraId="3165B283" w14:textId="77777777" w:rsidR="0026781D" w:rsidRPr="0026781D" w:rsidRDefault="0026781D" w:rsidP="0026781D">
            <w:pPr>
              <w:pStyle w:val="SingleTxtG"/>
              <w:spacing w:before="40" w:after="40" w:line="220" w:lineRule="exact"/>
              <w:ind w:left="0" w:right="0"/>
              <w:jc w:val="left"/>
              <w:rPr>
                <w:sz w:val="18"/>
              </w:rPr>
            </w:pPr>
            <w:r w:rsidRPr="0026781D">
              <w:rPr>
                <w:sz w:val="18"/>
              </w:rPr>
              <w:t>Basora</w:t>
            </w:r>
          </w:p>
        </w:tc>
        <w:tc>
          <w:tcPr>
            <w:tcW w:w="1842" w:type="dxa"/>
            <w:shd w:val="clear" w:color="auto" w:fill="auto"/>
            <w:vAlign w:val="center"/>
          </w:tcPr>
          <w:p w14:paraId="257E1FA9" w14:textId="77777777" w:rsidR="0026781D" w:rsidRPr="0026781D" w:rsidRDefault="0026781D" w:rsidP="0026781D">
            <w:pPr>
              <w:pStyle w:val="SingleTxtG"/>
              <w:spacing w:before="40" w:after="40" w:line="220" w:lineRule="exact"/>
              <w:ind w:left="0" w:right="57"/>
              <w:jc w:val="right"/>
              <w:rPr>
                <w:sz w:val="18"/>
              </w:rPr>
            </w:pPr>
            <w:r w:rsidRPr="0026781D">
              <w:rPr>
                <w:sz w:val="18"/>
              </w:rPr>
              <w:t>2</w:t>
            </w:r>
            <w:r w:rsidR="00F0669B">
              <w:rPr>
                <w:sz w:val="18"/>
              </w:rPr>
              <w:t xml:space="preserve"> </w:t>
            </w:r>
            <w:r w:rsidRPr="0026781D">
              <w:rPr>
                <w:sz w:val="18"/>
              </w:rPr>
              <w:t>389</w:t>
            </w:r>
            <w:r w:rsidR="00F0669B">
              <w:rPr>
                <w:sz w:val="18"/>
              </w:rPr>
              <w:t xml:space="preserve"> </w:t>
            </w:r>
            <w:r w:rsidRPr="0026781D">
              <w:rPr>
                <w:sz w:val="18"/>
              </w:rPr>
              <w:t>230</w:t>
            </w:r>
          </w:p>
        </w:tc>
        <w:tc>
          <w:tcPr>
            <w:tcW w:w="1843" w:type="dxa"/>
            <w:shd w:val="clear" w:color="auto" w:fill="auto"/>
            <w:vAlign w:val="center"/>
          </w:tcPr>
          <w:p w14:paraId="72916897" w14:textId="77777777" w:rsidR="0026781D" w:rsidRPr="0026781D" w:rsidRDefault="0026781D" w:rsidP="0026781D">
            <w:pPr>
              <w:pStyle w:val="SingleTxtG"/>
              <w:spacing w:before="40" w:after="40" w:line="220" w:lineRule="exact"/>
              <w:ind w:left="0" w:right="0"/>
              <w:jc w:val="right"/>
              <w:rPr>
                <w:sz w:val="18"/>
              </w:rPr>
            </w:pPr>
            <w:r w:rsidRPr="0026781D">
              <w:rPr>
                <w:sz w:val="18"/>
              </w:rPr>
              <w:t>573</w:t>
            </w:r>
          </w:p>
        </w:tc>
        <w:tc>
          <w:tcPr>
            <w:tcW w:w="1843" w:type="dxa"/>
            <w:shd w:val="clear" w:color="auto" w:fill="auto"/>
            <w:vAlign w:val="center"/>
          </w:tcPr>
          <w:p w14:paraId="4F664CA9" w14:textId="77777777" w:rsidR="0026781D" w:rsidRPr="0026781D" w:rsidRDefault="0026781D" w:rsidP="0026781D">
            <w:pPr>
              <w:pStyle w:val="SingleTxtG"/>
              <w:spacing w:before="40" w:after="40" w:line="220" w:lineRule="exact"/>
              <w:ind w:left="0" w:right="0"/>
              <w:jc w:val="right"/>
              <w:rPr>
                <w:sz w:val="18"/>
              </w:rPr>
            </w:pPr>
            <w:r w:rsidRPr="0026781D">
              <w:rPr>
                <w:sz w:val="18"/>
              </w:rPr>
              <w:t>2</w:t>
            </w:r>
            <w:r w:rsidR="00F0669B">
              <w:rPr>
                <w:sz w:val="18"/>
              </w:rPr>
              <w:t xml:space="preserve"> </w:t>
            </w:r>
            <w:r w:rsidRPr="0026781D">
              <w:rPr>
                <w:sz w:val="18"/>
              </w:rPr>
              <w:t>555</w:t>
            </w:r>
          </w:p>
        </w:tc>
      </w:tr>
      <w:tr w:rsidR="0026781D" w:rsidRPr="0040336A" w14:paraId="7342002B" w14:textId="77777777" w:rsidTr="00AC7712">
        <w:tc>
          <w:tcPr>
            <w:tcW w:w="1842" w:type="dxa"/>
            <w:shd w:val="clear" w:color="auto" w:fill="auto"/>
            <w:vAlign w:val="center"/>
          </w:tcPr>
          <w:p w14:paraId="33BF5817" w14:textId="77777777" w:rsidR="0026781D" w:rsidRPr="0026781D" w:rsidRDefault="0026781D" w:rsidP="0026781D">
            <w:pPr>
              <w:pStyle w:val="SingleTxtG"/>
              <w:spacing w:before="40" w:after="40" w:line="220" w:lineRule="exact"/>
              <w:ind w:left="0" w:right="0"/>
              <w:jc w:val="left"/>
              <w:rPr>
                <w:sz w:val="18"/>
              </w:rPr>
            </w:pPr>
            <w:r w:rsidRPr="0026781D">
              <w:rPr>
                <w:sz w:val="18"/>
              </w:rPr>
              <w:lastRenderedPageBreak/>
              <w:t>Dahuk</w:t>
            </w:r>
          </w:p>
        </w:tc>
        <w:tc>
          <w:tcPr>
            <w:tcW w:w="1842" w:type="dxa"/>
            <w:shd w:val="clear" w:color="auto" w:fill="auto"/>
            <w:vAlign w:val="center"/>
          </w:tcPr>
          <w:p w14:paraId="4EA3440B" w14:textId="77777777" w:rsidR="0026781D" w:rsidRPr="0026781D" w:rsidRDefault="0026781D" w:rsidP="0026781D">
            <w:pPr>
              <w:pStyle w:val="SingleTxtG"/>
              <w:spacing w:before="40" w:after="40" w:line="220" w:lineRule="exact"/>
              <w:ind w:left="0" w:right="57"/>
              <w:jc w:val="right"/>
              <w:rPr>
                <w:sz w:val="18"/>
              </w:rPr>
            </w:pPr>
            <w:r w:rsidRPr="0026781D">
              <w:rPr>
                <w:sz w:val="18"/>
              </w:rPr>
              <w:t>1</w:t>
            </w:r>
            <w:r w:rsidR="00F0669B">
              <w:rPr>
                <w:sz w:val="18"/>
              </w:rPr>
              <w:t xml:space="preserve"> </w:t>
            </w:r>
            <w:r w:rsidRPr="0026781D">
              <w:rPr>
                <w:sz w:val="18"/>
              </w:rPr>
              <w:t>571</w:t>
            </w:r>
            <w:r w:rsidR="00F0669B">
              <w:rPr>
                <w:sz w:val="18"/>
              </w:rPr>
              <w:t xml:space="preserve"> </w:t>
            </w:r>
            <w:r w:rsidRPr="0026781D">
              <w:rPr>
                <w:sz w:val="18"/>
              </w:rPr>
              <w:t>528</w:t>
            </w:r>
          </w:p>
        </w:tc>
        <w:tc>
          <w:tcPr>
            <w:tcW w:w="1843" w:type="dxa"/>
            <w:shd w:val="clear" w:color="auto" w:fill="auto"/>
            <w:vAlign w:val="center"/>
          </w:tcPr>
          <w:p w14:paraId="68764418"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c>
          <w:tcPr>
            <w:tcW w:w="1843" w:type="dxa"/>
            <w:shd w:val="clear" w:color="auto" w:fill="auto"/>
            <w:vAlign w:val="center"/>
          </w:tcPr>
          <w:p w14:paraId="1C1F2E5A"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r>
      <w:tr w:rsidR="0026781D" w:rsidRPr="0040336A" w14:paraId="3A375C7A" w14:textId="77777777" w:rsidTr="0026781D">
        <w:tc>
          <w:tcPr>
            <w:tcW w:w="1842" w:type="dxa"/>
            <w:shd w:val="clear" w:color="auto" w:fill="auto"/>
            <w:vAlign w:val="center"/>
          </w:tcPr>
          <w:p w14:paraId="460D6AC8" w14:textId="77777777" w:rsidR="0026781D" w:rsidRPr="0026781D" w:rsidRDefault="0026781D" w:rsidP="0026781D">
            <w:pPr>
              <w:pStyle w:val="SingleTxtG"/>
              <w:spacing w:before="40" w:after="40" w:line="220" w:lineRule="exact"/>
              <w:ind w:left="0" w:right="0"/>
              <w:jc w:val="left"/>
              <w:rPr>
                <w:sz w:val="18"/>
              </w:rPr>
            </w:pPr>
            <w:r w:rsidRPr="0026781D">
              <w:rPr>
                <w:sz w:val="18"/>
              </w:rPr>
              <w:t>Erbil</w:t>
            </w:r>
          </w:p>
        </w:tc>
        <w:tc>
          <w:tcPr>
            <w:tcW w:w="1842" w:type="dxa"/>
            <w:shd w:val="clear" w:color="auto" w:fill="auto"/>
            <w:vAlign w:val="center"/>
          </w:tcPr>
          <w:p w14:paraId="0BC6498F" w14:textId="77777777" w:rsidR="0026781D" w:rsidRPr="0026781D" w:rsidRDefault="0026781D" w:rsidP="0026781D">
            <w:pPr>
              <w:pStyle w:val="SingleTxtG"/>
              <w:spacing w:before="40" w:after="40" w:line="220" w:lineRule="exact"/>
              <w:ind w:left="0" w:right="57"/>
              <w:jc w:val="right"/>
              <w:rPr>
                <w:sz w:val="18"/>
              </w:rPr>
            </w:pPr>
            <w:r w:rsidRPr="0026781D">
              <w:rPr>
                <w:sz w:val="18"/>
              </w:rPr>
              <w:t>3</w:t>
            </w:r>
            <w:r w:rsidR="00F0669B">
              <w:rPr>
                <w:sz w:val="18"/>
              </w:rPr>
              <w:t xml:space="preserve"> </w:t>
            </w:r>
            <w:r w:rsidRPr="0026781D">
              <w:rPr>
                <w:sz w:val="18"/>
              </w:rPr>
              <w:t>840</w:t>
            </w:r>
            <w:r w:rsidR="00F0669B">
              <w:rPr>
                <w:sz w:val="18"/>
              </w:rPr>
              <w:t xml:space="preserve"> </w:t>
            </w:r>
            <w:r w:rsidRPr="0026781D">
              <w:rPr>
                <w:sz w:val="18"/>
              </w:rPr>
              <w:t>818</w:t>
            </w:r>
          </w:p>
        </w:tc>
        <w:tc>
          <w:tcPr>
            <w:tcW w:w="1843" w:type="dxa"/>
            <w:shd w:val="clear" w:color="auto" w:fill="auto"/>
            <w:vAlign w:val="center"/>
          </w:tcPr>
          <w:p w14:paraId="5100B0B0" w14:textId="77777777" w:rsidR="0026781D" w:rsidRPr="0026781D" w:rsidRDefault="0026781D" w:rsidP="0026781D">
            <w:pPr>
              <w:pStyle w:val="SingleTxtG"/>
              <w:spacing w:before="40" w:after="40" w:line="220" w:lineRule="exact"/>
              <w:ind w:left="0" w:right="0"/>
              <w:jc w:val="right"/>
              <w:rPr>
                <w:sz w:val="18"/>
              </w:rPr>
            </w:pPr>
            <w:r w:rsidRPr="0026781D">
              <w:rPr>
                <w:sz w:val="18"/>
              </w:rPr>
              <w:t>1</w:t>
            </w:r>
            <w:r w:rsidR="00F0669B">
              <w:rPr>
                <w:sz w:val="18"/>
              </w:rPr>
              <w:t xml:space="preserve"> </w:t>
            </w:r>
            <w:r w:rsidRPr="0026781D">
              <w:rPr>
                <w:sz w:val="18"/>
              </w:rPr>
              <w:t>083</w:t>
            </w:r>
          </w:p>
        </w:tc>
        <w:tc>
          <w:tcPr>
            <w:tcW w:w="1843" w:type="dxa"/>
            <w:shd w:val="clear" w:color="auto" w:fill="auto"/>
            <w:vAlign w:val="center"/>
          </w:tcPr>
          <w:p w14:paraId="2287438E"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r>
      <w:tr w:rsidR="0026781D" w:rsidRPr="0040336A" w14:paraId="093D01D1" w14:textId="77777777" w:rsidTr="0026781D">
        <w:tc>
          <w:tcPr>
            <w:tcW w:w="1842" w:type="dxa"/>
            <w:tcBorders>
              <w:bottom w:val="single" w:sz="4" w:space="0" w:color="auto"/>
            </w:tcBorders>
            <w:shd w:val="clear" w:color="auto" w:fill="auto"/>
            <w:vAlign w:val="center"/>
          </w:tcPr>
          <w:p w14:paraId="78E38F81" w14:textId="77777777" w:rsidR="0026781D" w:rsidRPr="0026781D" w:rsidRDefault="0026781D" w:rsidP="0026781D">
            <w:pPr>
              <w:pStyle w:val="SingleTxtG"/>
              <w:spacing w:before="40" w:after="40" w:line="220" w:lineRule="exact"/>
              <w:ind w:left="0" w:right="0"/>
              <w:jc w:val="left"/>
              <w:rPr>
                <w:sz w:val="18"/>
              </w:rPr>
            </w:pPr>
            <w:r w:rsidRPr="0026781D">
              <w:rPr>
                <w:sz w:val="18"/>
              </w:rPr>
              <w:t>Sulaimaniya</w:t>
            </w:r>
          </w:p>
        </w:tc>
        <w:tc>
          <w:tcPr>
            <w:tcW w:w="1842" w:type="dxa"/>
            <w:tcBorders>
              <w:bottom w:val="single" w:sz="4" w:space="0" w:color="auto"/>
            </w:tcBorders>
            <w:shd w:val="clear" w:color="auto" w:fill="auto"/>
            <w:vAlign w:val="center"/>
          </w:tcPr>
          <w:p w14:paraId="4D054A3D" w14:textId="77777777" w:rsidR="0026781D" w:rsidRPr="0026781D" w:rsidRDefault="0026781D" w:rsidP="0026781D">
            <w:pPr>
              <w:pStyle w:val="SingleTxtG"/>
              <w:spacing w:before="40" w:after="40" w:line="220" w:lineRule="exact"/>
              <w:ind w:left="0" w:right="57"/>
              <w:jc w:val="right"/>
              <w:rPr>
                <w:sz w:val="18"/>
              </w:rPr>
            </w:pPr>
            <w:r w:rsidRPr="0026781D">
              <w:rPr>
                <w:sz w:val="18"/>
              </w:rPr>
              <w:t>2</w:t>
            </w:r>
            <w:r w:rsidR="00F0669B">
              <w:rPr>
                <w:sz w:val="18"/>
              </w:rPr>
              <w:t xml:space="preserve"> </w:t>
            </w:r>
            <w:r w:rsidRPr="0026781D">
              <w:rPr>
                <w:sz w:val="18"/>
              </w:rPr>
              <w:t>549</w:t>
            </w:r>
            <w:r w:rsidR="00F0669B">
              <w:rPr>
                <w:sz w:val="18"/>
              </w:rPr>
              <w:t xml:space="preserve"> </w:t>
            </w:r>
            <w:r w:rsidRPr="0026781D">
              <w:rPr>
                <w:sz w:val="18"/>
              </w:rPr>
              <w:t>580</w:t>
            </w:r>
          </w:p>
        </w:tc>
        <w:tc>
          <w:tcPr>
            <w:tcW w:w="1843" w:type="dxa"/>
            <w:tcBorders>
              <w:bottom w:val="single" w:sz="4" w:space="0" w:color="auto"/>
            </w:tcBorders>
            <w:shd w:val="clear" w:color="auto" w:fill="auto"/>
            <w:vAlign w:val="center"/>
          </w:tcPr>
          <w:p w14:paraId="5EFDE218" w14:textId="77777777" w:rsidR="0026781D" w:rsidRPr="0026781D" w:rsidRDefault="0026781D" w:rsidP="0026781D">
            <w:pPr>
              <w:pStyle w:val="SingleTxtG"/>
              <w:spacing w:before="40" w:after="40" w:line="220" w:lineRule="exact"/>
              <w:ind w:left="0" w:right="0"/>
              <w:jc w:val="right"/>
              <w:rPr>
                <w:sz w:val="18"/>
              </w:rPr>
            </w:pPr>
            <w:r w:rsidRPr="0026781D">
              <w:rPr>
                <w:sz w:val="18"/>
              </w:rPr>
              <w:t>25</w:t>
            </w:r>
            <w:r w:rsidR="00F0669B">
              <w:rPr>
                <w:sz w:val="18"/>
              </w:rPr>
              <w:t xml:space="preserve"> </w:t>
            </w:r>
            <w:r w:rsidRPr="0026781D">
              <w:rPr>
                <w:sz w:val="18"/>
              </w:rPr>
              <w:t>778</w:t>
            </w:r>
          </w:p>
        </w:tc>
        <w:tc>
          <w:tcPr>
            <w:tcW w:w="1843" w:type="dxa"/>
            <w:tcBorders>
              <w:bottom w:val="single" w:sz="4" w:space="0" w:color="auto"/>
            </w:tcBorders>
            <w:shd w:val="clear" w:color="auto" w:fill="auto"/>
            <w:vAlign w:val="center"/>
          </w:tcPr>
          <w:p w14:paraId="4CD7AE0D" w14:textId="77777777" w:rsidR="0026781D" w:rsidRPr="0026781D" w:rsidRDefault="0026781D" w:rsidP="0026781D">
            <w:pPr>
              <w:pStyle w:val="SingleTxtG"/>
              <w:spacing w:before="40" w:after="40" w:line="220" w:lineRule="exact"/>
              <w:ind w:left="0" w:right="0"/>
              <w:jc w:val="right"/>
              <w:rPr>
                <w:sz w:val="18"/>
              </w:rPr>
            </w:pPr>
            <w:r w:rsidRPr="0026781D">
              <w:rPr>
                <w:sz w:val="18"/>
              </w:rPr>
              <w:t>-</w:t>
            </w:r>
          </w:p>
        </w:tc>
      </w:tr>
      <w:tr w:rsidR="0026781D" w:rsidRPr="0040336A" w14:paraId="329A7741" w14:textId="77777777" w:rsidTr="0026781D">
        <w:tc>
          <w:tcPr>
            <w:tcW w:w="1842" w:type="dxa"/>
            <w:tcBorders>
              <w:top w:val="single" w:sz="4" w:space="0" w:color="auto"/>
              <w:bottom w:val="single" w:sz="12" w:space="0" w:color="auto"/>
            </w:tcBorders>
            <w:shd w:val="clear" w:color="auto" w:fill="auto"/>
            <w:vAlign w:val="center"/>
          </w:tcPr>
          <w:p w14:paraId="047B6148" w14:textId="77777777" w:rsidR="0026781D" w:rsidRPr="0026781D" w:rsidRDefault="0026781D" w:rsidP="0026781D">
            <w:pPr>
              <w:pStyle w:val="SingleTxtG"/>
              <w:spacing w:before="80" w:after="80" w:line="220" w:lineRule="exact"/>
              <w:ind w:left="284" w:right="0"/>
              <w:jc w:val="left"/>
              <w:rPr>
                <w:b/>
                <w:bCs/>
                <w:sz w:val="18"/>
              </w:rPr>
            </w:pPr>
            <w:r w:rsidRPr="0026781D">
              <w:rPr>
                <w:b/>
                <w:bCs/>
                <w:sz w:val="18"/>
              </w:rPr>
              <w:t>Total</w:t>
            </w:r>
          </w:p>
        </w:tc>
        <w:tc>
          <w:tcPr>
            <w:tcW w:w="1842" w:type="dxa"/>
            <w:tcBorders>
              <w:top w:val="single" w:sz="4" w:space="0" w:color="auto"/>
              <w:bottom w:val="single" w:sz="12" w:space="0" w:color="auto"/>
            </w:tcBorders>
            <w:shd w:val="clear" w:color="auto" w:fill="auto"/>
            <w:vAlign w:val="center"/>
          </w:tcPr>
          <w:p w14:paraId="0C4FBD08" w14:textId="77777777" w:rsidR="0026781D" w:rsidRPr="0026781D" w:rsidRDefault="0026781D" w:rsidP="0026781D">
            <w:pPr>
              <w:pStyle w:val="SingleTxtG"/>
              <w:spacing w:before="80" w:after="80" w:line="220" w:lineRule="exact"/>
              <w:ind w:left="0" w:right="57"/>
              <w:jc w:val="right"/>
              <w:rPr>
                <w:b/>
                <w:bCs/>
                <w:sz w:val="18"/>
              </w:rPr>
            </w:pPr>
            <w:r w:rsidRPr="0026781D">
              <w:rPr>
                <w:b/>
                <w:bCs/>
                <w:sz w:val="18"/>
              </w:rPr>
              <w:t>34</w:t>
            </w:r>
            <w:r w:rsidR="00F0669B">
              <w:rPr>
                <w:b/>
                <w:bCs/>
                <w:sz w:val="18"/>
              </w:rPr>
              <w:t xml:space="preserve"> </w:t>
            </w:r>
            <w:r w:rsidRPr="0026781D">
              <w:rPr>
                <w:b/>
                <w:bCs/>
                <w:sz w:val="18"/>
              </w:rPr>
              <w:t>957</w:t>
            </w:r>
            <w:r w:rsidR="00F0669B">
              <w:rPr>
                <w:b/>
                <w:bCs/>
                <w:sz w:val="18"/>
              </w:rPr>
              <w:t xml:space="preserve"> </w:t>
            </w:r>
            <w:r w:rsidRPr="0026781D">
              <w:rPr>
                <w:b/>
                <w:bCs/>
                <w:sz w:val="18"/>
              </w:rPr>
              <w:t>526</w:t>
            </w:r>
          </w:p>
        </w:tc>
        <w:tc>
          <w:tcPr>
            <w:tcW w:w="1843" w:type="dxa"/>
            <w:tcBorders>
              <w:top w:val="single" w:sz="4" w:space="0" w:color="auto"/>
              <w:bottom w:val="single" w:sz="12" w:space="0" w:color="auto"/>
            </w:tcBorders>
            <w:shd w:val="clear" w:color="auto" w:fill="auto"/>
            <w:vAlign w:val="center"/>
          </w:tcPr>
          <w:p w14:paraId="6A13A662" w14:textId="77777777" w:rsidR="0026781D" w:rsidRPr="0026781D" w:rsidRDefault="0026781D" w:rsidP="0026781D">
            <w:pPr>
              <w:pStyle w:val="SingleTxtG"/>
              <w:spacing w:before="80" w:after="80" w:line="220" w:lineRule="exact"/>
              <w:ind w:left="0" w:right="0"/>
              <w:jc w:val="right"/>
              <w:rPr>
                <w:b/>
                <w:bCs/>
                <w:sz w:val="18"/>
              </w:rPr>
            </w:pPr>
            <w:r w:rsidRPr="0026781D">
              <w:rPr>
                <w:b/>
                <w:bCs/>
                <w:sz w:val="18"/>
              </w:rPr>
              <w:t>99</w:t>
            </w:r>
            <w:r w:rsidR="00F0669B">
              <w:rPr>
                <w:b/>
                <w:bCs/>
                <w:sz w:val="18"/>
              </w:rPr>
              <w:t xml:space="preserve"> </w:t>
            </w:r>
            <w:r w:rsidRPr="0026781D">
              <w:rPr>
                <w:b/>
                <w:bCs/>
                <w:sz w:val="18"/>
              </w:rPr>
              <w:t>877</w:t>
            </w:r>
          </w:p>
        </w:tc>
        <w:tc>
          <w:tcPr>
            <w:tcW w:w="1843" w:type="dxa"/>
            <w:tcBorders>
              <w:top w:val="single" w:sz="4" w:space="0" w:color="auto"/>
              <w:bottom w:val="single" w:sz="12" w:space="0" w:color="auto"/>
            </w:tcBorders>
            <w:shd w:val="clear" w:color="auto" w:fill="auto"/>
            <w:vAlign w:val="center"/>
          </w:tcPr>
          <w:p w14:paraId="0EE2EC93" w14:textId="77777777" w:rsidR="0026781D" w:rsidRPr="0026781D" w:rsidRDefault="0026781D" w:rsidP="0026781D">
            <w:pPr>
              <w:pStyle w:val="SingleTxtG"/>
              <w:spacing w:before="80" w:after="80" w:line="220" w:lineRule="exact"/>
              <w:ind w:left="0" w:right="0"/>
              <w:jc w:val="right"/>
              <w:rPr>
                <w:b/>
                <w:bCs/>
                <w:sz w:val="18"/>
              </w:rPr>
            </w:pPr>
            <w:r w:rsidRPr="0026781D">
              <w:rPr>
                <w:b/>
                <w:bCs/>
                <w:sz w:val="18"/>
              </w:rPr>
              <w:t>289</w:t>
            </w:r>
            <w:r w:rsidR="00F0669B">
              <w:rPr>
                <w:b/>
                <w:bCs/>
                <w:sz w:val="18"/>
              </w:rPr>
              <w:t xml:space="preserve"> </w:t>
            </w:r>
            <w:r w:rsidRPr="0026781D">
              <w:rPr>
                <w:b/>
                <w:bCs/>
                <w:sz w:val="18"/>
              </w:rPr>
              <w:t>935</w:t>
            </w:r>
          </w:p>
        </w:tc>
      </w:tr>
    </w:tbl>
    <w:p w14:paraId="6ADDC6C3" w14:textId="77777777" w:rsidR="008A38B9" w:rsidRPr="0026781D" w:rsidRDefault="008A38B9" w:rsidP="0026781D">
      <w:pPr>
        <w:pStyle w:val="SingleTxtG"/>
        <w:spacing w:before="120" w:after="0"/>
        <w:ind w:firstLine="170"/>
        <w:rPr>
          <w:sz w:val="18"/>
          <w:szCs w:val="18"/>
        </w:rPr>
      </w:pPr>
      <w:r w:rsidRPr="0026781D">
        <w:rPr>
          <w:sz w:val="18"/>
          <w:szCs w:val="18"/>
        </w:rPr>
        <w:t>(-) Datos no disponibles</w:t>
      </w:r>
      <w:r w:rsidR="001D4448">
        <w:rPr>
          <w:sz w:val="18"/>
          <w:szCs w:val="18"/>
        </w:rPr>
        <w:t>.</w:t>
      </w:r>
    </w:p>
    <w:p w14:paraId="591F11FC" w14:textId="77777777" w:rsidR="008A38B9" w:rsidRPr="0026781D" w:rsidRDefault="008A38B9" w:rsidP="0026781D">
      <w:pPr>
        <w:pStyle w:val="SingleTxtG"/>
        <w:spacing w:after="240"/>
        <w:ind w:firstLine="170"/>
        <w:rPr>
          <w:sz w:val="18"/>
          <w:szCs w:val="18"/>
        </w:rPr>
      </w:pPr>
      <w:r w:rsidRPr="0026781D">
        <w:rPr>
          <w:i/>
          <w:iCs/>
          <w:sz w:val="18"/>
          <w:szCs w:val="18"/>
        </w:rPr>
        <w:t>Fuente</w:t>
      </w:r>
      <w:r w:rsidRPr="0026781D">
        <w:rPr>
          <w:i/>
          <w:sz w:val="18"/>
          <w:szCs w:val="18"/>
        </w:rPr>
        <w:t>:</w:t>
      </w:r>
      <w:r w:rsidRPr="0026781D">
        <w:rPr>
          <w:sz w:val="18"/>
          <w:szCs w:val="18"/>
        </w:rPr>
        <w:t xml:space="preserve"> </w:t>
      </w:r>
      <w:r w:rsidRPr="0026781D">
        <w:rPr>
          <w:i/>
          <w:iCs/>
          <w:sz w:val="18"/>
          <w:szCs w:val="18"/>
        </w:rPr>
        <w:t>Boletín estadístico</w:t>
      </w:r>
      <w:r w:rsidRPr="0026781D">
        <w:rPr>
          <w:sz w:val="18"/>
          <w:szCs w:val="18"/>
        </w:rPr>
        <w:t xml:space="preserve"> (2017).</w:t>
      </w:r>
    </w:p>
    <w:p w14:paraId="1801E729" w14:textId="77777777" w:rsidR="008A38B9" w:rsidRDefault="008A38B9" w:rsidP="0026781D">
      <w:pPr>
        <w:pStyle w:val="SingleTxtG"/>
      </w:pPr>
      <w:r w:rsidRPr="008A38B9">
        <w:t>107.</w:t>
      </w:r>
      <w:r w:rsidRPr="008A38B9">
        <w:tab/>
        <w:t>En el cuadro siguiente figuran datos sobre las organizaciones no gubernamentales registradas en el Estado y su ámbito de operaciones</w:t>
      </w:r>
      <w:r w:rsidR="00485D63">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367"/>
        <w:gridCol w:w="2457"/>
      </w:tblGrid>
      <w:tr w:rsidR="0026781D" w:rsidRPr="0026781D" w14:paraId="295B6C38" w14:textId="77777777" w:rsidTr="0026781D">
        <w:tc>
          <w:tcPr>
            <w:tcW w:w="546" w:type="dxa"/>
            <w:tcBorders>
              <w:top w:val="single" w:sz="4" w:space="0" w:color="auto"/>
              <w:bottom w:val="single" w:sz="12" w:space="0" w:color="auto"/>
            </w:tcBorders>
            <w:shd w:val="clear" w:color="auto" w:fill="auto"/>
            <w:vAlign w:val="bottom"/>
          </w:tcPr>
          <w:p w14:paraId="1C0DD7FA" w14:textId="77777777" w:rsidR="0026781D" w:rsidRPr="0026781D" w:rsidRDefault="0026781D" w:rsidP="0026781D">
            <w:pPr>
              <w:pStyle w:val="SingleTxtG"/>
              <w:spacing w:before="80" w:after="80" w:line="200" w:lineRule="exact"/>
              <w:ind w:left="0" w:right="0"/>
              <w:jc w:val="left"/>
              <w:rPr>
                <w:i/>
                <w:sz w:val="16"/>
              </w:rPr>
            </w:pPr>
          </w:p>
        </w:tc>
        <w:tc>
          <w:tcPr>
            <w:tcW w:w="4367" w:type="dxa"/>
            <w:tcBorders>
              <w:top w:val="single" w:sz="4" w:space="0" w:color="auto"/>
              <w:bottom w:val="single" w:sz="12" w:space="0" w:color="auto"/>
            </w:tcBorders>
            <w:shd w:val="clear" w:color="auto" w:fill="auto"/>
            <w:vAlign w:val="bottom"/>
          </w:tcPr>
          <w:p w14:paraId="5A23619E" w14:textId="77777777" w:rsidR="0026781D" w:rsidRPr="0026781D" w:rsidRDefault="0026781D" w:rsidP="0026781D">
            <w:pPr>
              <w:pStyle w:val="SingleTxtG"/>
              <w:spacing w:before="80" w:after="80" w:line="200" w:lineRule="exact"/>
              <w:ind w:left="0" w:right="0"/>
              <w:jc w:val="left"/>
              <w:rPr>
                <w:i/>
                <w:sz w:val="16"/>
              </w:rPr>
            </w:pPr>
            <w:r w:rsidRPr="0026781D">
              <w:rPr>
                <w:i/>
                <w:sz w:val="16"/>
              </w:rPr>
              <w:t>Ámbito</w:t>
            </w:r>
          </w:p>
        </w:tc>
        <w:tc>
          <w:tcPr>
            <w:tcW w:w="2457" w:type="dxa"/>
            <w:tcBorders>
              <w:top w:val="single" w:sz="4" w:space="0" w:color="auto"/>
              <w:bottom w:val="single" w:sz="12" w:space="0" w:color="auto"/>
            </w:tcBorders>
            <w:shd w:val="clear" w:color="auto" w:fill="auto"/>
            <w:vAlign w:val="bottom"/>
          </w:tcPr>
          <w:p w14:paraId="1A64D566" w14:textId="77777777" w:rsidR="0026781D" w:rsidRPr="0026781D" w:rsidRDefault="0026781D" w:rsidP="0026781D">
            <w:pPr>
              <w:pStyle w:val="SingleTxtG"/>
              <w:spacing w:before="80" w:after="80" w:line="200" w:lineRule="exact"/>
              <w:ind w:left="0" w:right="0"/>
              <w:jc w:val="right"/>
              <w:rPr>
                <w:i/>
                <w:sz w:val="16"/>
              </w:rPr>
            </w:pPr>
            <w:r>
              <w:rPr>
                <w:i/>
                <w:sz w:val="16"/>
              </w:rPr>
              <w:t>Número</w:t>
            </w:r>
          </w:p>
        </w:tc>
      </w:tr>
      <w:tr w:rsidR="0026781D" w:rsidRPr="0026781D" w14:paraId="6EB2470D" w14:textId="77777777" w:rsidTr="00AC7712">
        <w:tc>
          <w:tcPr>
            <w:tcW w:w="546" w:type="dxa"/>
            <w:tcBorders>
              <w:top w:val="single" w:sz="12" w:space="0" w:color="auto"/>
            </w:tcBorders>
            <w:shd w:val="clear" w:color="auto" w:fill="auto"/>
            <w:vAlign w:val="center"/>
          </w:tcPr>
          <w:p w14:paraId="335362BB" w14:textId="77777777" w:rsidR="0026781D" w:rsidRPr="0026781D" w:rsidRDefault="0026781D" w:rsidP="0026781D">
            <w:pPr>
              <w:pStyle w:val="SingleTxtG"/>
              <w:spacing w:before="40" w:after="40" w:line="220" w:lineRule="exact"/>
              <w:ind w:left="0" w:right="0"/>
              <w:jc w:val="left"/>
              <w:rPr>
                <w:sz w:val="18"/>
              </w:rPr>
            </w:pPr>
            <w:r w:rsidRPr="0026781D">
              <w:rPr>
                <w:sz w:val="18"/>
              </w:rPr>
              <w:t>1</w:t>
            </w:r>
          </w:p>
        </w:tc>
        <w:tc>
          <w:tcPr>
            <w:tcW w:w="4367" w:type="dxa"/>
            <w:tcBorders>
              <w:top w:val="single" w:sz="12" w:space="0" w:color="auto"/>
            </w:tcBorders>
            <w:shd w:val="clear" w:color="auto" w:fill="auto"/>
            <w:vAlign w:val="center"/>
          </w:tcPr>
          <w:p w14:paraId="20FF773A" w14:textId="77777777" w:rsidR="0026781D" w:rsidRPr="0026781D" w:rsidRDefault="0026781D" w:rsidP="0026781D">
            <w:pPr>
              <w:pStyle w:val="SingleTxtG"/>
              <w:spacing w:before="40" w:after="40" w:line="220" w:lineRule="exact"/>
              <w:ind w:left="0" w:right="0"/>
              <w:jc w:val="left"/>
              <w:rPr>
                <w:sz w:val="18"/>
              </w:rPr>
            </w:pPr>
            <w:r w:rsidRPr="0026781D">
              <w:rPr>
                <w:sz w:val="18"/>
              </w:rPr>
              <w:t>Otro</w:t>
            </w:r>
          </w:p>
        </w:tc>
        <w:tc>
          <w:tcPr>
            <w:tcW w:w="2457" w:type="dxa"/>
            <w:tcBorders>
              <w:top w:val="single" w:sz="12" w:space="0" w:color="auto"/>
            </w:tcBorders>
            <w:shd w:val="clear" w:color="auto" w:fill="auto"/>
            <w:vAlign w:val="center"/>
          </w:tcPr>
          <w:p w14:paraId="038DB701" w14:textId="77777777" w:rsidR="0026781D" w:rsidRPr="0026781D" w:rsidRDefault="0026781D" w:rsidP="0026781D">
            <w:pPr>
              <w:pStyle w:val="SingleTxtG"/>
              <w:spacing w:before="40" w:after="40" w:line="220" w:lineRule="exact"/>
              <w:ind w:left="0" w:right="0"/>
              <w:jc w:val="right"/>
              <w:rPr>
                <w:sz w:val="18"/>
              </w:rPr>
            </w:pPr>
            <w:r w:rsidRPr="0026781D">
              <w:rPr>
                <w:sz w:val="18"/>
              </w:rPr>
              <w:t>1</w:t>
            </w:r>
          </w:p>
        </w:tc>
      </w:tr>
      <w:tr w:rsidR="0026781D" w:rsidRPr="0026781D" w14:paraId="07601B1D" w14:textId="77777777" w:rsidTr="00AC7712">
        <w:tc>
          <w:tcPr>
            <w:tcW w:w="546" w:type="dxa"/>
            <w:shd w:val="clear" w:color="auto" w:fill="auto"/>
            <w:vAlign w:val="center"/>
          </w:tcPr>
          <w:p w14:paraId="485CA593" w14:textId="77777777" w:rsidR="0026781D" w:rsidRPr="0026781D" w:rsidRDefault="0026781D" w:rsidP="0026781D">
            <w:pPr>
              <w:pStyle w:val="SingleTxtG"/>
              <w:spacing w:before="40" w:after="40" w:line="220" w:lineRule="exact"/>
              <w:ind w:left="0" w:right="0"/>
              <w:jc w:val="left"/>
              <w:rPr>
                <w:sz w:val="18"/>
              </w:rPr>
            </w:pPr>
            <w:r w:rsidRPr="0026781D">
              <w:rPr>
                <w:sz w:val="18"/>
              </w:rPr>
              <w:t>2</w:t>
            </w:r>
          </w:p>
        </w:tc>
        <w:tc>
          <w:tcPr>
            <w:tcW w:w="4367" w:type="dxa"/>
            <w:shd w:val="clear" w:color="auto" w:fill="auto"/>
            <w:vAlign w:val="center"/>
          </w:tcPr>
          <w:p w14:paraId="2548C8F4" w14:textId="77777777" w:rsidR="0026781D" w:rsidRPr="0026781D" w:rsidRDefault="0026781D" w:rsidP="0026781D">
            <w:pPr>
              <w:pStyle w:val="SingleTxtG"/>
              <w:spacing w:before="40" w:after="40" w:line="220" w:lineRule="exact"/>
              <w:ind w:left="0" w:right="0"/>
              <w:jc w:val="left"/>
              <w:rPr>
                <w:sz w:val="18"/>
              </w:rPr>
            </w:pPr>
            <w:r w:rsidRPr="0026781D">
              <w:rPr>
                <w:sz w:val="18"/>
              </w:rPr>
              <w:t>Niños y huérfanos</w:t>
            </w:r>
          </w:p>
        </w:tc>
        <w:tc>
          <w:tcPr>
            <w:tcW w:w="2457" w:type="dxa"/>
            <w:shd w:val="clear" w:color="auto" w:fill="auto"/>
            <w:vAlign w:val="center"/>
          </w:tcPr>
          <w:p w14:paraId="7451F63B" w14:textId="77777777" w:rsidR="0026781D" w:rsidRPr="0026781D" w:rsidRDefault="0026781D" w:rsidP="0026781D">
            <w:pPr>
              <w:pStyle w:val="SingleTxtG"/>
              <w:spacing w:before="40" w:after="40" w:line="220" w:lineRule="exact"/>
              <w:ind w:left="0" w:right="0"/>
              <w:jc w:val="right"/>
              <w:rPr>
                <w:sz w:val="18"/>
              </w:rPr>
            </w:pPr>
            <w:r w:rsidRPr="0026781D">
              <w:rPr>
                <w:sz w:val="18"/>
              </w:rPr>
              <w:t>210</w:t>
            </w:r>
          </w:p>
        </w:tc>
      </w:tr>
      <w:tr w:rsidR="0026781D" w:rsidRPr="0026781D" w14:paraId="02372D5B" w14:textId="77777777" w:rsidTr="00AC7712">
        <w:tc>
          <w:tcPr>
            <w:tcW w:w="546" w:type="dxa"/>
            <w:shd w:val="clear" w:color="auto" w:fill="auto"/>
            <w:vAlign w:val="center"/>
          </w:tcPr>
          <w:p w14:paraId="0CFCEDBF" w14:textId="77777777" w:rsidR="0026781D" w:rsidRPr="0026781D" w:rsidRDefault="0026781D" w:rsidP="0026781D">
            <w:pPr>
              <w:pStyle w:val="SingleTxtG"/>
              <w:spacing w:before="40" w:after="40" w:line="220" w:lineRule="exact"/>
              <w:ind w:left="0" w:right="0"/>
              <w:jc w:val="left"/>
              <w:rPr>
                <w:sz w:val="18"/>
              </w:rPr>
            </w:pPr>
            <w:r w:rsidRPr="0026781D">
              <w:rPr>
                <w:sz w:val="18"/>
              </w:rPr>
              <w:t>3</w:t>
            </w:r>
          </w:p>
        </w:tc>
        <w:tc>
          <w:tcPr>
            <w:tcW w:w="4367" w:type="dxa"/>
            <w:shd w:val="clear" w:color="auto" w:fill="auto"/>
            <w:vAlign w:val="center"/>
          </w:tcPr>
          <w:p w14:paraId="5E39736E" w14:textId="77777777" w:rsidR="0026781D" w:rsidRPr="0026781D" w:rsidRDefault="0026781D" w:rsidP="0026781D">
            <w:pPr>
              <w:pStyle w:val="SingleTxtG"/>
              <w:spacing w:before="40" w:after="40" w:line="220" w:lineRule="exact"/>
              <w:ind w:left="0" w:right="0"/>
              <w:jc w:val="left"/>
              <w:rPr>
                <w:sz w:val="18"/>
              </w:rPr>
            </w:pPr>
            <w:r w:rsidRPr="0026781D">
              <w:rPr>
                <w:sz w:val="18"/>
              </w:rPr>
              <w:t>Medios de difusión</w:t>
            </w:r>
          </w:p>
        </w:tc>
        <w:tc>
          <w:tcPr>
            <w:tcW w:w="2457" w:type="dxa"/>
            <w:shd w:val="clear" w:color="auto" w:fill="auto"/>
            <w:vAlign w:val="center"/>
          </w:tcPr>
          <w:p w14:paraId="5D0E21E5" w14:textId="77777777" w:rsidR="0026781D" w:rsidRPr="0026781D" w:rsidRDefault="0026781D" w:rsidP="0026781D">
            <w:pPr>
              <w:pStyle w:val="SingleTxtG"/>
              <w:spacing w:before="40" w:after="40" w:line="220" w:lineRule="exact"/>
              <w:ind w:left="0" w:right="0"/>
              <w:jc w:val="right"/>
              <w:rPr>
                <w:sz w:val="18"/>
              </w:rPr>
            </w:pPr>
            <w:r w:rsidRPr="0026781D">
              <w:rPr>
                <w:sz w:val="18"/>
              </w:rPr>
              <w:t>91</w:t>
            </w:r>
          </w:p>
        </w:tc>
      </w:tr>
      <w:tr w:rsidR="0026781D" w:rsidRPr="0026781D" w14:paraId="3F8568BA" w14:textId="77777777" w:rsidTr="00AC7712">
        <w:tc>
          <w:tcPr>
            <w:tcW w:w="546" w:type="dxa"/>
            <w:shd w:val="clear" w:color="auto" w:fill="auto"/>
            <w:vAlign w:val="center"/>
          </w:tcPr>
          <w:p w14:paraId="19D3A366" w14:textId="77777777" w:rsidR="0026781D" w:rsidRPr="0026781D" w:rsidRDefault="0026781D" w:rsidP="0026781D">
            <w:pPr>
              <w:pStyle w:val="SingleTxtG"/>
              <w:spacing w:before="40" w:after="40" w:line="220" w:lineRule="exact"/>
              <w:ind w:left="0" w:right="0"/>
              <w:jc w:val="left"/>
              <w:rPr>
                <w:sz w:val="18"/>
              </w:rPr>
            </w:pPr>
            <w:r w:rsidRPr="0026781D">
              <w:rPr>
                <w:sz w:val="18"/>
              </w:rPr>
              <w:t>4</w:t>
            </w:r>
          </w:p>
        </w:tc>
        <w:tc>
          <w:tcPr>
            <w:tcW w:w="4367" w:type="dxa"/>
            <w:shd w:val="clear" w:color="auto" w:fill="auto"/>
            <w:vAlign w:val="center"/>
          </w:tcPr>
          <w:p w14:paraId="67304164" w14:textId="77777777" w:rsidR="0026781D" w:rsidRPr="0026781D" w:rsidRDefault="0026781D" w:rsidP="0026781D">
            <w:pPr>
              <w:pStyle w:val="SingleTxtG"/>
              <w:spacing w:before="40" w:after="40" w:line="220" w:lineRule="exact"/>
              <w:ind w:left="0" w:right="0"/>
              <w:jc w:val="left"/>
              <w:rPr>
                <w:sz w:val="18"/>
              </w:rPr>
            </w:pPr>
            <w:r w:rsidRPr="0026781D">
              <w:rPr>
                <w:sz w:val="18"/>
              </w:rPr>
              <w:t>Socorro</w:t>
            </w:r>
          </w:p>
        </w:tc>
        <w:tc>
          <w:tcPr>
            <w:tcW w:w="2457" w:type="dxa"/>
            <w:shd w:val="clear" w:color="auto" w:fill="auto"/>
            <w:vAlign w:val="center"/>
          </w:tcPr>
          <w:p w14:paraId="41499928" w14:textId="77777777" w:rsidR="0026781D" w:rsidRPr="0026781D" w:rsidRDefault="0026781D" w:rsidP="0026781D">
            <w:pPr>
              <w:pStyle w:val="SingleTxtG"/>
              <w:spacing w:before="40" w:after="40" w:line="220" w:lineRule="exact"/>
              <w:ind w:left="0" w:right="0"/>
              <w:jc w:val="right"/>
              <w:rPr>
                <w:sz w:val="18"/>
              </w:rPr>
            </w:pPr>
            <w:r w:rsidRPr="0026781D">
              <w:rPr>
                <w:sz w:val="18"/>
              </w:rPr>
              <w:t>76</w:t>
            </w:r>
          </w:p>
        </w:tc>
      </w:tr>
      <w:tr w:rsidR="0026781D" w:rsidRPr="0026781D" w14:paraId="53B28953" w14:textId="77777777" w:rsidTr="00AC7712">
        <w:tc>
          <w:tcPr>
            <w:tcW w:w="546" w:type="dxa"/>
            <w:shd w:val="clear" w:color="auto" w:fill="auto"/>
            <w:vAlign w:val="center"/>
          </w:tcPr>
          <w:p w14:paraId="7C0F6F33" w14:textId="77777777" w:rsidR="0026781D" w:rsidRPr="0026781D" w:rsidRDefault="0026781D" w:rsidP="0026781D">
            <w:pPr>
              <w:pStyle w:val="SingleTxtG"/>
              <w:spacing w:before="40" w:after="40" w:line="220" w:lineRule="exact"/>
              <w:ind w:left="0" w:right="0"/>
              <w:jc w:val="left"/>
              <w:rPr>
                <w:sz w:val="18"/>
              </w:rPr>
            </w:pPr>
            <w:r w:rsidRPr="0026781D">
              <w:rPr>
                <w:sz w:val="18"/>
              </w:rPr>
              <w:t>5</w:t>
            </w:r>
          </w:p>
        </w:tc>
        <w:tc>
          <w:tcPr>
            <w:tcW w:w="4367" w:type="dxa"/>
            <w:shd w:val="clear" w:color="auto" w:fill="auto"/>
            <w:vAlign w:val="center"/>
          </w:tcPr>
          <w:p w14:paraId="7729EA3D" w14:textId="77777777" w:rsidR="0026781D" w:rsidRPr="0026781D" w:rsidRDefault="0026781D" w:rsidP="0026781D">
            <w:pPr>
              <w:pStyle w:val="SingleTxtG"/>
              <w:spacing w:before="40" w:after="40" w:line="220" w:lineRule="exact"/>
              <w:ind w:left="0" w:right="0"/>
              <w:jc w:val="left"/>
              <w:rPr>
                <w:sz w:val="18"/>
              </w:rPr>
            </w:pPr>
            <w:r w:rsidRPr="0026781D">
              <w:rPr>
                <w:sz w:val="18"/>
              </w:rPr>
              <w:t>Medioambiente</w:t>
            </w:r>
          </w:p>
        </w:tc>
        <w:tc>
          <w:tcPr>
            <w:tcW w:w="2457" w:type="dxa"/>
            <w:shd w:val="clear" w:color="auto" w:fill="auto"/>
            <w:vAlign w:val="center"/>
          </w:tcPr>
          <w:p w14:paraId="1E0C29F6" w14:textId="77777777" w:rsidR="0026781D" w:rsidRPr="0026781D" w:rsidRDefault="0026781D" w:rsidP="0026781D">
            <w:pPr>
              <w:pStyle w:val="SingleTxtG"/>
              <w:spacing w:before="40" w:after="40" w:line="220" w:lineRule="exact"/>
              <w:ind w:left="0" w:right="0"/>
              <w:jc w:val="right"/>
              <w:rPr>
                <w:sz w:val="18"/>
              </w:rPr>
            </w:pPr>
            <w:r w:rsidRPr="0026781D">
              <w:rPr>
                <w:sz w:val="18"/>
              </w:rPr>
              <w:t>37</w:t>
            </w:r>
          </w:p>
        </w:tc>
      </w:tr>
      <w:tr w:rsidR="0026781D" w:rsidRPr="0026781D" w14:paraId="64CB3F0E" w14:textId="77777777" w:rsidTr="00AC7712">
        <w:tc>
          <w:tcPr>
            <w:tcW w:w="546" w:type="dxa"/>
            <w:shd w:val="clear" w:color="auto" w:fill="auto"/>
            <w:vAlign w:val="center"/>
          </w:tcPr>
          <w:p w14:paraId="034B0F85" w14:textId="77777777" w:rsidR="0026781D" w:rsidRPr="0026781D" w:rsidRDefault="0026781D" w:rsidP="0026781D">
            <w:pPr>
              <w:pStyle w:val="SingleTxtG"/>
              <w:spacing w:before="40" w:after="40" w:line="220" w:lineRule="exact"/>
              <w:ind w:left="0" w:right="0"/>
              <w:jc w:val="left"/>
              <w:rPr>
                <w:sz w:val="18"/>
              </w:rPr>
            </w:pPr>
            <w:r w:rsidRPr="0026781D">
              <w:rPr>
                <w:sz w:val="18"/>
              </w:rPr>
              <w:t>6</w:t>
            </w:r>
          </w:p>
        </w:tc>
        <w:tc>
          <w:tcPr>
            <w:tcW w:w="4367" w:type="dxa"/>
            <w:shd w:val="clear" w:color="auto" w:fill="auto"/>
            <w:vAlign w:val="center"/>
          </w:tcPr>
          <w:p w14:paraId="719F170A" w14:textId="77777777" w:rsidR="0026781D" w:rsidRPr="0026781D" w:rsidRDefault="0026781D" w:rsidP="0026781D">
            <w:pPr>
              <w:pStyle w:val="SingleTxtG"/>
              <w:spacing w:before="40" w:after="40" w:line="220" w:lineRule="exact"/>
              <w:ind w:left="0" w:right="0"/>
              <w:jc w:val="left"/>
              <w:rPr>
                <w:sz w:val="18"/>
              </w:rPr>
            </w:pPr>
            <w:r w:rsidRPr="0026781D">
              <w:rPr>
                <w:sz w:val="18"/>
              </w:rPr>
              <w:t>Desarrollo económico</w:t>
            </w:r>
          </w:p>
        </w:tc>
        <w:tc>
          <w:tcPr>
            <w:tcW w:w="2457" w:type="dxa"/>
            <w:shd w:val="clear" w:color="auto" w:fill="auto"/>
            <w:vAlign w:val="center"/>
          </w:tcPr>
          <w:p w14:paraId="7F43BD89" w14:textId="77777777" w:rsidR="0026781D" w:rsidRPr="0026781D" w:rsidRDefault="0026781D" w:rsidP="0026781D">
            <w:pPr>
              <w:pStyle w:val="SingleTxtG"/>
              <w:spacing w:before="40" w:after="40" w:line="220" w:lineRule="exact"/>
              <w:ind w:left="0" w:right="0"/>
              <w:jc w:val="right"/>
              <w:rPr>
                <w:sz w:val="18"/>
              </w:rPr>
            </w:pPr>
            <w:r w:rsidRPr="0026781D">
              <w:rPr>
                <w:sz w:val="18"/>
              </w:rPr>
              <w:t>108</w:t>
            </w:r>
          </w:p>
        </w:tc>
      </w:tr>
      <w:tr w:rsidR="0026781D" w:rsidRPr="0026781D" w14:paraId="7FF5F28E" w14:textId="77777777" w:rsidTr="00AC7712">
        <w:tc>
          <w:tcPr>
            <w:tcW w:w="546" w:type="dxa"/>
            <w:shd w:val="clear" w:color="auto" w:fill="auto"/>
            <w:vAlign w:val="center"/>
          </w:tcPr>
          <w:p w14:paraId="643EF9E3" w14:textId="77777777" w:rsidR="0026781D" w:rsidRPr="0026781D" w:rsidRDefault="0026781D" w:rsidP="0026781D">
            <w:pPr>
              <w:pStyle w:val="SingleTxtG"/>
              <w:spacing w:before="40" w:after="40" w:line="220" w:lineRule="exact"/>
              <w:ind w:left="0" w:right="0"/>
              <w:jc w:val="left"/>
              <w:rPr>
                <w:sz w:val="18"/>
              </w:rPr>
            </w:pPr>
            <w:r w:rsidRPr="0026781D">
              <w:rPr>
                <w:sz w:val="18"/>
              </w:rPr>
              <w:t>7</w:t>
            </w:r>
          </w:p>
        </w:tc>
        <w:tc>
          <w:tcPr>
            <w:tcW w:w="4367" w:type="dxa"/>
            <w:shd w:val="clear" w:color="auto" w:fill="auto"/>
            <w:vAlign w:val="center"/>
          </w:tcPr>
          <w:p w14:paraId="5F0578B1" w14:textId="77777777" w:rsidR="0026781D" w:rsidRPr="0026781D" w:rsidRDefault="0026781D" w:rsidP="0026781D">
            <w:pPr>
              <w:pStyle w:val="SingleTxtG"/>
              <w:spacing w:before="40" w:after="40" w:line="220" w:lineRule="exact"/>
              <w:ind w:left="0" w:right="0"/>
              <w:jc w:val="left"/>
              <w:rPr>
                <w:sz w:val="18"/>
              </w:rPr>
            </w:pPr>
            <w:r w:rsidRPr="0026781D">
              <w:rPr>
                <w:sz w:val="18"/>
              </w:rPr>
              <w:t>Educación</w:t>
            </w:r>
          </w:p>
        </w:tc>
        <w:tc>
          <w:tcPr>
            <w:tcW w:w="2457" w:type="dxa"/>
            <w:shd w:val="clear" w:color="auto" w:fill="auto"/>
            <w:vAlign w:val="center"/>
          </w:tcPr>
          <w:p w14:paraId="6FF40879" w14:textId="77777777" w:rsidR="0026781D" w:rsidRPr="0026781D" w:rsidRDefault="0026781D" w:rsidP="0026781D">
            <w:pPr>
              <w:pStyle w:val="SingleTxtG"/>
              <w:spacing w:before="40" w:after="40" w:line="220" w:lineRule="exact"/>
              <w:ind w:left="0" w:right="0"/>
              <w:jc w:val="right"/>
              <w:rPr>
                <w:sz w:val="18"/>
              </w:rPr>
            </w:pPr>
            <w:r w:rsidRPr="0026781D">
              <w:rPr>
                <w:sz w:val="18"/>
              </w:rPr>
              <w:t>142</w:t>
            </w:r>
          </w:p>
        </w:tc>
      </w:tr>
      <w:tr w:rsidR="0026781D" w:rsidRPr="0026781D" w14:paraId="0E4681D5" w14:textId="77777777" w:rsidTr="00AC7712">
        <w:tc>
          <w:tcPr>
            <w:tcW w:w="546" w:type="dxa"/>
            <w:shd w:val="clear" w:color="auto" w:fill="auto"/>
            <w:vAlign w:val="center"/>
          </w:tcPr>
          <w:p w14:paraId="1967214F" w14:textId="77777777" w:rsidR="0026781D" w:rsidRPr="0026781D" w:rsidRDefault="0026781D" w:rsidP="0026781D">
            <w:pPr>
              <w:pStyle w:val="SingleTxtG"/>
              <w:spacing w:before="40" w:after="40" w:line="220" w:lineRule="exact"/>
              <w:ind w:left="0" w:right="0"/>
              <w:jc w:val="left"/>
              <w:rPr>
                <w:sz w:val="18"/>
              </w:rPr>
            </w:pPr>
            <w:r w:rsidRPr="0026781D">
              <w:rPr>
                <w:sz w:val="18"/>
              </w:rPr>
              <w:t>8</w:t>
            </w:r>
          </w:p>
        </w:tc>
        <w:tc>
          <w:tcPr>
            <w:tcW w:w="4367" w:type="dxa"/>
            <w:shd w:val="clear" w:color="auto" w:fill="auto"/>
            <w:vAlign w:val="center"/>
          </w:tcPr>
          <w:p w14:paraId="24758095" w14:textId="77777777" w:rsidR="0026781D" w:rsidRPr="0026781D" w:rsidRDefault="0026781D" w:rsidP="0026781D">
            <w:pPr>
              <w:pStyle w:val="SingleTxtG"/>
              <w:spacing w:before="40" w:after="40" w:line="220" w:lineRule="exact"/>
              <w:ind w:left="0" w:right="0"/>
              <w:jc w:val="left"/>
              <w:rPr>
                <w:sz w:val="18"/>
              </w:rPr>
            </w:pPr>
            <w:r w:rsidRPr="0026781D">
              <w:rPr>
                <w:sz w:val="18"/>
              </w:rPr>
              <w:t>Desarrollo sostenible</w:t>
            </w:r>
          </w:p>
        </w:tc>
        <w:tc>
          <w:tcPr>
            <w:tcW w:w="2457" w:type="dxa"/>
            <w:shd w:val="clear" w:color="auto" w:fill="auto"/>
            <w:vAlign w:val="center"/>
          </w:tcPr>
          <w:p w14:paraId="4AD2A666" w14:textId="77777777" w:rsidR="0026781D" w:rsidRPr="0026781D" w:rsidRDefault="0026781D" w:rsidP="0026781D">
            <w:pPr>
              <w:pStyle w:val="SingleTxtG"/>
              <w:spacing w:before="40" w:after="40" w:line="220" w:lineRule="exact"/>
              <w:ind w:left="0" w:right="0"/>
              <w:jc w:val="right"/>
              <w:rPr>
                <w:sz w:val="18"/>
              </w:rPr>
            </w:pPr>
            <w:r w:rsidRPr="0026781D">
              <w:rPr>
                <w:sz w:val="18"/>
              </w:rPr>
              <w:t>235</w:t>
            </w:r>
          </w:p>
        </w:tc>
      </w:tr>
      <w:tr w:rsidR="0026781D" w:rsidRPr="0026781D" w14:paraId="0060BE0D" w14:textId="77777777" w:rsidTr="00AC7712">
        <w:tc>
          <w:tcPr>
            <w:tcW w:w="546" w:type="dxa"/>
            <w:shd w:val="clear" w:color="auto" w:fill="auto"/>
            <w:vAlign w:val="center"/>
          </w:tcPr>
          <w:p w14:paraId="41EF75A3" w14:textId="77777777" w:rsidR="0026781D" w:rsidRPr="0026781D" w:rsidRDefault="0026781D" w:rsidP="0026781D">
            <w:pPr>
              <w:pStyle w:val="SingleTxtG"/>
              <w:spacing w:before="40" w:after="40" w:line="220" w:lineRule="exact"/>
              <w:ind w:left="0" w:right="0"/>
              <w:jc w:val="left"/>
              <w:rPr>
                <w:sz w:val="18"/>
              </w:rPr>
            </w:pPr>
            <w:r w:rsidRPr="0026781D">
              <w:rPr>
                <w:sz w:val="18"/>
              </w:rPr>
              <w:t>9</w:t>
            </w:r>
          </w:p>
        </w:tc>
        <w:tc>
          <w:tcPr>
            <w:tcW w:w="4367" w:type="dxa"/>
            <w:shd w:val="clear" w:color="auto" w:fill="auto"/>
            <w:vAlign w:val="center"/>
          </w:tcPr>
          <w:p w14:paraId="1A80BCF8" w14:textId="77777777" w:rsidR="0026781D" w:rsidRPr="0026781D" w:rsidRDefault="0026781D" w:rsidP="0026781D">
            <w:pPr>
              <w:pStyle w:val="SingleTxtG"/>
              <w:spacing w:before="40" w:after="40" w:line="220" w:lineRule="exact"/>
              <w:ind w:left="0" w:right="0"/>
              <w:jc w:val="left"/>
              <w:rPr>
                <w:sz w:val="18"/>
              </w:rPr>
            </w:pPr>
            <w:r w:rsidRPr="0026781D">
              <w:rPr>
                <w:sz w:val="18"/>
              </w:rPr>
              <w:t>Cultura</w:t>
            </w:r>
          </w:p>
        </w:tc>
        <w:tc>
          <w:tcPr>
            <w:tcW w:w="2457" w:type="dxa"/>
            <w:shd w:val="clear" w:color="auto" w:fill="auto"/>
            <w:vAlign w:val="center"/>
          </w:tcPr>
          <w:p w14:paraId="57DE25E6" w14:textId="77777777" w:rsidR="0026781D" w:rsidRPr="0026781D" w:rsidRDefault="0026781D" w:rsidP="0026781D">
            <w:pPr>
              <w:pStyle w:val="SingleTxtG"/>
              <w:spacing w:before="40" w:after="40" w:line="220" w:lineRule="exact"/>
              <w:ind w:left="0" w:right="0"/>
              <w:jc w:val="right"/>
              <w:rPr>
                <w:sz w:val="18"/>
              </w:rPr>
            </w:pPr>
            <w:r w:rsidRPr="0026781D">
              <w:rPr>
                <w:sz w:val="18"/>
              </w:rPr>
              <w:t>356</w:t>
            </w:r>
          </w:p>
        </w:tc>
      </w:tr>
      <w:tr w:rsidR="0026781D" w:rsidRPr="0026781D" w14:paraId="566009F4" w14:textId="77777777" w:rsidTr="00AC7712">
        <w:tc>
          <w:tcPr>
            <w:tcW w:w="546" w:type="dxa"/>
            <w:shd w:val="clear" w:color="auto" w:fill="auto"/>
            <w:vAlign w:val="center"/>
          </w:tcPr>
          <w:p w14:paraId="1A67B5DE" w14:textId="77777777" w:rsidR="0026781D" w:rsidRPr="0026781D" w:rsidRDefault="0026781D" w:rsidP="0026781D">
            <w:pPr>
              <w:pStyle w:val="SingleTxtG"/>
              <w:spacing w:before="40" w:after="40" w:line="220" w:lineRule="exact"/>
              <w:ind w:left="0" w:right="0"/>
              <w:jc w:val="left"/>
              <w:rPr>
                <w:sz w:val="18"/>
              </w:rPr>
            </w:pPr>
            <w:r w:rsidRPr="0026781D">
              <w:rPr>
                <w:sz w:val="18"/>
              </w:rPr>
              <w:t>10</w:t>
            </w:r>
          </w:p>
        </w:tc>
        <w:tc>
          <w:tcPr>
            <w:tcW w:w="4367" w:type="dxa"/>
            <w:shd w:val="clear" w:color="auto" w:fill="auto"/>
            <w:vAlign w:val="center"/>
          </w:tcPr>
          <w:p w14:paraId="17B8C185" w14:textId="77777777" w:rsidR="0026781D" w:rsidRPr="0026781D" w:rsidRDefault="0026781D" w:rsidP="0026781D">
            <w:pPr>
              <w:pStyle w:val="SingleTxtG"/>
              <w:spacing w:before="40" w:after="40" w:line="220" w:lineRule="exact"/>
              <w:ind w:left="0" w:right="0"/>
              <w:jc w:val="left"/>
              <w:rPr>
                <w:sz w:val="18"/>
              </w:rPr>
            </w:pPr>
            <w:r w:rsidRPr="0026781D">
              <w:rPr>
                <w:sz w:val="18"/>
              </w:rPr>
              <w:t>Derechos humanos</w:t>
            </w:r>
          </w:p>
        </w:tc>
        <w:tc>
          <w:tcPr>
            <w:tcW w:w="2457" w:type="dxa"/>
            <w:shd w:val="clear" w:color="auto" w:fill="auto"/>
            <w:vAlign w:val="center"/>
          </w:tcPr>
          <w:p w14:paraId="25E4D22F" w14:textId="77777777" w:rsidR="0026781D" w:rsidRPr="0026781D" w:rsidRDefault="0026781D" w:rsidP="0026781D">
            <w:pPr>
              <w:pStyle w:val="SingleTxtG"/>
              <w:spacing w:before="40" w:after="40" w:line="220" w:lineRule="exact"/>
              <w:ind w:left="0" w:right="0"/>
              <w:jc w:val="right"/>
              <w:rPr>
                <w:sz w:val="18"/>
              </w:rPr>
            </w:pPr>
            <w:r w:rsidRPr="0026781D">
              <w:rPr>
                <w:sz w:val="18"/>
              </w:rPr>
              <w:t>315</w:t>
            </w:r>
          </w:p>
        </w:tc>
      </w:tr>
      <w:tr w:rsidR="0026781D" w:rsidRPr="0026781D" w14:paraId="3566DF08" w14:textId="77777777" w:rsidTr="00AC7712">
        <w:tc>
          <w:tcPr>
            <w:tcW w:w="546" w:type="dxa"/>
            <w:shd w:val="clear" w:color="auto" w:fill="auto"/>
            <w:vAlign w:val="center"/>
          </w:tcPr>
          <w:p w14:paraId="3D6AC07D" w14:textId="77777777" w:rsidR="0026781D" w:rsidRPr="0026781D" w:rsidRDefault="0026781D" w:rsidP="0026781D">
            <w:pPr>
              <w:pStyle w:val="SingleTxtG"/>
              <w:spacing w:before="40" w:after="40" w:line="220" w:lineRule="exact"/>
              <w:ind w:left="0" w:right="0"/>
              <w:jc w:val="left"/>
              <w:rPr>
                <w:sz w:val="18"/>
              </w:rPr>
            </w:pPr>
            <w:r w:rsidRPr="0026781D">
              <w:rPr>
                <w:sz w:val="18"/>
              </w:rPr>
              <w:t>11</w:t>
            </w:r>
          </w:p>
        </w:tc>
        <w:tc>
          <w:tcPr>
            <w:tcW w:w="4367" w:type="dxa"/>
            <w:shd w:val="clear" w:color="auto" w:fill="auto"/>
            <w:vAlign w:val="center"/>
          </w:tcPr>
          <w:p w14:paraId="43675600" w14:textId="77777777" w:rsidR="0026781D" w:rsidRPr="0026781D" w:rsidRDefault="0026781D" w:rsidP="0026781D">
            <w:pPr>
              <w:pStyle w:val="SingleTxtG"/>
              <w:spacing w:before="40" w:after="40" w:line="220" w:lineRule="exact"/>
              <w:ind w:left="0" w:right="0"/>
              <w:jc w:val="left"/>
              <w:rPr>
                <w:sz w:val="18"/>
              </w:rPr>
            </w:pPr>
            <w:r w:rsidRPr="0026781D">
              <w:rPr>
                <w:sz w:val="18"/>
              </w:rPr>
              <w:t>Servicios generales</w:t>
            </w:r>
          </w:p>
        </w:tc>
        <w:tc>
          <w:tcPr>
            <w:tcW w:w="2457" w:type="dxa"/>
            <w:shd w:val="clear" w:color="auto" w:fill="auto"/>
            <w:vAlign w:val="center"/>
          </w:tcPr>
          <w:p w14:paraId="6E5B08A0" w14:textId="77777777" w:rsidR="0026781D" w:rsidRPr="0026781D" w:rsidRDefault="0026781D" w:rsidP="0026781D">
            <w:pPr>
              <w:pStyle w:val="SingleTxtG"/>
              <w:spacing w:before="40" w:after="40" w:line="220" w:lineRule="exact"/>
              <w:ind w:left="0" w:right="0"/>
              <w:jc w:val="right"/>
              <w:rPr>
                <w:sz w:val="18"/>
              </w:rPr>
            </w:pPr>
            <w:r w:rsidRPr="0026781D">
              <w:rPr>
                <w:sz w:val="18"/>
              </w:rPr>
              <w:t>113</w:t>
            </w:r>
          </w:p>
        </w:tc>
      </w:tr>
      <w:tr w:rsidR="0026781D" w:rsidRPr="0026781D" w14:paraId="528A2D3E" w14:textId="77777777" w:rsidTr="00AC7712">
        <w:tc>
          <w:tcPr>
            <w:tcW w:w="546" w:type="dxa"/>
            <w:shd w:val="clear" w:color="auto" w:fill="auto"/>
            <w:vAlign w:val="center"/>
          </w:tcPr>
          <w:p w14:paraId="468707F4" w14:textId="77777777" w:rsidR="0026781D" w:rsidRPr="0026781D" w:rsidRDefault="0026781D" w:rsidP="0026781D">
            <w:pPr>
              <w:pStyle w:val="SingleTxtG"/>
              <w:spacing w:before="40" w:after="40" w:line="220" w:lineRule="exact"/>
              <w:ind w:left="0" w:right="0"/>
              <w:jc w:val="left"/>
              <w:rPr>
                <w:sz w:val="18"/>
              </w:rPr>
            </w:pPr>
            <w:r w:rsidRPr="0026781D">
              <w:rPr>
                <w:sz w:val="18"/>
              </w:rPr>
              <w:t>12</w:t>
            </w:r>
          </w:p>
        </w:tc>
        <w:tc>
          <w:tcPr>
            <w:tcW w:w="4367" w:type="dxa"/>
            <w:shd w:val="clear" w:color="auto" w:fill="auto"/>
            <w:vAlign w:val="center"/>
          </w:tcPr>
          <w:p w14:paraId="4548F182" w14:textId="77777777" w:rsidR="0026781D" w:rsidRPr="0026781D" w:rsidRDefault="0026781D" w:rsidP="0026781D">
            <w:pPr>
              <w:pStyle w:val="SingleTxtG"/>
              <w:spacing w:before="40" w:after="40" w:line="220" w:lineRule="exact"/>
              <w:ind w:left="0" w:right="0"/>
              <w:jc w:val="left"/>
              <w:rPr>
                <w:sz w:val="18"/>
              </w:rPr>
            </w:pPr>
            <w:r w:rsidRPr="0026781D">
              <w:rPr>
                <w:sz w:val="18"/>
              </w:rPr>
              <w:t>Democratización</w:t>
            </w:r>
          </w:p>
        </w:tc>
        <w:tc>
          <w:tcPr>
            <w:tcW w:w="2457" w:type="dxa"/>
            <w:shd w:val="clear" w:color="auto" w:fill="auto"/>
            <w:vAlign w:val="center"/>
          </w:tcPr>
          <w:p w14:paraId="1A65E836" w14:textId="77777777" w:rsidR="0026781D" w:rsidRPr="0026781D" w:rsidRDefault="0026781D" w:rsidP="0026781D">
            <w:pPr>
              <w:pStyle w:val="SingleTxtG"/>
              <w:spacing w:before="40" w:after="40" w:line="220" w:lineRule="exact"/>
              <w:ind w:left="0" w:right="0"/>
              <w:jc w:val="right"/>
              <w:rPr>
                <w:sz w:val="18"/>
              </w:rPr>
            </w:pPr>
            <w:r w:rsidRPr="0026781D">
              <w:rPr>
                <w:sz w:val="18"/>
              </w:rPr>
              <w:t>56</w:t>
            </w:r>
          </w:p>
        </w:tc>
      </w:tr>
      <w:tr w:rsidR="0026781D" w:rsidRPr="0026781D" w14:paraId="49022912" w14:textId="77777777" w:rsidTr="00AC7712">
        <w:tc>
          <w:tcPr>
            <w:tcW w:w="546" w:type="dxa"/>
            <w:shd w:val="clear" w:color="auto" w:fill="auto"/>
            <w:vAlign w:val="center"/>
          </w:tcPr>
          <w:p w14:paraId="19F68442" w14:textId="77777777" w:rsidR="0026781D" w:rsidRPr="0026781D" w:rsidRDefault="0026781D" w:rsidP="0026781D">
            <w:pPr>
              <w:pStyle w:val="SingleTxtG"/>
              <w:spacing w:before="40" w:after="40" w:line="220" w:lineRule="exact"/>
              <w:ind w:left="0" w:right="0"/>
              <w:jc w:val="left"/>
              <w:rPr>
                <w:sz w:val="18"/>
              </w:rPr>
            </w:pPr>
            <w:r w:rsidRPr="0026781D">
              <w:rPr>
                <w:sz w:val="18"/>
              </w:rPr>
              <w:t>13</w:t>
            </w:r>
          </w:p>
        </w:tc>
        <w:tc>
          <w:tcPr>
            <w:tcW w:w="4367" w:type="dxa"/>
            <w:shd w:val="clear" w:color="auto" w:fill="auto"/>
            <w:vAlign w:val="center"/>
          </w:tcPr>
          <w:p w14:paraId="213C9E90" w14:textId="77777777" w:rsidR="0026781D" w:rsidRPr="0026781D" w:rsidRDefault="0026781D" w:rsidP="0026781D">
            <w:pPr>
              <w:pStyle w:val="SingleTxtG"/>
              <w:spacing w:before="40" w:after="40" w:line="220" w:lineRule="exact"/>
              <w:ind w:left="0" w:right="0"/>
              <w:jc w:val="left"/>
              <w:rPr>
                <w:sz w:val="18"/>
              </w:rPr>
            </w:pPr>
            <w:r w:rsidRPr="0026781D">
              <w:rPr>
                <w:sz w:val="18"/>
              </w:rPr>
              <w:t>Personas con necesidades especiales</w:t>
            </w:r>
          </w:p>
        </w:tc>
        <w:tc>
          <w:tcPr>
            <w:tcW w:w="2457" w:type="dxa"/>
            <w:shd w:val="clear" w:color="auto" w:fill="auto"/>
            <w:vAlign w:val="center"/>
          </w:tcPr>
          <w:p w14:paraId="2D9BB1D6" w14:textId="77777777" w:rsidR="0026781D" w:rsidRPr="0026781D" w:rsidRDefault="0026781D" w:rsidP="0026781D">
            <w:pPr>
              <w:pStyle w:val="SingleTxtG"/>
              <w:spacing w:before="40" w:after="40" w:line="220" w:lineRule="exact"/>
              <w:ind w:left="0" w:right="0"/>
              <w:jc w:val="right"/>
              <w:rPr>
                <w:sz w:val="18"/>
              </w:rPr>
            </w:pPr>
            <w:r w:rsidRPr="0026781D">
              <w:rPr>
                <w:sz w:val="18"/>
              </w:rPr>
              <w:t>55</w:t>
            </w:r>
          </w:p>
        </w:tc>
      </w:tr>
      <w:tr w:rsidR="0026781D" w:rsidRPr="0026781D" w14:paraId="19000DB4" w14:textId="77777777" w:rsidTr="00AC7712">
        <w:tc>
          <w:tcPr>
            <w:tcW w:w="546" w:type="dxa"/>
            <w:shd w:val="clear" w:color="auto" w:fill="auto"/>
            <w:vAlign w:val="center"/>
          </w:tcPr>
          <w:p w14:paraId="72EE7892" w14:textId="77777777" w:rsidR="0026781D" w:rsidRPr="0026781D" w:rsidRDefault="0026781D" w:rsidP="0026781D">
            <w:pPr>
              <w:pStyle w:val="SingleTxtG"/>
              <w:spacing w:before="40" w:after="40" w:line="220" w:lineRule="exact"/>
              <w:ind w:left="0" w:right="0"/>
              <w:jc w:val="left"/>
              <w:rPr>
                <w:sz w:val="18"/>
              </w:rPr>
            </w:pPr>
            <w:r w:rsidRPr="0026781D">
              <w:rPr>
                <w:sz w:val="18"/>
              </w:rPr>
              <w:t>14</w:t>
            </w:r>
          </w:p>
        </w:tc>
        <w:tc>
          <w:tcPr>
            <w:tcW w:w="4367" w:type="dxa"/>
            <w:shd w:val="clear" w:color="auto" w:fill="auto"/>
            <w:vAlign w:val="center"/>
          </w:tcPr>
          <w:p w14:paraId="41945B7F" w14:textId="77777777" w:rsidR="0026781D" w:rsidRPr="0026781D" w:rsidRDefault="0026781D" w:rsidP="0026781D">
            <w:pPr>
              <w:pStyle w:val="SingleTxtG"/>
              <w:spacing w:before="40" w:after="40" w:line="220" w:lineRule="exact"/>
              <w:ind w:left="0" w:right="0"/>
              <w:jc w:val="left"/>
              <w:rPr>
                <w:sz w:val="18"/>
              </w:rPr>
            </w:pPr>
            <w:r w:rsidRPr="0026781D">
              <w:rPr>
                <w:sz w:val="18"/>
              </w:rPr>
              <w:t>Agricultura</w:t>
            </w:r>
          </w:p>
        </w:tc>
        <w:tc>
          <w:tcPr>
            <w:tcW w:w="2457" w:type="dxa"/>
            <w:shd w:val="clear" w:color="auto" w:fill="auto"/>
            <w:vAlign w:val="center"/>
          </w:tcPr>
          <w:p w14:paraId="7386E4AF" w14:textId="77777777" w:rsidR="0026781D" w:rsidRPr="0026781D" w:rsidRDefault="0026781D" w:rsidP="0026781D">
            <w:pPr>
              <w:pStyle w:val="SingleTxtG"/>
              <w:spacing w:before="40" w:after="40" w:line="220" w:lineRule="exact"/>
              <w:ind w:left="0" w:right="0"/>
              <w:jc w:val="right"/>
              <w:rPr>
                <w:sz w:val="18"/>
              </w:rPr>
            </w:pPr>
            <w:r w:rsidRPr="0026781D">
              <w:rPr>
                <w:sz w:val="18"/>
              </w:rPr>
              <w:t>94</w:t>
            </w:r>
          </w:p>
        </w:tc>
      </w:tr>
      <w:tr w:rsidR="0026781D" w:rsidRPr="0026781D" w14:paraId="53426833" w14:textId="77777777" w:rsidTr="00AC7712">
        <w:tc>
          <w:tcPr>
            <w:tcW w:w="546" w:type="dxa"/>
            <w:shd w:val="clear" w:color="auto" w:fill="auto"/>
            <w:vAlign w:val="center"/>
          </w:tcPr>
          <w:p w14:paraId="321A7D3F" w14:textId="77777777" w:rsidR="0026781D" w:rsidRPr="0026781D" w:rsidRDefault="0026781D" w:rsidP="0026781D">
            <w:pPr>
              <w:pStyle w:val="SingleTxtG"/>
              <w:spacing w:before="40" w:after="40" w:line="220" w:lineRule="exact"/>
              <w:ind w:left="0" w:right="0"/>
              <w:jc w:val="left"/>
              <w:rPr>
                <w:sz w:val="18"/>
              </w:rPr>
            </w:pPr>
            <w:r w:rsidRPr="0026781D">
              <w:rPr>
                <w:sz w:val="18"/>
              </w:rPr>
              <w:t>15</w:t>
            </w:r>
          </w:p>
        </w:tc>
        <w:tc>
          <w:tcPr>
            <w:tcW w:w="4367" w:type="dxa"/>
            <w:shd w:val="clear" w:color="auto" w:fill="auto"/>
            <w:vAlign w:val="center"/>
          </w:tcPr>
          <w:p w14:paraId="3D439EF9" w14:textId="77777777" w:rsidR="0026781D" w:rsidRPr="0026781D" w:rsidRDefault="0026781D" w:rsidP="0026781D">
            <w:pPr>
              <w:pStyle w:val="SingleTxtG"/>
              <w:spacing w:before="40" w:after="40" w:line="220" w:lineRule="exact"/>
              <w:ind w:left="0" w:right="0"/>
              <w:jc w:val="left"/>
              <w:rPr>
                <w:sz w:val="18"/>
              </w:rPr>
            </w:pPr>
            <w:r w:rsidRPr="0026781D">
              <w:rPr>
                <w:sz w:val="18"/>
              </w:rPr>
              <w:t>Jóvenes</w:t>
            </w:r>
          </w:p>
        </w:tc>
        <w:tc>
          <w:tcPr>
            <w:tcW w:w="2457" w:type="dxa"/>
            <w:shd w:val="clear" w:color="auto" w:fill="auto"/>
            <w:vAlign w:val="center"/>
          </w:tcPr>
          <w:p w14:paraId="66367C10" w14:textId="77777777" w:rsidR="0026781D" w:rsidRPr="0026781D" w:rsidRDefault="0026781D" w:rsidP="0026781D">
            <w:pPr>
              <w:pStyle w:val="SingleTxtG"/>
              <w:spacing w:before="40" w:after="40" w:line="220" w:lineRule="exact"/>
              <w:ind w:left="0" w:right="0"/>
              <w:jc w:val="right"/>
              <w:rPr>
                <w:sz w:val="18"/>
              </w:rPr>
            </w:pPr>
            <w:r w:rsidRPr="0026781D">
              <w:rPr>
                <w:sz w:val="18"/>
              </w:rPr>
              <w:t>110</w:t>
            </w:r>
          </w:p>
        </w:tc>
      </w:tr>
      <w:tr w:rsidR="0026781D" w:rsidRPr="0026781D" w14:paraId="13A4CAB4" w14:textId="77777777" w:rsidTr="00AC7712">
        <w:tc>
          <w:tcPr>
            <w:tcW w:w="546" w:type="dxa"/>
            <w:shd w:val="clear" w:color="auto" w:fill="auto"/>
            <w:vAlign w:val="center"/>
          </w:tcPr>
          <w:p w14:paraId="35A44611" w14:textId="77777777" w:rsidR="0026781D" w:rsidRPr="0026781D" w:rsidRDefault="0026781D" w:rsidP="0026781D">
            <w:pPr>
              <w:pStyle w:val="SingleTxtG"/>
              <w:spacing w:before="40" w:after="40" w:line="220" w:lineRule="exact"/>
              <w:ind w:left="0" w:right="0"/>
              <w:jc w:val="left"/>
              <w:rPr>
                <w:sz w:val="18"/>
              </w:rPr>
            </w:pPr>
            <w:r w:rsidRPr="0026781D">
              <w:rPr>
                <w:sz w:val="18"/>
              </w:rPr>
              <w:t>16</w:t>
            </w:r>
          </w:p>
        </w:tc>
        <w:tc>
          <w:tcPr>
            <w:tcW w:w="4367" w:type="dxa"/>
            <w:shd w:val="clear" w:color="auto" w:fill="auto"/>
            <w:vAlign w:val="center"/>
          </w:tcPr>
          <w:p w14:paraId="7A20D656" w14:textId="77777777" w:rsidR="0026781D" w:rsidRPr="0026781D" w:rsidRDefault="0026781D" w:rsidP="0026781D">
            <w:pPr>
              <w:pStyle w:val="SingleTxtG"/>
              <w:spacing w:before="40" w:after="40" w:line="220" w:lineRule="exact"/>
              <w:ind w:left="0" w:right="0"/>
              <w:jc w:val="left"/>
              <w:rPr>
                <w:sz w:val="18"/>
              </w:rPr>
            </w:pPr>
            <w:r w:rsidRPr="0026781D">
              <w:rPr>
                <w:sz w:val="18"/>
              </w:rPr>
              <w:t>Mujer</w:t>
            </w:r>
          </w:p>
        </w:tc>
        <w:tc>
          <w:tcPr>
            <w:tcW w:w="2457" w:type="dxa"/>
            <w:shd w:val="clear" w:color="auto" w:fill="auto"/>
            <w:vAlign w:val="center"/>
          </w:tcPr>
          <w:p w14:paraId="58CB8B1D" w14:textId="77777777" w:rsidR="0026781D" w:rsidRPr="0026781D" w:rsidRDefault="0026781D" w:rsidP="0026781D">
            <w:pPr>
              <w:pStyle w:val="SingleTxtG"/>
              <w:spacing w:before="40" w:after="40" w:line="220" w:lineRule="exact"/>
              <w:ind w:left="0" w:right="0"/>
              <w:jc w:val="right"/>
              <w:rPr>
                <w:sz w:val="18"/>
              </w:rPr>
            </w:pPr>
            <w:r w:rsidRPr="0026781D">
              <w:rPr>
                <w:sz w:val="18"/>
              </w:rPr>
              <w:t>191</w:t>
            </w:r>
          </w:p>
        </w:tc>
      </w:tr>
      <w:tr w:rsidR="0026781D" w:rsidRPr="0026781D" w14:paraId="098318CC" w14:textId="77777777" w:rsidTr="00AC7712">
        <w:tc>
          <w:tcPr>
            <w:tcW w:w="546" w:type="dxa"/>
            <w:shd w:val="clear" w:color="auto" w:fill="auto"/>
            <w:vAlign w:val="center"/>
          </w:tcPr>
          <w:p w14:paraId="340115D6" w14:textId="77777777" w:rsidR="0026781D" w:rsidRPr="0026781D" w:rsidRDefault="0026781D" w:rsidP="0026781D">
            <w:pPr>
              <w:pStyle w:val="SingleTxtG"/>
              <w:spacing w:before="40" w:after="40" w:line="220" w:lineRule="exact"/>
              <w:ind w:left="0" w:right="0"/>
              <w:jc w:val="left"/>
              <w:rPr>
                <w:sz w:val="18"/>
              </w:rPr>
            </w:pPr>
            <w:r w:rsidRPr="0026781D">
              <w:rPr>
                <w:sz w:val="18"/>
              </w:rPr>
              <w:t>17</w:t>
            </w:r>
          </w:p>
        </w:tc>
        <w:tc>
          <w:tcPr>
            <w:tcW w:w="4367" w:type="dxa"/>
            <w:shd w:val="clear" w:color="auto" w:fill="auto"/>
            <w:vAlign w:val="center"/>
          </w:tcPr>
          <w:p w14:paraId="28AF804B" w14:textId="77777777" w:rsidR="0026781D" w:rsidRPr="0026781D" w:rsidRDefault="0026781D" w:rsidP="0026781D">
            <w:pPr>
              <w:pStyle w:val="SingleTxtG"/>
              <w:spacing w:before="40" w:after="40" w:line="220" w:lineRule="exact"/>
              <w:ind w:left="0" w:right="0"/>
              <w:jc w:val="left"/>
              <w:rPr>
                <w:sz w:val="18"/>
              </w:rPr>
            </w:pPr>
            <w:r w:rsidRPr="0026781D">
              <w:rPr>
                <w:sz w:val="18"/>
              </w:rPr>
              <w:t>Salud</w:t>
            </w:r>
          </w:p>
        </w:tc>
        <w:tc>
          <w:tcPr>
            <w:tcW w:w="2457" w:type="dxa"/>
            <w:shd w:val="clear" w:color="auto" w:fill="auto"/>
            <w:vAlign w:val="center"/>
          </w:tcPr>
          <w:p w14:paraId="6FD99702" w14:textId="77777777" w:rsidR="0026781D" w:rsidRPr="0026781D" w:rsidRDefault="0026781D" w:rsidP="0026781D">
            <w:pPr>
              <w:pStyle w:val="SingleTxtG"/>
              <w:spacing w:before="40" w:after="40" w:line="220" w:lineRule="exact"/>
              <w:ind w:left="0" w:right="0"/>
              <w:jc w:val="right"/>
              <w:rPr>
                <w:sz w:val="18"/>
              </w:rPr>
            </w:pPr>
            <w:r w:rsidRPr="0026781D">
              <w:rPr>
                <w:sz w:val="18"/>
              </w:rPr>
              <w:t>67</w:t>
            </w:r>
          </w:p>
        </w:tc>
      </w:tr>
      <w:tr w:rsidR="0026781D" w:rsidRPr="0026781D" w14:paraId="369B09AB" w14:textId="77777777" w:rsidTr="00AC7712">
        <w:tc>
          <w:tcPr>
            <w:tcW w:w="546" w:type="dxa"/>
            <w:shd w:val="clear" w:color="auto" w:fill="auto"/>
            <w:vAlign w:val="center"/>
          </w:tcPr>
          <w:p w14:paraId="055B0156" w14:textId="77777777" w:rsidR="0026781D" w:rsidRPr="0026781D" w:rsidRDefault="0026781D" w:rsidP="0026781D">
            <w:pPr>
              <w:pStyle w:val="SingleTxtG"/>
              <w:spacing w:before="40" w:after="40" w:line="220" w:lineRule="exact"/>
              <w:ind w:left="0" w:right="0"/>
              <w:jc w:val="left"/>
              <w:rPr>
                <w:sz w:val="18"/>
              </w:rPr>
            </w:pPr>
            <w:r w:rsidRPr="0026781D">
              <w:rPr>
                <w:sz w:val="18"/>
              </w:rPr>
              <w:t>18</w:t>
            </w:r>
          </w:p>
        </w:tc>
        <w:tc>
          <w:tcPr>
            <w:tcW w:w="4367" w:type="dxa"/>
            <w:shd w:val="clear" w:color="auto" w:fill="auto"/>
            <w:vAlign w:val="center"/>
          </w:tcPr>
          <w:p w14:paraId="0F4EEEB3" w14:textId="77777777" w:rsidR="0026781D" w:rsidRPr="0026781D" w:rsidRDefault="0026781D" w:rsidP="0026781D">
            <w:pPr>
              <w:pStyle w:val="SingleTxtG"/>
              <w:spacing w:before="40" w:after="40" w:line="220" w:lineRule="exact"/>
              <w:ind w:left="0" w:right="0"/>
              <w:jc w:val="left"/>
              <w:rPr>
                <w:sz w:val="18"/>
              </w:rPr>
            </w:pPr>
            <w:r w:rsidRPr="0026781D">
              <w:rPr>
                <w:sz w:val="18"/>
              </w:rPr>
              <w:t xml:space="preserve">Arte </w:t>
            </w:r>
          </w:p>
        </w:tc>
        <w:tc>
          <w:tcPr>
            <w:tcW w:w="2457" w:type="dxa"/>
            <w:shd w:val="clear" w:color="auto" w:fill="auto"/>
            <w:vAlign w:val="center"/>
          </w:tcPr>
          <w:p w14:paraId="6228142E" w14:textId="77777777" w:rsidR="0026781D" w:rsidRPr="0026781D" w:rsidRDefault="0026781D" w:rsidP="0026781D">
            <w:pPr>
              <w:pStyle w:val="SingleTxtG"/>
              <w:spacing w:before="40" w:after="40" w:line="220" w:lineRule="exact"/>
              <w:ind w:left="0" w:right="0"/>
              <w:jc w:val="right"/>
              <w:rPr>
                <w:sz w:val="18"/>
              </w:rPr>
            </w:pPr>
            <w:r w:rsidRPr="0026781D">
              <w:rPr>
                <w:sz w:val="18"/>
              </w:rPr>
              <w:t>36</w:t>
            </w:r>
          </w:p>
        </w:tc>
      </w:tr>
      <w:tr w:rsidR="0026781D" w:rsidRPr="0026781D" w14:paraId="58B80ADD" w14:textId="77777777" w:rsidTr="0026781D">
        <w:tc>
          <w:tcPr>
            <w:tcW w:w="546" w:type="dxa"/>
            <w:shd w:val="clear" w:color="auto" w:fill="auto"/>
            <w:vAlign w:val="center"/>
          </w:tcPr>
          <w:p w14:paraId="74CEC09B" w14:textId="77777777" w:rsidR="0026781D" w:rsidRPr="0026781D" w:rsidRDefault="0026781D" w:rsidP="0026781D">
            <w:pPr>
              <w:pStyle w:val="SingleTxtG"/>
              <w:spacing w:before="40" w:after="40" w:line="220" w:lineRule="exact"/>
              <w:ind w:left="0" w:right="0"/>
              <w:jc w:val="left"/>
              <w:rPr>
                <w:sz w:val="18"/>
              </w:rPr>
            </w:pPr>
            <w:r w:rsidRPr="0026781D">
              <w:rPr>
                <w:sz w:val="18"/>
              </w:rPr>
              <w:t>19</w:t>
            </w:r>
          </w:p>
        </w:tc>
        <w:tc>
          <w:tcPr>
            <w:tcW w:w="4367" w:type="dxa"/>
            <w:shd w:val="clear" w:color="auto" w:fill="auto"/>
            <w:vAlign w:val="center"/>
          </w:tcPr>
          <w:p w14:paraId="3ABFF232" w14:textId="77777777" w:rsidR="0026781D" w:rsidRPr="0026781D" w:rsidRDefault="0026781D" w:rsidP="0026781D">
            <w:pPr>
              <w:pStyle w:val="SingleTxtG"/>
              <w:spacing w:before="40" w:after="40" w:line="220" w:lineRule="exact"/>
              <w:ind w:left="0" w:right="0"/>
              <w:jc w:val="left"/>
              <w:rPr>
                <w:sz w:val="18"/>
              </w:rPr>
            </w:pPr>
            <w:r w:rsidRPr="0026781D">
              <w:rPr>
                <w:sz w:val="18"/>
              </w:rPr>
              <w:t>Varios</w:t>
            </w:r>
          </w:p>
        </w:tc>
        <w:tc>
          <w:tcPr>
            <w:tcW w:w="2457" w:type="dxa"/>
            <w:shd w:val="clear" w:color="auto" w:fill="auto"/>
            <w:vAlign w:val="center"/>
          </w:tcPr>
          <w:p w14:paraId="70BB339D" w14:textId="77777777" w:rsidR="0026781D" w:rsidRPr="0026781D" w:rsidRDefault="0026781D" w:rsidP="0026781D">
            <w:pPr>
              <w:pStyle w:val="SingleTxtG"/>
              <w:spacing w:before="40" w:after="40" w:line="220" w:lineRule="exact"/>
              <w:ind w:left="0" w:right="0"/>
              <w:jc w:val="right"/>
              <w:rPr>
                <w:sz w:val="18"/>
              </w:rPr>
            </w:pPr>
            <w:r w:rsidRPr="0026781D">
              <w:rPr>
                <w:sz w:val="18"/>
              </w:rPr>
              <w:t>390</w:t>
            </w:r>
          </w:p>
        </w:tc>
      </w:tr>
      <w:tr w:rsidR="0026781D" w:rsidRPr="0026781D" w14:paraId="16C53E4D" w14:textId="77777777" w:rsidTr="0026781D">
        <w:tc>
          <w:tcPr>
            <w:tcW w:w="546" w:type="dxa"/>
            <w:tcBorders>
              <w:bottom w:val="single" w:sz="4" w:space="0" w:color="auto"/>
            </w:tcBorders>
            <w:shd w:val="clear" w:color="auto" w:fill="auto"/>
            <w:vAlign w:val="center"/>
          </w:tcPr>
          <w:p w14:paraId="2785B1CE" w14:textId="77777777" w:rsidR="0026781D" w:rsidRPr="0026781D" w:rsidRDefault="0026781D" w:rsidP="0026781D">
            <w:pPr>
              <w:pStyle w:val="SingleTxtG"/>
              <w:spacing w:before="40" w:after="40" w:line="220" w:lineRule="exact"/>
              <w:ind w:left="0" w:right="0"/>
              <w:jc w:val="left"/>
              <w:rPr>
                <w:sz w:val="18"/>
              </w:rPr>
            </w:pPr>
            <w:r w:rsidRPr="0026781D">
              <w:rPr>
                <w:sz w:val="18"/>
              </w:rPr>
              <w:t>20</w:t>
            </w:r>
          </w:p>
        </w:tc>
        <w:tc>
          <w:tcPr>
            <w:tcW w:w="4367" w:type="dxa"/>
            <w:tcBorders>
              <w:bottom w:val="single" w:sz="4" w:space="0" w:color="auto"/>
            </w:tcBorders>
            <w:shd w:val="clear" w:color="auto" w:fill="auto"/>
            <w:vAlign w:val="center"/>
          </w:tcPr>
          <w:p w14:paraId="4F02E66E" w14:textId="77777777" w:rsidR="0026781D" w:rsidRPr="0026781D" w:rsidRDefault="0026781D" w:rsidP="0026781D">
            <w:pPr>
              <w:pStyle w:val="SingleTxtG"/>
              <w:spacing w:before="40" w:after="40" w:line="220" w:lineRule="exact"/>
              <w:ind w:left="0" w:right="0"/>
              <w:jc w:val="left"/>
              <w:rPr>
                <w:sz w:val="18"/>
              </w:rPr>
            </w:pPr>
            <w:r w:rsidRPr="0026781D">
              <w:rPr>
                <w:sz w:val="18"/>
              </w:rPr>
              <w:t>Ayuda humanitaria</w:t>
            </w:r>
          </w:p>
        </w:tc>
        <w:tc>
          <w:tcPr>
            <w:tcW w:w="2457" w:type="dxa"/>
            <w:tcBorders>
              <w:bottom w:val="single" w:sz="4" w:space="0" w:color="auto"/>
            </w:tcBorders>
            <w:shd w:val="clear" w:color="auto" w:fill="auto"/>
            <w:vAlign w:val="center"/>
          </w:tcPr>
          <w:p w14:paraId="3D4EE573" w14:textId="77777777" w:rsidR="0026781D" w:rsidRPr="0026781D" w:rsidRDefault="0026781D" w:rsidP="0026781D">
            <w:pPr>
              <w:pStyle w:val="SingleTxtG"/>
              <w:spacing w:before="40" w:after="40" w:line="220" w:lineRule="exact"/>
              <w:ind w:left="0" w:right="0"/>
              <w:jc w:val="right"/>
              <w:rPr>
                <w:sz w:val="18"/>
              </w:rPr>
            </w:pPr>
            <w:r w:rsidRPr="0026781D">
              <w:rPr>
                <w:sz w:val="18"/>
              </w:rPr>
              <w:t>411</w:t>
            </w:r>
          </w:p>
        </w:tc>
      </w:tr>
      <w:tr w:rsidR="0026781D" w:rsidRPr="0026781D" w14:paraId="29CF25BC" w14:textId="77777777" w:rsidTr="0026781D">
        <w:tc>
          <w:tcPr>
            <w:tcW w:w="546" w:type="dxa"/>
            <w:tcBorders>
              <w:top w:val="single" w:sz="4" w:space="0" w:color="auto"/>
              <w:bottom w:val="single" w:sz="12" w:space="0" w:color="auto"/>
            </w:tcBorders>
            <w:shd w:val="clear" w:color="auto" w:fill="auto"/>
            <w:vAlign w:val="center"/>
          </w:tcPr>
          <w:p w14:paraId="27F3DB6D" w14:textId="77777777" w:rsidR="0026781D" w:rsidRPr="0026781D" w:rsidRDefault="0026781D" w:rsidP="0026781D">
            <w:pPr>
              <w:pStyle w:val="SingleTxtG"/>
              <w:spacing w:before="80" w:after="80" w:line="220" w:lineRule="exact"/>
              <w:ind w:left="0" w:right="0"/>
              <w:jc w:val="left"/>
              <w:rPr>
                <w:b/>
                <w:bCs/>
                <w:sz w:val="18"/>
              </w:rPr>
            </w:pPr>
            <w:r w:rsidRPr="0026781D">
              <w:rPr>
                <w:b/>
                <w:bCs/>
                <w:sz w:val="18"/>
              </w:rPr>
              <w:t>21</w:t>
            </w:r>
          </w:p>
        </w:tc>
        <w:tc>
          <w:tcPr>
            <w:tcW w:w="4367" w:type="dxa"/>
            <w:tcBorders>
              <w:top w:val="single" w:sz="4" w:space="0" w:color="auto"/>
              <w:bottom w:val="single" w:sz="12" w:space="0" w:color="auto"/>
            </w:tcBorders>
            <w:shd w:val="clear" w:color="auto" w:fill="auto"/>
            <w:vAlign w:val="center"/>
          </w:tcPr>
          <w:p w14:paraId="5135BB10" w14:textId="77777777" w:rsidR="0026781D" w:rsidRPr="0026781D" w:rsidRDefault="0026781D" w:rsidP="0026781D">
            <w:pPr>
              <w:pStyle w:val="SingleTxtG"/>
              <w:spacing w:before="80" w:after="80" w:line="220" w:lineRule="exact"/>
              <w:ind w:left="284" w:right="0"/>
              <w:jc w:val="left"/>
              <w:rPr>
                <w:b/>
                <w:bCs/>
                <w:sz w:val="18"/>
              </w:rPr>
            </w:pPr>
            <w:r w:rsidRPr="0026781D">
              <w:rPr>
                <w:b/>
                <w:bCs/>
                <w:sz w:val="18"/>
              </w:rPr>
              <w:t>Total</w:t>
            </w:r>
          </w:p>
        </w:tc>
        <w:tc>
          <w:tcPr>
            <w:tcW w:w="2457" w:type="dxa"/>
            <w:tcBorders>
              <w:top w:val="single" w:sz="4" w:space="0" w:color="auto"/>
              <w:bottom w:val="single" w:sz="12" w:space="0" w:color="auto"/>
            </w:tcBorders>
            <w:shd w:val="clear" w:color="auto" w:fill="auto"/>
            <w:vAlign w:val="center"/>
          </w:tcPr>
          <w:p w14:paraId="1556462F" w14:textId="77777777" w:rsidR="0026781D" w:rsidRPr="0026781D" w:rsidRDefault="0026781D" w:rsidP="0026781D">
            <w:pPr>
              <w:pStyle w:val="SingleTxtG"/>
              <w:spacing w:before="80" w:after="80" w:line="220" w:lineRule="exact"/>
              <w:ind w:left="0" w:right="0"/>
              <w:jc w:val="right"/>
              <w:rPr>
                <w:b/>
                <w:bCs/>
                <w:sz w:val="18"/>
              </w:rPr>
            </w:pPr>
            <w:r w:rsidRPr="0026781D">
              <w:rPr>
                <w:b/>
                <w:bCs/>
                <w:sz w:val="18"/>
              </w:rPr>
              <w:t>3</w:t>
            </w:r>
            <w:r>
              <w:rPr>
                <w:b/>
                <w:bCs/>
                <w:sz w:val="18"/>
              </w:rPr>
              <w:t xml:space="preserve"> </w:t>
            </w:r>
            <w:r w:rsidRPr="0026781D">
              <w:rPr>
                <w:b/>
                <w:bCs/>
                <w:sz w:val="18"/>
              </w:rPr>
              <w:t>094</w:t>
            </w:r>
          </w:p>
        </w:tc>
      </w:tr>
    </w:tbl>
    <w:p w14:paraId="0AE75AAB" w14:textId="77777777" w:rsidR="008A38B9" w:rsidRPr="0026781D" w:rsidRDefault="008A38B9" w:rsidP="0026781D">
      <w:pPr>
        <w:pStyle w:val="SingleTxtG"/>
        <w:spacing w:before="120"/>
        <w:ind w:firstLine="170"/>
        <w:jc w:val="left"/>
        <w:rPr>
          <w:sz w:val="18"/>
          <w:szCs w:val="18"/>
        </w:rPr>
      </w:pPr>
      <w:r w:rsidRPr="0026781D">
        <w:rPr>
          <w:i/>
          <w:iCs/>
          <w:sz w:val="18"/>
          <w:szCs w:val="18"/>
        </w:rPr>
        <w:t>Fuente</w:t>
      </w:r>
      <w:r w:rsidRPr="0026781D">
        <w:rPr>
          <w:i/>
          <w:sz w:val="18"/>
          <w:szCs w:val="18"/>
        </w:rPr>
        <w:t>:</w:t>
      </w:r>
      <w:r w:rsidRPr="0026781D">
        <w:rPr>
          <w:sz w:val="18"/>
          <w:szCs w:val="18"/>
        </w:rPr>
        <w:t xml:space="preserve"> Secretaría General del Consejo de Ministros, Departamento de Organizaciones No Gubernamentales.</w:t>
      </w:r>
    </w:p>
    <w:p w14:paraId="688DFC87" w14:textId="77777777" w:rsidR="006F35EE" w:rsidRPr="0026781D" w:rsidRDefault="0026781D" w:rsidP="0026781D">
      <w:pPr>
        <w:pStyle w:val="SingleTxtG"/>
        <w:suppressAutoHyphens/>
        <w:spacing w:before="240" w:after="0"/>
        <w:jc w:val="center"/>
        <w:rPr>
          <w:u w:val="single"/>
        </w:rPr>
      </w:pPr>
      <w:r>
        <w:rPr>
          <w:u w:val="single"/>
        </w:rPr>
        <w:tab/>
      </w:r>
      <w:r>
        <w:rPr>
          <w:u w:val="single"/>
        </w:rPr>
        <w:tab/>
      </w:r>
      <w:r>
        <w:rPr>
          <w:u w:val="single"/>
        </w:rPr>
        <w:tab/>
      </w:r>
    </w:p>
    <w:sectPr w:rsidR="006F35EE" w:rsidRPr="0026781D" w:rsidSect="008A38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131A" w14:textId="77777777" w:rsidR="00AC7712" w:rsidRPr="00AC76E8" w:rsidRDefault="00AC7712" w:rsidP="00AC76E8">
      <w:pPr>
        <w:pStyle w:val="Piedepgina"/>
      </w:pPr>
    </w:p>
  </w:endnote>
  <w:endnote w:type="continuationSeparator" w:id="0">
    <w:p w14:paraId="0D8D0D26" w14:textId="77777777" w:rsidR="00AC7712" w:rsidRPr="00AC76E8" w:rsidRDefault="00AC7712"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A976" w14:textId="77777777" w:rsidR="00AC7712" w:rsidRPr="008A38B9" w:rsidRDefault="00AC7712" w:rsidP="008A38B9">
    <w:pPr>
      <w:pStyle w:val="Piedepgina"/>
      <w:tabs>
        <w:tab w:val="right" w:pos="9638"/>
      </w:tabs>
    </w:pPr>
    <w:r w:rsidRPr="008A38B9">
      <w:rPr>
        <w:b/>
        <w:sz w:val="18"/>
      </w:rPr>
      <w:fldChar w:fldCharType="begin"/>
    </w:r>
    <w:r w:rsidRPr="008A38B9">
      <w:rPr>
        <w:b/>
        <w:sz w:val="18"/>
      </w:rPr>
      <w:instrText xml:space="preserve"> PAGE  \* MERGEFORMAT </w:instrText>
    </w:r>
    <w:r w:rsidRPr="008A38B9">
      <w:rPr>
        <w:b/>
        <w:sz w:val="18"/>
      </w:rPr>
      <w:fldChar w:fldCharType="separate"/>
    </w:r>
    <w:r w:rsidRPr="008A38B9">
      <w:rPr>
        <w:b/>
        <w:noProof/>
        <w:sz w:val="18"/>
      </w:rPr>
      <w:t>2</w:t>
    </w:r>
    <w:r w:rsidRPr="008A38B9">
      <w:rPr>
        <w:b/>
        <w:sz w:val="18"/>
      </w:rPr>
      <w:fldChar w:fldCharType="end"/>
    </w:r>
    <w:r>
      <w:rPr>
        <w:b/>
        <w:sz w:val="18"/>
      </w:rPr>
      <w:tab/>
    </w:r>
    <w:r>
      <w:t>GE.19-22135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0014" w14:textId="77777777" w:rsidR="00AC7712" w:rsidRPr="008A38B9" w:rsidRDefault="00AC7712" w:rsidP="008A38B9">
    <w:pPr>
      <w:pStyle w:val="Piedepgina"/>
      <w:tabs>
        <w:tab w:val="right" w:pos="9638"/>
      </w:tabs>
      <w:rPr>
        <w:b/>
        <w:sz w:val="18"/>
      </w:rPr>
    </w:pPr>
    <w:r>
      <w:t>GE.19-22135</w:t>
    </w:r>
    <w:r>
      <w:tab/>
    </w:r>
    <w:r w:rsidRPr="008A38B9">
      <w:rPr>
        <w:b/>
        <w:sz w:val="18"/>
      </w:rPr>
      <w:fldChar w:fldCharType="begin"/>
    </w:r>
    <w:r w:rsidRPr="008A38B9">
      <w:rPr>
        <w:b/>
        <w:sz w:val="18"/>
      </w:rPr>
      <w:instrText xml:space="preserve"> PAGE  \* MERGEFORMAT </w:instrText>
    </w:r>
    <w:r w:rsidRPr="008A38B9">
      <w:rPr>
        <w:b/>
        <w:sz w:val="18"/>
      </w:rPr>
      <w:fldChar w:fldCharType="separate"/>
    </w:r>
    <w:r w:rsidRPr="008A38B9">
      <w:rPr>
        <w:b/>
        <w:noProof/>
        <w:sz w:val="18"/>
      </w:rPr>
      <w:t>3</w:t>
    </w:r>
    <w:r w:rsidRPr="008A38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585C" w14:textId="77777777" w:rsidR="00AC7712" w:rsidRPr="008A38B9" w:rsidRDefault="00AC7712" w:rsidP="008A38B9">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1A9A40BF" wp14:editId="2AB2AF9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19-22135  (S)    040320    160420</w:t>
    </w:r>
    <w:r>
      <w:rPr>
        <w:sz w:val="20"/>
      </w:rPr>
      <w:br/>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sidRPr="008A38B9">
      <w:rPr>
        <w:rFonts w:ascii="C39T30Lfz" w:hAnsi="C39T30Lfz"/>
        <w:sz w:val="56"/>
      </w:rPr>
      <w:t></w:t>
    </w:r>
    <w:r>
      <w:rPr>
        <w:noProof/>
        <w:sz w:val="20"/>
      </w:rPr>
      <w:drawing>
        <wp:anchor distT="0" distB="0" distL="114300" distR="114300" simplePos="0" relativeHeight="251658752" behindDoc="0" locked="0" layoutInCell="1" allowOverlap="1" wp14:anchorId="4C64CB15" wp14:editId="51CFC41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IRQ/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IRQ/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FF63" w14:textId="77777777" w:rsidR="00AC7712" w:rsidRPr="001075E9" w:rsidRDefault="00AC7712" w:rsidP="001075E9">
      <w:pPr>
        <w:tabs>
          <w:tab w:val="right" w:pos="2155"/>
        </w:tabs>
        <w:spacing w:after="80" w:line="240" w:lineRule="auto"/>
        <w:ind w:left="680"/>
        <w:rPr>
          <w:u w:val="single"/>
        </w:rPr>
      </w:pPr>
      <w:r>
        <w:rPr>
          <w:u w:val="single"/>
        </w:rPr>
        <w:tab/>
      </w:r>
    </w:p>
  </w:footnote>
  <w:footnote w:type="continuationSeparator" w:id="0">
    <w:p w14:paraId="785E6E4C" w14:textId="77777777" w:rsidR="00AC7712" w:rsidRDefault="00AC7712" w:rsidP="00AC76E8">
      <w:pPr>
        <w:tabs>
          <w:tab w:val="right" w:pos="2155"/>
        </w:tabs>
        <w:spacing w:after="80" w:line="240" w:lineRule="auto"/>
        <w:ind w:left="680"/>
        <w:rPr>
          <w:u w:val="single"/>
        </w:rPr>
      </w:pPr>
      <w:r>
        <w:rPr>
          <w:u w:val="single"/>
        </w:rPr>
        <w:tab/>
      </w:r>
    </w:p>
  </w:footnote>
  <w:footnote w:id="1">
    <w:p w14:paraId="2AA26991" w14:textId="77777777" w:rsidR="00AC7712" w:rsidRPr="008A38B9" w:rsidRDefault="00AC7712" w:rsidP="008A38B9">
      <w:pPr>
        <w:pStyle w:val="Textonotapie"/>
        <w:rPr>
          <w:sz w:val="20"/>
        </w:rPr>
      </w:pPr>
      <w:r>
        <w:tab/>
      </w:r>
      <w:r w:rsidRPr="008A38B9">
        <w:rPr>
          <w:rStyle w:val="Refdenotaalpie"/>
          <w:sz w:val="20"/>
          <w:vertAlign w:val="baseline"/>
        </w:rPr>
        <w:t>*</w:t>
      </w:r>
      <w:r w:rsidRPr="008A38B9">
        <w:rPr>
          <w:rStyle w:val="Refdenotaalpie"/>
          <w:vertAlign w:val="baseline"/>
        </w:rPr>
        <w:tab/>
      </w:r>
      <w:r w:rsidRPr="008A38B9">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49D9" w14:textId="28775F11" w:rsidR="00AC7712" w:rsidRPr="008A38B9" w:rsidRDefault="00AC7712">
    <w:pPr>
      <w:pStyle w:val="Encabezado"/>
    </w:pPr>
    <w:fldSimple w:instr=" TITLE  \* MERGEFORMAT ">
      <w:r w:rsidR="00746E7D">
        <w:t>HRI/CORE/IRQ/2019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A66F" w14:textId="7B92CA94" w:rsidR="00AC7712" w:rsidRPr="008A38B9" w:rsidRDefault="00AC7712" w:rsidP="008A38B9">
    <w:pPr>
      <w:pStyle w:val="Encabezado"/>
      <w:jc w:val="right"/>
    </w:pPr>
    <w:fldSimple w:instr=" TITLE  \* MERGEFORMAT ">
      <w:r w:rsidR="00746E7D">
        <w:t>HRI/CORE/IRQ/2019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0"/>
  </w:num>
  <w:num w:numId="22">
    <w:abstractNumId w:val="1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4D9C"/>
    <w:rsid w:val="00006DFE"/>
    <w:rsid w:val="000150D9"/>
    <w:rsid w:val="00033EE1"/>
    <w:rsid w:val="00063D69"/>
    <w:rsid w:val="00075FB7"/>
    <w:rsid w:val="000911D8"/>
    <w:rsid w:val="00097FA7"/>
    <w:rsid w:val="000B57E7"/>
    <w:rsid w:val="000F09DF"/>
    <w:rsid w:val="000F61B2"/>
    <w:rsid w:val="001075E9"/>
    <w:rsid w:val="001256EA"/>
    <w:rsid w:val="001560AB"/>
    <w:rsid w:val="001611AC"/>
    <w:rsid w:val="00170EC7"/>
    <w:rsid w:val="0017589D"/>
    <w:rsid w:val="00180183"/>
    <w:rsid w:val="00181AFB"/>
    <w:rsid w:val="0018649F"/>
    <w:rsid w:val="00196389"/>
    <w:rsid w:val="001C7A89"/>
    <w:rsid w:val="001D4448"/>
    <w:rsid w:val="001F4EC7"/>
    <w:rsid w:val="0022689B"/>
    <w:rsid w:val="00240240"/>
    <w:rsid w:val="0024488B"/>
    <w:rsid w:val="0026781D"/>
    <w:rsid w:val="002A2EFC"/>
    <w:rsid w:val="002B0F41"/>
    <w:rsid w:val="002C0E18"/>
    <w:rsid w:val="002D5AAC"/>
    <w:rsid w:val="00301299"/>
    <w:rsid w:val="00302D2B"/>
    <w:rsid w:val="00322004"/>
    <w:rsid w:val="00326687"/>
    <w:rsid w:val="003402C2"/>
    <w:rsid w:val="0036600C"/>
    <w:rsid w:val="00370FAF"/>
    <w:rsid w:val="00381C24"/>
    <w:rsid w:val="003958D0"/>
    <w:rsid w:val="003B00E5"/>
    <w:rsid w:val="003B0AEF"/>
    <w:rsid w:val="003B4F3C"/>
    <w:rsid w:val="003E1C97"/>
    <w:rsid w:val="003F1477"/>
    <w:rsid w:val="0040336A"/>
    <w:rsid w:val="00414A16"/>
    <w:rsid w:val="00427F10"/>
    <w:rsid w:val="00454E07"/>
    <w:rsid w:val="00465412"/>
    <w:rsid w:val="004705A5"/>
    <w:rsid w:val="00485D63"/>
    <w:rsid w:val="00491717"/>
    <w:rsid w:val="004C662A"/>
    <w:rsid w:val="004D3D0B"/>
    <w:rsid w:val="004D45DB"/>
    <w:rsid w:val="004F5C7F"/>
    <w:rsid w:val="0050108D"/>
    <w:rsid w:val="00501F38"/>
    <w:rsid w:val="00515B0A"/>
    <w:rsid w:val="005302C0"/>
    <w:rsid w:val="005332CE"/>
    <w:rsid w:val="0053592A"/>
    <w:rsid w:val="00544C7F"/>
    <w:rsid w:val="00552314"/>
    <w:rsid w:val="00557AA7"/>
    <w:rsid w:val="005632A0"/>
    <w:rsid w:val="0056625F"/>
    <w:rsid w:val="00572E19"/>
    <w:rsid w:val="00584F9D"/>
    <w:rsid w:val="005A1AA8"/>
    <w:rsid w:val="005C43E4"/>
    <w:rsid w:val="005F0B42"/>
    <w:rsid w:val="00612D71"/>
    <w:rsid w:val="00621EBC"/>
    <w:rsid w:val="00625457"/>
    <w:rsid w:val="00666938"/>
    <w:rsid w:val="006B61C4"/>
    <w:rsid w:val="006C1EF8"/>
    <w:rsid w:val="006D741B"/>
    <w:rsid w:val="006E69AB"/>
    <w:rsid w:val="006F2414"/>
    <w:rsid w:val="006F35EE"/>
    <w:rsid w:val="007021FF"/>
    <w:rsid w:val="00716B46"/>
    <w:rsid w:val="00720405"/>
    <w:rsid w:val="007358B2"/>
    <w:rsid w:val="007364DE"/>
    <w:rsid w:val="00746E7D"/>
    <w:rsid w:val="007540A4"/>
    <w:rsid w:val="00757357"/>
    <w:rsid w:val="00764249"/>
    <w:rsid w:val="007972A8"/>
    <w:rsid w:val="007C7F5F"/>
    <w:rsid w:val="007F2378"/>
    <w:rsid w:val="0082699E"/>
    <w:rsid w:val="00834B71"/>
    <w:rsid w:val="00847ECE"/>
    <w:rsid w:val="008504FF"/>
    <w:rsid w:val="00853903"/>
    <w:rsid w:val="0086445C"/>
    <w:rsid w:val="00895A8F"/>
    <w:rsid w:val="008A08D7"/>
    <w:rsid w:val="008A38B9"/>
    <w:rsid w:val="008C1073"/>
    <w:rsid w:val="008F41E2"/>
    <w:rsid w:val="00901CD5"/>
    <w:rsid w:val="00906890"/>
    <w:rsid w:val="00932CF7"/>
    <w:rsid w:val="00951972"/>
    <w:rsid w:val="0095700F"/>
    <w:rsid w:val="0096216B"/>
    <w:rsid w:val="00971FE8"/>
    <w:rsid w:val="00992118"/>
    <w:rsid w:val="00996BF2"/>
    <w:rsid w:val="009A02E9"/>
    <w:rsid w:val="009D5497"/>
    <w:rsid w:val="009E3056"/>
    <w:rsid w:val="009E4B05"/>
    <w:rsid w:val="009E5883"/>
    <w:rsid w:val="00A01CE6"/>
    <w:rsid w:val="00A4737A"/>
    <w:rsid w:val="00A82147"/>
    <w:rsid w:val="00A917B3"/>
    <w:rsid w:val="00AB4B51"/>
    <w:rsid w:val="00AB7DAE"/>
    <w:rsid w:val="00AC76E8"/>
    <w:rsid w:val="00AC7712"/>
    <w:rsid w:val="00AE6766"/>
    <w:rsid w:val="00B0740E"/>
    <w:rsid w:val="00B10CC7"/>
    <w:rsid w:val="00B31513"/>
    <w:rsid w:val="00B43F85"/>
    <w:rsid w:val="00B460DE"/>
    <w:rsid w:val="00B62458"/>
    <w:rsid w:val="00B978C9"/>
    <w:rsid w:val="00BA2BE1"/>
    <w:rsid w:val="00BA56B6"/>
    <w:rsid w:val="00BB6203"/>
    <w:rsid w:val="00BD33EE"/>
    <w:rsid w:val="00BF1766"/>
    <w:rsid w:val="00BF2222"/>
    <w:rsid w:val="00C057D5"/>
    <w:rsid w:val="00C34967"/>
    <w:rsid w:val="00C410DE"/>
    <w:rsid w:val="00C57E42"/>
    <w:rsid w:val="00C60F0C"/>
    <w:rsid w:val="00C805C9"/>
    <w:rsid w:val="00C83E0F"/>
    <w:rsid w:val="00CA1679"/>
    <w:rsid w:val="00D05606"/>
    <w:rsid w:val="00D33D63"/>
    <w:rsid w:val="00D4001E"/>
    <w:rsid w:val="00D64D9C"/>
    <w:rsid w:val="00D90138"/>
    <w:rsid w:val="00DB6076"/>
    <w:rsid w:val="00DC036C"/>
    <w:rsid w:val="00DC2905"/>
    <w:rsid w:val="00DF5DA5"/>
    <w:rsid w:val="00DF5F01"/>
    <w:rsid w:val="00E006C8"/>
    <w:rsid w:val="00E17493"/>
    <w:rsid w:val="00E2391B"/>
    <w:rsid w:val="00E27734"/>
    <w:rsid w:val="00E60314"/>
    <w:rsid w:val="00E60ED5"/>
    <w:rsid w:val="00E73F76"/>
    <w:rsid w:val="00E97AA7"/>
    <w:rsid w:val="00EB45F4"/>
    <w:rsid w:val="00EC2B77"/>
    <w:rsid w:val="00EE358C"/>
    <w:rsid w:val="00EE5288"/>
    <w:rsid w:val="00EF1360"/>
    <w:rsid w:val="00EF3220"/>
    <w:rsid w:val="00F0543C"/>
    <w:rsid w:val="00F0669B"/>
    <w:rsid w:val="00F2520F"/>
    <w:rsid w:val="00F42752"/>
    <w:rsid w:val="00F52F24"/>
    <w:rsid w:val="00F80811"/>
    <w:rsid w:val="00F836D2"/>
    <w:rsid w:val="00F94155"/>
    <w:rsid w:val="00FD2EF7"/>
    <w:rsid w:val="00FD5C17"/>
    <w:rsid w:val="00FF2968"/>
    <w:rsid w:val="00FF7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9E1BA"/>
  <w15:docId w15:val="{BC79883E-24CA-4A03-9C60-1AF59E6B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Table_GA"/>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7_GA"/>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2_ GA"/>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rsid w:val="008A38B9"/>
    <w:rPr>
      <w:b/>
      <w:bCs/>
      <w:i/>
      <w:iCs/>
      <w:color w:val="4F81BD"/>
    </w:rPr>
  </w:style>
  <w:style w:type="paragraph" w:styleId="Citadestacada">
    <w:name w:val="Intense Quote"/>
    <w:basedOn w:val="Normal"/>
    <w:next w:val="Normal"/>
    <w:link w:val="CitadestacadaCar"/>
    <w:uiPriority w:val="30"/>
    <w:rsid w:val="008A38B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A38B9"/>
    <w:rPr>
      <w:b/>
      <w:bCs/>
      <w:i/>
      <w:iCs/>
      <w:color w:val="4F81BD"/>
      <w:lang w:val="es-ES" w:eastAsia="es-ES"/>
    </w:rPr>
  </w:style>
  <w:style w:type="character" w:customStyle="1" w:styleId="Ttulo1Car">
    <w:name w:val="Título 1 Car"/>
    <w:aliases w:val="Cuadro_G Car,Table_GA Car,Table_G Car"/>
    <w:basedOn w:val="Fuentedeprrafopredeter"/>
    <w:link w:val="Ttulo1"/>
    <w:rsid w:val="008A38B9"/>
    <w:rPr>
      <w:rFonts w:cs="Arial"/>
      <w:bCs/>
      <w:szCs w:val="32"/>
      <w:lang w:val="es-ES" w:eastAsia="es-ES"/>
    </w:rPr>
  </w:style>
  <w:style w:type="character" w:customStyle="1" w:styleId="TextonotapieCar">
    <w:name w:val="Texto nota pie Car"/>
    <w:aliases w:val="5_G Car"/>
    <w:basedOn w:val="Fuentedeprrafopredeter"/>
    <w:link w:val="Textonotapie"/>
    <w:rsid w:val="008A38B9"/>
    <w:rPr>
      <w:sz w:val="18"/>
      <w:lang w:val="es-ES" w:eastAsia="es-ES"/>
    </w:rPr>
  </w:style>
  <w:style w:type="character" w:customStyle="1" w:styleId="SingleTxtGChar">
    <w:name w:val="_ Single Txt_G Char"/>
    <w:link w:val="SingleTxtG"/>
    <w:rsid w:val="008A38B9"/>
    <w:rPr>
      <w:lang w:val="es-ES" w:eastAsia="es-ES"/>
    </w:rPr>
  </w:style>
  <w:style w:type="character" w:customStyle="1" w:styleId="TextonotaalfinalCar">
    <w:name w:val="Texto nota al final Car"/>
    <w:aliases w:val="2_ GA Car,2_G Car"/>
    <w:basedOn w:val="Fuentedeprrafopredeter"/>
    <w:link w:val="Textonotaalfinal"/>
    <w:rsid w:val="008A38B9"/>
    <w:rPr>
      <w:sz w:val="18"/>
      <w:lang w:val="es-ES" w:eastAsia="es-ES"/>
    </w:rPr>
  </w:style>
  <w:style w:type="character" w:customStyle="1" w:styleId="PiedepginaCar">
    <w:name w:val="Pie de página Car"/>
    <w:aliases w:val="3_GA Car,3_G Car"/>
    <w:basedOn w:val="Fuentedeprrafopredeter"/>
    <w:link w:val="Piedepgina"/>
    <w:rsid w:val="008A38B9"/>
    <w:rPr>
      <w:sz w:val="16"/>
      <w:lang w:val="es-ES" w:eastAsia="es-ES"/>
    </w:rPr>
  </w:style>
  <w:style w:type="character" w:customStyle="1" w:styleId="EncabezadoCar">
    <w:name w:val="Encabezado Car"/>
    <w:aliases w:val="6_GA Car,6_G Car"/>
    <w:basedOn w:val="Fuentedeprrafopredeter"/>
    <w:link w:val="Encabezado"/>
    <w:rsid w:val="008A38B9"/>
    <w:rPr>
      <w:b/>
      <w:sz w:val="18"/>
      <w:lang w:val="es-ES" w:eastAsia="es-ES"/>
    </w:rPr>
  </w:style>
  <w:style w:type="character" w:customStyle="1" w:styleId="Ttulo2Car">
    <w:name w:val="Título 2 Car"/>
    <w:basedOn w:val="Fuentedeprrafopredeter"/>
    <w:link w:val="Ttulo2"/>
    <w:rsid w:val="008A38B9"/>
    <w:rPr>
      <w:rFonts w:cs="Arial"/>
      <w:bCs/>
      <w:iCs/>
      <w:szCs w:val="28"/>
      <w:lang w:val="es-ES" w:eastAsia="es-ES"/>
    </w:rPr>
  </w:style>
  <w:style w:type="character" w:styleId="Ttulodellibro">
    <w:name w:val="Book Title"/>
    <w:basedOn w:val="Fuentedeprrafopredeter"/>
    <w:uiPriority w:val="33"/>
    <w:rsid w:val="008A38B9"/>
    <w:rPr>
      <w:b/>
      <w:bCs/>
      <w:smallCaps/>
      <w:spacing w:val="5"/>
    </w:rPr>
  </w:style>
  <w:style w:type="character" w:customStyle="1" w:styleId="Ttulo3Car">
    <w:name w:val="Título 3 Car"/>
    <w:basedOn w:val="Fuentedeprrafopredeter"/>
    <w:link w:val="Ttulo3"/>
    <w:rsid w:val="008A38B9"/>
    <w:rPr>
      <w:rFonts w:ascii="Arial" w:hAnsi="Arial" w:cs="Arial"/>
      <w:b/>
      <w:bCs/>
      <w:sz w:val="26"/>
      <w:szCs w:val="26"/>
      <w:lang w:val="es-ES" w:eastAsia="es-ES"/>
    </w:rPr>
  </w:style>
  <w:style w:type="character" w:customStyle="1" w:styleId="Ttulo4Car">
    <w:name w:val="Título 4 Car"/>
    <w:basedOn w:val="Fuentedeprrafopredeter"/>
    <w:link w:val="Ttulo4"/>
    <w:rsid w:val="008A38B9"/>
    <w:rPr>
      <w:b/>
      <w:bCs/>
      <w:sz w:val="28"/>
      <w:szCs w:val="28"/>
      <w:lang w:val="es-ES" w:eastAsia="es-ES"/>
    </w:rPr>
  </w:style>
  <w:style w:type="character" w:customStyle="1" w:styleId="Ttulo5Car">
    <w:name w:val="Título 5 Car"/>
    <w:basedOn w:val="Fuentedeprrafopredeter"/>
    <w:link w:val="Ttulo5"/>
    <w:rsid w:val="008A38B9"/>
    <w:rPr>
      <w:b/>
      <w:bCs/>
      <w:i/>
      <w:iCs/>
      <w:sz w:val="26"/>
      <w:szCs w:val="26"/>
      <w:lang w:val="es-ES" w:eastAsia="es-ES"/>
    </w:rPr>
  </w:style>
  <w:style w:type="character" w:customStyle="1" w:styleId="Ttulo6Car">
    <w:name w:val="Título 6 Car"/>
    <w:basedOn w:val="Fuentedeprrafopredeter"/>
    <w:link w:val="Ttulo6"/>
    <w:rsid w:val="008A38B9"/>
    <w:rPr>
      <w:b/>
      <w:bCs/>
      <w:sz w:val="22"/>
      <w:szCs w:val="22"/>
      <w:lang w:val="es-ES" w:eastAsia="es-ES"/>
    </w:rPr>
  </w:style>
  <w:style w:type="character" w:customStyle="1" w:styleId="Ttulo7Car">
    <w:name w:val="Título 7 Car"/>
    <w:basedOn w:val="Fuentedeprrafopredeter"/>
    <w:link w:val="Ttulo7"/>
    <w:rsid w:val="008A38B9"/>
    <w:rPr>
      <w:sz w:val="24"/>
      <w:szCs w:val="24"/>
      <w:lang w:val="es-ES" w:eastAsia="es-ES"/>
    </w:rPr>
  </w:style>
  <w:style w:type="character" w:customStyle="1" w:styleId="Ttulo8Car">
    <w:name w:val="Título 8 Car"/>
    <w:basedOn w:val="Fuentedeprrafopredeter"/>
    <w:link w:val="Ttulo8"/>
    <w:rsid w:val="008A38B9"/>
    <w:rPr>
      <w:i/>
      <w:iCs/>
      <w:sz w:val="24"/>
      <w:szCs w:val="24"/>
      <w:lang w:val="es-ES" w:eastAsia="es-ES"/>
    </w:rPr>
  </w:style>
  <w:style w:type="character" w:customStyle="1" w:styleId="Ttulo9Car">
    <w:name w:val="Título 9 Car"/>
    <w:basedOn w:val="Fuentedeprrafopredeter"/>
    <w:link w:val="Ttulo9"/>
    <w:rsid w:val="008A38B9"/>
    <w:rPr>
      <w:rFonts w:ascii="Arial" w:hAnsi="Arial" w:cs="Arial"/>
      <w:sz w:val="22"/>
      <w:szCs w:val="22"/>
      <w:lang w:val="es-ES" w:eastAsia="es-ES"/>
    </w:rPr>
  </w:style>
  <w:style w:type="character" w:customStyle="1" w:styleId="TtuloCar">
    <w:name w:val="Título Car"/>
    <w:basedOn w:val="Fuentedeprrafopredeter"/>
    <w:link w:val="Ttulo"/>
    <w:rsid w:val="008A38B9"/>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8A38B9"/>
    <w:rPr>
      <w:rFonts w:ascii="Arial" w:hAnsi="Arial" w:cs="Arial"/>
      <w:sz w:val="24"/>
      <w:szCs w:val="24"/>
      <w:lang w:val="es-ES" w:eastAsia="es-ES"/>
    </w:rPr>
  </w:style>
  <w:style w:type="character" w:styleId="nfasissutil">
    <w:name w:val="Subtle Emphasis"/>
    <w:basedOn w:val="Fuentedeprrafopredeter"/>
    <w:uiPriority w:val="19"/>
    <w:rsid w:val="008A38B9"/>
    <w:rPr>
      <w:i/>
      <w:iCs/>
      <w:color w:val="808080" w:themeColor="text1" w:themeTint="7F"/>
    </w:rPr>
  </w:style>
  <w:style w:type="table" w:styleId="Cuadrculavistosa-nfasis6">
    <w:name w:val="Colorful Grid Accent 6"/>
    <w:basedOn w:val="Tablanormal"/>
    <w:uiPriority w:val="73"/>
    <w:rsid w:val="008A38B9"/>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8A38B9"/>
    <w:pPr>
      <w:bidi/>
      <w:jc w:val="lowKashida"/>
    </w:pPr>
    <w:rPr>
      <w:rFonts w:cs="Traditional Arabic"/>
      <w:i/>
      <w:iCs/>
      <w:color w:val="000000" w:themeColor="text1"/>
      <w:szCs w:val="30"/>
      <w:lang w:val="en-US" w:eastAsia="en-US"/>
    </w:rPr>
  </w:style>
  <w:style w:type="character" w:customStyle="1" w:styleId="CitaCar">
    <w:name w:val="Cita Car"/>
    <w:basedOn w:val="Fuentedeprrafopredeter"/>
    <w:link w:val="Cita"/>
    <w:uiPriority w:val="29"/>
    <w:rsid w:val="008A38B9"/>
    <w:rPr>
      <w:rFonts w:cs="Traditional Arabic"/>
      <w:i/>
      <w:iCs/>
      <w:color w:val="000000" w:themeColor="text1"/>
      <w:szCs w:val="30"/>
      <w:lang w:eastAsia="en-US"/>
    </w:rPr>
  </w:style>
  <w:style w:type="character" w:styleId="Referenciasutil">
    <w:name w:val="Subtle Reference"/>
    <w:basedOn w:val="Fuentedeprrafopredeter"/>
    <w:uiPriority w:val="31"/>
    <w:rsid w:val="008A38B9"/>
    <w:rPr>
      <w:smallCaps/>
      <w:color w:val="C0504D" w:themeColor="accent2"/>
      <w:u w:val="single"/>
    </w:rPr>
  </w:style>
  <w:style w:type="character" w:styleId="Referenciaintensa">
    <w:name w:val="Intense Reference"/>
    <w:basedOn w:val="Fuentedeprrafopredeter"/>
    <w:uiPriority w:val="32"/>
    <w:rsid w:val="008A38B9"/>
    <w:rPr>
      <w:b/>
      <w:bCs/>
      <w:smallCaps/>
      <w:color w:val="C0504D" w:themeColor="accent2"/>
      <w:spacing w:val="5"/>
      <w:u w:val="single"/>
    </w:rPr>
  </w:style>
  <w:style w:type="paragraph" w:styleId="Prrafodelista">
    <w:name w:val="List Paragraph"/>
    <w:basedOn w:val="Normal"/>
    <w:link w:val="PrrafodelistaCar"/>
    <w:uiPriority w:val="34"/>
    <w:qFormat/>
    <w:rsid w:val="008A38B9"/>
    <w:pPr>
      <w:bidi/>
      <w:ind w:left="720"/>
      <w:contextualSpacing/>
      <w:jc w:val="lowKashida"/>
    </w:pPr>
    <w:rPr>
      <w:rFonts w:cs="Traditional Arabic"/>
      <w:szCs w:val="30"/>
      <w:lang w:val="en-US" w:eastAsia="en-US"/>
    </w:rPr>
  </w:style>
  <w:style w:type="table" w:styleId="Sombreadomedio1-nfasis4">
    <w:name w:val="Medium Shading 1 Accent 4"/>
    <w:basedOn w:val="Tablanormal"/>
    <w:uiPriority w:val="63"/>
    <w:rsid w:val="008A38B9"/>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TextosinformatoCar">
    <w:name w:val="Texto sin formato Car"/>
    <w:basedOn w:val="Fuentedeprrafopredeter"/>
    <w:link w:val="Textosinformato"/>
    <w:semiHidden/>
    <w:rsid w:val="008A38B9"/>
    <w:rPr>
      <w:rFonts w:ascii="Courier New" w:hAnsi="Courier New" w:cs="Courier New"/>
      <w:lang w:val="es-ES" w:eastAsia="es-ES"/>
    </w:rPr>
  </w:style>
  <w:style w:type="character" w:customStyle="1" w:styleId="TextoindependienteCar">
    <w:name w:val="Texto independiente Car"/>
    <w:basedOn w:val="Fuentedeprrafopredeter"/>
    <w:link w:val="Textoindependiente"/>
    <w:semiHidden/>
    <w:rsid w:val="008A38B9"/>
    <w:rPr>
      <w:lang w:val="es-ES" w:eastAsia="es-ES"/>
    </w:rPr>
  </w:style>
  <w:style w:type="character" w:customStyle="1" w:styleId="SangradetextonormalCar">
    <w:name w:val="Sangría de texto normal Car"/>
    <w:basedOn w:val="Fuentedeprrafopredeter"/>
    <w:link w:val="Sangradetextonormal"/>
    <w:semiHidden/>
    <w:rsid w:val="008A38B9"/>
    <w:rPr>
      <w:lang w:val="es-ES" w:eastAsia="es-ES"/>
    </w:rPr>
  </w:style>
  <w:style w:type="character" w:styleId="Refdecomentario">
    <w:name w:val="annotation reference"/>
    <w:basedOn w:val="Fuentedeprrafopredeter"/>
    <w:semiHidden/>
    <w:rsid w:val="008A38B9"/>
    <w:rPr>
      <w:sz w:val="6"/>
    </w:rPr>
  </w:style>
  <w:style w:type="paragraph" w:styleId="Textocomentario">
    <w:name w:val="annotation text"/>
    <w:basedOn w:val="Normal"/>
    <w:link w:val="TextocomentarioCar"/>
    <w:semiHidden/>
    <w:rsid w:val="008A38B9"/>
    <w:pPr>
      <w:suppressAutoHyphens/>
    </w:pPr>
    <w:rPr>
      <w:lang w:val="en-GB" w:eastAsia="en-US"/>
    </w:rPr>
  </w:style>
  <w:style w:type="character" w:customStyle="1" w:styleId="TextocomentarioCar">
    <w:name w:val="Texto comentario Car"/>
    <w:basedOn w:val="Fuentedeprrafopredeter"/>
    <w:link w:val="Textocomentario"/>
    <w:semiHidden/>
    <w:rsid w:val="008A38B9"/>
    <w:rPr>
      <w:lang w:val="en-GB" w:eastAsia="en-US"/>
    </w:rPr>
  </w:style>
  <w:style w:type="character" w:customStyle="1" w:styleId="Textoindependiente2Car">
    <w:name w:val="Texto independiente 2 Car"/>
    <w:basedOn w:val="Fuentedeprrafopredeter"/>
    <w:link w:val="Textoindependiente2"/>
    <w:semiHidden/>
    <w:rsid w:val="008A38B9"/>
    <w:rPr>
      <w:lang w:val="es-ES" w:eastAsia="es-ES"/>
    </w:rPr>
  </w:style>
  <w:style w:type="character" w:customStyle="1" w:styleId="Textoindependiente3Car">
    <w:name w:val="Texto independiente 3 Car"/>
    <w:basedOn w:val="Fuentedeprrafopredeter"/>
    <w:link w:val="Textoindependiente3"/>
    <w:semiHidden/>
    <w:rsid w:val="008A38B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A38B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A38B9"/>
    <w:rPr>
      <w:lang w:val="es-ES" w:eastAsia="es-ES"/>
    </w:rPr>
  </w:style>
  <w:style w:type="character" w:customStyle="1" w:styleId="Sangra2detindependienteCar">
    <w:name w:val="Sangría 2 de t. independiente Car"/>
    <w:basedOn w:val="Fuentedeprrafopredeter"/>
    <w:link w:val="Sangra2detindependiente"/>
    <w:semiHidden/>
    <w:rsid w:val="008A38B9"/>
    <w:rPr>
      <w:lang w:val="es-ES" w:eastAsia="es-ES"/>
    </w:rPr>
  </w:style>
  <w:style w:type="character" w:customStyle="1" w:styleId="Sangra3detindependienteCar">
    <w:name w:val="Sangría 3 de t. independiente Car"/>
    <w:basedOn w:val="Fuentedeprrafopredeter"/>
    <w:link w:val="Sangra3detindependiente"/>
    <w:semiHidden/>
    <w:rsid w:val="008A38B9"/>
    <w:rPr>
      <w:sz w:val="16"/>
      <w:szCs w:val="16"/>
      <w:lang w:val="es-ES" w:eastAsia="es-ES"/>
    </w:rPr>
  </w:style>
  <w:style w:type="character" w:customStyle="1" w:styleId="CierreCar">
    <w:name w:val="Cierre Car"/>
    <w:basedOn w:val="Fuentedeprrafopredeter"/>
    <w:link w:val="Cierre"/>
    <w:semiHidden/>
    <w:rsid w:val="008A38B9"/>
    <w:rPr>
      <w:lang w:val="es-ES" w:eastAsia="es-ES"/>
    </w:rPr>
  </w:style>
  <w:style w:type="character" w:customStyle="1" w:styleId="FechaCar">
    <w:name w:val="Fecha Car"/>
    <w:basedOn w:val="Fuentedeprrafopredeter"/>
    <w:link w:val="Fecha"/>
    <w:semiHidden/>
    <w:rsid w:val="008A38B9"/>
    <w:rPr>
      <w:lang w:val="es-ES" w:eastAsia="es-ES"/>
    </w:rPr>
  </w:style>
  <w:style w:type="character" w:customStyle="1" w:styleId="FirmadecorreoelectrnicoCar">
    <w:name w:val="Firma de correo electrónico Car"/>
    <w:basedOn w:val="Fuentedeprrafopredeter"/>
    <w:link w:val="Firmadecorreoelectrnico"/>
    <w:semiHidden/>
    <w:rsid w:val="008A38B9"/>
    <w:rPr>
      <w:lang w:val="es-ES" w:eastAsia="es-ES"/>
    </w:rPr>
  </w:style>
  <w:style w:type="character" w:customStyle="1" w:styleId="DireccinHTMLCar">
    <w:name w:val="Dirección HTML Car"/>
    <w:basedOn w:val="Fuentedeprrafopredeter"/>
    <w:link w:val="DireccinHTML"/>
    <w:semiHidden/>
    <w:rsid w:val="008A38B9"/>
    <w:rPr>
      <w:i/>
      <w:iCs/>
      <w:lang w:val="es-ES" w:eastAsia="es-ES"/>
    </w:rPr>
  </w:style>
  <w:style w:type="character" w:customStyle="1" w:styleId="HTMLconformatoprevioCar">
    <w:name w:val="HTML con formato previo Car"/>
    <w:basedOn w:val="Fuentedeprrafopredeter"/>
    <w:link w:val="HTMLconformatoprevio"/>
    <w:semiHidden/>
    <w:rsid w:val="008A38B9"/>
    <w:rPr>
      <w:rFonts w:ascii="Courier New" w:hAnsi="Courier New" w:cs="Courier New"/>
      <w:lang w:val="es-ES" w:eastAsia="es-ES"/>
    </w:rPr>
  </w:style>
  <w:style w:type="character" w:customStyle="1" w:styleId="EncabezadodemensajeCar">
    <w:name w:val="Encabezado de mensaje Car"/>
    <w:basedOn w:val="Fuentedeprrafopredeter"/>
    <w:link w:val="Encabezadodemensaje"/>
    <w:semiHidden/>
    <w:rsid w:val="008A38B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A38B9"/>
    <w:rPr>
      <w:lang w:val="es-ES" w:eastAsia="es-ES"/>
    </w:rPr>
  </w:style>
  <w:style w:type="character" w:customStyle="1" w:styleId="SaludoCar">
    <w:name w:val="Saludo Car"/>
    <w:basedOn w:val="Fuentedeprrafopredeter"/>
    <w:link w:val="Saludo"/>
    <w:semiHidden/>
    <w:rsid w:val="008A38B9"/>
    <w:rPr>
      <w:lang w:val="es-ES" w:eastAsia="es-ES"/>
    </w:rPr>
  </w:style>
  <w:style w:type="character" w:customStyle="1" w:styleId="FirmaCar">
    <w:name w:val="Firma Car"/>
    <w:basedOn w:val="Fuentedeprrafopredeter"/>
    <w:link w:val="Firma"/>
    <w:semiHidden/>
    <w:rsid w:val="008A38B9"/>
    <w:rPr>
      <w:lang w:val="es-ES" w:eastAsia="es-ES"/>
    </w:rPr>
  </w:style>
  <w:style w:type="paragraph" w:styleId="Sinespaciado">
    <w:name w:val="No Spacing"/>
    <w:link w:val="SinespaciadoCar"/>
    <w:uiPriority w:val="1"/>
    <w:qFormat/>
    <w:rsid w:val="008A38B9"/>
    <w:rPr>
      <w:color w:val="000000"/>
      <w:sz w:val="24"/>
      <w:szCs w:val="24"/>
      <w:lang w:eastAsia="en-US"/>
    </w:rPr>
  </w:style>
  <w:style w:type="table" w:customStyle="1" w:styleId="TableGridLight1">
    <w:name w:val="Table Grid Light1"/>
    <w:basedOn w:val="Tablanormal"/>
    <w:uiPriority w:val="40"/>
    <w:rsid w:val="008A38B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espaciadoCar">
    <w:name w:val="Sin espaciado Car"/>
    <w:link w:val="Sinespaciado"/>
    <w:uiPriority w:val="1"/>
    <w:rsid w:val="008A38B9"/>
    <w:rPr>
      <w:color w:val="000000"/>
      <w:sz w:val="24"/>
      <w:szCs w:val="24"/>
      <w:lang w:eastAsia="en-US"/>
    </w:rPr>
  </w:style>
  <w:style w:type="character" w:customStyle="1" w:styleId="PrrafodelistaCar">
    <w:name w:val="Párrafo de lista Car"/>
    <w:link w:val="Prrafodelista"/>
    <w:uiPriority w:val="34"/>
    <w:rsid w:val="008A38B9"/>
    <w:rPr>
      <w:rFonts w:cs="Traditional Arabic"/>
      <w:szCs w:val="30"/>
      <w:lang w:eastAsia="en-US"/>
    </w:rPr>
  </w:style>
  <w:style w:type="table" w:customStyle="1" w:styleId="PlainTable21">
    <w:name w:val="Plain Table 21"/>
    <w:basedOn w:val="Tablanormal"/>
    <w:uiPriority w:val="42"/>
    <w:rsid w:val="008A38B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anormal"/>
    <w:uiPriority w:val="43"/>
    <w:rsid w:val="008A38B9"/>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A38B9"/>
    <w:rPr>
      <w:rFonts w:cs="Traditional Arabic"/>
      <w:szCs w:val="30"/>
      <w:lang w:eastAsia="en-US"/>
    </w:rPr>
  </w:style>
  <w:style w:type="paragraph" w:styleId="Asuntodelcomentario">
    <w:name w:val="annotation subject"/>
    <w:basedOn w:val="Textocomentario"/>
    <w:next w:val="Textocomentario"/>
    <w:link w:val="AsuntodelcomentarioCar"/>
    <w:uiPriority w:val="99"/>
    <w:semiHidden/>
    <w:unhideWhenUsed/>
    <w:rsid w:val="008A38B9"/>
    <w:pPr>
      <w:suppressAutoHyphens w:val="0"/>
      <w:bidi/>
      <w:spacing w:line="240" w:lineRule="auto"/>
      <w:jc w:val="lowKashida"/>
    </w:pPr>
    <w:rPr>
      <w:rFonts w:cs="Traditional Arabic"/>
      <w:b/>
      <w:bCs/>
      <w:lang w:val="en-US"/>
    </w:rPr>
  </w:style>
  <w:style w:type="character" w:customStyle="1" w:styleId="AsuntodelcomentarioCar">
    <w:name w:val="Asunto del comentario Car"/>
    <w:basedOn w:val="TextocomentarioCar"/>
    <w:link w:val="Asuntodelcomentario"/>
    <w:uiPriority w:val="99"/>
    <w:semiHidden/>
    <w:rsid w:val="008A38B9"/>
    <w:rPr>
      <w:rFonts w:cs="Traditional Arabic"/>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5</TotalTime>
  <Pages>41</Pages>
  <Words>18565</Words>
  <Characters>94871</Characters>
  <Application>Microsoft Office Word</Application>
  <DocSecurity>0</DocSecurity>
  <Lines>3162</Lines>
  <Paragraphs>2465</Paragraphs>
  <ScaleCrop>false</ScaleCrop>
  <HeadingPairs>
    <vt:vector size="2" baseType="variant">
      <vt:variant>
        <vt:lpstr>Título</vt:lpstr>
      </vt:variant>
      <vt:variant>
        <vt:i4>1</vt:i4>
      </vt:variant>
    </vt:vector>
  </HeadingPairs>
  <TitlesOfParts>
    <vt:vector size="1" baseType="lpstr">
      <vt:lpstr>HRI/CORE/IRQ/2019</vt:lpstr>
    </vt:vector>
  </TitlesOfParts>
  <Company/>
  <LinksUpToDate>false</LinksUpToDate>
  <CharactersWithSpaces>110971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HRI/CORE/IRQ/2019</dc:title>
  <dc:subject/>
  <dc:creator>Luz Maria URQUIZU MARROQUIN</dc:creator>
  <cp:keywords/>
  <cp:lastModifiedBy>Luz Urquizu Marroquin</cp:lastModifiedBy>
  <cp:revision>3</cp:revision>
  <cp:lastPrinted>2020-04-16T05:48:00Z</cp:lastPrinted>
  <dcterms:created xsi:type="dcterms:W3CDTF">2020-04-16T05:44:00Z</dcterms:created>
  <dcterms:modified xsi:type="dcterms:W3CDTF">2020-04-16T05:49:00Z</dcterms:modified>
</cp:coreProperties>
</file>