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969A1" w:rsidP="00F969A1">
            <w:pPr>
              <w:suppressAutoHyphens w:val="0"/>
              <w:spacing w:after="20"/>
              <w:jc w:val="right"/>
            </w:pPr>
            <w:r w:rsidRPr="00F969A1">
              <w:rPr>
                <w:sz w:val="40"/>
              </w:rPr>
              <w:t>HRI</w:t>
            </w:r>
            <w:r>
              <w:t>/CORE/SLV/2017</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en-GB"/>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F969A1" w:rsidP="00F969A1">
            <w:pPr>
              <w:suppressAutoHyphens w:val="0"/>
              <w:spacing w:before="240" w:line="240" w:lineRule="exact"/>
            </w:pPr>
            <w:r>
              <w:t>Distr.: General</w:t>
            </w:r>
          </w:p>
          <w:p w:rsidR="00F969A1" w:rsidRDefault="00F969A1" w:rsidP="00F969A1">
            <w:pPr>
              <w:suppressAutoHyphens w:val="0"/>
            </w:pPr>
            <w:r>
              <w:t>3 April 2017</w:t>
            </w:r>
          </w:p>
          <w:p w:rsidR="00F969A1" w:rsidRDefault="00F969A1" w:rsidP="00F969A1">
            <w:pPr>
              <w:suppressAutoHyphens w:val="0"/>
            </w:pPr>
            <w:r>
              <w:t>English</w:t>
            </w:r>
          </w:p>
          <w:p w:rsidR="00F969A1" w:rsidRDefault="00F969A1" w:rsidP="00F969A1">
            <w:pPr>
              <w:suppressAutoHyphens w:val="0"/>
            </w:pPr>
            <w:r>
              <w:t>Original: Spanish</w:t>
            </w:r>
          </w:p>
        </w:tc>
      </w:tr>
    </w:tbl>
    <w:p w:rsidR="00F969A1" w:rsidRPr="00445C95" w:rsidRDefault="00F969A1" w:rsidP="00F969A1">
      <w:pPr>
        <w:pStyle w:val="HMG"/>
      </w:pPr>
      <w:r w:rsidRPr="00445C95">
        <w:tab/>
      </w:r>
      <w:r w:rsidRPr="00445C95">
        <w:tab/>
        <w:t>Common core document forming part of the reports of States parties</w:t>
      </w:r>
    </w:p>
    <w:p w:rsidR="00F969A1" w:rsidRPr="00445C95" w:rsidRDefault="00F969A1" w:rsidP="00F969A1">
      <w:pPr>
        <w:pStyle w:val="HMG"/>
      </w:pPr>
      <w:r w:rsidRPr="00445C95">
        <w:tab/>
      </w:r>
      <w:r w:rsidRPr="00445C95">
        <w:tab/>
        <w:t>El Salvador</w:t>
      </w:r>
      <w:r w:rsidRPr="00536EFB">
        <w:rPr>
          <w:rStyle w:val="FootnoteReference"/>
          <w:b w:val="0"/>
          <w:sz w:val="20"/>
          <w:vertAlign w:val="baseline"/>
        </w:rPr>
        <w:footnoteReference w:customMarkFollows="1" w:id="2"/>
        <w:t>*</w:t>
      </w:r>
    </w:p>
    <w:p w:rsidR="00F969A1" w:rsidRPr="00445C95" w:rsidRDefault="00F969A1" w:rsidP="00F969A1">
      <w:pPr>
        <w:pStyle w:val="SingleTxtG"/>
        <w:jc w:val="right"/>
      </w:pPr>
      <w:r w:rsidRPr="00445C95">
        <w:t>[</w:t>
      </w:r>
      <w:r>
        <w:t xml:space="preserve">Date received: </w:t>
      </w:r>
      <w:r w:rsidRPr="00445C95">
        <w:t>28 February 2017]</w:t>
      </w:r>
    </w:p>
    <w:p w:rsidR="00D35EEF" w:rsidRDefault="00F969A1" w:rsidP="00BA06AB">
      <w:pPr>
        <w:spacing w:after="120"/>
        <w:rPr>
          <w:sz w:val="28"/>
        </w:rPr>
      </w:pPr>
      <w:r w:rsidRPr="00536EFB">
        <w:br w:type="page"/>
      </w:r>
      <w:r w:rsidR="00BA06AB">
        <w:rPr>
          <w:sz w:val="28"/>
        </w:rPr>
        <w:lastRenderedPageBreak/>
        <w:t>Contents</w:t>
      </w:r>
    </w:p>
    <w:p w:rsidR="00BA06AB" w:rsidRDefault="00BA06AB" w:rsidP="00BA06AB">
      <w:pPr>
        <w:tabs>
          <w:tab w:val="right" w:pos="9638"/>
        </w:tabs>
        <w:spacing w:after="120"/>
        <w:ind w:left="283"/>
        <w:rPr>
          <w:sz w:val="18"/>
        </w:rPr>
      </w:pPr>
      <w:r>
        <w:rPr>
          <w:i/>
          <w:sz w:val="18"/>
        </w:rPr>
        <w:tab/>
        <w:t>Page</w:t>
      </w:r>
    </w:p>
    <w:p w:rsidR="00D374E4" w:rsidRDefault="00D374E4" w:rsidP="00D374E4">
      <w:pPr>
        <w:tabs>
          <w:tab w:val="right" w:pos="850"/>
          <w:tab w:val="left" w:pos="1134"/>
          <w:tab w:val="left" w:pos="1559"/>
          <w:tab w:val="left" w:pos="1984"/>
          <w:tab w:val="left" w:leader="dot" w:pos="8787"/>
          <w:tab w:val="right" w:pos="9638"/>
        </w:tabs>
        <w:spacing w:after="120"/>
      </w:pPr>
      <w:r>
        <w:tab/>
        <w:t>I.</w:t>
      </w:r>
      <w:r>
        <w:tab/>
        <w:t>General information about the reporting State</w:t>
      </w:r>
      <w:r>
        <w:tab/>
      </w:r>
      <w:r w:rsidR="00CA514B">
        <w:tab/>
      </w:r>
      <w:r>
        <w:t>3</w:t>
      </w:r>
    </w:p>
    <w:p w:rsidR="00D374E4" w:rsidRDefault="00D374E4" w:rsidP="00D374E4">
      <w:pPr>
        <w:tabs>
          <w:tab w:val="right" w:pos="850"/>
          <w:tab w:val="left" w:pos="1134"/>
          <w:tab w:val="left" w:pos="1559"/>
          <w:tab w:val="left" w:pos="1984"/>
          <w:tab w:val="left" w:leader="dot" w:pos="8787"/>
          <w:tab w:val="right" w:pos="9638"/>
        </w:tabs>
        <w:spacing w:after="120"/>
      </w:pPr>
      <w:r>
        <w:tab/>
      </w:r>
      <w:r>
        <w:tab/>
        <w:t>A.</w:t>
      </w:r>
      <w:r>
        <w:tab/>
        <w:t>Demographic, economic, social and cultural characteristics of the State</w:t>
      </w:r>
      <w:r>
        <w:tab/>
      </w:r>
      <w:r w:rsidR="00CA514B">
        <w:tab/>
      </w:r>
      <w:r>
        <w:t>3</w:t>
      </w:r>
    </w:p>
    <w:p w:rsidR="00D374E4" w:rsidRDefault="00A87DEC" w:rsidP="00D374E4">
      <w:pPr>
        <w:tabs>
          <w:tab w:val="right" w:pos="850"/>
          <w:tab w:val="left" w:pos="1134"/>
          <w:tab w:val="left" w:pos="1559"/>
          <w:tab w:val="left" w:pos="1984"/>
          <w:tab w:val="left" w:leader="dot" w:pos="8787"/>
          <w:tab w:val="right" w:pos="9638"/>
        </w:tabs>
        <w:spacing w:after="120"/>
      </w:pPr>
      <w:r>
        <w:tab/>
      </w:r>
      <w:r>
        <w:tab/>
      </w:r>
      <w:r w:rsidR="00D374E4">
        <w:t>B.</w:t>
      </w:r>
      <w:r w:rsidR="00D374E4">
        <w:tab/>
        <w:t>Constitutional, political and legal structure of the State</w:t>
      </w:r>
      <w:r w:rsidR="00D374E4">
        <w:tab/>
      </w:r>
      <w:r w:rsidR="00CA514B">
        <w:tab/>
      </w:r>
      <w:r w:rsidR="00D374E4">
        <w:t>10</w:t>
      </w:r>
    </w:p>
    <w:p w:rsidR="00D374E4" w:rsidRDefault="00A87DEC" w:rsidP="00D374E4">
      <w:pPr>
        <w:tabs>
          <w:tab w:val="right" w:pos="850"/>
          <w:tab w:val="left" w:pos="1134"/>
          <w:tab w:val="left" w:pos="1559"/>
          <w:tab w:val="left" w:pos="1984"/>
          <w:tab w:val="left" w:leader="dot" w:pos="8787"/>
          <w:tab w:val="right" w:pos="9638"/>
        </w:tabs>
        <w:spacing w:after="120"/>
      </w:pPr>
      <w:r>
        <w:tab/>
      </w:r>
      <w:r w:rsidR="00D374E4">
        <w:t>II.</w:t>
      </w:r>
      <w:r w:rsidR="00D374E4">
        <w:tab/>
        <w:t>General framework for the protection and promotion of human rights</w:t>
      </w:r>
      <w:r w:rsidR="00D374E4">
        <w:tab/>
      </w:r>
      <w:r w:rsidR="00CA514B">
        <w:tab/>
      </w:r>
      <w:r w:rsidR="00D374E4">
        <w:t>19</w:t>
      </w:r>
    </w:p>
    <w:p w:rsidR="00D374E4" w:rsidRDefault="00A87DEC" w:rsidP="00D374E4">
      <w:pPr>
        <w:tabs>
          <w:tab w:val="right" w:pos="850"/>
          <w:tab w:val="left" w:pos="1134"/>
          <w:tab w:val="left" w:pos="1559"/>
          <w:tab w:val="left" w:pos="1984"/>
          <w:tab w:val="left" w:leader="dot" w:pos="8787"/>
          <w:tab w:val="right" w:pos="9638"/>
        </w:tabs>
        <w:spacing w:after="120"/>
      </w:pPr>
      <w:r>
        <w:tab/>
      </w:r>
      <w:r>
        <w:tab/>
      </w:r>
      <w:r w:rsidR="00D374E4">
        <w:t>A.</w:t>
      </w:r>
      <w:r w:rsidR="00D374E4">
        <w:tab/>
        <w:t>Acceptance of international human rights norms</w:t>
      </w:r>
      <w:r w:rsidR="00D374E4">
        <w:tab/>
      </w:r>
      <w:r w:rsidR="00CA514B">
        <w:tab/>
      </w:r>
      <w:r w:rsidR="00D374E4">
        <w:t>19</w:t>
      </w:r>
    </w:p>
    <w:p w:rsidR="00D374E4" w:rsidRDefault="00A87DEC" w:rsidP="00D374E4">
      <w:pPr>
        <w:tabs>
          <w:tab w:val="right" w:pos="850"/>
          <w:tab w:val="left" w:pos="1134"/>
          <w:tab w:val="left" w:pos="1559"/>
          <w:tab w:val="left" w:pos="1984"/>
          <w:tab w:val="left" w:leader="dot" w:pos="8787"/>
          <w:tab w:val="right" w:pos="9638"/>
        </w:tabs>
        <w:spacing w:after="120"/>
      </w:pPr>
      <w:r>
        <w:tab/>
      </w:r>
      <w:r>
        <w:tab/>
      </w:r>
      <w:r w:rsidR="00D374E4">
        <w:t>B.</w:t>
      </w:r>
      <w:r w:rsidR="00D374E4">
        <w:tab/>
        <w:t>Legal framework for the protection of human rights at the national level</w:t>
      </w:r>
      <w:r w:rsidR="00D374E4">
        <w:tab/>
      </w:r>
      <w:r w:rsidR="00CA514B">
        <w:tab/>
      </w:r>
      <w:r w:rsidR="00D374E4">
        <w:t>20</w:t>
      </w:r>
    </w:p>
    <w:p w:rsidR="00D374E4" w:rsidRDefault="00A87DEC" w:rsidP="00D374E4">
      <w:pPr>
        <w:tabs>
          <w:tab w:val="right" w:pos="850"/>
          <w:tab w:val="left" w:pos="1134"/>
          <w:tab w:val="left" w:pos="1559"/>
          <w:tab w:val="left" w:pos="1984"/>
          <w:tab w:val="left" w:leader="dot" w:pos="8787"/>
          <w:tab w:val="right" w:pos="9638"/>
        </w:tabs>
        <w:spacing w:after="120"/>
      </w:pPr>
      <w:r>
        <w:tab/>
      </w:r>
      <w:r>
        <w:tab/>
      </w:r>
      <w:r w:rsidR="00D374E4">
        <w:t>C.</w:t>
      </w:r>
      <w:r w:rsidR="00D374E4">
        <w:tab/>
        <w:t>Framework for the promotion of human rights at the national level</w:t>
      </w:r>
      <w:r w:rsidR="00D374E4">
        <w:tab/>
      </w:r>
      <w:r w:rsidR="00CA514B">
        <w:tab/>
      </w:r>
      <w:r w:rsidR="00D374E4">
        <w:t>23</w:t>
      </w:r>
    </w:p>
    <w:p w:rsidR="00D374E4" w:rsidRDefault="00A87DEC" w:rsidP="00D374E4">
      <w:pPr>
        <w:tabs>
          <w:tab w:val="right" w:pos="850"/>
          <w:tab w:val="left" w:pos="1134"/>
          <w:tab w:val="left" w:pos="1559"/>
          <w:tab w:val="left" w:pos="1984"/>
          <w:tab w:val="left" w:leader="dot" w:pos="8787"/>
          <w:tab w:val="right" w:pos="9638"/>
        </w:tabs>
        <w:spacing w:after="120"/>
      </w:pPr>
      <w:r>
        <w:tab/>
      </w:r>
      <w:r>
        <w:tab/>
      </w:r>
      <w:r w:rsidR="00D374E4">
        <w:t>D.</w:t>
      </w:r>
      <w:r w:rsidR="00D374E4">
        <w:tab/>
        <w:t>The reporting process at the national level</w:t>
      </w:r>
      <w:r w:rsidR="00D374E4">
        <w:tab/>
      </w:r>
      <w:r w:rsidR="00CA514B">
        <w:tab/>
      </w:r>
      <w:r w:rsidR="00D374E4">
        <w:t>24</w:t>
      </w:r>
    </w:p>
    <w:p w:rsidR="00BA06AB" w:rsidRDefault="00BA06AB">
      <w:pPr>
        <w:suppressAutoHyphens w:val="0"/>
        <w:spacing w:line="240" w:lineRule="auto"/>
      </w:pPr>
      <w:r>
        <w:br w:type="page"/>
      </w:r>
    </w:p>
    <w:p w:rsidR="00BA06AB" w:rsidRPr="00445C95" w:rsidRDefault="00BA06AB" w:rsidP="00BA06AB">
      <w:pPr>
        <w:pStyle w:val="HChG"/>
      </w:pPr>
      <w:r w:rsidRPr="00445C95">
        <w:lastRenderedPageBreak/>
        <w:tab/>
      </w:r>
      <w:bookmarkStart w:id="0" w:name="_Toc486428513"/>
      <w:bookmarkStart w:id="1" w:name="_Toc490483645"/>
      <w:r w:rsidRPr="00445C95">
        <w:t>I.</w:t>
      </w:r>
      <w:r w:rsidRPr="00445C95">
        <w:tab/>
        <w:t>General information about the reporting State</w:t>
      </w:r>
      <w:bookmarkEnd w:id="0"/>
      <w:bookmarkEnd w:id="1"/>
      <w:r w:rsidRPr="00445C95">
        <w:t xml:space="preserve"> </w:t>
      </w:r>
    </w:p>
    <w:p w:rsidR="00BA06AB" w:rsidRPr="00445C95" w:rsidRDefault="00BA06AB" w:rsidP="00BA06AB">
      <w:pPr>
        <w:pStyle w:val="H1G"/>
      </w:pPr>
      <w:r w:rsidRPr="00445C95">
        <w:tab/>
      </w:r>
      <w:bookmarkStart w:id="2" w:name="_Toc486428514"/>
      <w:bookmarkStart w:id="3" w:name="_Toc490483646"/>
      <w:r w:rsidRPr="00445C95">
        <w:t>A.</w:t>
      </w:r>
      <w:r w:rsidRPr="00445C95">
        <w:tab/>
        <w:t>Demographic, economic, social and cultural characteristics of the State</w:t>
      </w:r>
      <w:bookmarkEnd w:id="2"/>
      <w:bookmarkEnd w:id="3"/>
    </w:p>
    <w:p w:rsidR="00BA06AB" w:rsidRPr="00445C95" w:rsidRDefault="00BA06AB" w:rsidP="00AB0EBF">
      <w:pPr>
        <w:pStyle w:val="H4G"/>
      </w:pPr>
      <w:r w:rsidRPr="00445C95">
        <w:tab/>
      </w:r>
      <w:r w:rsidRPr="00445C95">
        <w:tab/>
        <w:t>Guideline No. 33:</w:t>
      </w:r>
    </w:p>
    <w:p w:rsidR="00BA06AB" w:rsidRPr="00445C95" w:rsidRDefault="00BA06AB" w:rsidP="00BA06AB">
      <w:pPr>
        <w:pStyle w:val="H23G"/>
      </w:pPr>
      <w:r w:rsidRPr="00445C95">
        <w:tab/>
      </w:r>
      <w:bookmarkStart w:id="4" w:name="_Toc486428515"/>
      <w:r w:rsidRPr="00445C95">
        <w:t>1.</w:t>
      </w:r>
      <w:r w:rsidRPr="00445C95">
        <w:tab/>
        <w:t>Background information on the national characteristics of the country</w:t>
      </w:r>
      <w:bookmarkStart w:id="5" w:name="_GoBack"/>
      <w:bookmarkEnd w:id="4"/>
      <w:bookmarkEnd w:id="5"/>
    </w:p>
    <w:p w:rsidR="00BA06AB" w:rsidRPr="00445C95" w:rsidRDefault="00BA06AB" w:rsidP="00BA06AB">
      <w:pPr>
        <w:pStyle w:val="SingleTxtG"/>
      </w:pPr>
      <w:r w:rsidRPr="00445C95">
        <w:t>1.</w:t>
      </w:r>
      <w:r w:rsidRPr="00445C95">
        <w:tab/>
        <w:t xml:space="preserve">The official name of the country is the Republic of El Salvador, and its capital is San Salvador. The official language is Spanish (article 62 of the Constitution); less than 1 per cent of the population speaks </w:t>
      </w:r>
      <w:proofErr w:type="spellStart"/>
      <w:r w:rsidRPr="00445C95">
        <w:t>Nahuat</w:t>
      </w:r>
      <w:proofErr w:type="spellEnd"/>
      <w:r w:rsidRPr="00445C95">
        <w:t>.</w:t>
      </w:r>
    </w:p>
    <w:p w:rsidR="00BA06AB" w:rsidRPr="00445C95" w:rsidRDefault="00BA06AB" w:rsidP="00BA06AB">
      <w:pPr>
        <w:pStyle w:val="SingleTxtG"/>
      </w:pPr>
      <w:r w:rsidRPr="00445C95">
        <w:t>2.</w:t>
      </w:r>
      <w:r w:rsidRPr="00445C95">
        <w:tab/>
        <w:t xml:space="preserve">El Salvador is situated in the south-west of the Central American Isthmus on the Pacific Coast. It lies in the tropics north of the equator, between 13°09′ and 14°27′ north </w:t>
      </w:r>
      <w:proofErr w:type="gramStart"/>
      <w:r w:rsidRPr="00445C95">
        <w:t>latitude</w:t>
      </w:r>
      <w:proofErr w:type="gramEnd"/>
      <w:r w:rsidRPr="00445C95">
        <w:t xml:space="preserve"> and 87°41′ and 90°08′ west longitude. The territory over which El Salvador exercises jurisdiction and sovereignty is indivisible and comprises a surface area of 20,742 square kilometres. </w:t>
      </w:r>
    </w:p>
    <w:p w:rsidR="00BA06AB" w:rsidRPr="00445C95" w:rsidRDefault="00BA06AB" w:rsidP="00BA06AB">
      <w:pPr>
        <w:pStyle w:val="SingleTxtG"/>
      </w:pPr>
      <w:r w:rsidRPr="00445C95">
        <w:t>3.</w:t>
      </w:r>
      <w:r w:rsidRPr="00445C95">
        <w:tab/>
        <w:t>The territory of the Republic is divided into 14 political and administrative departments, which are in turn divided into 262 municipalities. The departments are grouped into three areas: Western El Salvador, Eastern El Salvador and Central El Salvador. Each department is under the authority of a governor who represents the executive branch, is directly appointed by the President of the Republic and resides in the departmental capital. The municipalities are governed by municipal councils whose members are elected by direct suffrage every three years by the constituency of the municipality concerned.</w:t>
      </w:r>
    </w:p>
    <w:p w:rsidR="00BA06AB" w:rsidRPr="00445C95" w:rsidRDefault="00BA06AB" w:rsidP="00BA06AB">
      <w:pPr>
        <w:pStyle w:val="SingleTxtG"/>
      </w:pPr>
      <w:r w:rsidRPr="00445C95">
        <w:t>4.</w:t>
      </w:r>
      <w:r w:rsidRPr="00445C95">
        <w:tab/>
        <w:t>In 1962 a new Constitution was promulgated, and Lieutenant Colonel Julio A. Rivera took office as President of the Republic until 1967. He was succeeded by General Fidel Sánchez Hernández, who remained in office from 1967 to 1972. In 1972, Colonel Arturo Armando Molina became President. In 1977, General Carlos H. Romero was elected President, but was then ousted in a coup on 15 October 1979. He was succeeded by the first Revolutionary Government Junta, with a second Revolutionary Government Junta coming to power in 1980.</w:t>
      </w:r>
    </w:p>
    <w:p w:rsidR="00BA06AB" w:rsidRPr="00445C95" w:rsidRDefault="00BA06AB" w:rsidP="00BA06AB">
      <w:pPr>
        <w:pStyle w:val="SingleTxtG"/>
      </w:pPr>
      <w:r w:rsidRPr="00445C95">
        <w:t>5.</w:t>
      </w:r>
      <w:r w:rsidRPr="00445C95">
        <w:tab/>
        <w:t>In 1982, elections were held to choose representatives for seats in the Constituent Assembly, which then issued, ratified and proclaimed the 1983 Constitution of the Republic that continues to govern the institutional affairs of the nation.</w:t>
      </w:r>
    </w:p>
    <w:p w:rsidR="00BA06AB" w:rsidRPr="00445C95" w:rsidRDefault="00BA06AB" w:rsidP="00BA06AB">
      <w:pPr>
        <w:pStyle w:val="SingleTxtG"/>
      </w:pPr>
      <w:r w:rsidRPr="00445C95">
        <w:t>6.</w:t>
      </w:r>
      <w:r w:rsidRPr="00445C95">
        <w:tab/>
        <w:t xml:space="preserve">Also in 1982, the Government of National Unity was formed, with </w:t>
      </w:r>
      <w:proofErr w:type="spellStart"/>
      <w:r w:rsidRPr="00445C95">
        <w:t>Dr.</w:t>
      </w:r>
      <w:proofErr w:type="spellEnd"/>
      <w:r w:rsidR="00726016">
        <w:t xml:space="preserve"> </w:t>
      </w:r>
      <w:r w:rsidRPr="00445C95">
        <w:t xml:space="preserve">Álvaro </w:t>
      </w:r>
      <w:proofErr w:type="spellStart"/>
      <w:r w:rsidRPr="00445C95">
        <w:t>Magaña</w:t>
      </w:r>
      <w:proofErr w:type="spellEnd"/>
      <w:r w:rsidRPr="00445C95">
        <w:t xml:space="preserve"> at its helm. In June 1984, he handed over his political mandate to José </w:t>
      </w:r>
      <w:proofErr w:type="spellStart"/>
      <w:r w:rsidRPr="00445C95">
        <w:t>Napoleón</w:t>
      </w:r>
      <w:proofErr w:type="spellEnd"/>
      <w:r w:rsidRPr="00445C95">
        <w:t xml:space="preserve"> Duarte, who remained in office until May 1989 and was then succeeded by Alfredo Félix </w:t>
      </w:r>
      <w:proofErr w:type="spellStart"/>
      <w:r w:rsidRPr="00445C95">
        <w:t>Cristiani</w:t>
      </w:r>
      <w:proofErr w:type="spellEnd"/>
      <w:r w:rsidRPr="00445C95">
        <w:t xml:space="preserve"> Burkard on 1 June 1989.</w:t>
      </w:r>
    </w:p>
    <w:p w:rsidR="00BA06AB" w:rsidRPr="00445C95" w:rsidRDefault="00BA06AB" w:rsidP="00BA06AB">
      <w:pPr>
        <w:pStyle w:val="SingleTxtG"/>
      </w:pPr>
      <w:r w:rsidRPr="00445C95">
        <w:t>7.</w:t>
      </w:r>
      <w:r w:rsidRPr="00445C95">
        <w:tab/>
        <w:t>From 1980 until 1992, El Salvador was the arena for a civil war triggered by the demise of a system based on authoritarian notions of power and the adverse effects, felt around the world, of cold-war confrontations.</w:t>
      </w:r>
    </w:p>
    <w:p w:rsidR="00BA06AB" w:rsidRPr="00445C95" w:rsidRDefault="00BA06AB" w:rsidP="00BA06AB">
      <w:pPr>
        <w:pStyle w:val="SingleTxtG"/>
      </w:pPr>
      <w:r w:rsidRPr="00445C95">
        <w:t>8.</w:t>
      </w:r>
      <w:r w:rsidRPr="00445C95">
        <w:tab/>
        <w:t>At the end of 1991, the United Nations certified that the parties to the conflict had fulfilled the commitments they had made, and the peace accords were signed in 1992 at Chapultepec Palace, Mexico, on 16 January of that year. This marked the start of a reconstruction effort and the consolidation of the legal and institutional framework of the State through the creation of new political, judicial, public security and human rights institutions.</w:t>
      </w:r>
    </w:p>
    <w:p w:rsidR="00BA06AB" w:rsidRPr="00445C95" w:rsidRDefault="00BA06AB" w:rsidP="00BA06AB">
      <w:pPr>
        <w:pStyle w:val="SingleTxtG"/>
      </w:pPr>
      <w:r w:rsidRPr="00445C95">
        <w:t>9.</w:t>
      </w:r>
      <w:r w:rsidRPr="00445C95">
        <w:tab/>
        <w:t xml:space="preserve">President Félix </w:t>
      </w:r>
      <w:proofErr w:type="spellStart"/>
      <w:r w:rsidRPr="00445C95">
        <w:t>Cristiani</w:t>
      </w:r>
      <w:proofErr w:type="spellEnd"/>
      <w:r w:rsidRPr="00445C95">
        <w:t xml:space="preserve"> was succeeded in the presidency in June 1994 by Armando </w:t>
      </w:r>
      <w:proofErr w:type="spellStart"/>
      <w:r w:rsidRPr="00445C95">
        <w:t>Calderón</w:t>
      </w:r>
      <w:proofErr w:type="spellEnd"/>
      <w:r w:rsidRPr="00445C95">
        <w:t xml:space="preserve"> Sol, who governed until June 1999. He was succeeded by Francisco Guillermo Flores Pérez, whose term of office ended on 31 May 2004.</w:t>
      </w:r>
    </w:p>
    <w:p w:rsidR="00BA06AB" w:rsidRPr="00445C95" w:rsidRDefault="00BA06AB" w:rsidP="00BA06AB">
      <w:pPr>
        <w:pStyle w:val="SingleTxtG"/>
      </w:pPr>
      <w:r w:rsidRPr="00445C95">
        <w:t>10.</w:t>
      </w:r>
      <w:r w:rsidRPr="00445C95">
        <w:tab/>
        <w:t xml:space="preserve">On 1 June 2004, the presidency was assumed by </w:t>
      </w:r>
      <w:proofErr w:type="spellStart"/>
      <w:r w:rsidRPr="00445C95">
        <w:t>Elías</w:t>
      </w:r>
      <w:proofErr w:type="spellEnd"/>
      <w:r w:rsidRPr="00445C95">
        <w:t xml:space="preserve"> Antonio </w:t>
      </w:r>
      <w:proofErr w:type="spellStart"/>
      <w:r w:rsidRPr="00445C95">
        <w:t>Saca</w:t>
      </w:r>
      <w:proofErr w:type="spellEnd"/>
      <w:r w:rsidRPr="00445C95">
        <w:t xml:space="preserve"> González, who governed until June 2009.</w:t>
      </w:r>
    </w:p>
    <w:p w:rsidR="00BA06AB" w:rsidRPr="00445C95" w:rsidRDefault="00BA06AB" w:rsidP="00BA06AB">
      <w:pPr>
        <w:pStyle w:val="SingleTxtG"/>
      </w:pPr>
      <w:r w:rsidRPr="00445C95">
        <w:t>11.</w:t>
      </w:r>
      <w:r w:rsidRPr="00445C95">
        <w:tab/>
        <w:t xml:space="preserve">A political milestone during this period was the victory of the </w:t>
      </w:r>
      <w:proofErr w:type="spellStart"/>
      <w:r w:rsidRPr="00445C95">
        <w:t>Frente</w:t>
      </w:r>
      <w:proofErr w:type="spellEnd"/>
      <w:r w:rsidRPr="00445C95">
        <w:t xml:space="preserve"> </w:t>
      </w:r>
      <w:proofErr w:type="spellStart"/>
      <w:r w:rsidRPr="00445C95">
        <w:t>Farabundo</w:t>
      </w:r>
      <w:proofErr w:type="spellEnd"/>
      <w:r w:rsidRPr="00445C95">
        <w:t xml:space="preserve"> </w:t>
      </w:r>
      <w:proofErr w:type="spellStart"/>
      <w:r w:rsidRPr="00445C95">
        <w:t>Martí</w:t>
      </w:r>
      <w:proofErr w:type="spellEnd"/>
      <w:r w:rsidRPr="00445C95">
        <w:t xml:space="preserve"> para la </w:t>
      </w:r>
      <w:proofErr w:type="spellStart"/>
      <w:r w:rsidRPr="00445C95">
        <w:t>Liberación</w:t>
      </w:r>
      <w:proofErr w:type="spellEnd"/>
      <w:r w:rsidRPr="00445C95">
        <w:t xml:space="preserve"> Nacional party</w:t>
      </w:r>
      <w:r w:rsidR="00726016">
        <w:t>’</w:t>
      </w:r>
      <w:r w:rsidRPr="00445C95">
        <w:t xml:space="preserve">s candidate, Carlos Mauricio </w:t>
      </w:r>
      <w:proofErr w:type="spellStart"/>
      <w:r w:rsidRPr="00445C95">
        <w:t>Funes</w:t>
      </w:r>
      <w:proofErr w:type="spellEnd"/>
      <w:r w:rsidRPr="00445C95">
        <w:t xml:space="preserve"> Cartagena, in the presidential elections of 15 March 2009. This was the first triumph by a leftist party in the country</w:t>
      </w:r>
      <w:r w:rsidR="00726016">
        <w:t>’</w:t>
      </w:r>
      <w:r w:rsidRPr="00445C95">
        <w:t xml:space="preserve">s history. Carlos </w:t>
      </w:r>
      <w:proofErr w:type="spellStart"/>
      <w:r w:rsidRPr="00445C95">
        <w:t>Funes</w:t>
      </w:r>
      <w:proofErr w:type="spellEnd"/>
      <w:r w:rsidRPr="00445C95">
        <w:t xml:space="preserve"> took office as President of the Republic on 1 June 2009, together with Salvador Sánchez </w:t>
      </w:r>
      <w:proofErr w:type="spellStart"/>
      <w:r w:rsidRPr="00445C95">
        <w:t>Cerén</w:t>
      </w:r>
      <w:proofErr w:type="spellEnd"/>
      <w:r w:rsidRPr="00445C95">
        <w:t xml:space="preserve"> as Vice-President. In the elections held on 2 February 2014, Salvador Sánchez </w:t>
      </w:r>
      <w:proofErr w:type="spellStart"/>
      <w:r w:rsidRPr="00445C95">
        <w:t>Cerén</w:t>
      </w:r>
      <w:proofErr w:type="spellEnd"/>
      <w:r w:rsidRPr="00445C95">
        <w:t xml:space="preserve"> was elected President of the Republic, with Oscar Ortiz as his Vice-President, for the 2014-2019 term. A total of 10,337 Salvadorans living overseas registered to vote in these elections.</w:t>
      </w:r>
    </w:p>
    <w:p w:rsidR="00BA06AB" w:rsidRPr="00445C95" w:rsidRDefault="00BA06AB" w:rsidP="009E7463">
      <w:pPr>
        <w:pStyle w:val="H4G"/>
      </w:pPr>
      <w:r w:rsidRPr="00445C95">
        <w:tab/>
      </w:r>
      <w:r w:rsidRPr="00445C95">
        <w:tab/>
        <w:t xml:space="preserve">Guidelines No. 34 and 35: </w:t>
      </w:r>
    </w:p>
    <w:p w:rsidR="00BA06AB" w:rsidRPr="00445C95" w:rsidRDefault="00BA06AB" w:rsidP="00C22C8D">
      <w:pPr>
        <w:pStyle w:val="H23G"/>
      </w:pPr>
      <w:r w:rsidRPr="00445C95">
        <w:tab/>
      </w:r>
      <w:bookmarkStart w:id="6" w:name="_Toc486428516"/>
      <w:r w:rsidRPr="00445C95">
        <w:t>2.</w:t>
      </w:r>
      <w:r w:rsidRPr="00445C95">
        <w:tab/>
        <w:t>Main ethnic and demographic characteristics and standard of living of the population</w:t>
      </w:r>
      <w:bookmarkEnd w:id="6"/>
    </w:p>
    <w:p w:rsidR="00BA06AB" w:rsidRPr="00445C95" w:rsidRDefault="00BA06AB" w:rsidP="00BA06AB">
      <w:pPr>
        <w:pStyle w:val="SingleTxtG"/>
      </w:pPr>
      <w:r w:rsidRPr="00445C95">
        <w:t>12.</w:t>
      </w:r>
      <w:r w:rsidRPr="00445C95">
        <w:tab/>
        <w:t xml:space="preserve">El Salvador recognizes a number of coexisting cultures within its borders, including the indigenous </w:t>
      </w:r>
      <w:proofErr w:type="spellStart"/>
      <w:r w:rsidRPr="00445C95">
        <w:t>Lenca</w:t>
      </w:r>
      <w:proofErr w:type="spellEnd"/>
      <w:r w:rsidRPr="00445C95">
        <w:t xml:space="preserve">, </w:t>
      </w:r>
      <w:proofErr w:type="spellStart"/>
      <w:r w:rsidRPr="00445C95">
        <w:t>Cacaopera</w:t>
      </w:r>
      <w:proofErr w:type="spellEnd"/>
      <w:r w:rsidRPr="00445C95">
        <w:t xml:space="preserve"> and Nahua/Pipil peoples, with the latter being the most numerous, who live in communities in the western part of the country (mostly in the departments of Sonsonate and Ahuachapán).</w:t>
      </w:r>
    </w:p>
    <w:p w:rsidR="00BA06AB" w:rsidRPr="00445C95" w:rsidRDefault="00BA06AB" w:rsidP="00BA06AB">
      <w:pPr>
        <w:pStyle w:val="SingleTxtG"/>
      </w:pPr>
      <w:r w:rsidRPr="00445C95">
        <w:t>13.</w:t>
      </w:r>
      <w:r w:rsidRPr="00445C95">
        <w:tab/>
        <w:t xml:space="preserve">In order to promote the participation of indigenous peoples and the use of established procedures for the consultation of indigenous peoples about issues of concern to them, El Salvador has set up a </w:t>
      </w:r>
      <w:proofErr w:type="spellStart"/>
      <w:r w:rsidRPr="00445C95">
        <w:t>multisectoral</w:t>
      </w:r>
      <w:proofErr w:type="spellEnd"/>
      <w:r w:rsidRPr="00445C95">
        <w:t xml:space="preserve"> forum that is coordinated by the Department for Indigenous Peoples of the Ministry of Culture. This integrated forum is used by indigenous organizations and governmental bodies to hold discussions and take decisions on proposals put forward by indigenous organizations and communities.</w:t>
      </w:r>
    </w:p>
    <w:p w:rsidR="00BA06AB" w:rsidRPr="00445C95" w:rsidRDefault="00BA06AB" w:rsidP="00BA06AB">
      <w:pPr>
        <w:pStyle w:val="SingleTxtG"/>
      </w:pPr>
      <w:r w:rsidRPr="00445C95">
        <w:t>14.</w:t>
      </w:r>
      <w:r w:rsidRPr="00445C95">
        <w:tab/>
        <w:t xml:space="preserve">At the local level, ordinances have been enacted in the municipalities of </w:t>
      </w:r>
      <w:proofErr w:type="spellStart"/>
      <w:r w:rsidRPr="00445C95">
        <w:t>Nahuizalco</w:t>
      </w:r>
      <w:proofErr w:type="spellEnd"/>
      <w:r w:rsidRPr="00445C95">
        <w:t xml:space="preserve">, Izalco, </w:t>
      </w:r>
      <w:proofErr w:type="spellStart"/>
      <w:r w:rsidRPr="00445C95">
        <w:t>Panchimalco</w:t>
      </w:r>
      <w:proofErr w:type="spellEnd"/>
      <w:r w:rsidRPr="00445C95">
        <w:t xml:space="preserve"> and </w:t>
      </w:r>
      <w:proofErr w:type="spellStart"/>
      <w:r w:rsidRPr="00445C95">
        <w:t>Cuisnahuat</w:t>
      </w:r>
      <w:proofErr w:type="spellEnd"/>
      <w:r w:rsidRPr="00445C95">
        <w:t xml:space="preserve"> as a means of recognizing the rights of indigenous peoples, including the right to be consulted on matters affecting them. Most of these ordinances establish that representatives of indigenous communities must be consulted, in accordance with their own organizational practices, prior to the initiation of any activity, programme, business or project related to the land, territory or natural resources and environment of indigenous communities and any activity affecting the legitimate interests of an indigenous community. The consultations must be held on a free and informed basis, and the Supreme Electoral Tribunal is authorized to provide oversight in order to ensure the legitimacy of the process.</w:t>
      </w:r>
    </w:p>
    <w:p w:rsidR="00BA06AB" w:rsidRPr="00445C95" w:rsidRDefault="00BA06AB" w:rsidP="00BA06AB">
      <w:pPr>
        <w:pStyle w:val="SingleTxtG"/>
      </w:pPr>
      <w:r w:rsidRPr="00445C95">
        <w:t>15.</w:t>
      </w:r>
      <w:r w:rsidRPr="00445C95">
        <w:tab/>
        <w:t>Thanks to the work of the Salvadoran Agrarian Reform Institute in upholding the property rights of indigenous peoples, 55,950 rural indigenous families have been given title to their land (24,110 titles to farmland and 31,840 to residential plots). These deeds have been awarded under the existing property laws, since specific legal provisions for the protection, transference and preservation of the culture and organizational systems of original peoples have not as yet been issued; however, indigenous communities have benefited from the Special Property Regime Act, which covers land owned by cooperative, communal and small farming community associations and the beneficiaries of agrarian reform.</w:t>
      </w:r>
    </w:p>
    <w:p w:rsidR="00BA06AB" w:rsidRPr="00445C95" w:rsidRDefault="00BA06AB" w:rsidP="00BA06AB">
      <w:pPr>
        <w:pStyle w:val="SingleTxtG"/>
      </w:pPr>
      <w:r w:rsidRPr="00445C95">
        <w:t>16.</w:t>
      </w:r>
      <w:r w:rsidRPr="00445C95">
        <w:tab/>
        <w:t xml:space="preserve">The project entitled </w:t>
      </w:r>
      <w:r w:rsidR="00726016">
        <w:t>“</w:t>
      </w:r>
      <w:r w:rsidRPr="00445C95">
        <w:t>Indigenous Peoples</w:t>
      </w:r>
      <w:r w:rsidR="00726016">
        <w:t>’</w:t>
      </w:r>
      <w:r w:rsidRPr="00445C95">
        <w:t xml:space="preserve"> Birth and Civil Status Register</w:t>
      </w:r>
      <w:r w:rsidR="00726016">
        <w:t>”</w:t>
      </w:r>
      <w:r w:rsidRPr="00445C95">
        <w:t xml:space="preserve"> has been implemented by the Corporation of Municipalities of the Republic of El Salvador, the Secretariat for Social Integration and the Office of the Counsel General of the Republic with the support of the United Nations Children</w:t>
      </w:r>
      <w:r w:rsidR="00726016">
        <w:t>’</w:t>
      </w:r>
      <w:r w:rsidRPr="00445C95">
        <w:t>s Fund (UNICEF).</w:t>
      </w:r>
    </w:p>
    <w:p w:rsidR="00BA06AB" w:rsidRPr="00445C95" w:rsidRDefault="00BA06AB" w:rsidP="00BA06AB">
      <w:pPr>
        <w:pStyle w:val="SingleTxtG"/>
      </w:pPr>
      <w:r w:rsidRPr="00445C95">
        <w:t>17.</w:t>
      </w:r>
      <w:r w:rsidRPr="00445C95">
        <w:tab/>
        <w:t>Estimates of the indigenous population in El Salvador are no more than approximate. According to the Indigenous Peoples Profile, indigenous peoples make up between 10 and 12 per cent of the population. However, the Sixth Population Census and Fifth Housing Census, carried out in 2007 by the Directorate General of Statistics and Censuses (D</w:t>
      </w:r>
      <w:r w:rsidR="001275E4">
        <w:t>I</w:t>
      </w:r>
      <w:r w:rsidRPr="00445C95">
        <w:t>GEST</w:t>
      </w:r>
      <w:r w:rsidR="001275E4">
        <w:t>Y</w:t>
      </w:r>
      <w:r w:rsidRPr="00445C95">
        <w:t>C), puts the indigenous population in El Salvador at 0.23 per cent of the country</w:t>
      </w:r>
      <w:r w:rsidR="00726016">
        <w:t>’</w:t>
      </w:r>
      <w:r w:rsidRPr="00445C95">
        <w:t>s 5,744,113 inhabitants.</w:t>
      </w:r>
    </w:p>
    <w:p w:rsidR="00BA06AB" w:rsidRPr="00445C95" w:rsidRDefault="00BA06AB" w:rsidP="00BA06AB">
      <w:pPr>
        <w:pStyle w:val="SingleTxtG"/>
      </w:pPr>
      <w:r w:rsidRPr="00445C95">
        <w:t>18.</w:t>
      </w:r>
      <w:r w:rsidRPr="00445C95">
        <w:tab/>
        <w:t>The Multi-</w:t>
      </w:r>
      <w:proofErr w:type="gramStart"/>
      <w:r w:rsidRPr="00445C95">
        <w:t>purpose</w:t>
      </w:r>
      <w:proofErr w:type="gramEnd"/>
      <w:r w:rsidRPr="00445C95">
        <w:t xml:space="preserve"> Household Survey conducted by (DIGESTYC) indicates that, as of 2014, the total population of the country was 6,401,415 people, of whom 3,989,266 (62.3 per cent) lived in urban areas and 2,412,149 (37.7 per cent) in rural areas; 27.5 per cent of the country</w:t>
      </w:r>
      <w:r w:rsidR="00726016">
        <w:t>’</w:t>
      </w:r>
      <w:r w:rsidRPr="00445C95">
        <w:t>s total population, or 1,760,057 inhabitants, are concentrated in the San Salvador Metropolitan Area.</w:t>
      </w:r>
    </w:p>
    <w:p w:rsidR="00BA06AB" w:rsidRPr="00445C95" w:rsidRDefault="00BA06AB" w:rsidP="00BA06AB">
      <w:pPr>
        <w:pStyle w:val="SingleTxtG"/>
      </w:pPr>
      <w:r w:rsidRPr="00445C95">
        <w:t>19.</w:t>
      </w:r>
      <w:r w:rsidRPr="00445C95">
        <w:tab/>
        <w:t xml:space="preserve">Young people make up the largest age group in the population, as 55.5 per cent of the population are under 30 years of age while only 11.5 per cent are aged 60 or over. The potential dependency ratio </w:t>
      </w:r>
      <w:r w:rsidR="00234142">
        <w:t>—</w:t>
      </w:r>
      <w:r w:rsidRPr="00445C95">
        <w:t xml:space="preserve"> i.e., the ratio of the population in the age groups that are, theoretically, economically inactive (people under the age of 15 and people aged 65 or over) to the age groups in which the population is, theoretically, economically active (those between the ages of 15 and 64) </w:t>
      </w:r>
      <w:r w:rsidR="00234142">
        <w:t>—</w:t>
      </w:r>
      <w:r w:rsidRPr="00445C95">
        <w:t xml:space="preserve"> was 54.6 per cent as of that year.</w:t>
      </w:r>
    </w:p>
    <w:p w:rsidR="00BA06AB" w:rsidRPr="00445C95" w:rsidRDefault="00BA06AB" w:rsidP="00BA06AB">
      <w:pPr>
        <w:pStyle w:val="SingleTxtG"/>
      </w:pPr>
      <w:r w:rsidRPr="00445C95">
        <w:t>20.</w:t>
      </w:r>
      <w:r w:rsidRPr="00445C95">
        <w:tab/>
        <w:t>This theoretical ratio is a positive one, since it means that, as of 2014, the majority of the country</w:t>
      </w:r>
      <w:r w:rsidR="00726016">
        <w:t>’</w:t>
      </w:r>
      <w:r w:rsidRPr="00445C95">
        <w:t>s population was of working age (65 out of every 100 people were economically active and 35 were economically inactive).</w:t>
      </w:r>
    </w:p>
    <w:p w:rsidR="00BA06AB" w:rsidRPr="00445C95" w:rsidRDefault="00BA06AB" w:rsidP="00BA06AB">
      <w:pPr>
        <w:pStyle w:val="SingleTxtG"/>
      </w:pPr>
      <w:r w:rsidRPr="00445C95">
        <w:t>21.</w:t>
      </w:r>
      <w:r w:rsidRPr="00445C95">
        <w:tab/>
        <w:t>In addition, in 2015 the first National Survey of Persons with Disabilities was carried out by DIGESTYC with technical support from the National Council for Persons with Disabilities, the Technical Secretariat of the Office of the President and UNICEF. This has generated more accurate data on the population of persons with disabilities. In 2015, the prevalence rate was 6.4 per cent of the total Salvadoran population, indicating that there are 410,798 persons with some kind of disability in El Salvador.</w:t>
      </w:r>
    </w:p>
    <w:p w:rsidR="00BA06AB" w:rsidRPr="00445C95" w:rsidRDefault="00BA06AB" w:rsidP="00BA06AB">
      <w:pPr>
        <w:pStyle w:val="SingleTxtG"/>
      </w:pPr>
      <w:r w:rsidRPr="00445C95">
        <w:t>22.</w:t>
      </w:r>
      <w:r w:rsidRPr="00445C95">
        <w:tab/>
        <w:t>The comparative table below shows a number of social, economic and other indicators for El Salvador for 2010</w:t>
      </w:r>
      <w:r w:rsidR="00866581">
        <w:t>-</w:t>
      </w:r>
      <w:r w:rsidRPr="00445C95">
        <w:t>2015.</w:t>
      </w:r>
    </w:p>
    <w:p w:rsidR="00BA06AB" w:rsidRPr="00234142" w:rsidRDefault="00BA06AB" w:rsidP="00234142">
      <w:pPr>
        <w:pStyle w:val="Heading1"/>
        <w:rPr>
          <w:b/>
        </w:rPr>
      </w:pPr>
      <w:bookmarkStart w:id="7" w:name="_Toc486428517"/>
      <w:bookmarkStart w:id="8" w:name="_Toc490483647"/>
      <w:r w:rsidRPr="00445C95">
        <w:t>Table 1</w:t>
      </w:r>
      <w:r w:rsidRPr="00445C95">
        <w:br/>
      </w:r>
      <w:r w:rsidRPr="00234142">
        <w:rPr>
          <w:b/>
        </w:rPr>
        <w:t>Social and economic indicators: 2010-2015</w:t>
      </w:r>
      <w:bookmarkEnd w:id="7"/>
      <w:bookmarkEnd w:id="8"/>
    </w:p>
    <w:p w:rsidR="00BA06AB" w:rsidRPr="00445C95" w:rsidRDefault="00BA06AB" w:rsidP="00234142">
      <w:pPr>
        <w:pStyle w:val="H23G"/>
      </w:pPr>
      <w:r w:rsidRPr="00445C95">
        <w:tab/>
      </w:r>
      <w:bookmarkStart w:id="9" w:name="_Toc486428518"/>
      <w:r w:rsidRPr="002A5C3C">
        <w:t>A.</w:t>
      </w:r>
      <w:r w:rsidRPr="002A5C3C">
        <w:tab/>
        <w:t>Social and</w:t>
      </w:r>
      <w:r w:rsidRPr="00445C95">
        <w:t xml:space="preserve"> economic indicators</w:t>
      </w:r>
      <w:bookmarkEnd w:id="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567"/>
        <w:gridCol w:w="850"/>
        <w:gridCol w:w="1714"/>
        <w:gridCol w:w="668"/>
        <w:gridCol w:w="615"/>
        <w:gridCol w:w="615"/>
        <w:gridCol w:w="650"/>
        <w:gridCol w:w="615"/>
        <w:gridCol w:w="650"/>
      </w:tblGrid>
      <w:tr w:rsidR="00BA06AB" w:rsidRPr="00D94868" w:rsidTr="00D94868">
        <w:trPr>
          <w:trHeight w:val="240"/>
          <w:tblHeader/>
        </w:trPr>
        <w:tc>
          <w:tcPr>
            <w:tcW w:w="3557" w:type="dxa"/>
            <w:gridSpan w:val="4"/>
            <w:tcBorders>
              <w:top w:val="single" w:sz="4" w:space="0" w:color="auto"/>
              <w:bottom w:val="single" w:sz="12" w:space="0" w:color="auto"/>
            </w:tcBorders>
            <w:shd w:val="clear" w:color="auto" w:fill="auto"/>
            <w:noWrap/>
            <w:vAlign w:val="bottom"/>
            <w:hideMark/>
          </w:tcPr>
          <w:p w:rsidR="00BA06AB" w:rsidRPr="00D94868" w:rsidRDefault="00BA06AB" w:rsidP="00D94868">
            <w:pPr>
              <w:pStyle w:val="SingleTxtG"/>
              <w:suppressAutoHyphens w:val="0"/>
              <w:spacing w:before="80" w:after="80" w:line="200" w:lineRule="exact"/>
              <w:ind w:left="0" w:right="113"/>
              <w:jc w:val="left"/>
              <w:rPr>
                <w:i/>
                <w:sz w:val="16"/>
              </w:rPr>
            </w:pPr>
            <w:r w:rsidRPr="00D94868">
              <w:rPr>
                <w:i/>
                <w:sz w:val="16"/>
              </w:rPr>
              <w:t>Variables and indicators</w:t>
            </w:r>
          </w:p>
        </w:tc>
        <w:tc>
          <w:tcPr>
            <w:tcW w:w="668" w:type="dxa"/>
            <w:tcBorders>
              <w:top w:val="single" w:sz="4" w:space="0" w:color="auto"/>
              <w:bottom w:val="single" w:sz="12" w:space="0" w:color="auto"/>
            </w:tcBorders>
            <w:shd w:val="clear" w:color="auto" w:fill="auto"/>
            <w:noWrap/>
            <w:vAlign w:val="bottom"/>
            <w:hideMark/>
          </w:tcPr>
          <w:p w:rsidR="00BA06AB" w:rsidRPr="00D94868" w:rsidRDefault="00BA06AB" w:rsidP="00D94868">
            <w:pPr>
              <w:pStyle w:val="SingleTxtG"/>
              <w:suppressAutoHyphens w:val="0"/>
              <w:spacing w:before="80" w:after="80" w:line="200" w:lineRule="exact"/>
              <w:ind w:left="0" w:right="113"/>
              <w:jc w:val="right"/>
              <w:rPr>
                <w:i/>
                <w:sz w:val="16"/>
              </w:rPr>
            </w:pPr>
            <w:r w:rsidRPr="00D94868">
              <w:rPr>
                <w:i/>
                <w:sz w:val="16"/>
              </w:rPr>
              <w:t>2010</w:t>
            </w:r>
          </w:p>
        </w:tc>
        <w:tc>
          <w:tcPr>
            <w:tcW w:w="615" w:type="dxa"/>
            <w:tcBorders>
              <w:top w:val="single" w:sz="4" w:space="0" w:color="auto"/>
              <w:bottom w:val="single" w:sz="12" w:space="0" w:color="auto"/>
            </w:tcBorders>
            <w:shd w:val="clear" w:color="auto" w:fill="auto"/>
            <w:noWrap/>
            <w:vAlign w:val="bottom"/>
            <w:hideMark/>
          </w:tcPr>
          <w:p w:rsidR="00BA06AB" w:rsidRPr="00D94868" w:rsidRDefault="00BA06AB" w:rsidP="00D94868">
            <w:pPr>
              <w:pStyle w:val="SingleTxtG"/>
              <w:suppressAutoHyphens w:val="0"/>
              <w:spacing w:before="80" w:after="80" w:line="200" w:lineRule="exact"/>
              <w:ind w:left="0" w:right="113"/>
              <w:jc w:val="right"/>
              <w:rPr>
                <w:i/>
                <w:sz w:val="16"/>
              </w:rPr>
            </w:pPr>
            <w:r w:rsidRPr="00D94868">
              <w:rPr>
                <w:i/>
                <w:sz w:val="16"/>
              </w:rPr>
              <w:t>2011</w:t>
            </w:r>
          </w:p>
        </w:tc>
        <w:tc>
          <w:tcPr>
            <w:tcW w:w="615" w:type="dxa"/>
            <w:tcBorders>
              <w:top w:val="single" w:sz="4" w:space="0" w:color="auto"/>
              <w:bottom w:val="single" w:sz="12" w:space="0" w:color="auto"/>
            </w:tcBorders>
            <w:shd w:val="clear" w:color="auto" w:fill="auto"/>
            <w:noWrap/>
            <w:vAlign w:val="bottom"/>
            <w:hideMark/>
          </w:tcPr>
          <w:p w:rsidR="00BA06AB" w:rsidRPr="00D94868" w:rsidRDefault="00BA06AB" w:rsidP="00D94868">
            <w:pPr>
              <w:pStyle w:val="SingleTxtG"/>
              <w:suppressAutoHyphens w:val="0"/>
              <w:spacing w:before="80" w:after="80" w:line="200" w:lineRule="exact"/>
              <w:ind w:left="0" w:right="113"/>
              <w:jc w:val="right"/>
              <w:rPr>
                <w:i/>
                <w:sz w:val="16"/>
              </w:rPr>
            </w:pPr>
            <w:r w:rsidRPr="00D94868">
              <w:rPr>
                <w:i/>
                <w:sz w:val="16"/>
              </w:rPr>
              <w:t>2012</w:t>
            </w:r>
          </w:p>
        </w:tc>
        <w:tc>
          <w:tcPr>
            <w:tcW w:w="650" w:type="dxa"/>
            <w:tcBorders>
              <w:top w:val="single" w:sz="4" w:space="0" w:color="auto"/>
              <w:bottom w:val="single" w:sz="12" w:space="0" w:color="auto"/>
            </w:tcBorders>
            <w:shd w:val="clear" w:color="auto" w:fill="auto"/>
            <w:noWrap/>
            <w:vAlign w:val="bottom"/>
            <w:hideMark/>
          </w:tcPr>
          <w:p w:rsidR="00BA06AB" w:rsidRPr="00D94868" w:rsidRDefault="00BA06AB" w:rsidP="00D94868">
            <w:pPr>
              <w:pStyle w:val="SingleTxtG"/>
              <w:suppressAutoHyphens w:val="0"/>
              <w:spacing w:before="80" w:after="80" w:line="200" w:lineRule="exact"/>
              <w:ind w:left="0" w:right="113"/>
              <w:jc w:val="right"/>
              <w:rPr>
                <w:i/>
                <w:sz w:val="16"/>
              </w:rPr>
            </w:pPr>
            <w:r w:rsidRPr="00D94868">
              <w:rPr>
                <w:i/>
                <w:sz w:val="16"/>
              </w:rPr>
              <w:t>2013</w:t>
            </w:r>
          </w:p>
        </w:tc>
        <w:tc>
          <w:tcPr>
            <w:tcW w:w="615" w:type="dxa"/>
            <w:tcBorders>
              <w:top w:val="single" w:sz="4" w:space="0" w:color="auto"/>
              <w:bottom w:val="single" w:sz="12" w:space="0" w:color="auto"/>
            </w:tcBorders>
            <w:shd w:val="clear" w:color="auto" w:fill="auto"/>
            <w:noWrap/>
            <w:vAlign w:val="bottom"/>
            <w:hideMark/>
          </w:tcPr>
          <w:p w:rsidR="00BA06AB" w:rsidRPr="00D94868" w:rsidRDefault="00BA06AB" w:rsidP="00D94868">
            <w:pPr>
              <w:pStyle w:val="SingleTxtG"/>
              <w:suppressAutoHyphens w:val="0"/>
              <w:spacing w:before="80" w:after="80" w:line="200" w:lineRule="exact"/>
              <w:ind w:left="0" w:right="113"/>
              <w:jc w:val="right"/>
              <w:rPr>
                <w:i/>
                <w:sz w:val="16"/>
              </w:rPr>
            </w:pPr>
            <w:r w:rsidRPr="00D94868">
              <w:rPr>
                <w:i/>
                <w:sz w:val="16"/>
              </w:rPr>
              <w:t>2014</w:t>
            </w:r>
          </w:p>
        </w:tc>
        <w:tc>
          <w:tcPr>
            <w:tcW w:w="650" w:type="dxa"/>
            <w:tcBorders>
              <w:top w:val="single" w:sz="4" w:space="0" w:color="auto"/>
              <w:bottom w:val="single" w:sz="12" w:space="0" w:color="auto"/>
            </w:tcBorders>
            <w:shd w:val="clear" w:color="auto" w:fill="auto"/>
            <w:noWrap/>
            <w:vAlign w:val="bottom"/>
            <w:hideMark/>
          </w:tcPr>
          <w:p w:rsidR="00BA06AB" w:rsidRPr="00D94868" w:rsidRDefault="00BA06AB" w:rsidP="00D94868">
            <w:pPr>
              <w:pStyle w:val="SingleTxtG"/>
              <w:suppressAutoHyphens w:val="0"/>
              <w:spacing w:before="80" w:after="80" w:line="200" w:lineRule="exact"/>
              <w:ind w:left="0" w:right="113"/>
              <w:jc w:val="right"/>
              <w:rPr>
                <w:i/>
                <w:sz w:val="16"/>
              </w:rPr>
            </w:pPr>
            <w:r w:rsidRPr="00D94868">
              <w:rPr>
                <w:i/>
                <w:sz w:val="16"/>
              </w:rPr>
              <w:t>2015</w:t>
            </w:r>
          </w:p>
        </w:tc>
      </w:tr>
      <w:tr w:rsidR="00BA06AB" w:rsidRPr="00D94868" w:rsidTr="00D94868">
        <w:trPr>
          <w:trHeight w:val="240"/>
        </w:trPr>
        <w:tc>
          <w:tcPr>
            <w:tcW w:w="3557" w:type="dxa"/>
            <w:gridSpan w:val="4"/>
            <w:tcBorders>
              <w:top w:val="single" w:sz="12" w:space="0" w:color="auto"/>
            </w:tcBorders>
            <w:shd w:val="clear" w:color="auto" w:fill="auto"/>
            <w:noWrap/>
            <w:hideMark/>
          </w:tcPr>
          <w:p w:rsidR="00BA06AB" w:rsidRPr="00D94868" w:rsidRDefault="00BA06AB" w:rsidP="00D94868">
            <w:pPr>
              <w:pStyle w:val="SingleTxtG"/>
              <w:suppressAutoHyphens w:val="0"/>
              <w:spacing w:before="40" w:after="40" w:line="220" w:lineRule="exact"/>
              <w:ind w:left="0" w:right="113"/>
              <w:jc w:val="left"/>
              <w:rPr>
                <w:sz w:val="18"/>
              </w:rPr>
            </w:pPr>
            <w:r w:rsidRPr="00D94868">
              <w:rPr>
                <w:sz w:val="18"/>
              </w:rPr>
              <w:t>1. Total number of households in poverty (%)</w:t>
            </w:r>
          </w:p>
        </w:tc>
        <w:tc>
          <w:tcPr>
            <w:tcW w:w="668" w:type="dxa"/>
            <w:tcBorders>
              <w:top w:val="single" w:sz="12" w:space="0" w:color="auto"/>
            </w:tcBorders>
            <w:shd w:val="clear" w:color="auto" w:fill="auto"/>
            <w:noWrap/>
            <w:vAlign w:val="bottom"/>
            <w:hideMark/>
          </w:tcPr>
          <w:p w:rsidR="00BA06AB" w:rsidRPr="00D94868" w:rsidRDefault="00BA06AB" w:rsidP="00D94868">
            <w:pPr>
              <w:pStyle w:val="SingleTxtG"/>
              <w:suppressAutoHyphens w:val="0"/>
              <w:spacing w:before="40" w:after="40" w:line="220" w:lineRule="exact"/>
              <w:ind w:left="0" w:right="113"/>
              <w:jc w:val="right"/>
              <w:rPr>
                <w:sz w:val="18"/>
              </w:rPr>
            </w:pPr>
          </w:p>
        </w:tc>
        <w:tc>
          <w:tcPr>
            <w:tcW w:w="615" w:type="dxa"/>
            <w:tcBorders>
              <w:top w:val="single" w:sz="12" w:space="0" w:color="auto"/>
            </w:tcBorders>
            <w:shd w:val="clear" w:color="auto" w:fill="auto"/>
            <w:noWrap/>
            <w:vAlign w:val="bottom"/>
            <w:hideMark/>
          </w:tcPr>
          <w:p w:rsidR="00BA06AB" w:rsidRPr="00D94868" w:rsidRDefault="00BA06AB" w:rsidP="00D94868">
            <w:pPr>
              <w:pStyle w:val="SingleTxtG"/>
              <w:suppressAutoHyphens w:val="0"/>
              <w:spacing w:before="40" w:after="40" w:line="220" w:lineRule="exact"/>
              <w:ind w:left="0" w:right="113"/>
              <w:jc w:val="right"/>
              <w:rPr>
                <w:sz w:val="18"/>
              </w:rPr>
            </w:pPr>
          </w:p>
        </w:tc>
        <w:tc>
          <w:tcPr>
            <w:tcW w:w="615" w:type="dxa"/>
            <w:tcBorders>
              <w:top w:val="single" w:sz="12" w:space="0" w:color="auto"/>
            </w:tcBorders>
            <w:shd w:val="clear" w:color="auto" w:fill="auto"/>
            <w:noWrap/>
            <w:vAlign w:val="bottom"/>
            <w:hideMark/>
          </w:tcPr>
          <w:p w:rsidR="00BA06AB" w:rsidRPr="00D94868" w:rsidRDefault="00BA06AB" w:rsidP="00D94868">
            <w:pPr>
              <w:pStyle w:val="SingleTxtG"/>
              <w:suppressAutoHyphens w:val="0"/>
              <w:spacing w:before="40" w:after="40" w:line="220" w:lineRule="exact"/>
              <w:ind w:left="0" w:right="113"/>
              <w:jc w:val="right"/>
              <w:rPr>
                <w:sz w:val="18"/>
              </w:rPr>
            </w:pPr>
          </w:p>
        </w:tc>
        <w:tc>
          <w:tcPr>
            <w:tcW w:w="650" w:type="dxa"/>
            <w:tcBorders>
              <w:top w:val="single" w:sz="12" w:space="0" w:color="auto"/>
            </w:tcBorders>
            <w:shd w:val="clear" w:color="auto" w:fill="auto"/>
            <w:noWrap/>
            <w:vAlign w:val="bottom"/>
            <w:hideMark/>
          </w:tcPr>
          <w:p w:rsidR="00BA06AB" w:rsidRPr="00D94868" w:rsidRDefault="00BA06AB" w:rsidP="00D94868">
            <w:pPr>
              <w:pStyle w:val="SingleTxtG"/>
              <w:suppressAutoHyphens w:val="0"/>
              <w:spacing w:before="40" w:after="40" w:line="220" w:lineRule="exact"/>
              <w:ind w:left="0" w:right="113"/>
              <w:jc w:val="right"/>
              <w:rPr>
                <w:sz w:val="18"/>
              </w:rPr>
            </w:pPr>
          </w:p>
        </w:tc>
        <w:tc>
          <w:tcPr>
            <w:tcW w:w="615" w:type="dxa"/>
            <w:tcBorders>
              <w:top w:val="single" w:sz="12" w:space="0" w:color="auto"/>
            </w:tcBorders>
            <w:shd w:val="clear" w:color="auto" w:fill="auto"/>
            <w:noWrap/>
            <w:vAlign w:val="bottom"/>
            <w:hideMark/>
          </w:tcPr>
          <w:p w:rsidR="00BA06AB" w:rsidRPr="00D94868" w:rsidRDefault="00BA06AB" w:rsidP="00D94868">
            <w:pPr>
              <w:pStyle w:val="SingleTxtG"/>
              <w:suppressAutoHyphens w:val="0"/>
              <w:spacing w:before="40" w:after="40" w:line="220" w:lineRule="exact"/>
              <w:ind w:left="0" w:right="113"/>
              <w:jc w:val="right"/>
              <w:rPr>
                <w:sz w:val="18"/>
              </w:rPr>
            </w:pPr>
          </w:p>
        </w:tc>
        <w:tc>
          <w:tcPr>
            <w:tcW w:w="650" w:type="dxa"/>
            <w:tcBorders>
              <w:top w:val="single" w:sz="12" w:space="0" w:color="auto"/>
            </w:tcBorders>
            <w:shd w:val="clear" w:color="auto" w:fill="auto"/>
            <w:noWrap/>
            <w:vAlign w:val="bottom"/>
            <w:hideMark/>
          </w:tcPr>
          <w:p w:rsidR="00BA06AB" w:rsidRPr="00D94868" w:rsidRDefault="00BA06AB" w:rsidP="00D94868">
            <w:pPr>
              <w:pStyle w:val="SingleTxtG"/>
              <w:suppressAutoHyphens w:val="0"/>
              <w:spacing w:before="40" w:after="40" w:line="220" w:lineRule="exact"/>
              <w:ind w:left="0" w:right="113"/>
              <w:jc w:val="right"/>
              <w:rPr>
                <w:sz w:val="18"/>
              </w:rPr>
            </w:pPr>
          </w:p>
        </w:tc>
      </w:tr>
      <w:tr w:rsidR="005B71B4" w:rsidRPr="00D94868" w:rsidTr="00AD5A2F">
        <w:trPr>
          <w:trHeight w:val="240"/>
        </w:trPr>
        <w:tc>
          <w:tcPr>
            <w:tcW w:w="426"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1.1</w:t>
            </w:r>
          </w:p>
        </w:tc>
        <w:tc>
          <w:tcPr>
            <w:tcW w:w="2564" w:type="dxa"/>
            <w:gridSpan w:val="2"/>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National total</w:t>
            </w:r>
          </w:p>
        </w:tc>
        <w:tc>
          <w:tcPr>
            <w:tcW w:w="668"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36</w:t>
            </w:r>
            <w:r w:rsidR="00D94868">
              <w:rPr>
                <w:sz w:val="18"/>
                <w:szCs w:val="18"/>
                <w:lang w:val="es-SV"/>
              </w:rPr>
              <w:t>.</w:t>
            </w:r>
            <w:r w:rsidRPr="00D94868">
              <w:rPr>
                <w:sz w:val="18"/>
                <w:szCs w:val="18"/>
                <w:lang w:val="es-SV"/>
              </w:rPr>
              <w:t>5</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40</w:t>
            </w:r>
            <w:r w:rsidR="00D94868">
              <w:rPr>
                <w:sz w:val="18"/>
                <w:szCs w:val="18"/>
                <w:lang w:val="es-SV"/>
              </w:rPr>
              <w:t>.</w:t>
            </w:r>
            <w:r w:rsidRPr="00D94868">
              <w:rPr>
                <w:sz w:val="18"/>
                <w:szCs w:val="18"/>
                <w:lang w:val="es-SV"/>
              </w:rPr>
              <w:t>6</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34</w:t>
            </w:r>
            <w:r w:rsidR="00D94868">
              <w:rPr>
                <w:sz w:val="18"/>
                <w:szCs w:val="18"/>
                <w:lang w:val="es-SV"/>
              </w:rPr>
              <w:t>.</w:t>
            </w:r>
            <w:r w:rsidRPr="00D94868">
              <w:rPr>
                <w:sz w:val="18"/>
                <w:szCs w:val="18"/>
                <w:lang w:val="es-SV"/>
              </w:rPr>
              <w:t>5</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29</w:t>
            </w:r>
            <w:r w:rsidR="00D94868">
              <w:rPr>
                <w:sz w:val="18"/>
                <w:szCs w:val="18"/>
                <w:lang w:val="es-SV"/>
              </w:rPr>
              <w:t>.</w:t>
            </w:r>
            <w:r w:rsidRPr="00D94868">
              <w:rPr>
                <w:sz w:val="18"/>
                <w:szCs w:val="18"/>
                <w:lang w:val="es-SV"/>
              </w:rPr>
              <w:t>6</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31</w:t>
            </w:r>
            <w:r w:rsidR="003660AC">
              <w:rPr>
                <w:sz w:val="18"/>
                <w:szCs w:val="18"/>
                <w:lang w:val="es-SV"/>
              </w:rPr>
              <w:t>.</w:t>
            </w:r>
            <w:r w:rsidRPr="00D94868">
              <w:rPr>
                <w:sz w:val="18"/>
                <w:szCs w:val="18"/>
                <w:lang w:val="es-SV"/>
              </w:rPr>
              <w:t>9</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34</w:t>
            </w:r>
            <w:r w:rsidR="003660AC">
              <w:rPr>
                <w:sz w:val="18"/>
                <w:szCs w:val="18"/>
                <w:lang w:val="es-SV"/>
              </w:rPr>
              <w:t>.</w:t>
            </w:r>
            <w:r w:rsidRPr="00D94868">
              <w:rPr>
                <w:sz w:val="18"/>
                <w:szCs w:val="18"/>
                <w:lang w:val="es-SV"/>
              </w:rPr>
              <w:t>8</w:t>
            </w:r>
          </w:p>
        </w:tc>
      </w:tr>
      <w:tr w:rsidR="005B71B4" w:rsidRPr="00D94868" w:rsidTr="00326C92">
        <w:trPr>
          <w:trHeight w:val="240"/>
        </w:trPr>
        <w:tc>
          <w:tcPr>
            <w:tcW w:w="426"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1.2</w:t>
            </w:r>
          </w:p>
        </w:tc>
        <w:tc>
          <w:tcPr>
            <w:tcW w:w="850"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Urban</w:t>
            </w:r>
          </w:p>
        </w:tc>
        <w:tc>
          <w:tcPr>
            <w:tcW w:w="1714"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33</w:t>
            </w:r>
            <w:r w:rsidR="00D94868">
              <w:rPr>
                <w:sz w:val="18"/>
                <w:szCs w:val="18"/>
                <w:lang w:val="es-SV"/>
              </w:rPr>
              <w:t>.</w:t>
            </w:r>
            <w:r w:rsidRPr="00D94868">
              <w:rPr>
                <w:sz w:val="18"/>
                <w:szCs w:val="18"/>
                <w:lang w:val="es-SV"/>
              </w:rPr>
              <w:t>0</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35</w:t>
            </w:r>
            <w:r w:rsidR="00D94868">
              <w:rPr>
                <w:sz w:val="18"/>
                <w:szCs w:val="18"/>
                <w:lang w:val="es-SV"/>
              </w:rPr>
              <w:t>.</w:t>
            </w:r>
            <w:r w:rsidRPr="00D94868">
              <w:rPr>
                <w:sz w:val="18"/>
                <w:szCs w:val="18"/>
                <w:lang w:val="es-SV"/>
              </w:rPr>
              <w:t>4</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29</w:t>
            </w:r>
            <w:r w:rsidR="00D94868">
              <w:rPr>
                <w:sz w:val="18"/>
                <w:szCs w:val="18"/>
                <w:lang w:val="es-SV"/>
              </w:rPr>
              <w:t>.</w:t>
            </w:r>
            <w:r w:rsidRPr="00D94868">
              <w:rPr>
                <w:sz w:val="18"/>
                <w:szCs w:val="18"/>
                <w:lang w:val="es-SV"/>
              </w:rPr>
              <w:t>9</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26</w:t>
            </w:r>
            <w:r w:rsidR="00A73FB4">
              <w:rPr>
                <w:sz w:val="18"/>
                <w:szCs w:val="18"/>
                <w:lang w:val="es-SV"/>
              </w:rPr>
              <w:t>.</w:t>
            </w:r>
            <w:r w:rsidRPr="00D94868">
              <w:rPr>
                <w:sz w:val="18"/>
                <w:szCs w:val="18"/>
                <w:lang w:val="es-SV"/>
              </w:rPr>
              <w:t>2</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28</w:t>
            </w:r>
            <w:r w:rsidR="00A73FB4">
              <w:rPr>
                <w:sz w:val="18"/>
                <w:szCs w:val="18"/>
                <w:lang w:val="es-SV"/>
              </w:rPr>
              <w:t>.</w:t>
            </w:r>
            <w:r w:rsidRPr="00D94868">
              <w:rPr>
                <w:sz w:val="18"/>
                <w:szCs w:val="18"/>
                <w:lang w:val="es-SV"/>
              </w:rPr>
              <w:t>5</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lang w:val="es-SV"/>
              </w:rPr>
            </w:pPr>
            <w:r w:rsidRPr="00D94868">
              <w:rPr>
                <w:sz w:val="18"/>
                <w:szCs w:val="18"/>
                <w:lang w:val="es-SV"/>
              </w:rPr>
              <w:t>32.6</w:t>
            </w:r>
          </w:p>
        </w:tc>
      </w:tr>
      <w:tr w:rsidR="005B71B4" w:rsidRPr="00D94868" w:rsidTr="00326C92">
        <w:trPr>
          <w:trHeight w:val="240"/>
        </w:trPr>
        <w:tc>
          <w:tcPr>
            <w:tcW w:w="426"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1.3</w:t>
            </w:r>
          </w:p>
        </w:tc>
        <w:tc>
          <w:tcPr>
            <w:tcW w:w="850"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Rural</w:t>
            </w:r>
          </w:p>
        </w:tc>
        <w:tc>
          <w:tcPr>
            <w:tcW w:w="1714"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43</w:t>
            </w:r>
            <w:r w:rsidR="00D94868">
              <w:rPr>
                <w:sz w:val="18"/>
                <w:szCs w:val="18"/>
              </w:rPr>
              <w:t>.</w:t>
            </w:r>
            <w:r w:rsidRPr="00D94868">
              <w:rPr>
                <w:sz w:val="18"/>
                <w:szCs w:val="18"/>
              </w:rPr>
              <w:t>2</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50</w:t>
            </w:r>
            <w:r w:rsidR="00D94868">
              <w:rPr>
                <w:sz w:val="18"/>
                <w:szCs w:val="18"/>
              </w:rPr>
              <w:t>.</w:t>
            </w:r>
            <w:r w:rsidRPr="00D94868">
              <w:rPr>
                <w:sz w:val="18"/>
                <w:szCs w:val="18"/>
              </w:rPr>
              <w:t>2</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43</w:t>
            </w:r>
            <w:r w:rsidR="00D94868">
              <w:rPr>
                <w:sz w:val="18"/>
                <w:szCs w:val="18"/>
              </w:rPr>
              <w:t>.</w:t>
            </w:r>
            <w:r w:rsidRPr="00D94868">
              <w:rPr>
                <w:sz w:val="18"/>
                <w:szCs w:val="18"/>
              </w:rPr>
              <w:t>3</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36</w:t>
            </w:r>
            <w:r w:rsidR="00A73FB4">
              <w:rPr>
                <w:sz w:val="18"/>
                <w:szCs w:val="18"/>
              </w:rPr>
              <w:t>.</w:t>
            </w:r>
            <w:r w:rsidRPr="00D94868">
              <w:rPr>
                <w:sz w:val="18"/>
                <w:szCs w:val="18"/>
              </w:rPr>
              <w:t>0</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37</w:t>
            </w:r>
            <w:r w:rsidR="00A73FB4">
              <w:rPr>
                <w:sz w:val="18"/>
                <w:szCs w:val="18"/>
              </w:rPr>
              <w:t>.</w:t>
            </w:r>
            <w:r w:rsidRPr="00D94868">
              <w:rPr>
                <w:sz w:val="18"/>
                <w:szCs w:val="18"/>
              </w:rPr>
              <w:t>9</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38.8</w:t>
            </w:r>
          </w:p>
        </w:tc>
      </w:tr>
      <w:tr w:rsidR="005B71B4" w:rsidRPr="00D94868" w:rsidTr="00D94868">
        <w:trPr>
          <w:trHeight w:val="240"/>
        </w:trPr>
        <w:tc>
          <w:tcPr>
            <w:tcW w:w="3557" w:type="dxa"/>
            <w:gridSpan w:val="4"/>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2. Households in extreme poverty (%)</w:t>
            </w:r>
          </w:p>
        </w:tc>
        <w:tc>
          <w:tcPr>
            <w:tcW w:w="668"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r>
      <w:tr w:rsidR="005B71B4" w:rsidRPr="00D94868" w:rsidTr="00AD5A2F">
        <w:trPr>
          <w:trHeight w:val="240"/>
        </w:trPr>
        <w:tc>
          <w:tcPr>
            <w:tcW w:w="426"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2.1</w:t>
            </w:r>
          </w:p>
        </w:tc>
        <w:tc>
          <w:tcPr>
            <w:tcW w:w="2564" w:type="dxa"/>
            <w:gridSpan w:val="2"/>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National total</w:t>
            </w:r>
          </w:p>
        </w:tc>
        <w:tc>
          <w:tcPr>
            <w:tcW w:w="668"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11</w:t>
            </w:r>
            <w:r w:rsidR="00D94868">
              <w:rPr>
                <w:sz w:val="18"/>
                <w:szCs w:val="18"/>
              </w:rPr>
              <w:t>.</w:t>
            </w:r>
            <w:r w:rsidRPr="00D94868">
              <w:rPr>
                <w:sz w:val="18"/>
                <w:szCs w:val="18"/>
              </w:rPr>
              <w:t>2</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12</w:t>
            </w:r>
            <w:r w:rsidR="00D94868">
              <w:rPr>
                <w:sz w:val="18"/>
                <w:szCs w:val="18"/>
              </w:rPr>
              <w:t>.</w:t>
            </w:r>
            <w:r w:rsidRPr="00D94868">
              <w:rPr>
                <w:sz w:val="18"/>
                <w:szCs w:val="18"/>
              </w:rPr>
              <w:t>2</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8</w:t>
            </w:r>
            <w:r w:rsidR="00D94868">
              <w:rPr>
                <w:sz w:val="18"/>
                <w:szCs w:val="18"/>
              </w:rPr>
              <w:t>.</w:t>
            </w:r>
            <w:r w:rsidRPr="00D94868">
              <w:rPr>
                <w:sz w:val="18"/>
                <w:szCs w:val="18"/>
              </w:rPr>
              <w:t>9</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7</w:t>
            </w:r>
            <w:r w:rsidR="00D94868">
              <w:rPr>
                <w:sz w:val="18"/>
                <w:szCs w:val="18"/>
              </w:rPr>
              <w:t>.</w:t>
            </w:r>
            <w:r w:rsidRPr="00D94868">
              <w:rPr>
                <w:sz w:val="18"/>
                <w:szCs w:val="18"/>
              </w:rPr>
              <w:t>1</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7</w:t>
            </w:r>
            <w:r w:rsidR="00A73FB4">
              <w:rPr>
                <w:sz w:val="18"/>
                <w:szCs w:val="18"/>
              </w:rPr>
              <w:t>.</w:t>
            </w:r>
            <w:r w:rsidRPr="00D94868">
              <w:rPr>
                <w:sz w:val="18"/>
                <w:szCs w:val="18"/>
              </w:rPr>
              <w:t>6</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8</w:t>
            </w:r>
            <w:r w:rsidR="00A73FB4">
              <w:rPr>
                <w:sz w:val="18"/>
                <w:szCs w:val="18"/>
              </w:rPr>
              <w:t>.</w:t>
            </w:r>
            <w:r w:rsidRPr="00D94868">
              <w:rPr>
                <w:sz w:val="18"/>
                <w:szCs w:val="18"/>
              </w:rPr>
              <w:t>1</w:t>
            </w:r>
          </w:p>
        </w:tc>
      </w:tr>
      <w:tr w:rsidR="005B71B4" w:rsidRPr="00D94868" w:rsidTr="00326C92">
        <w:trPr>
          <w:trHeight w:val="240"/>
        </w:trPr>
        <w:tc>
          <w:tcPr>
            <w:tcW w:w="426"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2.2</w:t>
            </w:r>
          </w:p>
        </w:tc>
        <w:tc>
          <w:tcPr>
            <w:tcW w:w="850"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Urban</w:t>
            </w:r>
          </w:p>
        </w:tc>
        <w:tc>
          <w:tcPr>
            <w:tcW w:w="1714"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9</w:t>
            </w:r>
            <w:r w:rsidR="00D94868">
              <w:rPr>
                <w:sz w:val="18"/>
                <w:szCs w:val="18"/>
              </w:rPr>
              <w:t>.</w:t>
            </w:r>
            <w:r w:rsidRPr="00D94868">
              <w:rPr>
                <w:sz w:val="18"/>
                <w:szCs w:val="18"/>
              </w:rPr>
              <w:t>1</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8</w:t>
            </w:r>
            <w:r w:rsidR="00D94868">
              <w:rPr>
                <w:sz w:val="18"/>
                <w:szCs w:val="18"/>
              </w:rPr>
              <w:t>.</w:t>
            </w:r>
            <w:r w:rsidRPr="00D94868">
              <w:rPr>
                <w:sz w:val="18"/>
                <w:szCs w:val="18"/>
              </w:rPr>
              <w:t>9</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5</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5</w:t>
            </w:r>
            <w:r w:rsidR="00A73FB4">
              <w:rPr>
                <w:sz w:val="18"/>
                <w:szCs w:val="18"/>
              </w:rPr>
              <w:t>.</w:t>
            </w:r>
            <w:r w:rsidRPr="00D94868">
              <w:rPr>
                <w:sz w:val="18"/>
                <w:szCs w:val="18"/>
              </w:rPr>
              <w:t>7</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5</w:t>
            </w:r>
            <w:r w:rsidR="00A73FB4">
              <w:rPr>
                <w:sz w:val="18"/>
                <w:szCs w:val="18"/>
              </w:rPr>
              <w:t>.</w:t>
            </w:r>
            <w:r w:rsidRPr="00D94868">
              <w:rPr>
                <w:sz w:val="18"/>
                <w:szCs w:val="18"/>
              </w:rPr>
              <w:t>7</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7.0</w:t>
            </w:r>
          </w:p>
        </w:tc>
      </w:tr>
      <w:tr w:rsidR="005B71B4" w:rsidRPr="00D94868" w:rsidTr="00326C92">
        <w:trPr>
          <w:trHeight w:val="240"/>
        </w:trPr>
        <w:tc>
          <w:tcPr>
            <w:tcW w:w="426"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2.3</w:t>
            </w:r>
          </w:p>
        </w:tc>
        <w:tc>
          <w:tcPr>
            <w:tcW w:w="850"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Rural</w:t>
            </w:r>
          </w:p>
        </w:tc>
        <w:tc>
          <w:tcPr>
            <w:tcW w:w="1714" w:type="dxa"/>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15</w:t>
            </w:r>
            <w:r w:rsidR="00D94868">
              <w:rPr>
                <w:sz w:val="18"/>
                <w:szCs w:val="18"/>
              </w:rPr>
              <w:t>.</w:t>
            </w:r>
            <w:r w:rsidRPr="00D94868">
              <w:rPr>
                <w:sz w:val="18"/>
                <w:szCs w:val="18"/>
              </w:rPr>
              <w:t>1</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18</w:t>
            </w:r>
            <w:r w:rsidR="00D94868">
              <w:rPr>
                <w:sz w:val="18"/>
                <w:szCs w:val="18"/>
              </w:rPr>
              <w:t>.</w:t>
            </w:r>
            <w:r w:rsidRPr="00D94868">
              <w:rPr>
                <w:sz w:val="18"/>
                <w:szCs w:val="18"/>
              </w:rPr>
              <w:t>43</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13</w:t>
            </w:r>
            <w:r w:rsidR="00D94868">
              <w:rPr>
                <w:sz w:val="18"/>
                <w:szCs w:val="18"/>
              </w:rPr>
              <w:t>.</w:t>
            </w:r>
            <w:r w:rsidRPr="00D94868">
              <w:rPr>
                <w:sz w:val="18"/>
                <w:szCs w:val="18"/>
              </w:rPr>
              <w:t>55</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9</w:t>
            </w:r>
            <w:r w:rsidR="00A73FB4">
              <w:rPr>
                <w:sz w:val="18"/>
                <w:szCs w:val="18"/>
              </w:rPr>
              <w:t>.</w:t>
            </w:r>
            <w:r w:rsidRPr="00D94868">
              <w:rPr>
                <w:sz w:val="18"/>
                <w:szCs w:val="18"/>
              </w:rPr>
              <w:t>8</w:t>
            </w:r>
          </w:p>
        </w:tc>
        <w:tc>
          <w:tcPr>
            <w:tcW w:w="615"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10</w:t>
            </w:r>
            <w:r w:rsidR="00A73FB4">
              <w:rPr>
                <w:sz w:val="18"/>
                <w:szCs w:val="18"/>
              </w:rPr>
              <w:t>.</w:t>
            </w:r>
            <w:r w:rsidRPr="00D94868">
              <w:rPr>
                <w:sz w:val="18"/>
                <w:szCs w:val="18"/>
              </w:rPr>
              <w:t>9</w:t>
            </w:r>
          </w:p>
        </w:tc>
        <w:tc>
          <w:tcPr>
            <w:tcW w:w="650" w:type="dxa"/>
            <w:shd w:val="clear" w:color="auto" w:fill="auto"/>
            <w:noWrap/>
            <w:vAlign w:val="bottom"/>
          </w:tcPr>
          <w:p w:rsidR="005B71B4" w:rsidRPr="00D94868" w:rsidRDefault="005B71B4" w:rsidP="00D94868">
            <w:pPr>
              <w:suppressAutoHyphens w:val="0"/>
              <w:spacing w:before="40" w:after="40" w:line="220" w:lineRule="exact"/>
              <w:ind w:right="113"/>
              <w:jc w:val="right"/>
              <w:rPr>
                <w:sz w:val="18"/>
                <w:szCs w:val="18"/>
              </w:rPr>
            </w:pPr>
            <w:r w:rsidRPr="00D94868">
              <w:rPr>
                <w:sz w:val="18"/>
                <w:szCs w:val="18"/>
              </w:rPr>
              <w:t>10.1</w:t>
            </w:r>
          </w:p>
        </w:tc>
      </w:tr>
      <w:tr w:rsidR="005B71B4" w:rsidRPr="00D94868" w:rsidTr="00D94868">
        <w:trPr>
          <w:trHeight w:val="240"/>
        </w:trPr>
        <w:tc>
          <w:tcPr>
            <w:tcW w:w="3557" w:type="dxa"/>
            <w:gridSpan w:val="4"/>
            <w:shd w:val="clear" w:color="auto" w:fill="auto"/>
            <w:noWrap/>
            <w:hideMark/>
          </w:tcPr>
          <w:p w:rsidR="005B71B4" w:rsidRPr="00D94868" w:rsidRDefault="005B71B4" w:rsidP="00D94868">
            <w:pPr>
              <w:pStyle w:val="SingleTxtG"/>
              <w:suppressAutoHyphens w:val="0"/>
              <w:spacing w:before="40" w:after="40" w:line="220" w:lineRule="exact"/>
              <w:ind w:left="0" w:right="113"/>
              <w:jc w:val="left"/>
              <w:rPr>
                <w:sz w:val="18"/>
              </w:rPr>
            </w:pPr>
            <w:r w:rsidRPr="00D94868">
              <w:rPr>
                <w:sz w:val="18"/>
              </w:rPr>
              <w:t>3. Households in relative poverty (%)</w:t>
            </w:r>
          </w:p>
        </w:tc>
        <w:tc>
          <w:tcPr>
            <w:tcW w:w="668"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5B71B4" w:rsidRPr="00D94868" w:rsidRDefault="005B71B4" w:rsidP="00D94868">
            <w:pPr>
              <w:pStyle w:val="SingleTxtG"/>
              <w:suppressAutoHyphens w:val="0"/>
              <w:spacing w:before="40" w:after="40" w:line="220" w:lineRule="exact"/>
              <w:ind w:left="0" w:right="113"/>
              <w:jc w:val="right"/>
              <w:rPr>
                <w:sz w:val="18"/>
              </w:rPr>
            </w:pPr>
          </w:p>
        </w:tc>
      </w:tr>
      <w:tr w:rsidR="00B90C5C" w:rsidRPr="00D94868" w:rsidTr="00AD5A2F">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3.1</w:t>
            </w:r>
          </w:p>
        </w:tc>
        <w:tc>
          <w:tcPr>
            <w:tcW w:w="2564" w:type="dxa"/>
            <w:gridSpan w:val="2"/>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National total</w:t>
            </w: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25</w:t>
            </w:r>
            <w:r w:rsidR="00D94868">
              <w:rPr>
                <w:sz w:val="18"/>
                <w:szCs w:val="18"/>
              </w:rPr>
              <w:t>.</w:t>
            </w:r>
            <w:r w:rsidRPr="00D94868">
              <w:rPr>
                <w:sz w:val="18"/>
                <w:szCs w:val="18"/>
              </w:rPr>
              <w:t>3</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28</w:t>
            </w:r>
            <w:r w:rsidR="00D94868">
              <w:rPr>
                <w:sz w:val="18"/>
                <w:szCs w:val="18"/>
              </w:rPr>
              <w:t>.</w:t>
            </w:r>
            <w:r w:rsidRPr="00D94868">
              <w:rPr>
                <w:sz w:val="18"/>
                <w:szCs w:val="18"/>
              </w:rPr>
              <w:t>3</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25</w:t>
            </w:r>
            <w:r w:rsidR="00D94868">
              <w:rPr>
                <w:sz w:val="18"/>
                <w:szCs w:val="18"/>
              </w:rPr>
              <w:t>.</w:t>
            </w:r>
            <w:r w:rsidRPr="00D94868">
              <w:rPr>
                <w:sz w:val="18"/>
                <w:szCs w:val="18"/>
              </w:rPr>
              <w:t>6</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22</w:t>
            </w:r>
            <w:r w:rsidR="00D94868">
              <w:rPr>
                <w:sz w:val="18"/>
                <w:szCs w:val="18"/>
              </w:rPr>
              <w:t>.</w:t>
            </w:r>
            <w:r w:rsidRPr="00D94868">
              <w:rPr>
                <w:sz w:val="18"/>
                <w:szCs w:val="18"/>
              </w:rPr>
              <w:t>5</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24</w:t>
            </w:r>
            <w:r w:rsidR="00A73FB4">
              <w:rPr>
                <w:sz w:val="18"/>
                <w:szCs w:val="18"/>
              </w:rPr>
              <w:t>.</w:t>
            </w:r>
            <w:r w:rsidRPr="00D94868">
              <w:rPr>
                <w:sz w:val="18"/>
                <w:szCs w:val="18"/>
              </w:rPr>
              <w:t>3</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26</w:t>
            </w:r>
            <w:r w:rsidR="00A73FB4">
              <w:rPr>
                <w:sz w:val="18"/>
                <w:szCs w:val="18"/>
              </w:rPr>
              <w:t>.</w:t>
            </w:r>
            <w:r w:rsidRPr="00D94868">
              <w:rPr>
                <w:sz w:val="18"/>
                <w:szCs w:val="18"/>
              </w:rPr>
              <w:t>8</w:t>
            </w:r>
          </w:p>
        </w:tc>
      </w:tr>
      <w:tr w:rsidR="00B90C5C" w:rsidRPr="00D94868" w:rsidTr="00326C92">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3.2</w:t>
            </w:r>
          </w:p>
        </w:tc>
        <w:tc>
          <w:tcPr>
            <w:tcW w:w="850"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Urban</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23</w:t>
            </w:r>
            <w:r w:rsidR="00D94868">
              <w:rPr>
                <w:sz w:val="18"/>
                <w:szCs w:val="18"/>
              </w:rPr>
              <w:t>.</w:t>
            </w:r>
            <w:r w:rsidRPr="00D94868">
              <w:rPr>
                <w:sz w:val="18"/>
                <w:szCs w:val="18"/>
              </w:rPr>
              <w:t>9</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26</w:t>
            </w:r>
            <w:r w:rsidR="00D94868">
              <w:rPr>
                <w:sz w:val="18"/>
                <w:szCs w:val="18"/>
              </w:rPr>
              <w:t>.</w:t>
            </w:r>
            <w:r w:rsidRPr="00D94868">
              <w:rPr>
                <w:sz w:val="18"/>
                <w:szCs w:val="18"/>
              </w:rPr>
              <w:t>5</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23</w:t>
            </w:r>
            <w:r w:rsidR="00D94868">
              <w:rPr>
                <w:sz w:val="18"/>
                <w:szCs w:val="18"/>
              </w:rPr>
              <w:t>.</w:t>
            </w:r>
            <w:r w:rsidRPr="00D94868">
              <w:rPr>
                <w:sz w:val="18"/>
                <w:szCs w:val="18"/>
              </w:rPr>
              <w:t>4</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20</w:t>
            </w:r>
            <w:r w:rsidR="00A73FB4">
              <w:rPr>
                <w:sz w:val="18"/>
                <w:szCs w:val="18"/>
              </w:rPr>
              <w:t>.</w:t>
            </w:r>
            <w:r w:rsidRPr="00D94868">
              <w:rPr>
                <w:sz w:val="18"/>
                <w:szCs w:val="18"/>
              </w:rPr>
              <w:t>5</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22</w:t>
            </w:r>
            <w:r w:rsidR="00A73FB4">
              <w:rPr>
                <w:sz w:val="18"/>
                <w:szCs w:val="18"/>
              </w:rPr>
              <w:t>.</w:t>
            </w:r>
            <w:r w:rsidRPr="00D94868">
              <w:rPr>
                <w:sz w:val="18"/>
                <w:szCs w:val="18"/>
              </w:rPr>
              <w:t>8</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25.7</w:t>
            </w:r>
          </w:p>
        </w:tc>
      </w:tr>
      <w:tr w:rsidR="00B90C5C" w:rsidRPr="00D94868" w:rsidTr="00326C92">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3.3</w:t>
            </w:r>
          </w:p>
        </w:tc>
        <w:tc>
          <w:tcPr>
            <w:tcW w:w="850"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Rural</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28</w:t>
            </w:r>
            <w:r w:rsidR="00D94868">
              <w:rPr>
                <w:sz w:val="18"/>
                <w:szCs w:val="18"/>
              </w:rPr>
              <w:t>.</w:t>
            </w:r>
            <w:r w:rsidRPr="00D94868">
              <w:rPr>
                <w:sz w:val="18"/>
                <w:szCs w:val="18"/>
              </w:rPr>
              <w:t>1</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31</w:t>
            </w:r>
            <w:r w:rsidR="00D94868">
              <w:rPr>
                <w:sz w:val="18"/>
                <w:szCs w:val="18"/>
              </w:rPr>
              <w:t>.</w:t>
            </w:r>
            <w:r w:rsidRPr="00D94868">
              <w:rPr>
                <w:sz w:val="18"/>
                <w:szCs w:val="18"/>
              </w:rPr>
              <w:t>7</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29</w:t>
            </w:r>
            <w:r w:rsidR="00D94868">
              <w:rPr>
                <w:sz w:val="18"/>
                <w:szCs w:val="18"/>
              </w:rPr>
              <w:t>.</w:t>
            </w:r>
            <w:r w:rsidRPr="00D94868">
              <w:rPr>
                <w:sz w:val="18"/>
                <w:szCs w:val="18"/>
              </w:rPr>
              <w:t>8</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26</w:t>
            </w:r>
            <w:r w:rsidR="00A73FB4">
              <w:rPr>
                <w:sz w:val="18"/>
                <w:szCs w:val="18"/>
              </w:rPr>
              <w:t>.</w:t>
            </w:r>
            <w:r w:rsidRPr="00D94868">
              <w:rPr>
                <w:sz w:val="18"/>
                <w:szCs w:val="18"/>
              </w:rPr>
              <w:t>2</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27</w:t>
            </w:r>
            <w:r w:rsidR="00A73FB4">
              <w:rPr>
                <w:sz w:val="18"/>
                <w:szCs w:val="18"/>
              </w:rPr>
              <w:t>.</w:t>
            </w:r>
            <w:r w:rsidRPr="00D94868">
              <w:rPr>
                <w:sz w:val="18"/>
                <w:szCs w:val="18"/>
              </w:rPr>
              <w:t>0</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28.7</w:t>
            </w:r>
          </w:p>
        </w:tc>
      </w:tr>
      <w:tr w:rsidR="00B90C5C" w:rsidRPr="00D94868" w:rsidTr="00326C92">
        <w:trPr>
          <w:trHeight w:val="240"/>
        </w:trPr>
        <w:tc>
          <w:tcPr>
            <w:tcW w:w="1843" w:type="dxa"/>
            <w:gridSpan w:val="3"/>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4. Unemployment rate</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B90C5C" w:rsidRPr="00D94868" w:rsidRDefault="00B90C5C"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B90C5C" w:rsidRPr="00D94868" w:rsidRDefault="00B90C5C"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B90C5C" w:rsidRPr="00D94868" w:rsidRDefault="00B90C5C"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B90C5C" w:rsidRPr="00D94868" w:rsidRDefault="00B90C5C"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B90C5C" w:rsidRPr="00D94868" w:rsidRDefault="00B90C5C"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B90C5C" w:rsidRPr="00D94868" w:rsidRDefault="00B90C5C" w:rsidP="00D94868">
            <w:pPr>
              <w:pStyle w:val="SingleTxtG"/>
              <w:suppressAutoHyphens w:val="0"/>
              <w:spacing w:before="40" w:after="40" w:line="220" w:lineRule="exact"/>
              <w:ind w:left="0" w:right="113"/>
              <w:jc w:val="right"/>
              <w:rPr>
                <w:sz w:val="18"/>
              </w:rPr>
            </w:pPr>
          </w:p>
        </w:tc>
      </w:tr>
      <w:tr w:rsidR="00B90C5C" w:rsidRPr="00D94868" w:rsidTr="00AD5A2F">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4.1</w:t>
            </w:r>
          </w:p>
        </w:tc>
        <w:tc>
          <w:tcPr>
            <w:tcW w:w="2564" w:type="dxa"/>
            <w:gridSpan w:val="2"/>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National total</w:t>
            </w: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7</w:t>
            </w:r>
            <w:r w:rsidR="00D94868">
              <w:rPr>
                <w:sz w:val="18"/>
                <w:szCs w:val="18"/>
              </w:rPr>
              <w:t>.</w:t>
            </w:r>
            <w:r w:rsidRPr="00D94868">
              <w:rPr>
                <w:sz w:val="18"/>
                <w:szCs w:val="18"/>
              </w:rPr>
              <w:t>1</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6</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1</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9</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7</w:t>
            </w:r>
            <w:r w:rsidR="00A73FB4">
              <w:rPr>
                <w:sz w:val="18"/>
                <w:szCs w:val="18"/>
              </w:rPr>
              <w:t>.</w:t>
            </w:r>
            <w:r w:rsidRPr="00D94868">
              <w:rPr>
                <w:sz w:val="18"/>
                <w:szCs w:val="18"/>
              </w:rPr>
              <w:t>0</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7</w:t>
            </w:r>
            <w:r w:rsidR="00A73FB4">
              <w:rPr>
                <w:sz w:val="18"/>
                <w:szCs w:val="18"/>
              </w:rPr>
              <w:t>.</w:t>
            </w:r>
            <w:r w:rsidRPr="00D94868">
              <w:rPr>
                <w:sz w:val="18"/>
                <w:szCs w:val="18"/>
              </w:rPr>
              <w:t>0</w:t>
            </w:r>
          </w:p>
        </w:tc>
      </w:tr>
      <w:tr w:rsidR="00B90C5C" w:rsidRPr="00D94868" w:rsidTr="00326C92">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4.2</w:t>
            </w:r>
          </w:p>
        </w:tc>
        <w:tc>
          <w:tcPr>
            <w:tcW w:w="850"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Urban</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8</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6</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2</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5</w:t>
            </w:r>
            <w:r w:rsidR="00A73FB4">
              <w:rPr>
                <w:sz w:val="18"/>
                <w:szCs w:val="18"/>
              </w:rPr>
              <w:t>.</w:t>
            </w:r>
            <w:r w:rsidRPr="00D94868">
              <w:rPr>
                <w:sz w:val="18"/>
                <w:szCs w:val="18"/>
              </w:rPr>
              <w:t>6</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A73FB4">
              <w:rPr>
                <w:sz w:val="18"/>
                <w:szCs w:val="18"/>
              </w:rPr>
              <w:t>.</w:t>
            </w:r>
            <w:r w:rsidRPr="00D94868">
              <w:rPr>
                <w:sz w:val="18"/>
                <w:szCs w:val="18"/>
              </w:rPr>
              <w:t>7</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3660AC">
              <w:rPr>
                <w:sz w:val="18"/>
                <w:szCs w:val="18"/>
              </w:rPr>
              <w:t>.</w:t>
            </w:r>
            <w:r w:rsidRPr="00D94868">
              <w:rPr>
                <w:sz w:val="18"/>
                <w:szCs w:val="18"/>
              </w:rPr>
              <w:t>5</w:t>
            </w:r>
          </w:p>
        </w:tc>
      </w:tr>
      <w:tr w:rsidR="00B90C5C" w:rsidRPr="00D94868" w:rsidTr="00326C92">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850"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4.2.1</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Men</w:t>
            </w: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D94868">
              <w:rPr>
                <w:sz w:val="18"/>
                <w:szCs w:val="18"/>
              </w:rPr>
              <w:t>.</w:t>
            </w:r>
            <w:r w:rsidRPr="00D94868">
              <w:rPr>
                <w:sz w:val="18"/>
                <w:szCs w:val="18"/>
              </w:rPr>
              <w:t>3</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D94868">
              <w:rPr>
                <w:sz w:val="18"/>
                <w:szCs w:val="18"/>
              </w:rPr>
              <w:t>.</w:t>
            </w:r>
            <w:r w:rsidRPr="00D94868">
              <w:rPr>
                <w:sz w:val="18"/>
                <w:szCs w:val="18"/>
              </w:rPr>
              <w:t>7</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D94868">
              <w:rPr>
                <w:sz w:val="18"/>
                <w:szCs w:val="18"/>
              </w:rPr>
              <w:t>.</w:t>
            </w:r>
            <w:r w:rsidRPr="00D94868">
              <w:rPr>
                <w:sz w:val="18"/>
                <w:szCs w:val="18"/>
              </w:rPr>
              <w:t>0</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A73FB4">
              <w:rPr>
                <w:sz w:val="18"/>
                <w:szCs w:val="18"/>
              </w:rPr>
              <w:t>.</w:t>
            </w:r>
            <w:r w:rsidRPr="00D94868">
              <w:rPr>
                <w:sz w:val="18"/>
                <w:szCs w:val="18"/>
              </w:rPr>
              <w:t>8</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A73FB4">
              <w:rPr>
                <w:sz w:val="18"/>
                <w:szCs w:val="18"/>
              </w:rPr>
              <w:t>.</w:t>
            </w:r>
            <w:r w:rsidRPr="00D94868">
              <w:rPr>
                <w:sz w:val="18"/>
                <w:szCs w:val="18"/>
              </w:rPr>
              <w:t>5</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3660AC">
              <w:rPr>
                <w:sz w:val="18"/>
                <w:szCs w:val="18"/>
              </w:rPr>
              <w:t>.</w:t>
            </w:r>
            <w:r w:rsidRPr="00D94868">
              <w:rPr>
                <w:sz w:val="18"/>
                <w:szCs w:val="18"/>
              </w:rPr>
              <w:t>1</w:t>
            </w:r>
          </w:p>
        </w:tc>
      </w:tr>
      <w:tr w:rsidR="00B90C5C" w:rsidRPr="00D94868" w:rsidTr="00326C92">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850"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4.2.2</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Women</w:t>
            </w: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1</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4</w:t>
            </w:r>
            <w:r w:rsidR="00D94868">
              <w:rPr>
                <w:sz w:val="18"/>
                <w:szCs w:val="18"/>
              </w:rPr>
              <w:t>.</w:t>
            </w:r>
            <w:r w:rsidRPr="00D94868">
              <w:rPr>
                <w:sz w:val="18"/>
                <w:szCs w:val="18"/>
              </w:rPr>
              <w:t>1</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4</w:t>
            </w:r>
            <w:r w:rsidR="00D94868">
              <w:rPr>
                <w:sz w:val="18"/>
                <w:szCs w:val="18"/>
              </w:rPr>
              <w:t>.</w:t>
            </w:r>
            <w:r w:rsidRPr="00D94868">
              <w:rPr>
                <w:sz w:val="18"/>
                <w:szCs w:val="18"/>
              </w:rPr>
              <w:t>2</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4</w:t>
            </w:r>
            <w:r w:rsidR="00A73FB4">
              <w:rPr>
                <w:sz w:val="18"/>
                <w:szCs w:val="18"/>
              </w:rPr>
              <w:t>.</w:t>
            </w:r>
            <w:r w:rsidRPr="00D94868">
              <w:rPr>
                <w:sz w:val="18"/>
                <w:szCs w:val="18"/>
              </w:rPr>
              <w:t>2</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4</w:t>
            </w:r>
            <w:r w:rsidR="00A73FB4">
              <w:rPr>
                <w:sz w:val="18"/>
                <w:szCs w:val="18"/>
              </w:rPr>
              <w:t>.</w:t>
            </w:r>
            <w:r w:rsidRPr="00D94868">
              <w:rPr>
                <w:sz w:val="18"/>
                <w:szCs w:val="18"/>
              </w:rPr>
              <w:t>6</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4</w:t>
            </w:r>
            <w:r w:rsidR="003660AC">
              <w:rPr>
                <w:sz w:val="18"/>
                <w:szCs w:val="18"/>
              </w:rPr>
              <w:t>.</w:t>
            </w:r>
            <w:r w:rsidRPr="00D94868">
              <w:rPr>
                <w:sz w:val="18"/>
                <w:szCs w:val="18"/>
              </w:rPr>
              <w:t>6</w:t>
            </w:r>
          </w:p>
        </w:tc>
      </w:tr>
      <w:tr w:rsidR="00B90C5C" w:rsidRPr="00D94868" w:rsidTr="00326C92">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4.3</w:t>
            </w:r>
          </w:p>
        </w:tc>
        <w:tc>
          <w:tcPr>
            <w:tcW w:w="850"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 xml:space="preserve"> Rural</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7</w:t>
            </w:r>
            <w:r w:rsidR="00D94868">
              <w:rPr>
                <w:sz w:val="18"/>
                <w:szCs w:val="18"/>
              </w:rPr>
              <w:t>.</w:t>
            </w:r>
            <w:r w:rsidRPr="00D94868">
              <w:rPr>
                <w:sz w:val="18"/>
                <w:szCs w:val="18"/>
              </w:rPr>
              <w:t>6</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6</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8</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A73FB4">
              <w:rPr>
                <w:sz w:val="18"/>
                <w:szCs w:val="18"/>
              </w:rPr>
              <w:t>.</w:t>
            </w:r>
            <w:r w:rsidRPr="00D94868">
              <w:rPr>
                <w:sz w:val="18"/>
                <w:szCs w:val="18"/>
              </w:rPr>
              <w:t>6</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7</w:t>
            </w:r>
            <w:r w:rsidR="00A73FB4">
              <w:rPr>
                <w:sz w:val="18"/>
                <w:szCs w:val="18"/>
              </w:rPr>
              <w:t>.</w:t>
            </w:r>
            <w:r w:rsidRPr="00D94868">
              <w:rPr>
                <w:sz w:val="18"/>
                <w:szCs w:val="18"/>
              </w:rPr>
              <w:t>5</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3660AC">
              <w:rPr>
                <w:sz w:val="18"/>
                <w:szCs w:val="18"/>
              </w:rPr>
              <w:t>.</w:t>
            </w:r>
            <w:r w:rsidRPr="00D94868">
              <w:rPr>
                <w:sz w:val="18"/>
                <w:szCs w:val="18"/>
              </w:rPr>
              <w:t>0</w:t>
            </w:r>
          </w:p>
        </w:tc>
      </w:tr>
      <w:tr w:rsidR="00B90C5C" w:rsidRPr="00D94868" w:rsidTr="00326C92">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850"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4.3.1</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Men</w:t>
            </w: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D94868">
              <w:rPr>
                <w:sz w:val="18"/>
                <w:szCs w:val="18"/>
              </w:rPr>
              <w:t>.</w:t>
            </w:r>
            <w:r w:rsidRPr="00D94868">
              <w:rPr>
                <w:sz w:val="18"/>
                <w:szCs w:val="18"/>
              </w:rPr>
              <w:t>7</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7</w:t>
            </w:r>
            <w:r w:rsidR="00D94868">
              <w:rPr>
                <w:sz w:val="18"/>
                <w:szCs w:val="18"/>
              </w:rPr>
              <w:t>.</w:t>
            </w:r>
            <w:r w:rsidRPr="00D94868">
              <w:rPr>
                <w:sz w:val="18"/>
                <w:szCs w:val="18"/>
              </w:rPr>
              <w:t>4</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2</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A73FB4">
              <w:rPr>
                <w:sz w:val="18"/>
                <w:szCs w:val="18"/>
              </w:rPr>
              <w:t>.</w:t>
            </w:r>
            <w:r w:rsidRPr="00D94868">
              <w:rPr>
                <w:sz w:val="18"/>
                <w:szCs w:val="18"/>
              </w:rPr>
              <w:t>9</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A73FB4">
              <w:rPr>
                <w:sz w:val="18"/>
                <w:szCs w:val="18"/>
              </w:rPr>
              <w:t>.</w:t>
            </w:r>
            <w:r w:rsidRPr="00D94868">
              <w:rPr>
                <w:sz w:val="18"/>
                <w:szCs w:val="18"/>
              </w:rPr>
              <w:t>7</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8</w:t>
            </w:r>
            <w:r w:rsidR="003660AC">
              <w:rPr>
                <w:sz w:val="18"/>
                <w:szCs w:val="18"/>
              </w:rPr>
              <w:t>.</w:t>
            </w:r>
            <w:r w:rsidRPr="00D94868">
              <w:rPr>
                <w:sz w:val="18"/>
                <w:szCs w:val="18"/>
              </w:rPr>
              <w:t>9</w:t>
            </w:r>
          </w:p>
        </w:tc>
      </w:tr>
      <w:tr w:rsidR="00B90C5C" w:rsidRPr="00D94868" w:rsidTr="00326C92">
        <w:trPr>
          <w:trHeight w:val="240"/>
        </w:trPr>
        <w:tc>
          <w:tcPr>
            <w:tcW w:w="426"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p>
        </w:tc>
        <w:tc>
          <w:tcPr>
            <w:tcW w:w="850"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4.3.2</w:t>
            </w:r>
          </w:p>
        </w:tc>
        <w:tc>
          <w:tcPr>
            <w:tcW w:w="1714" w:type="dxa"/>
            <w:shd w:val="clear" w:color="auto" w:fill="auto"/>
            <w:noWrap/>
            <w:hideMark/>
          </w:tcPr>
          <w:p w:rsidR="00B90C5C" w:rsidRPr="00D94868" w:rsidRDefault="00B90C5C" w:rsidP="00D94868">
            <w:pPr>
              <w:pStyle w:val="SingleTxtG"/>
              <w:suppressAutoHyphens w:val="0"/>
              <w:spacing w:before="40" w:after="40" w:line="220" w:lineRule="exact"/>
              <w:ind w:left="0" w:right="113"/>
              <w:jc w:val="left"/>
              <w:rPr>
                <w:sz w:val="18"/>
              </w:rPr>
            </w:pPr>
            <w:r w:rsidRPr="00D94868">
              <w:rPr>
                <w:sz w:val="18"/>
              </w:rPr>
              <w:t>Women</w:t>
            </w:r>
          </w:p>
        </w:tc>
        <w:tc>
          <w:tcPr>
            <w:tcW w:w="668"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2</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0</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4</w:t>
            </w:r>
            <w:r w:rsidR="00D94868">
              <w:rPr>
                <w:sz w:val="18"/>
                <w:szCs w:val="18"/>
              </w:rPr>
              <w:t>.</w:t>
            </w:r>
            <w:r w:rsidRPr="00D94868">
              <w:rPr>
                <w:sz w:val="18"/>
                <w:szCs w:val="18"/>
              </w:rPr>
              <w:t>8</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A73FB4">
              <w:rPr>
                <w:sz w:val="18"/>
                <w:szCs w:val="18"/>
              </w:rPr>
              <w:t>.</w:t>
            </w:r>
            <w:r w:rsidRPr="00D94868">
              <w:rPr>
                <w:sz w:val="18"/>
                <w:szCs w:val="18"/>
              </w:rPr>
              <w:t>0</w:t>
            </w:r>
          </w:p>
        </w:tc>
        <w:tc>
          <w:tcPr>
            <w:tcW w:w="615"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5</w:t>
            </w:r>
            <w:r w:rsidR="00A73FB4">
              <w:rPr>
                <w:sz w:val="18"/>
                <w:szCs w:val="18"/>
              </w:rPr>
              <w:t>.</w:t>
            </w:r>
            <w:r w:rsidRPr="00D94868">
              <w:rPr>
                <w:sz w:val="18"/>
                <w:szCs w:val="18"/>
              </w:rPr>
              <w:t>1</w:t>
            </w:r>
          </w:p>
        </w:tc>
        <w:tc>
          <w:tcPr>
            <w:tcW w:w="650" w:type="dxa"/>
            <w:shd w:val="clear" w:color="auto" w:fill="auto"/>
            <w:noWrap/>
            <w:vAlign w:val="bottom"/>
          </w:tcPr>
          <w:p w:rsidR="00B90C5C" w:rsidRPr="00D94868" w:rsidRDefault="00B90C5C" w:rsidP="00D94868">
            <w:pPr>
              <w:suppressAutoHyphens w:val="0"/>
              <w:spacing w:before="40" w:after="40" w:line="220" w:lineRule="exact"/>
              <w:ind w:right="113"/>
              <w:jc w:val="right"/>
              <w:rPr>
                <w:sz w:val="18"/>
                <w:szCs w:val="18"/>
              </w:rPr>
            </w:pPr>
            <w:r w:rsidRPr="00D94868">
              <w:rPr>
                <w:sz w:val="18"/>
                <w:szCs w:val="18"/>
              </w:rPr>
              <w:t>6</w:t>
            </w:r>
            <w:r w:rsidR="003660AC">
              <w:rPr>
                <w:sz w:val="18"/>
                <w:szCs w:val="18"/>
              </w:rPr>
              <w:t>.</w:t>
            </w:r>
            <w:r w:rsidRPr="00D94868">
              <w:rPr>
                <w:sz w:val="18"/>
                <w:szCs w:val="18"/>
              </w:rPr>
              <w:t>0</w:t>
            </w:r>
          </w:p>
        </w:tc>
      </w:tr>
      <w:tr w:rsidR="00326C92" w:rsidRPr="00D94868" w:rsidTr="005344FA">
        <w:trPr>
          <w:trHeight w:val="240"/>
        </w:trPr>
        <w:tc>
          <w:tcPr>
            <w:tcW w:w="3557" w:type="dxa"/>
            <w:gridSpan w:val="4"/>
            <w:shd w:val="clear" w:color="auto" w:fill="auto"/>
            <w:noWrap/>
            <w:hideMark/>
          </w:tcPr>
          <w:p w:rsidR="00326C92" w:rsidRPr="00D94868" w:rsidRDefault="00326C92" w:rsidP="00D94868">
            <w:pPr>
              <w:pStyle w:val="SingleTxtG"/>
              <w:suppressAutoHyphens w:val="0"/>
              <w:spacing w:before="40" w:after="40" w:line="220" w:lineRule="exact"/>
              <w:ind w:left="0" w:right="113"/>
              <w:jc w:val="left"/>
              <w:rPr>
                <w:sz w:val="18"/>
              </w:rPr>
            </w:pPr>
            <w:r w:rsidRPr="00D94868">
              <w:rPr>
                <w:sz w:val="18"/>
              </w:rPr>
              <w:t>5. Underemployment rate*</w:t>
            </w:r>
          </w:p>
        </w:tc>
        <w:tc>
          <w:tcPr>
            <w:tcW w:w="668" w:type="dxa"/>
            <w:shd w:val="clear" w:color="auto" w:fill="auto"/>
            <w:noWrap/>
            <w:vAlign w:val="bottom"/>
          </w:tcPr>
          <w:p w:rsidR="00326C92" w:rsidRPr="00D94868" w:rsidRDefault="00326C92" w:rsidP="00D94868">
            <w:pPr>
              <w:suppressAutoHyphens w:val="0"/>
              <w:spacing w:before="40" w:after="40" w:line="220" w:lineRule="exact"/>
              <w:ind w:right="113"/>
              <w:jc w:val="right"/>
              <w:rPr>
                <w:sz w:val="18"/>
                <w:szCs w:val="18"/>
              </w:rPr>
            </w:pPr>
            <w:r w:rsidRPr="00D94868">
              <w:rPr>
                <w:sz w:val="18"/>
                <w:szCs w:val="18"/>
              </w:rPr>
              <w:t>28.9</w:t>
            </w:r>
          </w:p>
        </w:tc>
        <w:tc>
          <w:tcPr>
            <w:tcW w:w="615" w:type="dxa"/>
            <w:shd w:val="clear" w:color="auto" w:fill="auto"/>
            <w:noWrap/>
            <w:vAlign w:val="bottom"/>
          </w:tcPr>
          <w:p w:rsidR="00326C92" w:rsidRPr="00D94868" w:rsidRDefault="00326C92" w:rsidP="00D94868">
            <w:pPr>
              <w:suppressAutoHyphens w:val="0"/>
              <w:spacing w:before="40" w:after="40" w:line="220" w:lineRule="exact"/>
              <w:ind w:right="113"/>
              <w:jc w:val="right"/>
              <w:rPr>
                <w:sz w:val="18"/>
                <w:szCs w:val="18"/>
              </w:rPr>
            </w:pPr>
            <w:r w:rsidRPr="00D94868">
              <w:rPr>
                <w:sz w:val="18"/>
                <w:szCs w:val="18"/>
              </w:rPr>
              <w:t>32</w:t>
            </w:r>
            <w:r>
              <w:rPr>
                <w:sz w:val="18"/>
                <w:szCs w:val="18"/>
              </w:rPr>
              <w:t>.</w:t>
            </w:r>
            <w:r w:rsidRPr="00D94868">
              <w:rPr>
                <w:sz w:val="18"/>
                <w:szCs w:val="18"/>
              </w:rPr>
              <w:t>7</w:t>
            </w:r>
          </w:p>
        </w:tc>
        <w:tc>
          <w:tcPr>
            <w:tcW w:w="615" w:type="dxa"/>
            <w:shd w:val="clear" w:color="auto" w:fill="auto"/>
            <w:noWrap/>
            <w:vAlign w:val="bottom"/>
          </w:tcPr>
          <w:p w:rsidR="00326C92" w:rsidRPr="00D94868" w:rsidRDefault="00326C92" w:rsidP="00D94868">
            <w:pPr>
              <w:suppressAutoHyphens w:val="0"/>
              <w:spacing w:before="40" w:after="40" w:line="220" w:lineRule="exact"/>
              <w:ind w:right="113"/>
              <w:jc w:val="right"/>
              <w:rPr>
                <w:sz w:val="18"/>
                <w:szCs w:val="18"/>
              </w:rPr>
            </w:pPr>
            <w:r w:rsidRPr="00D94868">
              <w:rPr>
                <w:sz w:val="18"/>
                <w:szCs w:val="18"/>
              </w:rPr>
              <w:t>30</w:t>
            </w:r>
            <w:r>
              <w:rPr>
                <w:sz w:val="18"/>
                <w:szCs w:val="18"/>
              </w:rPr>
              <w:t>.</w:t>
            </w:r>
            <w:r w:rsidRPr="00D94868">
              <w:rPr>
                <w:sz w:val="18"/>
                <w:szCs w:val="18"/>
              </w:rPr>
              <w:t>7</w:t>
            </w:r>
          </w:p>
        </w:tc>
        <w:tc>
          <w:tcPr>
            <w:tcW w:w="650" w:type="dxa"/>
            <w:shd w:val="clear" w:color="auto" w:fill="auto"/>
            <w:noWrap/>
            <w:vAlign w:val="bottom"/>
          </w:tcPr>
          <w:p w:rsidR="00326C92" w:rsidRPr="00D94868" w:rsidRDefault="00326C92" w:rsidP="00D94868">
            <w:pPr>
              <w:suppressAutoHyphens w:val="0"/>
              <w:spacing w:before="40" w:after="40" w:line="220" w:lineRule="exact"/>
              <w:ind w:right="113"/>
              <w:jc w:val="right"/>
              <w:rPr>
                <w:sz w:val="18"/>
                <w:szCs w:val="18"/>
              </w:rPr>
            </w:pPr>
            <w:r w:rsidRPr="00D94868">
              <w:rPr>
                <w:sz w:val="18"/>
                <w:szCs w:val="18"/>
              </w:rPr>
              <w:t>27</w:t>
            </w:r>
            <w:r>
              <w:rPr>
                <w:sz w:val="18"/>
                <w:szCs w:val="18"/>
              </w:rPr>
              <w:t>.</w:t>
            </w:r>
            <w:r w:rsidRPr="00D94868">
              <w:rPr>
                <w:sz w:val="18"/>
                <w:szCs w:val="18"/>
              </w:rPr>
              <w:t>7</w:t>
            </w:r>
          </w:p>
        </w:tc>
        <w:tc>
          <w:tcPr>
            <w:tcW w:w="615" w:type="dxa"/>
            <w:shd w:val="clear" w:color="auto" w:fill="auto"/>
            <w:noWrap/>
            <w:vAlign w:val="bottom"/>
          </w:tcPr>
          <w:p w:rsidR="00326C92" w:rsidRPr="00D94868" w:rsidRDefault="00326C92" w:rsidP="00D94868">
            <w:pPr>
              <w:suppressAutoHyphens w:val="0"/>
              <w:spacing w:before="40" w:after="40" w:line="220" w:lineRule="exact"/>
              <w:ind w:right="113"/>
              <w:jc w:val="right"/>
              <w:rPr>
                <w:sz w:val="18"/>
                <w:szCs w:val="18"/>
              </w:rPr>
            </w:pPr>
            <w:r w:rsidRPr="00D94868">
              <w:rPr>
                <w:sz w:val="18"/>
                <w:szCs w:val="18"/>
              </w:rPr>
              <w:t>31</w:t>
            </w:r>
            <w:r>
              <w:rPr>
                <w:sz w:val="18"/>
                <w:szCs w:val="18"/>
              </w:rPr>
              <w:t>.</w:t>
            </w:r>
            <w:r w:rsidRPr="00D94868">
              <w:rPr>
                <w:sz w:val="18"/>
                <w:szCs w:val="18"/>
              </w:rPr>
              <w:t>0</w:t>
            </w:r>
          </w:p>
        </w:tc>
        <w:tc>
          <w:tcPr>
            <w:tcW w:w="650" w:type="dxa"/>
            <w:shd w:val="clear" w:color="auto" w:fill="auto"/>
            <w:noWrap/>
            <w:vAlign w:val="bottom"/>
          </w:tcPr>
          <w:p w:rsidR="00326C92" w:rsidRPr="00D94868" w:rsidRDefault="00326C92" w:rsidP="00D94868">
            <w:pPr>
              <w:suppressAutoHyphens w:val="0"/>
              <w:spacing w:before="40" w:after="40" w:line="220" w:lineRule="exact"/>
              <w:ind w:right="113"/>
              <w:jc w:val="right"/>
              <w:rPr>
                <w:sz w:val="18"/>
                <w:szCs w:val="18"/>
              </w:rPr>
            </w:pPr>
            <w:r w:rsidRPr="00D94868">
              <w:rPr>
                <w:sz w:val="18"/>
                <w:szCs w:val="18"/>
              </w:rPr>
              <w:t>34</w:t>
            </w:r>
            <w:r>
              <w:rPr>
                <w:sz w:val="18"/>
                <w:szCs w:val="18"/>
              </w:rPr>
              <w:t>.</w:t>
            </w:r>
            <w:r w:rsidRPr="00D94868">
              <w:rPr>
                <w:sz w:val="18"/>
                <w:szCs w:val="18"/>
              </w:rPr>
              <w:t>9</w:t>
            </w:r>
          </w:p>
        </w:tc>
      </w:tr>
      <w:tr w:rsidR="00DB717A" w:rsidRPr="00D94868" w:rsidTr="00326C92">
        <w:trPr>
          <w:trHeight w:val="240"/>
        </w:trPr>
        <w:tc>
          <w:tcPr>
            <w:tcW w:w="426"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r w:rsidRPr="00D94868">
              <w:rPr>
                <w:sz w:val="18"/>
              </w:rPr>
              <w:t>5.1</w:t>
            </w:r>
          </w:p>
        </w:tc>
        <w:tc>
          <w:tcPr>
            <w:tcW w:w="850"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r w:rsidRPr="00D94868">
              <w:rPr>
                <w:sz w:val="18"/>
              </w:rPr>
              <w:t>Visible</w:t>
            </w:r>
          </w:p>
        </w:tc>
        <w:tc>
          <w:tcPr>
            <w:tcW w:w="1714"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3</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3</w:t>
            </w:r>
            <w:r w:rsidR="00D94868">
              <w:rPr>
                <w:sz w:val="18"/>
                <w:szCs w:val="18"/>
              </w:rPr>
              <w:t>.</w:t>
            </w:r>
            <w:r w:rsidRPr="00D94868">
              <w:rPr>
                <w:sz w:val="18"/>
                <w:szCs w:val="18"/>
              </w:rPr>
              <w:t>1</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3</w:t>
            </w:r>
          </w:p>
        </w:tc>
        <w:tc>
          <w:tcPr>
            <w:tcW w:w="650"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5</w:t>
            </w:r>
            <w:r w:rsidR="00A73FB4">
              <w:rPr>
                <w:sz w:val="18"/>
                <w:szCs w:val="18"/>
              </w:rPr>
              <w:t>.</w:t>
            </w:r>
            <w:r w:rsidRPr="00D94868">
              <w:rPr>
                <w:sz w:val="18"/>
                <w:szCs w:val="18"/>
              </w:rPr>
              <w:t>3</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6</w:t>
            </w:r>
            <w:r w:rsidR="00A73FB4">
              <w:rPr>
                <w:sz w:val="18"/>
                <w:szCs w:val="18"/>
              </w:rPr>
              <w:t>.</w:t>
            </w:r>
            <w:r w:rsidRPr="00D94868">
              <w:rPr>
                <w:sz w:val="18"/>
                <w:szCs w:val="18"/>
              </w:rPr>
              <w:t>0</w:t>
            </w:r>
          </w:p>
        </w:tc>
        <w:tc>
          <w:tcPr>
            <w:tcW w:w="650"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7</w:t>
            </w:r>
            <w:r w:rsidR="003660AC">
              <w:rPr>
                <w:sz w:val="18"/>
                <w:szCs w:val="18"/>
              </w:rPr>
              <w:t>.</w:t>
            </w:r>
            <w:r w:rsidRPr="00D94868">
              <w:rPr>
                <w:sz w:val="18"/>
                <w:szCs w:val="18"/>
              </w:rPr>
              <w:t>1</w:t>
            </w:r>
          </w:p>
        </w:tc>
      </w:tr>
      <w:tr w:rsidR="00DB717A" w:rsidRPr="00D94868" w:rsidTr="00326C92">
        <w:trPr>
          <w:trHeight w:val="240"/>
        </w:trPr>
        <w:tc>
          <w:tcPr>
            <w:tcW w:w="426"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p>
        </w:tc>
        <w:tc>
          <w:tcPr>
            <w:tcW w:w="850"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r w:rsidRPr="00D94868">
              <w:rPr>
                <w:sz w:val="18"/>
              </w:rPr>
              <w:t>5.1.1</w:t>
            </w:r>
          </w:p>
        </w:tc>
        <w:tc>
          <w:tcPr>
            <w:tcW w:w="1714"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r w:rsidRPr="00D94868">
              <w:rPr>
                <w:sz w:val="18"/>
              </w:rPr>
              <w:t>Men</w:t>
            </w:r>
          </w:p>
        </w:tc>
        <w:tc>
          <w:tcPr>
            <w:tcW w:w="668"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8</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3</w:t>
            </w:r>
            <w:r w:rsidR="00D94868">
              <w:rPr>
                <w:sz w:val="18"/>
                <w:szCs w:val="18"/>
              </w:rPr>
              <w:t>.</w:t>
            </w:r>
            <w:r w:rsidRPr="00D94868">
              <w:rPr>
                <w:sz w:val="18"/>
                <w:szCs w:val="18"/>
              </w:rPr>
              <w:t>1</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0</w:t>
            </w:r>
          </w:p>
        </w:tc>
        <w:tc>
          <w:tcPr>
            <w:tcW w:w="650"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4</w:t>
            </w:r>
            <w:r w:rsidR="00A73FB4">
              <w:rPr>
                <w:sz w:val="18"/>
                <w:szCs w:val="18"/>
              </w:rPr>
              <w:t>.</w:t>
            </w:r>
            <w:r w:rsidRPr="00D94868">
              <w:rPr>
                <w:sz w:val="18"/>
                <w:szCs w:val="18"/>
              </w:rPr>
              <w:t>7</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5</w:t>
            </w:r>
            <w:r w:rsidR="00A73FB4">
              <w:rPr>
                <w:sz w:val="18"/>
                <w:szCs w:val="18"/>
              </w:rPr>
              <w:t>.</w:t>
            </w:r>
            <w:r w:rsidRPr="00D94868">
              <w:rPr>
                <w:sz w:val="18"/>
                <w:szCs w:val="18"/>
              </w:rPr>
              <w:t>1</w:t>
            </w:r>
          </w:p>
        </w:tc>
        <w:tc>
          <w:tcPr>
            <w:tcW w:w="650"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6</w:t>
            </w:r>
            <w:r w:rsidR="003660AC">
              <w:rPr>
                <w:sz w:val="18"/>
                <w:szCs w:val="18"/>
              </w:rPr>
              <w:t>.</w:t>
            </w:r>
            <w:r w:rsidRPr="00D94868">
              <w:rPr>
                <w:sz w:val="18"/>
                <w:szCs w:val="18"/>
              </w:rPr>
              <w:t>3</w:t>
            </w:r>
          </w:p>
        </w:tc>
      </w:tr>
      <w:tr w:rsidR="00DB717A" w:rsidRPr="00D94868" w:rsidTr="00326C92">
        <w:trPr>
          <w:trHeight w:val="240"/>
        </w:trPr>
        <w:tc>
          <w:tcPr>
            <w:tcW w:w="426"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p>
        </w:tc>
        <w:tc>
          <w:tcPr>
            <w:tcW w:w="850"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r w:rsidRPr="00D94868">
              <w:rPr>
                <w:sz w:val="18"/>
              </w:rPr>
              <w:t>5.1.2</w:t>
            </w:r>
          </w:p>
        </w:tc>
        <w:tc>
          <w:tcPr>
            <w:tcW w:w="1714" w:type="dxa"/>
            <w:shd w:val="clear" w:color="auto" w:fill="auto"/>
            <w:noWrap/>
            <w:hideMark/>
          </w:tcPr>
          <w:p w:rsidR="00DB717A" w:rsidRPr="00D94868" w:rsidRDefault="00DB717A" w:rsidP="00D94868">
            <w:pPr>
              <w:pStyle w:val="SingleTxtG"/>
              <w:suppressAutoHyphens w:val="0"/>
              <w:spacing w:before="40" w:after="40" w:line="220" w:lineRule="exact"/>
              <w:ind w:left="0" w:right="113"/>
              <w:jc w:val="left"/>
              <w:rPr>
                <w:sz w:val="18"/>
              </w:rPr>
            </w:pPr>
            <w:r w:rsidRPr="00D94868">
              <w:rPr>
                <w:sz w:val="18"/>
              </w:rPr>
              <w:t>Women</w:t>
            </w:r>
          </w:p>
        </w:tc>
        <w:tc>
          <w:tcPr>
            <w:tcW w:w="668"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6</w:t>
            </w:r>
            <w:r w:rsidR="00D94868">
              <w:rPr>
                <w:sz w:val="18"/>
                <w:szCs w:val="18"/>
              </w:rPr>
              <w:t>.</w:t>
            </w:r>
            <w:r w:rsidRPr="00D94868">
              <w:rPr>
                <w:sz w:val="18"/>
                <w:szCs w:val="18"/>
              </w:rPr>
              <w:t>8</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3</w:t>
            </w:r>
            <w:r w:rsidR="00D94868">
              <w:rPr>
                <w:sz w:val="18"/>
                <w:szCs w:val="18"/>
              </w:rPr>
              <w:t>.</w:t>
            </w:r>
            <w:r w:rsidRPr="00D94868">
              <w:rPr>
                <w:sz w:val="18"/>
                <w:szCs w:val="18"/>
              </w:rPr>
              <w:t>0</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5</w:t>
            </w:r>
            <w:r w:rsidR="00D94868">
              <w:rPr>
                <w:sz w:val="18"/>
                <w:szCs w:val="18"/>
              </w:rPr>
              <w:t>.</w:t>
            </w:r>
            <w:r w:rsidRPr="00D94868">
              <w:rPr>
                <w:sz w:val="18"/>
                <w:szCs w:val="18"/>
              </w:rPr>
              <w:t>6</w:t>
            </w:r>
          </w:p>
        </w:tc>
        <w:tc>
          <w:tcPr>
            <w:tcW w:w="650"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5</w:t>
            </w:r>
            <w:r w:rsidR="00A73FB4">
              <w:rPr>
                <w:sz w:val="18"/>
                <w:szCs w:val="18"/>
              </w:rPr>
              <w:t>.</w:t>
            </w:r>
            <w:r w:rsidRPr="00D94868">
              <w:rPr>
                <w:sz w:val="18"/>
                <w:szCs w:val="18"/>
              </w:rPr>
              <w:t>9</w:t>
            </w:r>
          </w:p>
        </w:tc>
        <w:tc>
          <w:tcPr>
            <w:tcW w:w="615"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7</w:t>
            </w:r>
            <w:r w:rsidR="00A73FB4">
              <w:rPr>
                <w:sz w:val="18"/>
                <w:szCs w:val="18"/>
              </w:rPr>
              <w:t>.</w:t>
            </w:r>
            <w:r w:rsidRPr="00D94868">
              <w:rPr>
                <w:sz w:val="18"/>
                <w:szCs w:val="18"/>
              </w:rPr>
              <w:t>1</w:t>
            </w:r>
          </w:p>
        </w:tc>
        <w:tc>
          <w:tcPr>
            <w:tcW w:w="650" w:type="dxa"/>
            <w:shd w:val="clear" w:color="auto" w:fill="auto"/>
            <w:noWrap/>
            <w:vAlign w:val="bottom"/>
          </w:tcPr>
          <w:p w:rsidR="00DB717A" w:rsidRPr="00D94868" w:rsidRDefault="00DB717A" w:rsidP="00D94868">
            <w:pPr>
              <w:suppressAutoHyphens w:val="0"/>
              <w:spacing w:before="40" w:after="40" w:line="220" w:lineRule="exact"/>
              <w:ind w:right="113"/>
              <w:jc w:val="right"/>
              <w:rPr>
                <w:sz w:val="18"/>
                <w:szCs w:val="18"/>
              </w:rPr>
            </w:pPr>
            <w:r w:rsidRPr="00D94868">
              <w:rPr>
                <w:sz w:val="18"/>
                <w:szCs w:val="18"/>
              </w:rPr>
              <w:t>8</w:t>
            </w:r>
            <w:r w:rsidR="003660AC">
              <w:rPr>
                <w:sz w:val="18"/>
                <w:szCs w:val="18"/>
              </w:rPr>
              <w:t>.</w:t>
            </w:r>
            <w:r w:rsidRPr="00D94868">
              <w:rPr>
                <w:sz w:val="18"/>
                <w:szCs w:val="18"/>
              </w:rPr>
              <w:t>1</w:t>
            </w:r>
          </w:p>
        </w:tc>
      </w:tr>
      <w:tr w:rsidR="00DB7C2C" w:rsidRPr="00D94868" w:rsidTr="00AD5A2F">
        <w:trPr>
          <w:trHeight w:val="240"/>
        </w:trPr>
        <w:tc>
          <w:tcPr>
            <w:tcW w:w="426" w:type="dxa"/>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r w:rsidRPr="00D94868">
              <w:rPr>
                <w:sz w:val="18"/>
              </w:rPr>
              <w:t>5.2</w:t>
            </w:r>
          </w:p>
        </w:tc>
        <w:tc>
          <w:tcPr>
            <w:tcW w:w="2564" w:type="dxa"/>
            <w:gridSpan w:val="2"/>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r w:rsidRPr="00D94868">
              <w:rPr>
                <w:sz w:val="18"/>
              </w:rPr>
              <w:t>Invisible</w:t>
            </w:r>
          </w:p>
        </w:tc>
        <w:tc>
          <w:tcPr>
            <w:tcW w:w="668" w:type="dxa"/>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22</w:t>
            </w:r>
            <w:r w:rsidR="00D94868">
              <w:rPr>
                <w:sz w:val="18"/>
                <w:szCs w:val="18"/>
              </w:rPr>
              <w:t>.</w:t>
            </w:r>
            <w:r w:rsidRPr="00D94868">
              <w:rPr>
                <w:sz w:val="18"/>
                <w:szCs w:val="18"/>
              </w:rPr>
              <w:t>6</w:t>
            </w:r>
          </w:p>
        </w:tc>
        <w:tc>
          <w:tcPr>
            <w:tcW w:w="615" w:type="dxa"/>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29</w:t>
            </w:r>
            <w:r w:rsidR="00D94868">
              <w:rPr>
                <w:sz w:val="18"/>
                <w:szCs w:val="18"/>
              </w:rPr>
              <w:t>.</w:t>
            </w:r>
            <w:r w:rsidRPr="00D94868">
              <w:rPr>
                <w:sz w:val="18"/>
                <w:szCs w:val="18"/>
              </w:rPr>
              <w:t>6</w:t>
            </w:r>
          </w:p>
        </w:tc>
        <w:tc>
          <w:tcPr>
            <w:tcW w:w="615" w:type="dxa"/>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25</w:t>
            </w:r>
            <w:r w:rsidR="00D94868">
              <w:rPr>
                <w:sz w:val="18"/>
                <w:szCs w:val="18"/>
              </w:rPr>
              <w:t>.</w:t>
            </w:r>
            <w:r w:rsidRPr="00D94868">
              <w:rPr>
                <w:sz w:val="18"/>
                <w:szCs w:val="18"/>
              </w:rPr>
              <w:t>5</w:t>
            </w:r>
          </w:p>
        </w:tc>
        <w:tc>
          <w:tcPr>
            <w:tcW w:w="650" w:type="dxa"/>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22</w:t>
            </w:r>
            <w:r w:rsidR="00D94868">
              <w:rPr>
                <w:sz w:val="18"/>
                <w:szCs w:val="18"/>
              </w:rPr>
              <w:t>.</w:t>
            </w:r>
            <w:r w:rsidRPr="00D94868">
              <w:rPr>
                <w:sz w:val="18"/>
                <w:szCs w:val="18"/>
              </w:rPr>
              <w:t>5</w:t>
            </w:r>
          </w:p>
        </w:tc>
        <w:tc>
          <w:tcPr>
            <w:tcW w:w="615" w:type="dxa"/>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24</w:t>
            </w:r>
            <w:r w:rsidR="00A73FB4">
              <w:rPr>
                <w:sz w:val="18"/>
                <w:szCs w:val="18"/>
              </w:rPr>
              <w:t>.</w:t>
            </w:r>
            <w:r w:rsidRPr="00D94868">
              <w:rPr>
                <w:sz w:val="18"/>
                <w:szCs w:val="18"/>
              </w:rPr>
              <w:t>9</w:t>
            </w:r>
          </w:p>
        </w:tc>
        <w:tc>
          <w:tcPr>
            <w:tcW w:w="650" w:type="dxa"/>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27</w:t>
            </w:r>
            <w:r w:rsidR="00A73FB4">
              <w:rPr>
                <w:sz w:val="18"/>
                <w:szCs w:val="18"/>
              </w:rPr>
              <w:t>.</w:t>
            </w:r>
            <w:r w:rsidRPr="00D94868">
              <w:rPr>
                <w:sz w:val="18"/>
                <w:szCs w:val="18"/>
              </w:rPr>
              <w:t>9</w:t>
            </w:r>
          </w:p>
        </w:tc>
      </w:tr>
      <w:tr w:rsidR="00DB7C2C" w:rsidRPr="00D94868" w:rsidTr="00326C92">
        <w:trPr>
          <w:trHeight w:val="240"/>
        </w:trPr>
        <w:tc>
          <w:tcPr>
            <w:tcW w:w="426" w:type="dxa"/>
            <w:tcBorders>
              <w:bottom w:val="nil"/>
            </w:tcBorders>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p>
        </w:tc>
        <w:tc>
          <w:tcPr>
            <w:tcW w:w="567" w:type="dxa"/>
            <w:tcBorders>
              <w:bottom w:val="nil"/>
            </w:tcBorders>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p>
        </w:tc>
        <w:tc>
          <w:tcPr>
            <w:tcW w:w="850" w:type="dxa"/>
            <w:tcBorders>
              <w:bottom w:val="nil"/>
            </w:tcBorders>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r w:rsidRPr="00D94868">
              <w:rPr>
                <w:sz w:val="18"/>
              </w:rPr>
              <w:t>5.2.1</w:t>
            </w:r>
          </w:p>
        </w:tc>
        <w:tc>
          <w:tcPr>
            <w:tcW w:w="1714" w:type="dxa"/>
            <w:tcBorders>
              <w:bottom w:val="nil"/>
            </w:tcBorders>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r w:rsidRPr="00D94868">
              <w:rPr>
                <w:sz w:val="18"/>
              </w:rPr>
              <w:t>Men</w:t>
            </w:r>
          </w:p>
        </w:tc>
        <w:tc>
          <w:tcPr>
            <w:tcW w:w="668" w:type="dxa"/>
            <w:tcBorders>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22</w:t>
            </w:r>
            <w:r w:rsidR="00D94868">
              <w:rPr>
                <w:sz w:val="18"/>
                <w:szCs w:val="18"/>
              </w:rPr>
              <w:t>.</w:t>
            </w:r>
            <w:r w:rsidRPr="00D94868">
              <w:rPr>
                <w:sz w:val="18"/>
                <w:szCs w:val="18"/>
              </w:rPr>
              <w:t>7</w:t>
            </w:r>
          </w:p>
        </w:tc>
        <w:tc>
          <w:tcPr>
            <w:tcW w:w="615" w:type="dxa"/>
            <w:tcBorders>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29</w:t>
            </w:r>
            <w:r w:rsidR="00D94868">
              <w:rPr>
                <w:sz w:val="18"/>
                <w:szCs w:val="18"/>
              </w:rPr>
              <w:t>.</w:t>
            </w:r>
            <w:r w:rsidRPr="00D94868">
              <w:rPr>
                <w:sz w:val="18"/>
                <w:szCs w:val="18"/>
              </w:rPr>
              <w:t>7</w:t>
            </w:r>
          </w:p>
        </w:tc>
        <w:tc>
          <w:tcPr>
            <w:tcW w:w="615" w:type="dxa"/>
            <w:tcBorders>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25</w:t>
            </w:r>
            <w:r w:rsidR="00D94868">
              <w:rPr>
                <w:sz w:val="18"/>
                <w:szCs w:val="18"/>
              </w:rPr>
              <w:t>.</w:t>
            </w:r>
            <w:r w:rsidRPr="00D94868">
              <w:rPr>
                <w:sz w:val="18"/>
                <w:szCs w:val="18"/>
              </w:rPr>
              <w:t>2</w:t>
            </w:r>
          </w:p>
        </w:tc>
        <w:tc>
          <w:tcPr>
            <w:tcW w:w="650" w:type="dxa"/>
            <w:tcBorders>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22</w:t>
            </w:r>
            <w:r w:rsidR="00A73FB4">
              <w:rPr>
                <w:sz w:val="18"/>
                <w:szCs w:val="18"/>
              </w:rPr>
              <w:t>.</w:t>
            </w:r>
            <w:r w:rsidRPr="00D94868">
              <w:rPr>
                <w:sz w:val="18"/>
                <w:szCs w:val="18"/>
              </w:rPr>
              <w:t>6</w:t>
            </w:r>
          </w:p>
        </w:tc>
        <w:tc>
          <w:tcPr>
            <w:tcW w:w="615" w:type="dxa"/>
            <w:tcBorders>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25</w:t>
            </w:r>
            <w:r w:rsidR="00A73FB4">
              <w:rPr>
                <w:sz w:val="18"/>
                <w:szCs w:val="18"/>
              </w:rPr>
              <w:t>.</w:t>
            </w:r>
            <w:r w:rsidRPr="00D94868">
              <w:rPr>
                <w:sz w:val="18"/>
                <w:szCs w:val="18"/>
              </w:rPr>
              <w:t>3</w:t>
            </w:r>
          </w:p>
        </w:tc>
        <w:tc>
          <w:tcPr>
            <w:tcW w:w="650" w:type="dxa"/>
            <w:tcBorders>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24</w:t>
            </w:r>
            <w:r w:rsidR="003660AC">
              <w:rPr>
                <w:sz w:val="18"/>
                <w:szCs w:val="18"/>
              </w:rPr>
              <w:t>.</w:t>
            </w:r>
            <w:r w:rsidRPr="00D94868">
              <w:rPr>
                <w:sz w:val="18"/>
                <w:szCs w:val="18"/>
              </w:rPr>
              <w:t>8</w:t>
            </w:r>
          </w:p>
        </w:tc>
      </w:tr>
      <w:tr w:rsidR="00DB7C2C" w:rsidRPr="00D94868" w:rsidTr="00326C92">
        <w:trPr>
          <w:trHeight w:val="240"/>
        </w:trPr>
        <w:tc>
          <w:tcPr>
            <w:tcW w:w="426" w:type="dxa"/>
            <w:tcBorders>
              <w:top w:val="nil"/>
              <w:bottom w:val="nil"/>
            </w:tcBorders>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p>
        </w:tc>
        <w:tc>
          <w:tcPr>
            <w:tcW w:w="567" w:type="dxa"/>
            <w:tcBorders>
              <w:top w:val="nil"/>
              <w:bottom w:val="nil"/>
            </w:tcBorders>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p>
        </w:tc>
        <w:tc>
          <w:tcPr>
            <w:tcW w:w="850" w:type="dxa"/>
            <w:tcBorders>
              <w:top w:val="nil"/>
              <w:bottom w:val="nil"/>
            </w:tcBorders>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r w:rsidRPr="00D94868">
              <w:rPr>
                <w:sz w:val="18"/>
              </w:rPr>
              <w:t>5.2.2</w:t>
            </w:r>
          </w:p>
        </w:tc>
        <w:tc>
          <w:tcPr>
            <w:tcW w:w="1714" w:type="dxa"/>
            <w:tcBorders>
              <w:top w:val="nil"/>
              <w:bottom w:val="nil"/>
            </w:tcBorders>
            <w:shd w:val="clear" w:color="auto" w:fill="auto"/>
            <w:noWrap/>
            <w:hideMark/>
          </w:tcPr>
          <w:p w:rsidR="00DB7C2C" w:rsidRPr="00D94868" w:rsidRDefault="00DB7C2C" w:rsidP="00D94868">
            <w:pPr>
              <w:pStyle w:val="SingleTxtG"/>
              <w:suppressAutoHyphens w:val="0"/>
              <w:spacing w:before="40" w:after="40" w:line="220" w:lineRule="exact"/>
              <w:ind w:left="0" w:right="113"/>
              <w:jc w:val="left"/>
              <w:rPr>
                <w:sz w:val="18"/>
              </w:rPr>
            </w:pPr>
            <w:r w:rsidRPr="00D94868">
              <w:rPr>
                <w:sz w:val="18"/>
              </w:rPr>
              <w:t>Women</w:t>
            </w:r>
          </w:p>
        </w:tc>
        <w:tc>
          <w:tcPr>
            <w:tcW w:w="668" w:type="dxa"/>
            <w:tcBorders>
              <w:top w:val="nil"/>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22</w:t>
            </w:r>
            <w:r w:rsidR="00D94868">
              <w:rPr>
                <w:sz w:val="18"/>
                <w:szCs w:val="18"/>
              </w:rPr>
              <w:t>.</w:t>
            </w:r>
            <w:r w:rsidRPr="00D94868">
              <w:rPr>
                <w:sz w:val="18"/>
                <w:szCs w:val="18"/>
              </w:rPr>
              <w:t>5</w:t>
            </w:r>
          </w:p>
        </w:tc>
        <w:tc>
          <w:tcPr>
            <w:tcW w:w="615" w:type="dxa"/>
            <w:tcBorders>
              <w:top w:val="nil"/>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29</w:t>
            </w:r>
            <w:r w:rsidR="00D94868">
              <w:rPr>
                <w:sz w:val="18"/>
                <w:szCs w:val="18"/>
              </w:rPr>
              <w:t>.</w:t>
            </w:r>
            <w:r w:rsidRPr="00D94868">
              <w:rPr>
                <w:sz w:val="18"/>
                <w:szCs w:val="18"/>
              </w:rPr>
              <w:t>5</w:t>
            </w:r>
          </w:p>
        </w:tc>
        <w:tc>
          <w:tcPr>
            <w:tcW w:w="615" w:type="dxa"/>
            <w:tcBorders>
              <w:top w:val="nil"/>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25</w:t>
            </w:r>
            <w:r w:rsidR="00D94868">
              <w:rPr>
                <w:sz w:val="18"/>
                <w:szCs w:val="18"/>
              </w:rPr>
              <w:t>.</w:t>
            </w:r>
            <w:r w:rsidRPr="00D94868">
              <w:rPr>
                <w:sz w:val="18"/>
                <w:szCs w:val="18"/>
              </w:rPr>
              <w:t>9</w:t>
            </w:r>
          </w:p>
        </w:tc>
        <w:tc>
          <w:tcPr>
            <w:tcW w:w="650" w:type="dxa"/>
            <w:tcBorders>
              <w:top w:val="nil"/>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22</w:t>
            </w:r>
            <w:r w:rsidR="00A73FB4">
              <w:rPr>
                <w:sz w:val="18"/>
                <w:szCs w:val="18"/>
              </w:rPr>
              <w:t>.</w:t>
            </w:r>
            <w:r w:rsidRPr="00D94868">
              <w:rPr>
                <w:sz w:val="18"/>
                <w:szCs w:val="18"/>
              </w:rPr>
              <w:t>3</w:t>
            </w:r>
          </w:p>
        </w:tc>
        <w:tc>
          <w:tcPr>
            <w:tcW w:w="615" w:type="dxa"/>
            <w:tcBorders>
              <w:top w:val="nil"/>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24</w:t>
            </w:r>
            <w:r w:rsidR="00A73FB4">
              <w:rPr>
                <w:sz w:val="18"/>
                <w:szCs w:val="18"/>
              </w:rPr>
              <w:t>.</w:t>
            </w:r>
            <w:r w:rsidRPr="00D94868">
              <w:rPr>
                <w:sz w:val="18"/>
                <w:szCs w:val="18"/>
              </w:rPr>
              <w:t>5</w:t>
            </w:r>
          </w:p>
        </w:tc>
        <w:tc>
          <w:tcPr>
            <w:tcW w:w="650" w:type="dxa"/>
            <w:tcBorders>
              <w:top w:val="nil"/>
              <w:bottom w:val="nil"/>
            </w:tcBorders>
            <w:shd w:val="clear" w:color="auto" w:fill="auto"/>
            <w:noWrap/>
            <w:vAlign w:val="bottom"/>
          </w:tcPr>
          <w:p w:rsidR="00DB7C2C" w:rsidRPr="00D94868" w:rsidRDefault="00DB7C2C" w:rsidP="00D94868">
            <w:pPr>
              <w:suppressAutoHyphens w:val="0"/>
              <w:spacing w:before="40" w:after="40" w:line="220" w:lineRule="exact"/>
              <w:ind w:right="113"/>
              <w:jc w:val="right"/>
              <w:rPr>
                <w:sz w:val="18"/>
                <w:szCs w:val="18"/>
              </w:rPr>
            </w:pPr>
            <w:r w:rsidRPr="00D94868">
              <w:rPr>
                <w:sz w:val="18"/>
                <w:szCs w:val="18"/>
              </w:rPr>
              <w:t>31</w:t>
            </w:r>
            <w:r w:rsidR="003660AC">
              <w:rPr>
                <w:sz w:val="18"/>
                <w:szCs w:val="18"/>
              </w:rPr>
              <w:t>.</w:t>
            </w:r>
            <w:r w:rsidRPr="00D94868">
              <w:rPr>
                <w:sz w:val="18"/>
                <w:szCs w:val="18"/>
              </w:rPr>
              <w:t>7</w:t>
            </w:r>
          </w:p>
        </w:tc>
      </w:tr>
      <w:tr w:rsidR="00AD5A2F" w:rsidRPr="00D94868" w:rsidTr="00AD5A2F">
        <w:trPr>
          <w:trHeight w:val="240"/>
        </w:trPr>
        <w:tc>
          <w:tcPr>
            <w:tcW w:w="4840" w:type="dxa"/>
            <w:gridSpan w:val="6"/>
            <w:tcBorders>
              <w:top w:val="nil"/>
            </w:tcBorders>
            <w:shd w:val="clear" w:color="auto" w:fill="auto"/>
            <w:hideMark/>
          </w:tcPr>
          <w:p w:rsidR="00AD5A2F" w:rsidRPr="00D94868" w:rsidRDefault="00AD5A2F" w:rsidP="00F12F20">
            <w:pPr>
              <w:pStyle w:val="SingleTxtG"/>
              <w:suppressAutoHyphens w:val="0"/>
              <w:spacing w:before="40" w:after="40" w:line="220" w:lineRule="exact"/>
              <w:ind w:left="0" w:right="113"/>
              <w:jc w:val="left"/>
              <w:rPr>
                <w:sz w:val="18"/>
              </w:rPr>
            </w:pPr>
            <w:r w:rsidRPr="00D94868">
              <w:rPr>
                <w:sz w:val="18"/>
              </w:rPr>
              <w:t>6. Cost of basic food basket (annual average per capita cost) ($)</w:t>
            </w:r>
          </w:p>
        </w:tc>
        <w:tc>
          <w:tcPr>
            <w:tcW w:w="615" w:type="dxa"/>
            <w:tcBorders>
              <w:top w:val="nil"/>
            </w:tcBorders>
            <w:shd w:val="clear" w:color="auto" w:fill="auto"/>
            <w:noWrap/>
            <w:vAlign w:val="bottom"/>
          </w:tcPr>
          <w:p w:rsidR="00AD5A2F" w:rsidRPr="00D94868" w:rsidRDefault="00AD5A2F" w:rsidP="00D94868">
            <w:pPr>
              <w:pStyle w:val="SingleTxtG"/>
              <w:suppressAutoHyphens w:val="0"/>
              <w:spacing w:before="40" w:after="40" w:line="220" w:lineRule="exact"/>
              <w:ind w:left="0" w:right="113"/>
              <w:jc w:val="right"/>
              <w:rPr>
                <w:sz w:val="18"/>
              </w:rPr>
            </w:pPr>
          </w:p>
        </w:tc>
        <w:tc>
          <w:tcPr>
            <w:tcW w:w="650" w:type="dxa"/>
            <w:tcBorders>
              <w:top w:val="nil"/>
            </w:tcBorders>
            <w:shd w:val="clear" w:color="auto" w:fill="auto"/>
            <w:noWrap/>
            <w:vAlign w:val="bottom"/>
          </w:tcPr>
          <w:p w:rsidR="00AD5A2F" w:rsidRPr="00D94868" w:rsidRDefault="00AD5A2F" w:rsidP="00D94868">
            <w:pPr>
              <w:pStyle w:val="SingleTxtG"/>
              <w:suppressAutoHyphens w:val="0"/>
              <w:spacing w:before="40" w:after="40" w:line="220" w:lineRule="exact"/>
              <w:ind w:left="0" w:right="113"/>
              <w:jc w:val="right"/>
              <w:rPr>
                <w:sz w:val="18"/>
              </w:rPr>
            </w:pPr>
          </w:p>
        </w:tc>
        <w:tc>
          <w:tcPr>
            <w:tcW w:w="615" w:type="dxa"/>
            <w:tcBorders>
              <w:top w:val="nil"/>
            </w:tcBorders>
            <w:shd w:val="clear" w:color="auto" w:fill="auto"/>
            <w:noWrap/>
            <w:vAlign w:val="bottom"/>
          </w:tcPr>
          <w:p w:rsidR="00AD5A2F" w:rsidRPr="00D94868" w:rsidRDefault="00AD5A2F" w:rsidP="00D94868">
            <w:pPr>
              <w:pStyle w:val="SingleTxtG"/>
              <w:suppressAutoHyphens w:val="0"/>
              <w:spacing w:before="40" w:after="40" w:line="220" w:lineRule="exact"/>
              <w:ind w:left="0" w:right="113"/>
              <w:jc w:val="right"/>
              <w:rPr>
                <w:sz w:val="18"/>
              </w:rPr>
            </w:pPr>
          </w:p>
        </w:tc>
        <w:tc>
          <w:tcPr>
            <w:tcW w:w="650" w:type="dxa"/>
            <w:tcBorders>
              <w:top w:val="nil"/>
            </w:tcBorders>
            <w:shd w:val="clear" w:color="auto" w:fill="auto"/>
            <w:noWrap/>
            <w:vAlign w:val="bottom"/>
          </w:tcPr>
          <w:p w:rsidR="00AD5A2F" w:rsidRPr="00D94868" w:rsidRDefault="00AD5A2F" w:rsidP="00D94868">
            <w:pPr>
              <w:pStyle w:val="SingleTxtG"/>
              <w:suppressAutoHyphens w:val="0"/>
              <w:spacing w:before="40" w:after="40" w:line="220" w:lineRule="exact"/>
              <w:ind w:left="0" w:right="113"/>
              <w:jc w:val="right"/>
              <w:rPr>
                <w:sz w:val="18"/>
              </w:rPr>
            </w:pPr>
          </w:p>
        </w:tc>
      </w:tr>
      <w:tr w:rsidR="00150D7C" w:rsidRPr="00D94868" w:rsidTr="00326C92">
        <w:trPr>
          <w:trHeight w:val="240"/>
        </w:trPr>
        <w:tc>
          <w:tcPr>
            <w:tcW w:w="426"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r w:rsidRPr="00D94868">
              <w:rPr>
                <w:sz w:val="18"/>
              </w:rPr>
              <w:t>6.1</w:t>
            </w:r>
          </w:p>
        </w:tc>
        <w:tc>
          <w:tcPr>
            <w:tcW w:w="850"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r w:rsidRPr="00D94868">
              <w:rPr>
                <w:sz w:val="18"/>
              </w:rPr>
              <w:t>Urban</w:t>
            </w:r>
          </w:p>
        </w:tc>
        <w:tc>
          <w:tcPr>
            <w:tcW w:w="1714"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45</w:t>
            </w:r>
            <w:r w:rsidR="00D94868">
              <w:rPr>
                <w:sz w:val="18"/>
                <w:szCs w:val="18"/>
              </w:rPr>
              <w:t>.</w:t>
            </w:r>
            <w:r w:rsidRPr="00D94868">
              <w:rPr>
                <w:sz w:val="18"/>
                <w:szCs w:val="18"/>
              </w:rPr>
              <w:t>1</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49</w:t>
            </w:r>
            <w:r w:rsidR="00D94868">
              <w:rPr>
                <w:sz w:val="18"/>
                <w:szCs w:val="18"/>
              </w:rPr>
              <w:t>.</w:t>
            </w:r>
            <w:r w:rsidRPr="00D94868">
              <w:rPr>
                <w:sz w:val="18"/>
                <w:szCs w:val="18"/>
              </w:rPr>
              <w:t>1</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46</w:t>
            </w:r>
            <w:r w:rsidR="00D94868">
              <w:rPr>
                <w:sz w:val="18"/>
                <w:szCs w:val="18"/>
              </w:rPr>
              <w:t>.</w:t>
            </w:r>
            <w:r w:rsidRPr="00D94868">
              <w:rPr>
                <w:sz w:val="18"/>
                <w:szCs w:val="18"/>
              </w:rPr>
              <w:t>8</w:t>
            </w:r>
          </w:p>
        </w:tc>
        <w:tc>
          <w:tcPr>
            <w:tcW w:w="650"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46</w:t>
            </w:r>
            <w:r w:rsidR="00A73FB4">
              <w:rPr>
                <w:sz w:val="18"/>
                <w:szCs w:val="18"/>
              </w:rPr>
              <w:t>.</w:t>
            </w:r>
            <w:r w:rsidRPr="00D94868">
              <w:rPr>
                <w:sz w:val="18"/>
                <w:szCs w:val="18"/>
              </w:rPr>
              <w:t>8</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49</w:t>
            </w:r>
            <w:r w:rsidR="00A73FB4">
              <w:rPr>
                <w:sz w:val="18"/>
                <w:szCs w:val="18"/>
              </w:rPr>
              <w:t>.</w:t>
            </w:r>
            <w:r w:rsidRPr="00D94868">
              <w:rPr>
                <w:sz w:val="18"/>
                <w:szCs w:val="18"/>
              </w:rPr>
              <w:t>5</w:t>
            </w:r>
          </w:p>
        </w:tc>
        <w:tc>
          <w:tcPr>
            <w:tcW w:w="650"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53</w:t>
            </w:r>
            <w:r w:rsidR="00BC197C">
              <w:rPr>
                <w:sz w:val="18"/>
                <w:szCs w:val="18"/>
              </w:rPr>
              <w:t>.</w:t>
            </w:r>
            <w:r w:rsidRPr="00D94868">
              <w:rPr>
                <w:sz w:val="18"/>
                <w:szCs w:val="18"/>
              </w:rPr>
              <w:t>0</w:t>
            </w:r>
          </w:p>
        </w:tc>
      </w:tr>
      <w:tr w:rsidR="00150D7C" w:rsidRPr="00D94868" w:rsidTr="00326C92">
        <w:trPr>
          <w:trHeight w:val="240"/>
        </w:trPr>
        <w:tc>
          <w:tcPr>
            <w:tcW w:w="426"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r w:rsidRPr="00D94868">
              <w:rPr>
                <w:sz w:val="18"/>
              </w:rPr>
              <w:t>6.2</w:t>
            </w:r>
          </w:p>
        </w:tc>
        <w:tc>
          <w:tcPr>
            <w:tcW w:w="850"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r w:rsidRPr="00D94868">
              <w:rPr>
                <w:sz w:val="18"/>
              </w:rPr>
              <w:t>Rural</w:t>
            </w:r>
          </w:p>
        </w:tc>
        <w:tc>
          <w:tcPr>
            <w:tcW w:w="1714"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27</w:t>
            </w:r>
            <w:r w:rsidR="00D94868">
              <w:rPr>
                <w:sz w:val="18"/>
                <w:szCs w:val="18"/>
              </w:rPr>
              <w:t>.</w:t>
            </w:r>
            <w:r w:rsidRPr="00D94868">
              <w:rPr>
                <w:sz w:val="18"/>
                <w:szCs w:val="18"/>
              </w:rPr>
              <w:t>8</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33</w:t>
            </w:r>
            <w:r w:rsidR="00D94868">
              <w:rPr>
                <w:sz w:val="18"/>
                <w:szCs w:val="18"/>
              </w:rPr>
              <w:t>.</w:t>
            </w:r>
            <w:r w:rsidRPr="00D94868">
              <w:rPr>
                <w:sz w:val="18"/>
                <w:szCs w:val="18"/>
              </w:rPr>
              <w:t>9</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31</w:t>
            </w:r>
            <w:r w:rsidR="00D94868">
              <w:rPr>
                <w:sz w:val="18"/>
                <w:szCs w:val="18"/>
              </w:rPr>
              <w:t>.</w:t>
            </w:r>
            <w:r w:rsidRPr="00D94868">
              <w:rPr>
                <w:sz w:val="18"/>
                <w:szCs w:val="18"/>
              </w:rPr>
              <w:t>3</w:t>
            </w:r>
          </w:p>
        </w:tc>
        <w:tc>
          <w:tcPr>
            <w:tcW w:w="650"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29</w:t>
            </w:r>
            <w:r w:rsidR="00A73FB4">
              <w:rPr>
                <w:sz w:val="18"/>
                <w:szCs w:val="18"/>
              </w:rPr>
              <w:t>.</w:t>
            </w:r>
            <w:r w:rsidRPr="00D94868">
              <w:rPr>
                <w:sz w:val="18"/>
                <w:szCs w:val="18"/>
              </w:rPr>
              <w:t>4</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30</w:t>
            </w:r>
            <w:r w:rsidR="00A73FB4">
              <w:rPr>
                <w:sz w:val="18"/>
                <w:szCs w:val="18"/>
              </w:rPr>
              <w:t>.</w:t>
            </w:r>
            <w:r w:rsidRPr="00D94868">
              <w:rPr>
                <w:sz w:val="18"/>
                <w:szCs w:val="18"/>
              </w:rPr>
              <w:t>7</w:t>
            </w:r>
          </w:p>
        </w:tc>
        <w:tc>
          <w:tcPr>
            <w:tcW w:w="650"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34</w:t>
            </w:r>
            <w:r w:rsidR="00BC197C">
              <w:rPr>
                <w:sz w:val="18"/>
                <w:szCs w:val="18"/>
              </w:rPr>
              <w:t>.</w:t>
            </w:r>
            <w:r w:rsidRPr="00D94868">
              <w:rPr>
                <w:sz w:val="18"/>
                <w:szCs w:val="18"/>
              </w:rPr>
              <w:t>2</w:t>
            </w:r>
          </w:p>
        </w:tc>
      </w:tr>
      <w:tr w:rsidR="00150D7C" w:rsidRPr="00D94868" w:rsidTr="00D94868">
        <w:trPr>
          <w:trHeight w:val="240"/>
        </w:trPr>
        <w:tc>
          <w:tcPr>
            <w:tcW w:w="3557" w:type="dxa"/>
            <w:gridSpan w:val="4"/>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r w:rsidRPr="00D94868">
              <w:rPr>
                <w:sz w:val="18"/>
              </w:rPr>
              <w:t>7. Monthly household income ($)</w:t>
            </w:r>
          </w:p>
        </w:tc>
        <w:tc>
          <w:tcPr>
            <w:tcW w:w="668" w:type="dxa"/>
            <w:shd w:val="clear" w:color="auto" w:fill="auto"/>
            <w:noWrap/>
            <w:vAlign w:val="bottom"/>
          </w:tcPr>
          <w:p w:rsidR="00150D7C" w:rsidRPr="00D94868" w:rsidRDefault="00150D7C"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150D7C" w:rsidRPr="00D94868" w:rsidRDefault="00150D7C"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150D7C" w:rsidRPr="00D94868" w:rsidRDefault="00150D7C"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150D7C" w:rsidRPr="00D94868" w:rsidRDefault="00150D7C"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150D7C" w:rsidRPr="00D94868" w:rsidRDefault="00150D7C"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150D7C" w:rsidRPr="00D94868" w:rsidRDefault="00150D7C" w:rsidP="00D94868">
            <w:pPr>
              <w:pStyle w:val="SingleTxtG"/>
              <w:suppressAutoHyphens w:val="0"/>
              <w:spacing w:before="40" w:after="40" w:line="220" w:lineRule="exact"/>
              <w:ind w:left="0" w:right="113"/>
              <w:jc w:val="right"/>
              <w:rPr>
                <w:sz w:val="18"/>
              </w:rPr>
            </w:pPr>
          </w:p>
        </w:tc>
      </w:tr>
      <w:tr w:rsidR="00150D7C" w:rsidRPr="00D94868" w:rsidTr="00326C92">
        <w:trPr>
          <w:trHeight w:val="240"/>
        </w:trPr>
        <w:tc>
          <w:tcPr>
            <w:tcW w:w="426"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r w:rsidRPr="00D94868">
              <w:rPr>
                <w:sz w:val="18"/>
              </w:rPr>
              <w:t>7.1</w:t>
            </w:r>
          </w:p>
        </w:tc>
        <w:tc>
          <w:tcPr>
            <w:tcW w:w="850"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r w:rsidRPr="00D94868">
              <w:rPr>
                <w:sz w:val="18"/>
              </w:rPr>
              <w:t>Total</w:t>
            </w:r>
          </w:p>
        </w:tc>
        <w:tc>
          <w:tcPr>
            <w:tcW w:w="1714" w:type="dxa"/>
            <w:shd w:val="clear" w:color="auto" w:fill="auto"/>
            <w:noWrap/>
            <w:hideMark/>
          </w:tcPr>
          <w:p w:rsidR="00150D7C" w:rsidRPr="00D94868" w:rsidRDefault="00150D7C"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479</w:t>
            </w:r>
            <w:r w:rsidR="00D94868">
              <w:rPr>
                <w:sz w:val="18"/>
                <w:szCs w:val="18"/>
              </w:rPr>
              <w:t>.</w:t>
            </w:r>
            <w:r w:rsidRPr="00D94868">
              <w:rPr>
                <w:sz w:val="18"/>
                <w:szCs w:val="18"/>
              </w:rPr>
              <w:t>2</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486</w:t>
            </w:r>
            <w:r w:rsidR="00D94868">
              <w:rPr>
                <w:sz w:val="18"/>
                <w:szCs w:val="18"/>
              </w:rPr>
              <w:t>.</w:t>
            </w:r>
            <w:r w:rsidRPr="00D94868">
              <w:rPr>
                <w:sz w:val="18"/>
                <w:szCs w:val="18"/>
              </w:rPr>
              <w:t>67</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506</w:t>
            </w:r>
            <w:r w:rsidR="00D94868">
              <w:rPr>
                <w:sz w:val="18"/>
                <w:szCs w:val="18"/>
              </w:rPr>
              <w:t>.</w:t>
            </w:r>
            <w:r w:rsidRPr="00D94868">
              <w:rPr>
                <w:sz w:val="18"/>
                <w:szCs w:val="18"/>
              </w:rPr>
              <w:t>91</w:t>
            </w:r>
          </w:p>
        </w:tc>
        <w:tc>
          <w:tcPr>
            <w:tcW w:w="650"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556</w:t>
            </w:r>
            <w:r w:rsidR="00A73FB4">
              <w:rPr>
                <w:sz w:val="18"/>
                <w:szCs w:val="18"/>
              </w:rPr>
              <w:t>.</w:t>
            </w:r>
            <w:r w:rsidRPr="00D94868">
              <w:rPr>
                <w:sz w:val="18"/>
                <w:szCs w:val="18"/>
              </w:rPr>
              <w:t>2</w:t>
            </w:r>
          </w:p>
        </w:tc>
        <w:tc>
          <w:tcPr>
            <w:tcW w:w="615"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539</w:t>
            </w:r>
            <w:r w:rsidR="00A73FB4">
              <w:rPr>
                <w:sz w:val="18"/>
                <w:szCs w:val="18"/>
              </w:rPr>
              <w:t>.</w:t>
            </w:r>
            <w:r w:rsidRPr="00D94868">
              <w:rPr>
                <w:sz w:val="18"/>
                <w:szCs w:val="18"/>
              </w:rPr>
              <w:t>7</w:t>
            </w:r>
          </w:p>
        </w:tc>
        <w:tc>
          <w:tcPr>
            <w:tcW w:w="650" w:type="dxa"/>
            <w:shd w:val="clear" w:color="auto" w:fill="auto"/>
            <w:noWrap/>
            <w:vAlign w:val="bottom"/>
          </w:tcPr>
          <w:p w:rsidR="00150D7C" w:rsidRPr="00D94868" w:rsidRDefault="00150D7C" w:rsidP="00D94868">
            <w:pPr>
              <w:suppressAutoHyphens w:val="0"/>
              <w:spacing w:before="40" w:after="40" w:line="220" w:lineRule="exact"/>
              <w:ind w:right="113"/>
              <w:jc w:val="right"/>
              <w:rPr>
                <w:sz w:val="18"/>
                <w:szCs w:val="18"/>
              </w:rPr>
            </w:pPr>
            <w:r w:rsidRPr="00D94868">
              <w:rPr>
                <w:sz w:val="18"/>
                <w:szCs w:val="18"/>
              </w:rPr>
              <w:t>538</w:t>
            </w:r>
            <w:r w:rsidR="00BC197C">
              <w:rPr>
                <w:sz w:val="18"/>
                <w:szCs w:val="18"/>
              </w:rPr>
              <w:t>.</w:t>
            </w:r>
            <w:r w:rsidRPr="00D94868">
              <w:rPr>
                <w:sz w:val="18"/>
                <w:szCs w:val="18"/>
              </w:rPr>
              <w:t>7</w:t>
            </w:r>
          </w:p>
        </w:tc>
      </w:tr>
      <w:tr w:rsidR="003B0FC2" w:rsidRPr="00D94868" w:rsidTr="00326C92">
        <w:trPr>
          <w:trHeight w:val="240"/>
        </w:trPr>
        <w:tc>
          <w:tcPr>
            <w:tcW w:w="426"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7.2</w:t>
            </w:r>
          </w:p>
        </w:tc>
        <w:tc>
          <w:tcPr>
            <w:tcW w:w="850"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Urban</w:t>
            </w:r>
          </w:p>
        </w:tc>
        <w:tc>
          <w:tcPr>
            <w:tcW w:w="1714"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570</w:t>
            </w:r>
            <w:r w:rsidR="00D94868">
              <w:rPr>
                <w:sz w:val="18"/>
                <w:szCs w:val="18"/>
              </w:rPr>
              <w:t>.</w:t>
            </w:r>
            <w:r w:rsidRPr="00D94868">
              <w:rPr>
                <w:sz w:val="18"/>
                <w:szCs w:val="18"/>
              </w:rPr>
              <w:t>7</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574</w:t>
            </w:r>
            <w:r w:rsidR="00D94868">
              <w:rPr>
                <w:sz w:val="18"/>
                <w:szCs w:val="18"/>
              </w:rPr>
              <w:t>.</w:t>
            </w:r>
            <w:r w:rsidRPr="00D94868">
              <w:rPr>
                <w:sz w:val="18"/>
                <w:szCs w:val="18"/>
              </w:rPr>
              <w:t>46</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594</w:t>
            </w:r>
            <w:r w:rsidR="00D94868">
              <w:rPr>
                <w:sz w:val="18"/>
                <w:szCs w:val="18"/>
              </w:rPr>
              <w:t>.</w:t>
            </w:r>
            <w:r w:rsidRPr="00D94868">
              <w:rPr>
                <w:sz w:val="18"/>
                <w:szCs w:val="18"/>
              </w:rPr>
              <w:t>47</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660</w:t>
            </w:r>
            <w:r w:rsidR="00A73FB4">
              <w:rPr>
                <w:sz w:val="18"/>
                <w:szCs w:val="18"/>
              </w:rPr>
              <w:t>.</w:t>
            </w:r>
            <w:r w:rsidRPr="00D94868">
              <w:rPr>
                <w:sz w:val="18"/>
                <w:szCs w:val="18"/>
              </w:rPr>
              <w:t>9</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639</w:t>
            </w:r>
            <w:r w:rsidR="00A73FB4">
              <w:rPr>
                <w:sz w:val="18"/>
                <w:szCs w:val="18"/>
              </w:rPr>
              <w:t>.</w:t>
            </w:r>
            <w:r w:rsidRPr="00D94868">
              <w:rPr>
                <w:sz w:val="18"/>
                <w:szCs w:val="18"/>
              </w:rPr>
              <w:t>9</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630</w:t>
            </w:r>
            <w:r w:rsidR="00BC197C">
              <w:rPr>
                <w:sz w:val="18"/>
                <w:szCs w:val="18"/>
              </w:rPr>
              <w:t>.</w:t>
            </w:r>
            <w:r w:rsidRPr="00D94868">
              <w:rPr>
                <w:sz w:val="18"/>
                <w:szCs w:val="18"/>
              </w:rPr>
              <w:t>1</w:t>
            </w:r>
          </w:p>
        </w:tc>
      </w:tr>
      <w:tr w:rsidR="003B0FC2" w:rsidRPr="00D94868" w:rsidTr="00326C92">
        <w:trPr>
          <w:trHeight w:val="240"/>
        </w:trPr>
        <w:tc>
          <w:tcPr>
            <w:tcW w:w="426"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7.3</w:t>
            </w:r>
          </w:p>
        </w:tc>
        <w:tc>
          <w:tcPr>
            <w:tcW w:w="850"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Rural</w:t>
            </w:r>
          </w:p>
        </w:tc>
        <w:tc>
          <w:tcPr>
            <w:tcW w:w="1714"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304</w:t>
            </w:r>
            <w:r w:rsidR="00D94868">
              <w:rPr>
                <w:sz w:val="18"/>
                <w:szCs w:val="18"/>
              </w:rPr>
              <w:t>.</w:t>
            </w:r>
            <w:r w:rsidRPr="00D94868">
              <w:rPr>
                <w:sz w:val="18"/>
                <w:szCs w:val="18"/>
              </w:rPr>
              <w:t>8</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321</w:t>
            </w:r>
            <w:r w:rsidR="00D94868">
              <w:rPr>
                <w:sz w:val="18"/>
                <w:szCs w:val="18"/>
              </w:rPr>
              <w:t>.</w:t>
            </w:r>
            <w:r w:rsidRPr="00D94868">
              <w:rPr>
                <w:sz w:val="18"/>
                <w:szCs w:val="18"/>
              </w:rPr>
              <w:t>59</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338</w:t>
            </w:r>
            <w:r w:rsidR="00D94868">
              <w:rPr>
                <w:sz w:val="18"/>
                <w:szCs w:val="18"/>
              </w:rPr>
              <w:t>.</w:t>
            </w:r>
            <w:r w:rsidRPr="00D94868">
              <w:rPr>
                <w:sz w:val="18"/>
                <w:szCs w:val="18"/>
              </w:rPr>
              <w:t>55</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361</w:t>
            </w:r>
            <w:r w:rsidR="00A73FB4">
              <w:rPr>
                <w:sz w:val="18"/>
                <w:szCs w:val="18"/>
              </w:rPr>
              <w:t>.</w:t>
            </w:r>
            <w:r w:rsidRPr="00D94868">
              <w:rPr>
                <w:sz w:val="18"/>
                <w:szCs w:val="18"/>
              </w:rPr>
              <w:t>8</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356</w:t>
            </w:r>
            <w:r w:rsidR="00A73FB4">
              <w:rPr>
                <w:sz w:val="18"/>
                <w:szCs w:val="18"/>
              </w:rPr>
              <w:t>.</w:t>
            </w:r>
            <w:r w:rsidRPr="00D94868">
              <w:rPr>
                <w:sz w:val="18"/>
                <w:szCs w:val="18"/>
              </w:rPr>
              <w:t>9</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374</w:t>
            </w:r>
            <w:r w:rsidR="00BC197C">
              <w:rPr>
                <w:sz w:val="18"/>
                <w:szCs w:val="18"/>
              </w:rPr>
              <w:t>.</w:t>
            </w:r>
            <w:r w:rsidRPr="00D94868">
              <w:rPr>
                <w:sz w:val="18"/>
                <w:szCs w:val="18"/>
              </w:rPr>
              <w:t>0</w:t>
            </w:r>
          </w:p>
        </w:tc>
      </w:tr>
      <w:tr w:rsidR="003B0FC2" w:rsidRPr="00D94868" w:rsidTr="00D94868">
        <w:trPr>
          <w:trHeight w:val="240"/>
        </w:trPr>
        <w:tc>
          <w:tcPr>
            <w:tcW w:w="3557" w:type="dxa"/>
            <w:gridSpan w:val="4"/>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8. Monthly household remittances ($)</w:t>
            </w:r>
          </w:p>
        </w:tc>
        <w:tc>
          <w:tcPr>
            <w:tcW w:w="668"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r>
      <w:tr w:rsidR="003B0FC2" w:rsidRPr="00D94868" w:rsidTr="00326C92">
        <w:trPr>
          <w:trHeight w:val="240"/>
        </w:trPr>
        <w:tc>
          <w:tcPr>
            <w:tcW w:w="426"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8.1</w:t>
            </w:r>
          </w:p>
        </w:tc>
        <w:tc>
          <w:tcPr>
            <w:tcW w:w="850"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Total</w:t>
            </w:r>
          </w:p>
        </w:tc>
        <w:tc>
          <w:tcPr>
            <w:tcW w:w="1714"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165</w:t>
            </w:r>
            <w:r w:rsidR="00D94868">
              <w:rPr>
                <w:sz w:val="18"/>
                <w:szCs w:val="18"/>
              </w:rPr>
              <w:t>.</w:t>
            </w:r>
            <w:r w:rsidRPr="00D94868">
              <w:rPr>
                <w:sz w:val="18"/>
                <w:szCs w:val="18"/>
              </w:rPr>
              <w:t>6</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171</w:t>
            </w:r>
            <w:r w:rsidR="00D94868">
              <w:rPr>
                <w:sz w:val="18"/>
                <w:szCs w:val="18"/>
              </w:rPr>
              <w:t>.</w:t>
            </w:r>
            <w:r w:rsidRPr="00D94868">
              <w:rPr>
                <w:sz w:val="18"/>
                <w:szCs w:val="18"/>
              </w:rPr>
              <w:t>95</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172</w:t>
            </w:r>
            <w:r w:rsidR="00D94868">
              <w:rPr>
                <w:sz w:val="18"/>
                <w:szCs w:val="18"/>
              </w:rPr>
              <w:t>.</w:t>
            </w:r>
            <w:r w:rsidRPr="00D94868">
              <w:rPr>
                <w:sz w:val="18"/>
                <w:szCs w:val="18"/>
              </w:rPr>
              <w:t>77</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176</w:t>
            </w:r>
            <w:r w:rsidR="00A73FB4">
              <w:rPr>
                <w:sz w:val="18"/>
                <w:szCs w:val="18"/>
              </w:rPr>
              <w:t>.</w:t>
            </w:r>
            <w:r w:rsidRPr="00D94868">
              <w:rPr>
                <w:sz w:val="18"/>
                <w:szCs w:val="18"/>
              </w:rPr>
              <w:t>4</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180</w:t>
            </w:r>
            <w:r w:rsidR="00A73FB4">
              <w:rPr>
                <w:sz w:val="18"/>
                <w:szCs w:val="18"/>
              </w:rPr>
              <w:t>.</w:t>
            </w:r>
            <w:r w:rsidRPr="00D94868">
              <w:rPr>
                <w:sz w:val="18"/>
                <w:szCs w:val="18"/>
              </w:rPr>
              <w:t>8</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192</w:t>
            </w:r>
            <w:r w:rsidR="00BC197C">
              <w:rPr>
                <w:sz w:val="18"/>
                <w:szCs w:val="18"/>
              </w:rPr>
              <w:t>.</w:t>
            </w:r>
            <w:r w:rsidRPr="00D94868">
              <w:rPr>
                <w:sz w:val="18"/>
                <w:szCs w:val="18"/>
              </w:rPr>
              <w:t>4</w:t>
            </w:r>
          </w:p>
        </w:tc>
      </w:tr>
      <w:tr w:rsidR="003B0FC2" w:rsidRPr="00D94868" w:rsidTr="00326C92">
        <w:trPr>
          <w:trHeight w:val="240"/>
        </w:trPr>
        <w:tc>
          <w:tcPr>
            <w:tcW w:w="426"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8.2</w:t>
            </w:r>
          </w:p>
        </w:tc>
        <w:tc>
          <w:tcPr>
            <w:tcW w:w="850"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Urban</w:t>
            </w:r>
          </w:p>
        </w:tc>
        <w:tc>
          <w:tcPr>
            <w:tcW w:w="1714"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169</w:t>
            </w:r>
            <w:r w:rsidR="00D94868">
              <w:rPr>
                <w:sz w:val="18"/>
                <w:szCs w:val="18"/>
              </w:rPr>
              <w:t>.</w:t>
            </w:r>
            <w:r w:rsidRPr="00D94868">
              <w:rPr>
                <w:sz w:val="18"/>
                <w:szCs w:val="18"/>
              </w:rPr>
              <w:t>1</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177</w:t>
            </w:r>
            <w:r w:rsidR="00D94868">
              <w:rPr>
                <w:sz w:val="18"/>
                <w:szCs w:val="18"/>
              </w:rPr>
              <w:t>.</w:t>
            </w:r>
            <w:r w:rsidRPr="00D94868">
              <w:rPr>
                <w:sz w:val="18"/>
                <w:szCs w:val="18"/>
              </w:rPr>
              <w:t>48</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179</w:t>
            </w:r>
            <w:r w:rsidR="00D94868">
              <w:rPr>
                <w:sz w:val="18"/>
                <w:szCs w:val="18"/>
              </w:rPr>
              <w:t>.</w:t>
            </w:r>
            <w:r w:rsidRPr="00D94868">
              <w:rPr>
                <w:sz w:val="18"/>
                <w:szCs w:val="18"/>
              </w:rPr>
              <w:t>15</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179</w:t>
            </w:r>
            <w:r w:rsidR="00A73FB4">
              <w:rPr>
                <w:sz w:val="18"/>
                <w:szCs w:val="18"/>
              </w:rPr>
              <w:t>.</w:t>
            </w:r>
            <w:r w:rsidRPr="00D94868">
              <w:rPr>
                <w:sz w:val="18"/>
                <w:szCs w:val="18"/>
              </w:rPr>
              <w:t>5</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193</w:t>
            </w:r>
            <w:r w:rsidR="00A73FB4">
              <w:rPr>
                <w:sz w:val="18"/>
                <w:szCs w:val="18"/>
              </w:rPr>
              <w:t>.</w:t>
            </w:r>
            <w:r w:rsidRPr="00D94868">
              <w:rPr>
                <w:sz w:val="18"/>
                <w:szCs w:val="18"/>
              </w:rPr>
              <w:t>1</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201</w:t>
            </w:r>
            <w:r w:rsidR="00BC197C">
              <w:rPr>
                <w:sz w:val="18"/>
                <w:szCs w:val="18"/>
              </w:rPr>
              <w:t>.</w:t>
            </w:r>
            <w:r w:rsidRPr="00D94868">
              <w:rPr>
                <w:sz w:val="18"/>
                <w:szCs w:val="18"/>
              </w:rPr>
              <w:t>2</w:t>
            </w:r>
          </w:p>
        </w:tc>
      </w:tr>
      <w:tr w:rsidR="003B0FC2" w:rsidRPr="00D94868" w:rsidTr="00326C92">
        <w:trPr>
          <w:trHeight w:val="240"/>
        </w:trPr>
        <w:tc>
          <w:tcPr>
            <w:tcW w:w="426"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8.3</w:t>
            </w:r>
          </w:p>
        </w:tc>
        <w:tc>
          <w:tcPr>
            <w:tcW w:w="850"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Rural</w:t>
            </w:r>
          </w:p>
        </w:tc>
        <w:tc>
          <w:tcPr>
            <w:tcW w:w="1714"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668"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160</w:t>
            </w:r>
            <w:r w:rsidR="00D94868">
              <w:rPr>
                <w:sz w:val="18"/>
                <w:szCs w:val="18"/>
              </w:rPr>
              <w:t>.</w:t>
            </w:r>
            <w:r w:rsidRPr="00D94868">
              <w:rPr>
                <w:sz w:val="18"/>
                <w:szCs w:val="18"/>
              </w:rPr>
              <w:t>5</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164</w:t>
            </w:r>
            <w:r w:rsidR="00D94868">
              <w:rPr>
                <w:sz w:val="18"/>
                <w:szCs w:val="18"/>
              </w:rPr>
              <w:t>.</w:t>
            </w:r>
            <w:r w:rsidRPr="00D94868">
              <w:rPr>
                <w:sz w:val="18"/>
                <w:szCs w:val="18"/>
              </w:rPr>
              <w:t>24</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163</w:t>
            </w:r>
            <w:r w:rsidR="00D94868">
              <w:rPr>
                <w:sz w:val="18"/>
                <w:szCs w:val="18"/>
              </w:rPr>
              <w:t>.</w:t>
            </w:r>
            <w:r w:rsidRPr="00D94868">
              <w:rPr>
                <w:sz w:val="18"/>
                <w:szCs w:val="18"/>
              </w:rPr>
              <w:t>74</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172</w:t>
            </w:r>
            <w:r w:rsidR="00A73FB4">
              <w:rPr>
                <w:sz w:val="18"/>
                <w:szCs w:val="18"/>
              </w:rPr>
              <w:t>.</w:t>
            </w:r>
            <w:r w:rsidRPr="00D94868">
              <w:rPr>
                <w:sz w:val="18"/>
                <w:szCs w:val="18"/>
              </w:rPr>
              <w:t>4</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164</w:t>
            </w:r>
            <w:r w:rsidR="00A73FB4">
              <w:rPr>
                <w:sz w:val="18"/>
                <w:szCs w:val="18"/>
              </w:rPr>
              <w:t>.</w:t>
            </w:r>
            <w:r w:rsidRPr="00D94868">
              <w:rPr>
                <w:sz w:val="18"/>
                <w:szCs w:val="18"/>
              </w:rPr>
              <w:t>7</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181</w:t>
            </w:r>
            <w:r w:rsidR="00BC197C">
              <w:rPr>
                <w:sz w:val="18"/>
                <w:szCs w:val="18"/>
              </w:rPr>
              <w:t>.</w:t>
            </w:r>
            <w:r w:rsidRPr="00D94868">
              <w:rPr>
                <w:sz w:val="18"/>
                <w:szCs w:val="18"/>
              </w:rPr>
              <w:t>5</w:t>
            </w:r>
          </w:p>
        </w:tc>
      </w:tr>
      <w:tr w:rsidR="003B0FC2" w:rsidRPr="00D94868" w:rsidTr="00D94868">
        <w:trPr>
          <w:trHeight w:val="240"/>
        </w:trPr>
        <w:tc>
          <w:tcPr>
            <w:tcW w:w="3557" w:type="dxa"/>
            <w:gridSpan w:val="4"/>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9. Economically active population (EAP)**</w:t>
            </w:r>
          </w:p>
        </w:tc>
        <w:tc>
          <w:tcPr>
            <w:tcW w:w="668"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15"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c>
          <w:tcPr>
            <w:tcW w:w="650" w:type="dxa"/>
            <w:shd w:val="clear" w:color="auto" w:fill="auto"/>
            <w:noWrap/>
            <w:vAlign w:val="bottom"/>
          </w:tcPr>
          <w:p w:rsidR="003B0FC2" w:rsidRPr="00D94868" w:rsidRDefault="003B0FC2" w:rsidP="00D94868">
            <w:pPr>
              <w:pStyle w:val="SingleTxtG"/>
              <w:suppressAutoHyphens w:val="0"/>
              <w:spacing w:before="40" w:after="40" w:line="220" w:lineRule="exact"/>
              <w:ind w:left="0" w:right="113"/>
              <w:jc w:val="right"/>
              <w:rPr>
                <w:sz w:val="18"/>
              </w:rPr>
            </w:pPr>
          </w:p>
        </w:tc>
      </w:tr>
      <w:tr w:rsidR="003B0FC2" w:rsidRPr="00D94868" w:rsidTr="00AD5A2F">
        <w:trPr>
          <w:trHeight w:val="240"/>
        </w:trPr>
        <w:tc>
          <w:tcPr>
            <w:tcW w:w="426"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9.2</w:t>
            </w:r>
          </w:p>
        </w:tc>
        <w:tc>
          <w:tcPr>
            <w:tcW w:w="2564" w:type="dxa"/>
            <w:gridSpan w:val="2"/>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Urban (%)</w:t>
            </w:r>
          </w:p>
        </w:tc>
        <w:tc>
          <w:tcPr>
            <w:tcW w:w="668"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67</w:t>
            </w:r>
            <w:r w:rsidR="00D94868">
              <w:rPr>
                <w:sz w:val="18"/>
                <w:szCs w:val="18"/>
              </w:rPr>
              <w:t>.</w:t>
            </w:r>
            <w:r w:rsidRPr="00D94868">
              <w:rPr>
                <w:sz w:val="18"/>
                <w:szCs w:val="18"/>
              </w:rPr>
              <w:t>0</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65</w:t>
            </w:r>
            <w:r w:rsidR="00D94868">
              <w:rPr>
                <w:sz w:val="18"/>
                <w:szCs w:val="18"/>
              </w:rPr>
              <w:t>.</w:t>
            </w:r>
            <w:r w:rsidRPr="00D94868">
              <w:rPr>
                <w:sz w:val="18"/>
                <w:szCs w:val="18"/>
              </w:rPr>
              <w:t>8</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65</w:t>
            </w:r>
            <w:r w:rsidR="00D94868">
              <w:rPr>
                <w:sz w:val="18"/>
                <w:szCs w:val="18"/>
              </w:rPr>
              <w:t>.</w:t>
            </w:r>
            <w:r w:rsidRPr="00D94868">
              <w:rPr>
                <w:sz w:val="18"/>
                <w:szCs w:val="18"/>
              </w:rPr>
              <w:t>2</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66</w:t>
            </w:r>
            <w:r w:rsidR="00D94868">
              <w:rPr>
                <w:sz w:val="18"/>
                <w:szCs w:val="18"/>
              </w:rPr>
              <w:t>.</w:t>
            </w:r>
            <w:r w:rsidRPr="00D94868">
              <w:rPr>
                <w:sz w:val="18"/>
                <w:szCs w:val="18"/>
              </w:rPr>
              <w:t>0</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66</w:t>
            </w:r>
            <w:r w:rsidR="00A73FB4">
              <w:rPr>
                <w:sz w:val="18"/>
                <w:szCs w:val="18"/>
              </w:rPr>
              <w:t>.</w:t>
            </w:r>
            <w:r w:rsidRPr="00D94868">
              <w:rPr>
                <w:sz w:val="18"/>
                <w:szCs w:val="18"/>
              </w:rPr>
              <w:t>3</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65</w:t>
            </w:r>
            <w:r w:rsidR="00A73FB4">
              <w:rPr>
                <w:sz w:val="18"/>
                <w:szCs w:val="18"/>
              </w:rPr>
              <w:t>.</w:t>
            </w:r>
            <w:r w:rsidRPr="00D94868">
              <w:rPr>
                <w:sz w:val="18"/>
                <w:szCs w:val="18"/>
              </w:rPr>
              <w:t>8</w:t>
            </w:r>
          </w:p>
        </w:tc>
      </w:tr>
      <w:tr w:rsidR="003B0FC2" w:rsidRPr="00D94868" w:rsidTr="00AD5A2F">
        <w:trPr>
          <w:trHeight w:val="240"/>
        </w:trPr>
        <w:tc>
          <w:tcPr>
            <w:tcW w:w="426"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p>
        </w:tc>
        <w:tc>
          <w:tcPr>
            <w:tcW w:w="567" w:type="dxa"/>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9.3</w:t>
            </w:r>
          </w:p>
        </w:tc>
        <w:tc>
          <w:tcPr>
            <w:tcW w:w="2564" w:type="dxa"/>
            <w:gridSpan w:val="2"/>
            <w:shd w:val="clear" w:color="auto" w:fill="auto"/>
            <w:noWrap/>
            <w:hideMark/>
          </w:tcPr>
          <w:p w:rsidR="003B0FC2" w:rsidRPr="00D94868" w:rsidRDefault="003B0FC2" w:rsidP="00D94868">
            <w:pPr>
              <w:pStyle w:val="SingleTxtG"/>
              <w:suppressAutoHyphens w:val="0"/>
              <w:spacing w:before="40" w:after="40" w:line="220" w:lineRule="exact"/>
              <w:ind w:left="0" w:right="113"/>
              <w:jc w:val="left"/>
              <w:rPr>
                <w:sz w:val="18"/>
              </w:rPr>
            </w:pPr>
            <w:r w:rsidRPr="00D94868">
              <w:rPr>
                <w:sz w:val="18"/>
              </w:rPr>
              <w:t>Rural (%)</w:t>
            </w:r>
          </w:p>
        </w:tc>
        <w:tc>
          <w:tcPr>
            <w:tcW w:w="668"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33</w:t>
            </w:r>
            <w:r w:rsidR="00D94868">
              <w:rPr>
                <w:sz w:val="18"/>
                <w:szCs w:val="18"/>
              </w:rPr>
              <w:t>.</w:t>
            </w:r>
            <w:r w:rsidRPr="00D94868">
              <w:rPr>
                <w:sz w:val="18"/>
                <w:szCs w:val="18"/>
              </w:rPr>
              <w:t>0</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34</w:t>
            </w:r>
            <w:r w:rsidR="00D94868">
              <w:rPr>
                <w:sz w:val="18"/>
                <w:szCs w:val="18"/>
              </w:rPr>
              <w:t>.</w:t>
            </w:r>
            <w:r w:rsidRPr="00D94868">
              <w:rPr>
                <w:sz w:val="18"/>
                <w:szCs w:val="18"/>
              </w:rPr>
              <w:t>2</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34</w:t>
            </w:r>
            <w:r w:rsidR="00D94868">
              <w:rPr>
                <w:sz w:val="18"/>
                <w:szCs w:val="18"/>
              </w:rPr>
              <w:t>.</w:t>
            </w:r>
            <w:r w:rsidRPr="00D94868">
              <w:rPr>
                <w:sz w:val="18"/>
                <w:szCs w:val="18"/>
              </w:rPr>
              <w:t>8</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34</w:t>
            </w:r>
            <w:r w:rsidR="00D94868">
              <w:rPr>
                <w:sz w:val="18"/>
                <w:szCs w:val="18"/>
              </w:rPr>
              <w:t>.</w:t>
            </w:r>
            <w:r w:rsidRPr="00D94868">
              <w:rPr>
                <w:sz w:val="18"/>
                <w:szCs w:val="18"/>
              </w:rPr>
              <w:t>0</w:t>
            </w:r>
          </w:p>
        </w:tc>
        <w:tc>
          <w:tcPr>
            <w:tcW w:w="615"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33</w:t>
            </w:r>
            <w:r w:rsidR="00A73FB4">
              <w:rPr>
                <w:sz w:val="18"/>
                <w:szCs w:val="18"/>
              </w:rPr>
              <w:t>.</w:t>
            </w:r>
            <w:r w:rsidRPr="00D94868">
              <w:rPr>
                <w:sz w:val="18"/>
                <w:szCs w:val="18"/>
              </w:rPr>
              <w:t>7</w:t>
            </w:r>
          </w:p>
        </w:tc>
        <w:tc>
          <w:tcPr>
            <w:tcW w:w="650" w:type="dxa"/>
            <w:shd w:val="clear" w:color="auto" w:fill="auto"/>
            <w:noWrap/>
            <w:vAlign w:val="bottom"/>
          </w:tcPr>
          <w:p w:rsidR="003B0FC2" w:rsidRPr="00D94868" w:rsidRDefault="003B0FC2" w:rsidP="00D94868">
            <w:pPr>
              <w:suppressAutoHyphens w:val="0"/>
              <w:spacing w:before="40" w:after="40" w:line="220" w:lineRule="exact"/>
              <w:ind w:right="113"/>
              <w:jc w:val="right"/>
              <w:rPr>
                <w:sz w:val="18"/>
                <w:szCs w:val="18"/>
              </w:rPr>
            </w:pPr>
            <w:r w:rsidRPr="00D94868">
              <w:rPr>
                <w:sz w:val="18"/>
                <w:szCs w:val="18"/>
              </w:rPr>
              <w:t>34</w:t>
            </w:r>
            <w:r w:rsidR="00A73FB4">
              <w:rPr>
                <w:sz w:val="18"/>
                <w:szCs w:val="18"/>
              </w:rPr>
              <w:t>.</w:t>
            </w:r>
            <w:r w:rsidRPr="00D94868">
              <w:rPr>
                <w:sz w:val="18"/>
                <w:szCs w:val="18"/>
              </w:rPr>
              <w:t>2</w:t>
            </w:r>
          </w:p>
        </w:tc>
      </w:tr>
    </w:tbl>
    <w:p w:rsidR="00BA06AB" w:rsidRPr="00374B41" w:rsidRDefault="00AC182E" w:rsidP="00AD1C92">
      <w:pPr>
        <w:pStyle w:val="FootnoteText"/>
        <w:tabs>
          <w:tab w:val="clear" w:pos="1021"/>
          <w:tab w:val="right" w:pos="1304"/>
        </w:tabs>
        <w:suppressAutoHyphens w:val="0"/>
        <w:spacing w:before="60"/>
        <w:ind w:left="1418" w:hanging="1418"/>
        <w:rPr>
          <w:rFonts w:eastAsiaTheme="minorHAnsi"/>
        </w:rPr>
      </w:pPr>
      <w:r>
        <w:tab/>
      </w:r>
      <w:r w:rsidR="00BA06AB" w:rsidRPr="00A73FB4">
        <w:t>*</w:t>
      </w:r>
      <w:r>
        <w:tab/>
      </w:r>
      <w:r w:rsidR="00BA06AB" w:rsidRPr="00A73FB4">
        <w:t xml:space="preserve">Underemployment in </w:t>
      </w:r>
      <w:r w:rsidR="00BA06AB" w:rsidRPr="00374B41">
        <w:rPr>
          <w:rFonts w:eastAsiaTheme="minorHAnsi"/>
        </w:rPr>
        <w:t>urban areas.</w:t>
      </w:r>
    </w:p>
    <w:p w:rsidR="00BA06AB" w:rsidRPr="00A73FB4" w:rsidRDefault="0031542C" w:rsidP="00AD1C92">
      <w:pPr>
        <w:pStyle w:val="FootnoteText"/>
        <w:tabs>
          <w:tab w:val="clear" w:pos="1021"/>
          <w:tab w:val="right" w:pos="1304"/>
        </w:tabs>
        <w:suppressAutoHyphens w:val="0"/>
        <w:ind w:left="1418" w:hanging="1418"/>
      </w:pPr>
      <w:r w:rsidRPr="00374B41">
        <w:rPr>
          <w:rFonts w:eastAsiaTheme="minorHAnsi"/>
        </w:rPr>
        <w:tab/>
      </w:r>
      <w:r w:rsidR="00BA06AB" w:rsidRPr="00374B41">
        <w:rPr>
          <w:rFonts w:eastAsiaTheme="minorHAnsi"/>
        </w:rPr>
        <w:t>**</w:t>
      </w:r>
      <w:r w:rsidR="007D1B89" w:rsidRPr="00374B41">
        <w:rPr>
          <w:rFonts w:eastAsiaTheme="minorHAnsi"/>
        </w:rPr>
        <w:tab/>
      </w:r>
      <w:r w:rsidR="00BA06AB" w:rsidRPr="00374B41">
        <w:rPr>
          <w:rFonts w:eastAsiaTheme="minorHAnsi"/>
        </w:rPr>
        <w:t>From 2000 to 2006, the</w:t>
      </w:r>
      <w:r w:rsidR="00BA06AB" w:rsidRPr="00AC182E">
        <w:t xml:space="preserve"> EAP was measured on the basis of persons aged 10 and over; from </w:t>
      </w:r>
      <w:r w:rsidR="00BA06AB" w:rsidRPr="00A73FB4">
        <w:t>2007 to 2014, it was measured as persons aged 16 and over.</w:t>
      </w:r>
    </w:p>
    <w:p w:rsidR="00BA06AB" w:rsidRPr="00445C95" w:rsidRDefault="00BA06AB" w:rsidP="000F1B09">
      <w:pPr>
        <w:pStyle w:val="H23G"/>
      </w:pPr>
      <w:r w:rsidRPr="00445C95">
        <w:tab/>
      </w:r>
      <w:bookmarkStart w:id="10" w:name="_Toc486428519"/>
      <w:r w:rsidRPr="007278FB">
        <w:t>B.</w:t>
      </w:r>
      <w:r w:rsidRPr="007278FB">
        <w:tab/>
        <w:t>Housing characteristics</w:t>
      </w:r>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567"/>
        <w:gridCol w:w="850"/>
        <w:gridCol w:w="1701"/>
        <w:gridCol w:w="637"/>
        <w:gridCol w:w="638"/>
        <w:gridCol w:w="638"/>
        <w:gridCol w:w="637"/>
        <w:gridCol w:w="638"/>
        <w:gridCol w:w="638"/>
      </w:tblGrid>
      <w:tr w:rsidR="00BA06AB" w:rsidRPr="00A81C10" w:rsidTr="003E13D0">
        <w:trPr>
          <w:trHeight w:val="240"/>
          <w:tblHeader/>
        </w:trPr>
        <w:tc>
          <w:tcPr>
            <w:tcW w:w="3544" w:type="dxa"/>
            <w:gridSpan w:val="4"/>
            <w:tcBorders>
              <w:top w:val="single" w:sz="4" w:space="0" w:color="auto"/>
              <w:bottom w:val="single" w:sz="12" w:space="0" w:color="auto"/>
            </w:tcBorders>
            <w:shd w:val="clear" w:color="auto" w:fill="auto"/>
            <w:noWrap/>
            <w:vAlign w:val="bottom"/>
            <w:hideMark/>
          </w:tcPr>
          <w:p w:rsidR="00BA06AB" w:rsidRPr="00A81C10" w:rsidRDefault="00BA06AB" w:rsidP="00A81C10">
            <w:pPr>
              <w:pStyle w:val="SingleTxtG"/>
              <w:suppressAutoHyphens w:val="0"/>
              <w:spacing w:before="80" w:after="80" w:line="200" w:lineRule="exact"/>
              <w:ind w:left="0" w:right="113"/>
              <w:jc w:val="left"/>
              <w:rPr>
                <w:i/>
                <w:sz w:val="16"/>
              </w:rPr>
            </w:pPr>
            <w:r w:rsidRPr="00A81C10">
              <w:rPr>
                <w:i/>
                <w:sz w:val="16"/>
              </w:rPr>
              <w:t>Variables and indicators</w:t>
            </w:r>
          </w:p>
        </w:tc>
        <w:tc>
          <w:tcPr>
            <w:tcW w:w="637" w:type="dxa"/>
            <w:tcBorders>
              <w:top w:val="single" w:sz="4" w:space="0" w:color="auto"/>
              <w:bottom w:val="single" w:sz="12" w:space="0" w:color="auto"/>
            </w:tcBorders>
            <w:shd w:val="clear" w:color="auto" w:fill="auto"/>
            <w:noWrap/>
            <w:vAlign w:val="bottom"/>
            <w:hideMark/>
          </w:tcPr>
          <w:p w:rsidR="00BA06AB" w:rsidRPr="00A81C10" w:rsidRDefault="00BA06AB" w:rsidP="00A81C10">
            <w:pPr>
              <w:pStyle w:val="SingleTxtG"/>
              <w:suppressAutoHyphens w:val="0"/>
              <w:spacing w:before="80" w:after="80" w:line="200" w:lineRule="exact"/>
              <w:ind w:left="0" w:right="113"/>
              <w:jc w:val="right"/>
              <w:rPr>
                <w:i/>
                <w:sz w:val="16"/>
              </w:rPr>
            </w:pPr>
            <w:r w:rsidRPr="00A81C10">
              <w:rPr>
                <w:i/>
                <w:sz w:val="16"/>
              </w:rPr>
              <w:t>2010</w:t>
            </w:r>
          </w:p>
        </w:tc>
        <w:tc>
          <w:tcPr>
            <w:tcW w:w="638" w:type="dxa"/>
            <w:tcBorders>
              <w:top w:val="single" w:sz="4" w:space="0" w:color="auto"/>
              <w:bottom w:val="single" w:sz="12" w:space="0" w:color="auto"/>
            </w:tcBorders>
            <w:shd w:val="clear" w:color="auto" w:fill="auto"/>
            <w:noWrap/>
            <w:vAlign w:val="bottom"/>
            <w:hideMark/>
          </w:tcPr>
          <w:p w:rsidR="00BA06AB" w:rsidRPr="00A81C10" w:rsidRDefault="00BA06AB" w:rsidP="00A81C10">
            <w:pPr>
              <w:pStyle w:val="SingleTxtG"/>
              <w:suppressAutoHyphens w:val="0"/>
              <w:spacing w:before="80" w:after="80" w:line="200" w:lineRule="exact"/>
              <w:ind w:left="0" w:right="113"/>
              <w:jc w:val="right"/>
              <w:rPr>
                <w:i/>
                <w:sz w:val="16"/>
              </w:rPr>
            </w:pPr>
            <w:r w:rsidRPr="00A81C10">
              <w:rPr>
                <w:i/>
                <w:sz w:val="16"/>
              </w:rPr>
              <w:t>2011</w:t>
            </w:r>
          </w:p>
        </w:tc>
        <w:tc>
          <w:tcPr>
            <w:tcW w:w="638" w:type="dxa"/>
            <w:tcBorders>
              <w:top w:val="single" w:sz="4" w:space="0" w:color="auto"/>
              <w:bottom w:val="single" w:sz="12" w:space="0" w:color="auto"/>
            </w:tcBorders>
            <w:shd w:val="clear" w:color="auto" w:fill="auto"/>
            <w:noWrap/>
            <w:vAlign w:val="bottom"/>
            <w:hideMark/>
          </w:tcPr>
          <w:p w:rsidR="00BA06AB" w:rsidRPr="00A81C10" w:rsidRDefault="00BA06AB" w:rsidP="00A81C10">
            <w:pPr>
              <w:pStyle w:val="SingleTxtG"/>
              <w:suppressAutoHyphens w:val="0"/>
              <w:spacing w:before="80" w:after="80" w:line="200" w:lineRule="exact"/>
              <w:ind w:left="0" w:right="113"/>
              <w:jc w:val="right"/>
              <w:rPr>
                <w:i/>
                <w:sz w:val="16"/>
              </w:rPr>
            </w:pPr>
            <w:r w:rsidRPr="00A81C10">
              <w:rPr>
                <w:i/>
                <w:sz w:val="16"/>
              </w:rPr>
              <w:t>2012</w:t>
            </w:r>
          </w:p>
        </w:tc>
        <w:tc>
          <w:tcPr>
            <w:tcW w:w="637" w:type="dxa"/>
            <w:tcBorders>
              <w:top w:val="single" w:sz="4" w:space="0" w:color="auto"/>
              <w:bottom w:val="single" w:sz="12" w:space="0" w:color="auto"/>
            </w:tcBorders>
            <w:shd w:val="clear" w:color="auto" w:fill="auto"/>
            <w:noWrap/>
            <w:vAlign w:val="bottom"/>
            <w:hideMark/>
          </w:tcPr>
          <w:p w:rsidR="00BA06AB" w:rsidRPr="00A81C10" w:rsidRDefault="00BA06AB" w:rsidP="00A81C10">
            <w:pPr>
              <w:pStyle w:val="SingleTxtG"/>
              <w:suppressAutoHyphens w:val="0"/>
              <w:spacing w:before="80" w:after="80" w:line="200" w:lineRule="exact"/>
              <w:ind w:left="0" w:right="113"/>
              <w:jc w:val="right"/>
              <w:rPr>
                <w:i/>
                <w:sz w:val="16"/>
              </w:rPr>
            </w:pPr>
            <w:r w:rsidRPr="00A81C10">
              <w:rPr>
                <w:i/>
                <w:sz w:val="16"/>
              </w:rPr>
              <w:t>2013</w:t>
            </w:r>
          </w:p>
        </w:tc>
        <w:tc>
          <w:tcPr>
            <w:tcW w:w="638" w:type="dxa"/>
            <w:tcBorders>
              <w:top w:val="single" w:sz="4" w:space="0" w:color="auto"/>
              <w:bottom w:val="single" w:sz="12" w:space="0" w:color="auto"/>
            </w:tcBorders>
            <w:shd w:val="clear" w:color="auto" w:fill="auto"/>
            <w:noWrap/>
            <w:vAlign w:val="bottom"/>
            <w:hideMark/>
          </w:tcPr>
          <w:p w:rsidR="00BA06AB" w:rsidRPr="00A81C10" w:rsidRDefault="00BA06AB" w:rsidP="00A81C10">
            <w:pPr>
              <w:pStyle w:val="SingleTxtG"/>
              <w:suppressAutoHyphens w:val="0"/>
              <w:spacing w:before="80" w:after="80" w:line="200" w:lineRule="exact"/>
              <w:ind w:left="0" w:right="113"/>
              <w:jc w:val="right"/>
              <w:rPr>
                <w:i/>
                <w:sz w:val="16"/>
              </w:rPr>
            </w:pPr>
            <w:r w:rsidRPr="00A81C10">
              <w:rPr>
                <w:i/>
                <w:sz w:val="16"/>
              </w:rPr>
              <w:t>2014</w:t>
            </w:r>
          </w:p>
        </w:tc>
        <w:tc>
          <w:tcPr>
            <w:tcW w:w="638" w:type="dxa"/>
            <w:tcBorders>
              <w:top w:val="single" w:sz="4" w:space="0" w:color="auto"/>
              <w:bottom w:val="single" w:sz="12" w:space="0" w:color="auto"/>
            </w:tcBorders>
            <w:shd w:val="clear" w:color="auto" w:fill="auto"/>
            <w:noWrap/>
            <w:vAlign w:val="bottom"/>
            <w:hideMark/>
          </w:tcPr>
          <w:p w:rsidR="00BA06AB" w:rsidRPr="00A81C10" w:rsidRDefault="00BA06AB" w:rsidP="00A81C10">
            <w:pPr>
              <w:pStyle w:val="SingleTxtG"/>
              <w:suppressAutoHyphens w:val="0"/>
              <w:spacing w:before="80" w:after="80" w:line="200" w:lineRule="exact"/>
              <w:ind w:left="0" w:right="113"/>
              <w:jc w:val="right"/>
              <w:rPr>
                <w:i/>
                <w:sz w:val="16"/>
              </w:rPr>
            </w:pPr>
            <w:r w:rsidRPr="00A81C10">
              <w:rPr>
                <w:i/>
                <w:sz w:val="16"/>
              </w:rPr>
              <w:t>2015</w:t>
            </w:r>
          </w:p>
        </w:tc>
      </w:tr>
      <w:tr w:rsidR="00BA06AB" w:rsidRPr="00A81C10" w:rsidTr="003E13D0">
        <w:trPr>
          <w:trHeight w:val="240"/>
        </w:trPr>
        <w:tc>
          <w:tcPr>
            <w:tcW w:w="3544" w:type="dxa"/>
            <w:gridSpan w:val="4"/>
            <w:tcBorders>
              <w:top w:val="single" w:sz="12" w:space="0" w:color="auto"/>
            </w:tcBorders>
            <w:shd w:val="clear" w:color="auto" w:fill="auto"/>
            <w:hideMark/>
          </w:tcPr>
          <w:p w:rsidR="00BA06AB" w:rsidRPr="00A81C10" w:rsidRDefault="00BA06AB" w:rsidP="00A81C10">
            <w:pPr>
              <w:pStyle w:val="SingleTxtG"/>
              <w:suppressAutoHyphens w:val="0"/>
              <w:spacing w:before="40" w:after="40" w:line="220" w:lineRule="exact"/>
              <w:ind w:left="0" w:right="113"/>
              <w:jc w:val="left"/>
              <w:rPr>
                <w:sz w:val="18"/>
              </w:rPr>
            </w:pPr>
            <w:r w:rsidRPr="00A81C10">
              <w:rPr>
                <w:sz w:val="18"/>
              </w:rPr>
              <w:t>10. Homes with running water* (%)</w:t>
            </w:r>
          </w:p>
        </w:tc>
        <w:tc>
          <w:tcPr>
            <w:tcW w:w="637" w:type="dxa"/>
            <w:tcBorders>
              <w:top w:val="single" w:sz="12" w:space="0" w:color="auto"/>
            </w:tcBorders>
            <w:shd w:val="clear" w:color="auto" w:fill="auto"/>
            <w:noWrap/>
            <w:vAlign w:val="bottom"/>
            <w:hideMark/>
          </w:tcPr>
          <w:p w:rsidR="00BA06AB" w:rsidRPr="00A81C10" w:rsidRDefault="00BA06AB" w:rsidP="00A81C10">
            <w:pPr>
              <w:pStyle w:val="SingleTxtG"/>
              <w:suppressAutoHyphens w:val="0"/>
              <w:spacing w:before="40" w:after="40" w:line="220" w:lineRule="exact"/>
              <w:ind w:left="0" w:right="113"/>
              <w:jc w:val="right"/>
              <w:rPr>
                <w:sz w:val="18"/>
              </w:rPr>
            </w:pPr>
            <w:r w:rsidRPr="00A81C10">
              <w:rPr>
                <w:sz w:val="18"/>
              </w:rPr>
              <w:t> </w:t>
            </w:r>
          </w:p>
        </w:tc>
        <w:tc>
          <w:tcPr>
            <w:tcW w:w="638" w:type="dxa"/>
            <w:tcBorders>
              <w:top w:val="single" w:sz="12" w:space="0" w:color="auto"/>
            </w:tcBorders>
            <w:shd w:val="clear" w:color="auto" w:fill="auto"/>
            <w:noWrap/>
            <w:vAlign w:val="bottom"/>
            <w:hideMark/>
          </w:tcPr>
          <w:p w:rsidR="00BA06AB" w:rsidRPr="00A81C10" w:rsidRDefault="00BA06AB" w:rsidP="00A81C10">
            <w:pPr>
              <w:pStyle w:val="SingleTxtG"/>
              <w:suppressAutoHyphens w:val="0"/>
              <w:spacing w:before="40" w:after="40" w:line="220" w:lineRule="exact"/>
              <w:ind w:left="0" w:right="113"/>
              <w:jc w:val="right"/>
              <w:rPr>
                <w:sz w:val="18"/>
              </w:rPr>
            </w:pPr>
            <w:r w:rsidRPr="00A81C10">
              <w:rPr>
                <w:sz w:val="18"/>
              </w:rPr>
              <w:t> </w:t>
            </w:r>
          </w:p>
        </w:tc>
        <w:tc>
          <w:tcPr>
            <w:tcW w:w="638" w:type="dxa"/>
            <w:tcBorders>
              <w:top w:val="single" w:sz="12" w:space="0" w:color="auto"/>
            </w:tcBorders>
            <w:shd w:val="clear" w:color="auto" w:fill="auto"/>
            <w:noWrap/>
            <w:vAlign w:val="bottom"/>
            <w:hideMark/>
          </w:tcPr>
          <w:p w:rsidR="00BA06AB" w:rsidRPr="00A81C10" w:rsidRDefault="00BA06AB" w:rsidP="00A81C10">
            <w:pPr>
              <w:pStyle w:val="SingleTxtG"/>
              <w:suppressAutoHyphens w:val="0"/>
              <w:spacing w:before="40" w:after="40" w:line="220" w:lineRule="exact"/>
              <w:ind w:left="0" w:right="113"/>
              <w:jc w:val="right"/>
              <w:rPr>
                <w:sz w:val="18"/>
              </w:rPr>
            </w:pPr>
          </w:p>
        </w:tc>
        <w:tc>
          <w:tcPr>
            <w:tcW w:w="637" w:type="dxa"/>
            <w:tcBorders>
              <w:top w:val="single" w:sz="12" w:space="0" w:color="auto"/>
            </w:tcBorders>
            <w:shd w:val="clear" w:color="auto" w:fill="auto"/>
            <w:noWrap/>
            <w:vAlign w:val="bottom"/>
            <w:hideMark/>
          </w:tcPr>
          <w:p w:rsidR="00BA06AB" w:rsidRPr="00A81C10" w:rsidRDefault="00BA06AB" w:rsidP="00A81C10">
            <w:pPr>
              <w:pStyle w:val="SingleTxtG"/>
              <w:suppressAutoHyphens w:val="0"/>
              <w:spacing w:before="40" w:after="40" w:line="220" w:lineRule="exact"/>
              <w:ind w:left="0" w:right="113"/>
              <w:jc w:val="right"/>
              <w:rPr>
                <w:sz w:val="18"/>
              </w:rPr>
            </w:pPr>
            <w:r w:rsidRPr="00A81C10">
              <w:rPr>
                <w:sz w:val="18"/>
              </w:rPr>
              <w:t> </w:t>
            </w:r>
          </w:p>
        </w:tc>
        <w:tc>
          <w:tcPr>
            <w:tcW w:w="638" w:type="dxa"/>
            <w:tcBorders>
              <w:top w:val="single" w:sz="12" w:space="0" w:color="auto"/>
            </w:tcBorders>
            <w:shd w:val="clear" w:color="auto" w:fill="auto"/>
            <w:noWrap/>
            <w:vAlign w:val="bottom"/>
            <w:hideMark/>
          </w:tcPr>
          <w:p w:rsidR="00BA06AB" w:rsidRPr="00A81C10" w:rsidRDefault="00BA06AB" w:rsidP="00A81C10">
            <w:pPr>
              <w:pStyle w:val="SingleTxtG"/>
              <w:suppressAutoHyphens w:val="0"/>
              <w:spacing w:before="40" w:after="40" w:line="220" w:lineRule="exact"/>
              <w:ind w:left="0" w:right="113"/>
              <w:jc w:val="right"/>
              <w:rPr>
                <w:sz w:val="18"/>
              </w:rPr>
            </w:pPr>
            <w:r w:rsidRPr="00A81C10">
              <w:rPr>
                <w:sz w:val="18"/>
              </w:rPr>
              <w:t> </w:t>
            </w:r>
          </w:p>
        </w:tc>
        <w:tc>
          <w:tcPr>
            <w:tcW w:w="638" w:type="dxa"/>
            <w:tcBorders>
              <w:top w:val="single" w:sz="12" w:space="0" w:color="auto"/>
            </w:tcBorders>
            <w:shd w:val="clear" w:color="auto" w:fill="auto"/>
            <w:noWrap/>
            <w:vAlign w:val="bottom"/>
            <w:hideMark/>
          </w:tcPr>
          <w:p w:rsidR="00BA06AB" w:rsidRPr="00A81C10" w:rsidRDefault="00BA06AB" w:rsidP="00A81C10">
            <w:pPr>
              <w:pStyle w:val="SingleTxtG"/>
              <w:suppressAutoHyphens w:val="0"/>
              <w:spacing w:before="40" w:after="40" w:line="220" w:lineRule="exact"/>
              <w:ind w:left="0" w:right="113"/>
              <w:jc w:val="right"/>
              <w:rPr>
                <w:sz w:val="18"/>
              </w:rPr>
            </w:pPr>
            <w:r w:rsidRPr="00A81C10">
              <w:rPr>
                <w:sz w:val="18"/>
              </w:rPr>
              <w:t> </w:t>
            </w:r>
          </w:p>
        </w:tc>
      </w:tr>
      <w:tr w:rsidR="00FB2D7B" w:rsidRPr="00A81C10" w:rsidTr="003E13D0">
        <w:trPr>
          <w:trHeight w:val="240"/>
        </w:trPr>
        <w:tc>
          <w:tcPr>
            <w:tcW w:w="426"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10.1</w:t>
            </w:r>
          </w:p>
        </w:tc>
        <w:tc>
          <w:tcPr>
            <w:tcW w:w="2551" w:type="dxa"/>
            <w:gridSpan w:val="2"/>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National total</w:t>
            </w:r>
          </w:p>
        </w:tc>
        <w:tc>
          <w:tcPr>
            <w:tcW w:w="637"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82</w:t>
            </w:r>
            <w:r w:rsidR="00A81C10">
              <w:rPr>
                <w:sz w:val="18"/>
                <w:szCs w:val="18"/>
              </w:rPr>
              <w:t>.</w:t>
            </w:r>
            <w:r w:rsidRPr="00A81C10">
              <w:rPr>
                <w:sz w:val="18"/>
                <w:szCs w:val="18"/>
              </w:rPr>
              <w:t>9</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83</w:t>
            </w:r>
            <w:r w:rsidR="00A81C10">
              <w:rPr>
                <w:sz w:val="18"/>
                <w:szCs w:val="18"/>
              </w:rPr>
              <w:t>.</w:t>
            </w:r>
            <w:r w:rsidRPr="00A81C10">
              <w:rPr>
                <w:sz w:val="18"/>
                <w:szCs w:val="18"/>
              </w:rPr>
              <w:t>8</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85</w:t>
            </w:r>
            <w:r w:rsidR="00A81C10">
              <w:rPr>
                <w:sz w:val="18"/>
                <w:szCs w:val="18"/>
              </w:rPr>
              <w:t>.</w:t>
            </w:r>
            <w:r w:rsidRPr="00A81C10">
              <w:rPr>
                <w:sz w:val="18"/>
                <w:szCs w:val="18"/>
              </w:rPr>
              <w:t>4</w:t>
            </w:r>
          </w:p>
        </w:tc>
        <w:tc>
          <w:tcPr>
            <w:tcW w:w="637"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86</w:t>
            </w:r>
            <w:r w:rsidR="00A81C10">
              <w:rPr>
                <w:sz w:val="18"/>
                <w:szCs w:val="18"/>
              </w:rPr>
              <w:t>.</w:t>
            </w:r>
            <w:r w:rsidRPr="00A81C10">
              <w:rPr>
                <w:sz w:val="18"/>
                <w:szCs w:val="18"/>
              </w:rPr>
              <w:t>3</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86</w:t>
            </w:r>
            <w:r w:rsidR="00BC197C">
              <w:rPr>
                <w:sz w:val="18"/>
                <w:szCs w:val="18"/>
              </w:rPr>
              <w:t>.</w:t>
            </w:r>
            <w:r w:rsidRPr="00A81C10">
              <w:rPr>
                <w:sz w:val="18"/>
                <w:szCs w:val="18"/>
              </w:rPr>
              <w:t>4</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87</w:t>
            </w:r>
            <w:r w:rsidR="00BC197C">
              <w:rPr>
                <w:sz w:val="18"/>
                <w:szCs w:val="18"/>
              </w:rPr>
              <w:t>.</w:t>
            </w:r>
            <w:r w:rsidRPr="00A81C10">
              <w:rPr>
                <w:sz w:val="18"/>
                <w:szCs w:val="18"/>
              </w:rPr>
              <w:t>0</w:t>
            </w:r>
          </w:p>
        </w:tc>
      </w:tr>
      <w:tr w:rsidR="00FB2D7B" w:rsidRPr="00A81C10" w:rsidTr="003E13D0">
        <w:trPr>
          <w:trHeight w:val="240"/>
        </w:trPr>
        <w:tc>
          <w:tcPr>
            <w:tcW w:w="426"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10.2</w:t>
            </w:r>
          </w:p>
        </w:tc>
        <w:tc>
          <w:tcPr>
            <w:tcW w:w="850"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Urban</w:t>
            </w:r>
          </w:p>
        </w:tc>
        <w:tc>
          <w:tcPr>
            <w:tcW w:w="1701" w:type="dxa"/>
            <w:shd w:val="clear" w:color="auto" w:fill="auto"/>
            <w:noWrap/>
          </w:tcPr>
          <w:p w:rsidR="00FB2D7B" w:rsidRPr="00A81C10" w:rsidRDefault="00FB2D7B" w:rsidP="00A81C10">
            <w:pPr>
              <w:suppressAutoHyphens w:val="0"/>
              <w:spacing w:before="40" w:after="40" w:line="220" w:lineRule="exact"/>
              <w:ind w:right="113"/>
              <w:rPr>
                <w:sz w:val="18"/>
                <w:szCs w:val="18"/>
              </w:rPr>
            </w:pPr>
          </w:p>
        </w:tc>
        <w:tc>
          <w:tcPr>
            <w:tcW w:w="637"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92</w:t>
            </w:r>
            <w:r w:rsidR="00A81C10">
              <w:rPr>
                <w:sz w:val="18"/>
                <w:szCs w:val="18"/>
              </w:rPr>
              <w:t>.</w:t>
            </w:r>
            <w:r w:rsidRPr="00A81C10">
              <w:rPr>
                <w:sz w:val="18"/>
                <w:szCs w:val="18"/>
              </w:rPr>
              <w:t>9</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93</w:t>
            </w:r>
            <w:r w:rsidR="00A81C10">
              <w:rPr>
                <w:sz w:val="18"/>
                <w:szCs w:val="18"/>
              </w:rPr>
              <w:t>.</w:t>
            </w:r>
            <w:r w:rsidRPr="00A81C10">
              <w:rPr>
                <w:sz w:val="18"/>
                <w:szCs w:val="18"/>
              </w:rPr>
              <w:t>1</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93</w:t>
            </w:r>
            <w:r w:rsidR="00A81C10">
              <w:rPr>
                <w:sz w:val="18"/>
                <w:szCs w:val="18"/>
              </w:rPr>
              <w:t>.</w:t>
            </w:r>
            <w:r w:rsidRPr="00A81C10">
              <w:rPr>
                <w:sz w:val="18"/>
                <w:szCs w:val="18"/>
              </w:rPr>
              <w:t>5</w:t>
            </w:r>
          </w:p>
        </w:tc>
        <w:tc>
          <w:tcPr>
            <w:tcW w:w="637"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93</w:t>
            </w:r>
            <w:r w:rsidR="00BC197C">
              <w:rPr>
                <w:sz w:val="18"/>
                <w:szCs w:val="18"/>
              </w:rPr>
              <w:t>.</w:t>
            </w:r>
            <w:r w:rsidRPr="00A81C10">
              <w:rPr>
                <w:sz w:val="18"/>
                <w:szCs w:val="18"/>
              </w:rPr>
              <w:t>9</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94</w:t>
            </w:r>
            <w:r w:rsidR="00BC197C">
              <w:rPr>
                <w:sz w:val="18"/>
                <w:szCs w:val="18"/>
              </w:rPr>
              <w:t>.</w:t>
            </w:r>
            <w:r w:rsidRPr="00A81C10">
              <w:rPr>
                <w:sz w:val="18"/>
                <w:szCs w:val="18"/>
              </w:rPr>
              <w:t>1</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94</w:t>
            </w:r>
            <w:r w:rsidR="00BC197C">
              <w:rPr>
                <w:sz w:val="18"/>
                <w:szCs w:val="18"/>
              </w:rPr>
              <w:t>.</w:t>
            </w:r>
            <w:r w:rsidRPr="00A81C10">
              <w:rPr>
                <w:sz w:val="18"/>
                <w:szCs w:val="18"/>
              </w:rPr>
              <w:t>2</w:t>
            </w:r>
          </w:p>
        </w:tc>
      </w:tr>
      <w:tr w:rsidR="00FB2D7B" w:rsidRPr="00A81C10" w:rsidTr="003E13D0">
        <w:trPr>
          <w:trHeight w:val="240"/>
        </w:trPr>
        <w:tc>
          <w:tcPr>
            <w:tcW w:w="426"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10.3</w:t>
            </w:r>
          </w:p>
        </w:tc>
        <w:tc>
          <w:tcPr>
            <w:tcW w:w="850"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Rural</w:t>
            </w:r>
          </w:p>
        </w:tc>
        <w:tc>
          <w:tcPr>
            <w:tcW w:w="1701" w:type="dxa"/>
            <w:shd w:val="clear" w:color="auto" w:fill="auto"/>
            <w:noWrap/>
          </w:tcPr>
          <w:p w:rsidR="00FB2D7B" w:rsidRPr="00A81C10" w:rsidRDefault="00FB2D7B" w:rsidP="00A81C10">
            <w:pPr>
              <w:suppressAutoHyphens w:val="0"/>
              <w:spacing w:before="40" w:after="40" w:line="220" w:lineRule="exact"/>
              <w:ind w:right="113"/>
              <w:rPr>
                <w:sz w:val="18"/>
                <w:szCs w:val="18"/>
              </w:rPr>
            </w:pPr>
          </w:p>
        </w:tc>
        <w:tc>
          <w:tcPr>
            <w:tcW w:w="637"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63</w:t>
            </w:r>
            <w:r w:rsidR="00A81C10">
              <w:rPr>
                <w:sz w:val="18"/>
                <w:szCs w:val="18"/>
              </w:rPr>
              <w:t>.</w:t>
            </w:r>
            <w:r w:rsidRPr="00A81C10">
              <w:rPr>
                <w:sz w:val="18"/>
                <w:szCs w:val="18"/>
              </w:rPr>
              <w:t>9</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66</w:t>
            </w:r>
            <w:r w:rsidR="00A81C10">
              <w:rPr>
                <w:sz w:val="18"/>
                <w:szCs w:val="18"/>
              </w:rPr>
              <w:t>.</w:t>
            </w:r>
            <w:r w:rsidRPr="00A81C10">
              <w:rPr>
                <w:sz w:val="18"/>
                <w:szCs w:val="18"/>
              </w:rPr>
              <w:t>4</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69</w:t>
            </w:r>
            <w:r w:rsidR="00A81C10">
              <w:rPr>
                <w:sz w:val="18"/>
                <w:szCs w:val="18"/>
              </w:rPr>
              <w:t>.</w:t>
            </w:r>
            <w:r w:rsidRPr="00A81C10">
              <w:rPr>
                <w:sz w:val="18"/>
                <w:szCs w:val="18"/>
              </w:rPr>
              <w:t>8</w:t>
            </w:r>
          </w:p>
        </w:tc>
        <w:tc>
          <w:tcPr>
            <w:tcW w:w="637"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72</w:t>
            </w:r>
            <w:r w:rsidR="00A81C10">
              <w:rPr>
                <w:sz w:val="18"/>
                <w:szCs w:val="18"/>
              </w:rPr>
              <w:t>.</w:t>
            </w:r>
            <w:r w:rsidRPr="00A81C10">
              <w:rPr>
                <w:sz w:val="18"/>
                <w:szCs w:val="18"/>
              </w:rPr>
              <w:t>2</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72</w:t>
            </w:r>
            <w:r w:rsidR="00A81C10">
              <w:rPr>
                <w:sz w:val="18"/>
                <w:szCs w:val="18"/>
              </w:rPr>
              <w:t>.</w:t>
            </w:r>
            <w:r w:rsidRPr="00A81C10">
              <w:rPr>
                <w:sz w:val="18"/>
                <w:szCs w:val="18"/>
              </w:rPr>
              <w:t>5</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73</w:t>
            </w:r>
            <w:r w:rsidR="00A81C10">
              <w:rPr>
                <w:sz w:val="18"/>
                <w:szCs w:val="18"/>
              </w:rPr>
              <w:t>.</w:t>
            </w:r>
            <w:r w:rsidRPr="00A81C10">
              <w:rPr>
                <w:sz w:val="18"/>
                <w:szCs w:val="18"/>
              </w:rPr>
              <w:t>9</w:t>
            </w:r>
          </w:p>
        </w:tc>
      </w:tr>
      <w:tr w:rsidR="00FB2D7B" w:rsidRPr="00A81C10" w:rsidTr="003E13D0">
        <w:trPr>
          <w:trHeight w:val="240"/>
        </w:trPr>
        <w:tc>
          <w:tcPr>
            <w:tcW w:w="3544" w:type="dxa"/>
            <w:gridSpan w:val="4"/>
            <w:shd w:val="clear" w:color="auto" w:fill="auto"/>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11. Homes with electricity** (%)</w:t>
            </w:r>
          </w:p>
        </w:tc>
        <w:tc>
          <w:tcPr>
            <w:tcW w:w="637" w:type="dxa"/>
            <w:shd w:val="clear" w:color="auto" w:fill="auto"/>
            <w:noWrap/>
            <w:vAlign w:val="bottom"/>
          </w:tcPr>
          <w:p w:rsidR="00FB2D7B" w:rsidRPr="00A81C10" w:rsidRDefault="00FB2D7B"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FB2D7B" w:rsidRPr="00A81C10" w:rsidRDefault="00FB2D7B"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FB2D7B" w:rsidRPr="00A81C10" w:rsidRDefault="00FB2D7B" w:rsidP="00A81C10">
            <w:pPr>
              <w:pStyle w:val="SingleTxtG"/>
              <w:suppressAutoHyphens w:val="0"/>
              <w:spacing w:before="40" w:after="40" w:line="220" w:lineRule="exact"/>
              <w:ind w:left="0" w:right="113"/>
              <w:jc w:val="right"/>
              <w:rPr>
                <w:sz w:val="18"/>
              </w:rPr>
            </w:pPr>
          </w:p>
        </w:tc>
        <w:tc>
          <w:tcPr>
            <w:tcW w:w="637" w:type="dxa"/>
            <w:shd w:val="clear" w:color="auto" w:fill="auto"/>
            <w:noWrap/>
            <w:vAlign w:val="bottom"/>
          </w:tcPr>
          <w:p w:rsidR="00FB2D7B" w:rsidRPr="00A81C10" w:rsidRDefault="00FB2D7B"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FB2D7B" w:rsidRPr="00A81C10" w:rsidRDefault="00FB2D7B"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FB2D7B" w:rsidRPr="00A81C10" w:rsidRDefault="00FB2D7B" w:rsidP="00A81C10">
            <w:pPr>
              <w:pStyle w:val="SingleTxtG"/>
              <w:suppressAutoHyphens w:val="0"/>
              <w:spacing w:before="40" w:after="40" w:line="220" w:lineRule="exact"/>
              <w:ind w:left="0" w:right="113"/>
              <w:jc w:val="right"/>
              <w:rPr>
                <w:sz w:val="18"/>
              </w:rPr>
            </w:pPr>
          </w:p>
        </w:tc>
      </w:tr>
      <w:tr w:rsidR="00FB2D7B" w:rsidRPr="00A81C10" w:rsidTr="003E13D0">
        <w:trPr>
          <w:trHeight w:val="240"/>
        </w:trPr>
        <w:tc>
          <w:tcPr>
            <w:tcW w:w="426"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11.1</w:t>
            </w:r>
          </w:p>
        </w:tc>
        <w:tc>
          <w:tcPr>
            <w:tcW w:w="2551" w:type="dxa"/>
            <w:gridSpan w:val="2"/>
            <w:shd w:val="clear" w:color="auto" w:fill="auto"/>
            <w:noWrap/>
            <w:hideMark/>
          </w:tcPr>
          <w:p w:rsidR="00FB2D7B" w:rsidRPr="00A81C10" w:rsidRDefault="00FB2D7B" w:rsidP="00A81C10">
            <w:pPr>
              <w:pStyle w:val="SingleTxtG"/>
              <w:suppressAutoHyphens w:val="0"/>
              <w:spacing w:before="40" w:after="40" w:line="220" w:lineRule="exact"/>
              <w:ind w:left="0" w:right="113"/>
              <w:jc w:val="left"/>
              <w:rPr>
                <w:sz w:val="18"/>
              </w:rPr>
            </w:pPr>
            <w:r w:rsidRPr="00A81C10">
              <w:rPr>
                <w:sz w:val="18"/>
              </w:rPr>
              <w:t>National total</w:t>
            </w:r>
          </w:p>
        </w:tc>
        <w:tc>
          <w:tcPr>
            <w:tcW w:w="637"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91</w:t>
            </w:r>
            <w:r w:rsidR="00A81C10">
              <w:rPr>
                <w:sz w:val="18"/>
                <w:szCs w:val="18"/>
              </w:rPr>
              <w:t>.</w:t>
            </w:r>
            <w:r w:rsidRPr="00A81C10">
              <w:rPr>
                <w:sz w:val="18"/>
                <w:szCs w:val="18"/>
              </w:rPr>
              <w:t>6</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92</w:t>
            </w:r>
            <w:r w:rsidR="00A81C10">
              <w:rPr>
                <w:sz w:val="18"/>
                <w:szCs w:val="18"/>
              </w:rPr>
              <w:t>.</w:t>
            </w:r>
            <w:r w:rsidRPr="00A81C10">
              <w:rPr>
                <w:sz w:val="18"/>
                <w:szCs w:val="18"/>
              </w:rPr>
              <w:t>6</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93</w:t>
            </w:r>
            <w:r w:rsidR="00A81C10">
              <w:rPr>
                <w:sz w:val="18"/>
                <w:szCs w:val="18"/>
              </w:rPr>
              <w:t>.</w:t>
            </w:r>
            <w:r w:rsidRPr="00A81C10">
              <w:rPr>
                <w:sz w:val="18"/>
                <w:szCs w:val="18"/>
              </w:rPr>
              <w:t>6</w:t>
            </w:r>
          </w:p>
        </w:tc>
        <w:tc>
          <w:tcPr>
            <w:tcW w:w="637"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95</w:t>
            </w:r>
            <w:r w:rsidR="00A81C10">
              <w:rPr>
                <w:sz w:val="18"/>
                <w:szCs w:val="18"/>
              </w:rPr>
              <w:t>.</w:t>
            </w:r>
            <w:r w:rsidRPr="00A81C10">
              <w:rPr>
                <w:sz w:val="18"/>
                <w:szCs w:val="18"/>
              </w:rPr>
              <w:t>0</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95</w:t>
            </w:r>
            <w:r w:rsidR="00A81C10">
              <w:rPr>
                <w:sz w:val="18"/>
                <w:szCs w:val="18"/>
              </w:rPr>
              <w:t>.</w:t>
            </w:r>
            <w:r w:rsidRPr="00A81C10">
              <w:rPr>
                <w:sz w:val="18"/>
                <w:szCs w:val="18"/>
              </w:rPr>
              <w:t>1</w:t>
            </w:r>
          </w:p>
        </w:tc>
        <w:tc>
          <w:tcPr>
            <w:tcW w:w="638" w:type="dxa"/>
            <w:shd w:val="clear" w:color="auto" w:fill="auto"/>
            <w:noWrap/>
            <w:vAlign w:val="bottom"/>
          </w:tcPr>
          <w:p w:rsidR="00FB2D7B" w:rsidRPr="00A81C10" w:rsidRDefault="00FB2D7B" w:rsidP="00A81C10">
            <w:pPr>
              <w:suppressAutoHyphens w:val="0"/>
              <w:spacing w:before="40" w:after="40" w:line="220" w:lineRule="exact"/>
              <w:ind w:right="113"/>
              <w:jc w:val="right"/>
              <w:rPr>
                <w:sz w:val="18"/>
                <w:szCs w:val="18"/>
              </w:rPr>
            </w:pPr>
            <w:r w:rsidRPr="00A81C10">
              <w:rPr>
                <w:sz w:val="18"/>
                <w:szCs w:val="18"/>
              </w:rPr>
              <w:t>95</w:t>
            </w:r>
            <w:r w:rsidR="00A81C10">
              <w:rPr>
                <w:sz w:val="18"/>
                <w:szCs w:val="18"/>
              </w:rPr>
              <w:t>.</w:t>
            </w:r>
            <w:r w:rsidRPr="00A81C10">
              <w:rPr>
                <w:sz w:val="18"/>
                <w:szCs w:val="18"/>
              </w:rPr>
              <w:t>4</w:t>
            </w:r>
          </w:p>
        </w:tc>
      </w:tr>
      <w:tr w:rsidR="00C6358F" w:rsidRPr="00A81C10" w:rsidTr="003E13D0">
        <w:trPr>
          <w:trHeight w:val="240"/>
        </w:trPr>
        <w:tc>
          <w:tcPr>
            <w:tcW w:w="426"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11.2</w:t>
            </w:r>
          </w:p>
        </w:tc>
        <w:tc>
          <w:tcPr>
            <w:tcW w:w="850"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Urban</w:t>
            </w:r>
          </w:p>
        </w:tc>
        <w:tc>
          <w:tcPr>
            <w:tcW w:w="1701" w:type="dxa"/>
            <w:shd w:val="clear" w:color="auto" w:fill="auto"/>
            <w:noWrap/>
          </w:tcPr>
          <w:p w:rsidR="00C6358F" w:rsidRPr="00A81C10" w:rsidRDefault="00C6358F" w:rsidP="00A81C10">
            <w:pPr>
              <w:suppressAutoHyphens w:val="0"/>
              <w:spacing w:before="40" w:after="40" w:line="220" w:lineRule="exact"/>
              <w:ind w:right="113"/>
              <w:rPr>
                <w:sz w:val="18"/>
                <w:szCs w:val="18"/>
              </w:rPr>
            </w:pP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96</w:t>
            </w:r>
            <w:r w:rsidR="00A81C10">
              <w:rPr>
                <w:sz w:val="18"/>
                <w:szCs w:val="18"/>
              </w:rPr>
              <w:t>.</w:t>
            </w:r>
            <w:r w:rsidRPr="00A81C10">
              <w:rPr>
                <w:sz w:val="18"/>
                <w:szCs w:val="18"/>
              </w:rPr>
              <w:t>9</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97</w:t>
            </w:r>
            <w:r w:rsidR="00A81C10">
              <w:rPr>
                <w:sz w:val="18"/>
                <w:szCs w:val="18"/>
              </w:rPr>
              <w:t>.</w:t>
            </w:r>
            <w:r w:rsidRPr="00A81C10">
              <w:rPr>
                <w:sz w:val="18"/>
                <w:szCs w:val="18"/>
              </w:rPr>
              <w:t>2</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97</w:t>
            </w:r>
            <w:r w:rsidR="00A81C10">
              <w:rPr>
                <w:sz w:val="18"/>
                <w:szCs w:val="18"/>
              </w:rPr>
              <w:t>.</w:t>
            </w:r>
            <w:r w:rsidRPr="00A81C10">
              <w:rPr>
                <w:sz w:val="18"/>
                <w:szCs w:val="18"/>
              </w:rPr>
              <w:t>8</w:t>
            </w: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97</w:t>
            </w:r>
            <w:r w:rsidR="00A81C10">
              <w:rPr>
                <w:sz w:val="18"/>
                <w:szCs w:val="18"/>
              </w:rPr>
              <w:t>.</w:t>
            </w:r>
            <w:r w:rsidRPr="00A81C10">
              <w:rPr>
                <w:sz w:val="18"/>
                <w:szCs w:val="18"/>
              </w:rPr>
              <w:t>8</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97</w:t>
            </w:r>
            <w:r w:rsidR="00A81C10">
              <w:rPr>
                <w:sz w:val="18"/>
                <w:szCs w:val="18"/>
              </w:rPr>
              <w:t>.</w:t>
            </w:r>
            <w:r w:rsidRPr="00A81C10">
              <w:rPr>
                <w:sz w:val="18"/>
                <w:szCs w:val="18"/>
              </w:rPr>
              <w:t>8</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98</w:t>
            </w:r>
            <w:r w:rsidR="00A81C10">
              <w:rPr>
                <w:sz w:val="18"/>
                <w:szCs w:val="18"/>
              </w:rPr>
              <w:t>.</w:t>
            </w:r>
            <w:r w:rsidRPr="00A81C10">
              <w:rPr>
                <w:sz w:val="18"/>
                <w:szCs w:val="18"/>
              </w:rPr>
              <w:t>0</w:t>
            </w:r>
          </w:p>
        </w:tc>
      </w:tr>
      <w:tr w:rsidR="00C6358F" w:rsidRPr="00A81C10" w:rsidTr="003E13D0">
        <w:trPr>
          <w:trHeight w:val="240"/>
        </w:trPr>
        <w:tc>
          <w:tcPr>
            <w:tcW w:w="426"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11.3</w:t>
            </w:r>
          </w:p>
        </w:tc>
        <w:tc>
          <w:tcPr>
            <w:tcW w:w="850"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Rural</w:t>
            </w:r>
          </w:p>
        </w:tc>
        <w:tc>
          <w:tcPr>
            <w:tcW w:w="1701" w:type="dxa"/>
            <w:shd w:val="clear" w:color="auto" w:fill="auto"/>
            <w:noWrap/>
          </w:tcPr>
          <w:p w:rsidR="00C6358F" w:rsidRPr="00A81C10" w:rsidRDefault="00C6358F" w:rsidP="00A81C10">
            <w:pPr>
              <w:suppressAutoHyphens w:val="0"/>
              <w:spacing w:before="40" w:after="40" w:line="220" w:lineRule="exact"/>
              <w:ind w:right="113"/>
              <w:rPr>
                <w:sz w:val="18"/>
                <w:szCs w:val="18"/>
              </w:rPr>
            </w:pP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81</w:t>
            </w:r>
            <w:r w:rsidR="00A81C10">
              <w:rPr>
                <w:sz w:val="18"/>
                <w:szCs w:val="18"/>
              </w:rPr>
              <w:t>.</w:t>
            </w:r>
            <w:r w:rsidRPr="00A81C10">
              <w:rPr>
                <w:sz w:val="18"/>
                <w:szCs w:val="18"/>
              </w:rPr>
              <w:t>5</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83</w:t>
            </w:r>
            <w:r w:rsidR="00A81C10">
              <w:rPr>
                <w:sz w:val="18"/>
                <w:szCs w:val="18"/>
              </w:rPr>
              <w:t>.</w:t>
            </w:r>
            <w:r w:rsidRPr="00A81C10">
              <w:rPr>
                <w:sz w:val="18"/>
                <w:szCs w:val="18"/>
              </w:rPr>
              <w:t>8</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85</w:t>
            </w:r>
            <w:r w:rsidR="00A81C10">
              <w:rPr>
                <w:sz w:val="18"/>
                <w:szCs w:val="18"/>
              </w:rPr>
              <w:t>.</w:t>
            </w:r>
            <w:r w:rsidRPr="00A81C10">
              <w:rPr>
                <w:sz w:val="18"/>
                <w:szCs w:val="18"/>
              </w:rPr>
              <w:t>6</w:t>
            </w: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90</w:t>
            </w:r>
            <w:r w:rsidR="00A81C10">
              <w:rPr>
                <w:sz w:val="18"/>
                <w:szCs w:val="18"/>
              </w:rPr>
              <w:t>.</w:t>
            </w:r>
            <w:r w:rsidRPr="00A81C10">
              <w:rPr>
                <w:sz w:val="18"/>
                <w:szCs w:val="18"/>
              </w:rPr>
              <w:t>0</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90</w:t>
            </w:r>
            <w:r w:rsidR="00A81C10">
              <w:rPr>
                <w:sz w:val="18"/>
                <w:szCs w:val="18"/>
              </w:rPr>
              <w:t>.</w:t>
            </w:r>
            <w:r w:rsidRPr="00A81C10">
              <w:rPr>
                <w:sz w:val="18"/>
                <w:szCs w:val="18"/>
              </w:rPr>
              <w:t>3</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90</w:t>
            </w:r>
            <w:r w:rsidR="00A81C10">
              <w:rPr>
                <w:sz w:val="18"/>
                <w:szCs w:val="18"/>
              </w:rPr>
              <w:t>.</w:t>
            </w:r>
            <w:r w:rsidRPr="00A81C10">
              <w:rPr>
                <w:sz w:val="18"/>
                <w:szCs w:val="18"/>
              </w:rPr>
              <w:t>6</w:t>
            </w:r>
          </w:p>
        </w:tc>
      </w:tr>
      <w:tr w:rsidR="008F0122" w:rsidRPr="00A81C10" w:rsidTr="00096BD4">
        <w:trPr>
          <w:trHeight w:val="240"/>
        </w:trPr>
        <w:tc>
          <w:tcPr>
            <w:tcW w:w="7370" w:type="dxa"/>
            <w:gridSpan w:val="10"/>
            <w:shd w:val="clear" w:color="auto" w:fill="auto"/>
            <w:hideMark/>
          </w:tcPr>
          <w:p w:rsidR="008F0122" w:rsidRPr="00A81C10" w:rsidRDefault="008F0122" w:rsidP="008F0122">
            <w:pPr>
              <w:pStyle w:val="SingleTxtG"/>
              <w:suppressAutoHyphens w:val="0"/>
              <w:spacing w:before="40" w:after="40" w:line="220" w:lineRule="exact"/>
              <w:ind w:left="0" w:right="113"/>
              <w:jc w:val="left"/>
              <w:rPr>
                <w:sz w:val="18"/>
              </w:rPr>
            </w:pPr>
            <w:r w:rsidRPr="00A81C10">
              <w:rPr>
                <w:sz w:val="18"/>
              </w:rPr>
              <w:t>12. Homes, by construction materials (walls) (%)</w:t>
            </w:r>
          </w:p>
        </w:tc>
      </w:tr>
      <w:tr w:rsidR="00C6358F" w:rsidRPr="00A81C10" w:rsidTr="003E13D0">
        <w:trPr>
          <w:trHeight w:val="240"/>
        </w:trPr>
        <w:tc>
          <w:tcPr>
            <w:tcW w:w="426"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12.1</w:t>
            </w:r>
          </w:p>
        </w:tc>
        <w:tc>
          <w:tcPr>
            <w:tcW w:w="2551" w:type="dxa"/>
            <w:gridSpan w:val="2"/>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xml:space="preserve">National total </w:t>
            </w:r>
          </w:p>
        </w:tc>
        <w:tc>
          <w:tcPr>
            <w:tcW w:w="637"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7"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r>
      <w:tr w:rsidR="00C6358F" w:rsidRPr="00A81C10" w:rsidTr="003E13D0">
        <w:trPr>
          <w:trHeight w:val="240"/>
        </w:trPr>
        <w:tc>
          <w:tcPr>
            <w:tcW w:w="426"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p>
        </w:tc>
        <w:tc>
          <w:tcPr>
            <w:tcW w:w="850"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12.1.1</w:t>
            </w:r>
          </w:p>
        </w:tc>
        <w:tc>
          <w:tcPr>
            <w:tcW w:w="1701"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Mixed</w:t>
            </w: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71</w:t>
            </w:r>
            <w:r w:rsidR="00A81C10">
              <w:rPr>
                <w:sz w:val="18"/>
                <w:szCs w:val="18"/>
              </w:rPr>
              <w:t>.</w:t>
            </w:r>
            <w:r w:rsidRPr="00A81C10">
              <w:rPr>
                <w:sz w:val="18"/>
                <w:szCs w:val="18"/>
              </w:rPr>
              <w:t>5</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72</w:t>
            </w:r>
            <w:r w:rsidR="00A81C10">
              <w:rPr>
                <w:sz w:val="18"/>
                <w:szCs w:val="18"/>
              </w:rPr>
              <w:t>.</w:t>
            </w:r>
            <w:r w:rsidRPr="00A81C10">
              <w:rPr>
                <w:sz w:val="18"/>
                <w:szCs w:val="18"/>
              </w:rPr>
              <w:t>2</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73</w:t>
            </w:r>
            <w:r w:rsidR="00A81C10">
              <w:rPr>
                <w:sz w:val="18"/>
                <w:szCs w:val="18"/>
              </w:rPr>
              <w:t>.</w:t>
            </w:r>
            <w:r w:rsidRPr="00A81C10">
              <w:rPr>
                <w:sz w:val="18"/>
                <w:szCs w:val="18"/>
              </w:rPr>
              <w:t>2</w:t>
            </w: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72</w:t>
            </w:r>
            <w:r w:rsidR="00A81C10">
              <w:rPr>
                <w:sz w:val="18"/>
                <w:szCs w:val="18"/>
              </w:rPr>
              <w:t>.</w:t>
            </w:r>
            <w:r w:rsidRPr="00A81C10">
              <w:rPr>
                <w:sz w:val="18"/>
                <w:szCs w:val="18"/>
              </w:rPr>
              <w:t>5</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73</w:t>
            </w:r>
            <w:r w:rsidR="00A81C10">
              <w:rPr>
                <w:sz w:val="18"/>
                <w:szCs w:val="18"/>
              </w:rPr>
              <w:t>.</w:t>
            </w:r>
            <w:r w:rsidRPr="00A81C10">
              <w:rPr>
                <w:sz w:val="18"/>
                <w:szCs w:val="18"/>
              </w:rPr>
              <w:t>3</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74</w:t>
            </w:r>
            <w:r w:rsidR="00A81C10">
              <w:rPr>
                <w:sz w:val="18"/>
                <w:szCs w:val="18"/>
              </w:rPr>
              <w:t>.</w:t>
            </w:r>
            <w:r w:rsidRPr="00A81C10">
              <w:rPr>
                <w:sz w:val="18"/>
                <w:szCs w:val="18"/>
              </w:rPr>
              <w:t>6</w:t>
            </w:r>
          </w:p>
        </w:tc>
      </w:tr>
      <w:tr w:rsidR="00C6358F" w:rsidRPr="00A81C10" w:rsidTr="003E13D0">
        <w:trPr>
          <w:trHeight w:val="240"/>
        </w:trPr>
        <w:tc>
          <w:tcPr>
            <w:tcW w:w="426"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p>
        </w:tc>
        <w:tc>
          <w:tcPr>
            <w:tcW w:w="850"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12.1.2</w:t>
            </w:r>
          </w:p>
        </w:tc>
        <w:tc>
          <w:tcPr>
            <w:tcW w:w="1701"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Wattle and daub</w:t>
            </w: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3</w:t>
            </w:r>
            <w:r w:rsidR="00A81C10">
              <w:rPr>
                <w:sz w:val="18"/>
                <w:szCs w:val="18"/>
              </w:rPr>
              <w:t>.</w:t>
            </w:r>
            <w:r w:rsidRPr="00A81C10">
              <w:rPr>
                <w:sz w:val="18"/>
                <w:szCs w:val="18"/>
              </w:rPr>
              <w:t>4</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3</w:t>
            </w:r>
            <w:r w:rsidR="00A81C10">
              <w:rPr>
                <w:sz w:val="18"/>
                <w:szCs w:val="18"/>
              </w:rPr>
              <w:t>.</w:t>
            </w:r>
            <w:r w:rsidRPr="00A81C10">
              <w:rPr>
                <w:sz w:val="18"/>
                <w:szCs w:val="18"/>
              </w:rPr>
              <w:t>5</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3</w:t>
            </w:r>
            <w:r w:rsidR="00A81C10">
              <w:rPr>
                <w:sz w:val="18"/>
                <w:szCs w:val="18"/>
              </w:rPr>
              <w:t>.</w:t>
            </w:r>
            <w:r w:rsidRPr="00A81C10">
              <w:rPr>
                <w:sz w:val="18"/>
                <w:szCs w:val="18"/>
              </w:rPr>
              <w:t>3</w:t>
            </w: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3</w:t>
            </w:r>
            <w:r w:rsidR="00A81C10">
              <w:rPr>
                <w:sz w:val="18"/>
                <w:szCs w:val="18"/>
              </w:rPr>
              <w:t>.</w:t>
            </w:r>
            <w:r w:rsidRPr="00A81C10">
              <w:rPr>
                <w:sz w:val="18"/>
                <w:szCs w:val="18"/>
              </w:rPr>
              <w:t>1</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2</w:t>
            </w:r>
            <w:r w:rsidR="00A81C10">
              <w:rPr>
                <w:sz w:val="18"/>
                <w:szCs w:val="18"/>
              </w:rPr>
              <w:t>.</w:t>
            </w:r>
            <w:r w:rsidRPr="00A81C10">
              <w:rPr>
                <w:sz w:val="18"/>
                <w:szCs w:val="18"/>
              </w:rPr>
              <w:t>8</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2</w:t>
            </w:r>
            <w:r w:rsidR="00A81C10">
              <w:rPr>
                <w:sz w:val="18"/>
                <w:szCs w:val="18"/>
              </w:rPr>
              <w:t>.</w:t>
            </w:r>
            <w:r w:rsidRPr="00A81C10">
              <w:rPr>
                <w:sz w:val="18"/>
                <w:szCs w:val="18"/>
              </w:rPr>
              <w:t>8</w:t>
            </w:r>
          </w:p>
        </w:tc>
      </w:tr>
      <w:tr w:rsidR="00C6358F" w:rsidRPr="00A81C10" w:rsidTr="003E13D0">
        <w:trPr>
          <w:trHeight w:val="240"/>
        </w:trPr>
        <w:tc>
          <w:tcPr>
            <w:tcW w:w="426"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p>
        </w:tc>
        <w:tc>
          <w:tcPr>
            <w:tcW w:w="850"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12.1.3</w:t>
            </w:r>
          </w:p>
        </w:tc>
        <w:tc>
          <w:tcPr>
            <w:tcW w:w="1701"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Adobe</w:t>
            </w: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15</w:t>
            </w:r>
            <w:r w:rsidR="00A81C10">
              <w:rPr>
                <w:sz w:val="18"/>
                <w:szCs w:val="18"/>
              </w:rPr>
              <w:t>.</w:t>
            </w:r>
            <w:r w:rsidRPr="00A81C10">
              <w:rPr>
                <w:sz w:val="18"/>
                <w:szCs w:val="18"/>
              </w:rPr>
              <w:t>7</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15</w:t>
            </w:r>
            <w:r w:rsidR="00A81C10">
              <w:rPr>
                <w:sz w:val="18"/>
                <w:szCs w:val="18"/>
              </w:rPr>
              <w:t>.</w:t>
            </w:r>
            <w:r w:rsidRPr="00A81C10">
              <w:rPr>
                <w:sz w:val="18"/>
                <w:szCs w:val="18"/>
              </w:rPr>
              <w:t>7</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15</w:t>
            </w:r>
            <w:r w:rsidR="00A81C10">
              <w:rPr>
                <w:sz w:val="18"/>
                <w:szCs w:val="18"/>
              </w:rPr>
              <w:t>.</w:t>
            </w:r>
            <w:r w:rsidRPr="00A81C10">
              <w:rPr>
                <w:sz w:val="18"/>
                <w:szCs w:val="18"/>
              </w:rPr>
              <w:t>3</w:t>
            </w:r>
          </w:p>
        </w:tc>
        <w:tc>
          <w:tcPr>
            <w:tcW w:w="637"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15</w:t>
            </w:r>
            <w:r w:rsidR="00A81C10">
              <w:rPr>
                <w:sz w:val="18"/>
                <w:szCs w:val="18"/>
              </w:rPr>
              <w:t>.</w:t>
            </w:r>
            <w:r w:rsidRPr="00A81C10">
              <w:rPr>
                <w:sz w:val="18"/>
                <w:szCs w:val="18"/>
              </w:rPr>
              <w:t>7</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15</w:t>
            </w:r>
            <w:r w:rsidR="00A81C10">
              <w:rPr>
                <w:sz w:val="18"/>
                <w:szCs w:val="18"/>
              </w:rPr>
              <w:t>.</w:t>
            </w:r>
            <w:r w:rsidRPr="00A81C10">
              <w:rPr>
                <w:sz w:val="18"/>
                <w:szCs w:val="18"/>
              </w:rPr>
              <w:t>1</w:t>
            </w:r>
          </w:p>
        </w:tc>
        <w:tc>
          <w:tcPr>
            <w:tcW w:w="638" w:type="dxa"/>
            <w:shd w:val="clear" w:color="auto" w:fill="auto"/>
            <w:noWrap/>
            <w:vAlign w:val="bottom"/>
          </w:tcPr>
          <w:p w:rsidR="00C6358F" w:rsidRPr="00A81C10" w:rsidRDefault="00C6358F" w:rsidP="00A81C10">
            <w:pPr>
              <w:suppressAutoHyphens w:val="0"/>
              <w:spacing w:before="40" w:after="40" w:line="220" w:lineRule="exact"/>
              <w:ind w:right="113"/>
              <w:jc w:val="right"/>
              <w:rPr>
                <w:sz w:val="18"/>
                <w:szCs w:val="18"/>
              </w:rPr>
            </w:pPr>
            <w:r w:rsidRPr="00A81C10">
              <w:rPr>
                <w:sz w:val="18"/>
                <w:szCs w:val="18"/>
              </w:rPr>
              <w:t>14</w:t>
            </w:r>
            <w:r w:rsidR="00A81C10">
              <w:rPr>
                <w:sz w:val="18"/>
                <w:szCs w:val="18"/>
              </w:rPr>
              <w:t>.</w:t>
            </w:r>
            <w:r w:rsidRPr="00A81C10">
              <w:rPr>
                <w:sz w:val="18"/>
                <w:szCs w:val="18"/>
              </w:rPr>
              <w:t>1</w:t>
            </w:r>
          </w:p>
        </w:tc>
      </w:tr>
      <w:tr w:rsidR="00C6358F" w:rsidRPr="00A81C10" w:rsidTr="003E13D0">
        <w:trPr>
          <w:trHeight w:val="240"/>
        </w:trPr>
        <w:tc>
          <w:tcPr>
            <w:tcW w:w="426"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12.2</w:t>
            </w:r>
          </w:p>
        </w:tc>
        <w:tc>
          <w:tcPr>
            <w:tcW w:w="850"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Urban</w:t>
            </w:r>
          </w:p>
        </w:tc>
        <w:tc>
          <w:tcPr>
            <w:tcW w:w="1701" w:type="dxa"/>
            <w:shd w:val="clear" w:color="auto" w:fill="auto"/>
            <w:noWrap/>
            <w:hideMark/>
          </w:tcPr>
          <w:p w:rsidR="00C6358F" w:rsidRPr="00A81C10" w:rsidRDefault="00C6358F" w:rsidP="00A81C10">
            <w:pPr>
              <w:pStyle w:val="SingleTxtG"/>
              <w:suppressAutoHyphens w:val="0"/>
              <w:spacing w:before="40" w:after="40" w:line="220" w:lineRule="exact"/>
              <w:ind w:left="0" w:right="113"/>
              <w:jc w:val="left"/>
              <w:rPr>
                <w:sz w:val="18"/>
              </w:rPr>
            </w:pPr>
            <w:r w:rsidRPr="00A81C10">
              <w:rPr>
                <w:sz w:val="18"/>
              </w:rPr>
              <w:t> </w:t>
            </w:r>
          </w:p>
        </w:tc>
        <w:tc>
          <w:tcPr>
            <w:tcW w:w="637"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7"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c>
          <w:tcPr>
            <w:tcW w:w="638" w:type="dxa"/>
            <w:shd w:val="clear" w:color="auto" w:fill="auto"/>
            <w:noWrap/>
            <w:vAlign w:val="bottom"/>
          </w:tcPr>
          <w:p w:rsidR="00C6358F" w:rsidRPr="00A81C10" w:rsidRDefault="00C6358F" w:rsidP="00A81C10">
            <w:pPr>
              <w:pStyle w:val="SingleTxtG"/>
              <w:suppressAutoHyphens w:val="0"/>
              <w:spacing w:before="40" w:after="40" w:line="220" w:lineRule="exact"/>
              <w:ind w:left="0" w:right="113"/>
              <w:jc w:val="right"/>
              <w:rPr>
                <w:sz w:val="18"/>
              </w:rPr>
            </w:pPr>
          </w:p>
        </w:tc>
      </w:tr>
      <w:tr w:rsidR="00A07983" w:rsidRPr="00A81C10" w:rsidTr="003E13D0">
        <w:trPr>
          <w:trHeight w:val="240"/>
        </w:trPr>
        <w:tc>
          <w:tcPr>
            <w:tcW w:w="426"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p>
        </w:tc>
        <w:tc>
          <w:tcPr>
            <w:tcW w:w="850"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12.2.1</w:t>
            </w:r>
          </w:p>
        </w:tc>
        <w:tc>
          <w:tcPr>
            <w:tcW w:w="1701"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Mixed</w:t>
            </w:r>
          </w:p>
        </w:tc>
        <w:tc>
          <w:tcPr>
            <w:tcW w:w="637"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84</w:t>
            </w:r>
            <w:r w:rsidR="00A81C10">
              <w:rPr>
                <w:sz w:val="18"/>
                <w:szCs w:val="18"/>
              </w:rPr>
              <w:t>.</w:t>
            </w:r>
            <w:r w:rsidRPr="00A81C10">
              <w:rPr>
                <w:sz w:val="18"/>
                <w:szCs w:val="18"/>
              </w:rPr>
              <w:t>1</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84</w:t>
            </w:r>
            <w:r w:rsidR="00A81C10">
              <w:rPr>
                <w:sz w:val="18"/>
                <w:szCs w:val="18"/>
              </w:rPr>
              <w:t>.</w:t>
            </w:r>
            <w:r w:rsidRPr="00A81C10">
              <w:rPr>
                <w:sz w:val="18"/>
                <w:szCs w:val="18"/>
              </w:rPr>
              <w:t>2</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85</w:t>
            </w:r>
            <w:r w:rsidR="00A81C10">
              <w:rPr>
                <w:sz w:val="18"/>
                <w:szCs w:val="18"/>
              </w:rPr>
              <w:t>.</w:t>
            </w:r>
            <w:r w:rsidRPr="00A81C10">
              <w:rPr>
                <w:sz w:val="18"/>
                <w:szCs w:val="18"/>
              </w:rPr>
              <w:t>1</w:t>
            </w:r>
          </w:p>
        </w:tc>
        <w:tc>
          <w:tcPr>
            <w:tcW w:w="637"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84</w:t>
            </w:r>
            <w:r w:rsidR="00A81C10">
              <w:rPr>
                <w:sz w:val="18"/>
                <w:szCs w:val="18"/>
              </w:rPr>
              <w:t>.</w:t>
            </w:r>
            <w:r w:rsidRPr="00A81C10">
              <w:rPr>
                <w:sz w:val="18"/>
                <w:szCs w:val="18"/>
              </w:rPr>
              <w:t>2</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85</w:t>
            </w:r>
            <w:r w:rsidR="00A81C10">
              <w:rPr>
                <w:sz w:val="18"/>
                <w:szCs w:val="18"/>
              </w:rPr>
              <w:t>.</w:t>
            </w:r>
            <w:r w:rsidRPr="00A81C10">
              <w:rPr>
                <w:sz w:val="18"/>
                <w:szCs w:val="18"/>
              </w:rPr>
              <w:t>2</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86</w:t>
            </w:r>
            <w:r w:rsidR="00A81C10">
              <w:rPr>
                <w:sz w:val="18"/>
                <w:szCs w:val="18"/>
              </w:rPr>
              <w:t>.</w:t>
            </w:r>
            <w:r w:rsidRPr="00A81C10">
              <w:rPr>
                <w:sz w:val="18"/>
                <w:szCs w:val="18"/>
              </w:rPr>
              <w:t>1</w:t>
            </w:r>
          </w:p>
        </w:tc>
      </w:tr>
      <w:tr w:rsidR="00A07983" w:rsidRPr="00A81C10" w:rsidTr="003E13D0">
        <w:trPr>
          <w:trHeight w:val="240"/>
        </w:trPr>
        <w:tc>
          <w:tcPr>
            <w:tcW w:w="426" w:type="dxa"/>
            <w:tcBorders>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 </w:t>
            </w:r>
          </w:p>
        </w:tc>
        <w:tc>
          <w:tcPr>
            <w:tcW w:w="567" w:type="dxa"/>
            <w:tcBorders>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p>
        </w:tc>
        <w:tc>
          <w:tcPr>
            <w:tcW w:w="850" w:type="dxa"/>
            <w:tcBorders>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12.2.2</w:t>
            </w:r>
          </w:p>
        </w:tc>
        <w:tc>
          <w:tcPr>
            <w:tcW w:w="1701" w:type="dxa"/>
            <w:tcBorders>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Wattle and daub</w:t>
            </w:r>
          </w:p>
        </w:tc>
        <w:tc>
          <w:tcPr>
            <w:tcW w:w="637"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1</w:t>
            </w:r>
            <w:r w:rsidR="00A81C10">
              <w:rPr>
                <w:sz w:val="18"/>
                <w:szCs w:val="18"/>
              </w:rPr>
              <w:t>.</w:t>
            </w:r>
            <w:r w:rsidRPr="00A81C10">
              <w:rPr>
                <w:sz w:val="18"/>
                <w:szCs w:val="18"/>
              </w:rPr>
              <w:t>5</w:t>
            </w:r>
          </w:p>
        </w:tc>
        <w:tc>
          <w:tcPr>
            <w:tcW w:w="638"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1</w:t>
            </w:r>
            <w:r w:rsidR="00A81C10">
              <w:rPr>
                <w:sz w:val="18"/>
                <w:szCs w:val="18"/>
              </w:rPr>
              <w:t>.</w:t>
            </w:r>
            <w:r w:rsidRPr="00A81C10">
              <w:rPr>
                <w:sz w:val="18"/>
                <w:szCs w:val="18"/>
              </w:rPr>
              <w:t>5</w:t>
            </w:r>
          </w:p>
        </w:tc>
        <w:tc>
          <w:tcPr>
            <w:tcW w:w="638"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1</w:t>
            </w:r>
            <w:r w:rsidR="00A81C10">
              <w:rPr>
                <w:sz w:val="18"/>
                <w:szCs w:val="18"/>
              </w:rPr>
              <w:t>.</w:t>
            </w:r>
            <w:r w:rsidRPr="00A81C10">
              <w:rPr>
                <w:sz w:val="18"/>
                <w:szCs w:val="18"/>
              </w:rPr>
              <w:t>4</w:t>
            </w:r>
          </w:p>
        </w:tc>
        <w:tc>
          <w:tcPr>
            <w:tcW w:w="637"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1</w:t>
            </w:r>
            <w:r w:rsidR="00A81C10">
              <w:rPr>
                <w:sz w:val="18"/>
                <w:szCs w:val="18"/>
              </w:rPr>
              <w:t>.</w:t>
            </w:r>
            <w:r w:rsidRPr="00A81C10">
              <w:rPr>
                <w:sz w:val="18"/>
                <w:szCs w:val="18"/>
              </w:rPr>
              <w:t>4</w:t>
            </w:r>
          </w:p>
        </w:tc>
        <w:tc>
          <w:tcPr>
            <w:tcW w:w="638"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1</w:t>
            </w:r>
            <w:r w:rsidR="00A81C10">
              <w:rPr>
                <w:sz w:val="18"/>
                <w:szCs w:val="18"/>
              </w:rPr>
              <w:t>.</w:t>
            </w:r>
            <w:r w:rsidRPr="00A81C10">
              <w:rPr>
                <w:sz w:val="18"/>
                <w:szCs w:val="18"/>
              </w:rPr>
              <w:t>2</w:t>
            </w:r>
          </w:p>
        </w:tc>
        <w:tc>
          <w:tcPr>
            <w:tcW w:w="638"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1</w:t>
            </w:r>
            <w:r w:rsidR="00A81C10">
              <w:rPr>
                <w:sz w:val="18"/>
                <w:szCs w:val="18"/>
              </w:rPr>
              <w:t>.</w:t>
            </w:r>
            <w:r w:rsidRPr="00A81C10">
              <w:rPr>
                <w:sz w:val="18"/>
                <w:szCs w:val="18"/>
              </w:rPr>
              <w:t>2</w:t>
            </w:r>
          </w:p>
        </w:tc>
      </w:tr>
      <w:tr w:rsidR="00A07983" w:rsidRPr="00A81C10" w:rsidTr="003E13D0">
        <w:trPr>
          <w:trHeight w:val="240"/>
        </w:trPr>
        <w:tc>
          <w:tcPr>
            <w:tcW w:w="426" w:type="dxa"/>
            <w:tcBorders>
              <w:top w:val="nil"/>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 </w:t>
            </w:r>
          </w:p>
        </w:tc>
        <w:tc>
          <w:tcPr>
            <w:tcW w:w="567" w:type="dxa"/>
            <w:tcBorders>
              <w:top w:val="nil"/>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p>
        </w:tc>
        <w:tc>
          <w:tcPr>
            <w:tcW w:w="850" w:type="dxa"/>
            <w:tcBorders>
              <w:top w:val="nil"/>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12.2.3</w:t>
            </w:r>
          </w:p>
        </w:tc>
        <w:tc>
          <w:tcPr>
            <w:tcW w:w="1701" w:type="dxa"/>
            <w:tcBorders>
              <w:top w:val="nil"/>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Adobe</w:t>
            </w:r>
          </w:p>
        </w:tc>
        <w:tc>
          <w:tcPr>
            <w:tcW w:w="637"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7</w:t>
            </w:r>
            <w:r w:rsidR="00A81C10">
              <w:rPr>
                <w:sz w:val="18"/>
                <w:szCs w:val="18"/>
              </w:rPr>
              <w:t>.</w:t>
            </w:r>
            <w:r w:rsidRPr="00A81C10">
              <w:rPr>
                <w:sz w:val="18"/>
                <w:szCs w:val="18"/>
              </w:rPr>
              <w:t>8</w:t>
            </w:r>
          </w:p>
        </w:tc>
        <w:tc>
          <w:tcPr>
            <w:tcW w:w="638"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w:t>
            </w:r>
            <w:r w:rsidR="00A81C10">
              <w:rPr>
                <w:sz w:val="18"/>
                <w:szCs w:val="18"/>
              </w:rPr>
              <w:t>.</w:t>
            </w:r>
            <w:r w:rsidRPr="00A81C10">
              <w:rPr>
                <w:sz w:val="18"/>
                <w:szCs w:val="18"/>
              </w:rPr>
              <w:t>2</w:t>
            </w:r>
          </w:p>
        </w:tc>
        <w:tc>
          <w:tcPr>
            <w:tcW w:w="638"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7</w:t>
            </w:r>
            <w:r w:rsidR="00A81C10">
              <w:rPr>
                <w:sz w:val="18"/>
                <w:szCs w:val="18"/>
              </w:rPr>
              <w:t>.</w:t>
            </w:r>
            <w:r w:rsidRPr="00A81C10">
              <w:rPr>
                <w:sz w:val="18"/>
                <w:szCs w:val="18"/>
              </w:rPr>
              <w:t>9</w:t>
            </w:r>
          </w:p>
        </w:tc>
        <w:tc>
          <w:tcPr>
            <w:tcW w:w="637"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w:t>
            </w:r>
            <w:r w:rsidR="00A81C10">
              <w:rPr>
                <w:sz w:val="18"/>
                <w:szCs w:val="18"/>
              </w:rPr>
              <w:t>.</w:t>
            </w:r>
            <w:r w:rsidRPr="00A81C10">
              <w:rPr>
                <w:sz w:val="18"/>
                <w:szCs w:val="18"/>
              </w:rPr>
              <w:t>6</w:t>
            </w:r>
          </w:p>
        </w:tc>
        <w:tc>
          <w:tcPr>
            <w:tcW w:w="638"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7</w:t>
            </w:r>
            <w:r w:rsidR="00A81C10">
              <w:rPr>
                <w:sz w:val="18"/>
                <w:szCs w:val="18"/>
              </w:rPr>
              <w:t>.</w:t>
            </w:r>
            <w:r w:rsidRPr="00A81C10">
              <w:rPr>
                <w:sz w:val="18"/>
                <w:szCs w:val="18"/>
              </w:rPr>
              <w:t>6</w:t>
            </w:r>
          </w:p>
        </w:tc>
        <w:tc>
          <w:tcPr>
            <w:tcW w:w="638"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7</w:t>
            </w:r>
            <w:r w:rsidR="00A81C10">
              <w:rPr>
                <w:sz w:val="18"/>
                <w:szCs w:val="18"/>
              </w:rPr>
              <w:t>.</w:t>
            </w:r>
            <w:r w:rsidRPr="00A81C10">
              <w:rPr>
                <w:sz w:val="18"/>
                <w:szCs w:val="18"/>
              </w:rPr>
              <w:t>0</w:t>
            </w:r>
          </w:p>
        </w:tc>
      </w:tr>
      <w:tr w:rsidR="00A07983" w:rsidRPr="00A81C10" w:rsidTr="003E13D0">
        <w:trPr>
          <w:trHeight w:val="240"/>
        </w:trPr>
        <w:tc>
          <w:tcPr>
            <w:tcW w:w="426" w:type="dxa"/>
            <w:tcBorders>
              <w:top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 </w:t>
            </w:r>
          </w:p>
        </w:tc>
        <w:tc>
          <w:tcPr>
            <w:tcW w:w="567" w:type="dxa"/>
            <w:tcBorders>
              <w:top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12.3</w:t>
            </w:r>
          </w:p>
        </w:tc>
        <w:tc>
          <w:tcPr>
            <w:tcW w:w="850" w:type="dxa"/>
            <w:tcBorders>
              <w:top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 xml:space="preserve">Rural </w:t>
            </w:r>
          </w:p>
        </w:tc>
        <w:tc>
          <w:tcPr>
            <w:tcW w:w="1701" w:type="dxa"/>
            <w:tcBorders>
              <w:top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 </w:t>
            </w:r>
          </w:p>
        </w:tc>
        <w:tc>
          <w:tcPr>
            <w:tcW w:w="637" w:type="dxa"/>
            <w:tcBorders>
              <w:top w:val="nil"/>
            </w:tcBorders>
            <w:shd w:val="clear" w:color="auto" w:fill="auto"/>
            <w:noWrap/>
            <w:vAlign w:val="bottom"/>
          </w:tcPr>
          <w:p w:rsidR="00A07983" w:rsidRPr="00A81C10" w:rsidRDefault="00A07983" w:rsidP="002437C2">
            <w:pPr>
              <w:pStyle w:val="SingleTxtG"/>
              <w:keepNext/>
              <w:keepLines/>
              <w:suppressAutoHyphens w:val="0"/>
              <w:spacing w:before="40" w:after="40" w:line="220" w:lineRule="exact"/>
              <w:ind w:left="0" w:right="113"/>
              <w:jc w:val="right"/>
              <w:rPr>
                <w:sz w:val="18"/>
              </w:rPr>
            </w:pPr>
          </w:p>
        </w:tc>
        <w:tc>
          <w:tcPr>
            <w:tcW w:w="638" w:type="dxa"/>
            <w:tcBorders>
              <w:top w:val="nil"/>
            </w:tcBorders>
            <w:shd w:val="clear" w:color="auto" w:fill="auto"/>
            <w:noWrap/>
            <w:vAlign w:val="bottom"/>
          </w:tcPr>
          <w:p w:rsidR="00A07983" w:rsidRPr="00A81C10" w:rsidRDefault="00A07983" w:rsidP="002437C2">
            <w:pPr>
              <w:pStyle w:val="SingleTxtG"/>
              <w:keepNext/>
              <w:keepLines/>
              <w:suppressAutoHyphens w:val="0"/>
              <w:spacing w:before="40" w:after="40" w:line="220" w:lineRule="exact"/>
              <w:ind w:left="0" w:right="113"/>
              <w:jc w:val="right"/>
              <w:rPr>
                <w:sz w:val="18"/>
              </w:rPr>
            </w:pPr>
          </w:p>
        </w:tc>
        <w:tc>
          <w:tcPr>
            <w:tcW w:w="638" w:type="dxa"/>
            <w:tcBorders>
              <w:top w:val="nil"/>
            </w:tcBorders>
            <w:shd w:val="clear" w:color="auto" w:fill="auto"/>
            <w:noWrap/>
            <w:vAlign w:val="bottom"/>
          </w:tcPr>
          <w:p w:rsidR="00A07983" w:rsidRPr="00A81C10" w:rsidRDefault="00A07983" w:rsidP="002437C2">
            <w:pPr>
              <w:pStyle w:val="SingleTxtG"/>
              <w:keepNext/>
              <w:keepLines/>
              <w:suppressAutoHyphens w:val="0"/>
              <w:spacing w:before="40" w:after="40" w:line="220" w:lineRule="exact"/>
              <w:ind w:left="0" w:right="113"/>
              <w:jc w:val="right"/>
              <w:rPr>
                <w:sz w:val="18"/>
              </w:rPr>
            </w:pPr>
          </w:p>
        </w:tc>
        <w:tc>
          <w:tcPr>
            <w:tcW w:w="637" w:type="dxa"/>
            <w:tcBorders>
              <w:top w:val="nil"/>
            </w:tcBorders>
            <w:shd w:val="clear" w:color="auto" w:fill="auto"/>
            <w:noWrap/>
            <w:vAlign w:val="bottom"/>
          </w:tcPr>
          <w:p w:rsidR="00A07983" w:rsidRPr="00A81C10" w:rsidRDefault="00A07983" w:rsidP="002437C2">
            <w:pPr>
              <w:pStyle w:val="SingleTxtG"/>
              <w:keepNext/>
              <w:keepLines/>
              <w:suppressAutoHyphens w:val="0"/>
              <w:spacing w:before="40" w:after="40" w:line="220" w:lineRule="exact"/>
              <w:ind w:left="0" w:right="113"/>
              <w:jc w:val="right"/>
              <w:rPr>
                <w:sz w:val="18"/>
              </w:rPr>
            </w:pPr>
          </w:p>
        </w:tc>
        <w:tc>
          <w:tcPr>
            <w:tcW w:w="638" w:type="dxa"/>
            <w:tcBorders>
              <w:top w:val="nil"/>
            </w:tcBorders>
            <w:shd w:val="clear" w:color="auto" w:fill="auto"/>
            <w:noWrap/>
            <w:vAlign w:val="bottom"/>
          </w:tcPr>
          <w:p w:rsidR="00A07983" w:rsidRPr="00A81C10" w:rsidRDefault="00A07983" w:rsidP="002437C2">
            <w:pPr>
              <w:pStyle w:val="SingleTxtG"/>
              <w:keepNext/>
              <w:keepLines/>
              <w:suppressAutoHyphens w:val="0"/>
              <w:spacing w:before="40" w:after="40" w:line="220" w:lineRule="exact"/>
              <w:ind w:left="0" w:right="113"/>
              <w:jc w:val="right"/>
              <w:rPr>
                <w:sz w:val="18"/>
              </w:rPr>
            </w:pPr>
          </w:p>
        </w:tc>
        <w:tc>
          <w:tcPr>
            <w:tcW w:w="638" w:type="dxa"/>
            <w:tcBorders>
              <w:top w:val="nil"/>
            </w:tcBorders>
            <w:shd w:val="clear" w:color="auto" w:fill="auto"/>
            <w:noWrap/>
            <w:vAlign w:val="bottom"/>
          </w:tcPr>
          <w:p w:rsidR="00A07983" w:rsidRPr="00A81C10" w:rsidRDefault="00A07983" w:rsidP="002437C2">
            <w:pPr>
              <w:pStyle w:val="SingleTxtG"/>
              <w:keepNext/>
              <w:keepLines/>
              <w:suppressAutoHyphens w:val="0"/>
              <w:spacing w:before="40" w:after="40" w:line="220" w:lineRule="exact"/>
              <w:ind w:left="0" w:right="113"/>
              <w:jc w:val="right"/>
              <w:rPr>
                <w:sz w:val="18"/>
              </w:rPr>
            </w:pPr>
          </w:p>
        </w:tc>
      </w:tr>
      <w:tr w:rsidR="00A07983" w:rsidRPr="00A81C10" w:rsidTr="003E13D0">
        <w:trPr>
          <w:trHeight w:val="240"/>
        </w:trPr>
        <w:tc>
          <w:tcPr>
            <w:tcW w:w="426" w:type="dxa"/>
            <w:tcBorders>
              <w:bottom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 </w:t>
            </w:r>
          </w:p>
        </w:tc>
        <w:tc>
          <w:tcPr>
            <w:tcW w:w="567" w:type="dxa"/>
            <w:tcBorders>
              <w:bottom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p>
        </w:tc>
        <w:tc>
          <w:tcPr>
            <w:tcW w:w="850" w:type="dxa"/>
            <w:tcBorders>
              <w:bottom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12.3.1</w:t>
            </w:r>
          </w:p>
        </w:tc>
        <w:tc>
          <w:tcPr>
            <w:tcW w:w="1701" w:type="dxa"/>
            <w:tcBorders>
              <w:bottom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Mixed</w:t>
            </w:r>
          </w:p>
        </w:tc>
        <w:tc>
          <w:tcPr>
            <w:tcW w:w="637" w:type="dxa"/>
            <w:tcBorders>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47</w:t>
            </w:r>
            <w:r w:rsidR="00A81C10">
              <w:rPr>
                <w:sz w:val="18"/>
                <w:szCs w:val="18"/>
              </w:rPr>
              <w:t>.</w:t>
            </w:r>
            <w:r w:rsidRPr="00A81C10">
              <w:rPr>
                <w:sz w:val="18"/>
                <w:szCs w:val="18"/>
              </w:rPr>
              <w:t>4</w:t>
            </w:r>
          </w:p>
        </w:tc>
        <w:tc>
          <w:tcPr>
            <w:tcW w:w="638" w:type="dxa"/>
            <w:tcBorders>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49</w:t>
            </w:r>
            <w:r w:rsidR="00A81C10">
              <w:rPr>
                <w:sz w:val="18"/>
                <w:szCs w:val="18"/>
              </w:rPr>
              <w:t>.</w:t>
            </w:r>
            <w:r w:rsidRPr="00A81C10">
              <w:rPr>
                <w:sz w:val="18"/>
                <w:szCs w:val="18"/>
              </w:rPr>
              <w:t>4</w:t>
            </w:r>
          </w:p>
        </w:tc>
        <w:tc>
          <w:tcPr>
            <w:tcW w:w="638" w:type="dxa"/>
            <w:tcBorders>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50</w:t>
            </w:r>
            <w:r w:rsidR="00A81C10">
              <w:rPr>
                <w:sz w:val="18"/>
                <w:szCs w:val="18"/>
              </w:rPr>
              <w:t>.</w:t>
            </w:r>
            <w:r w:rsidRPr="00A81C10">
              <w:rPr>
                <w:sz w:val="18"/>
                <w:szCs w:val="18"/>
              </w:rPr>
              <w:t>5</w:t>
            </w:r>
          </w:p>
        </w:tc>
        <w:tc>
          <w:tcPr>
            <w:tcW w:w="637" w:type="dxa"/>
            <w:tcBorders>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50</w:t>
            </w:r>
            <w:r w:rsidR="00A81C10">
              <w:rPr>
                <w:sz w:val="18"/>
                <w:szCs w:val="18"/>
              </w:rPr>
              <w:t>.</w:t>
            </w:r>
            <w:r w:rsidRPr="00A81C10">
              <w:rPr>
                <w:sz w:val="18"/>
                <w:szCs w:val="18"/>
              </w:rPr>
              <w:t>7</w:t>
            </w:r>
          </w:p>
        </w:tc>
        <w:tc>
          <w:tcPr>
            <w:tcW w:w="638" w:type="dxa"/>
            <w:tcBorders>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51</w:t>
            </w:r>
            <w:r w:rsidR="00A81C10">
              <w:rPr>
                <w:sz w:val="18"/>
                <w:szCs w:val="18"/>
              </w:rPr>
              <w:t>.</w:t>
            </w:r>
            <w:r w:rsidRPr="00A81C10">
              <w:rPr>
                <w:sz w:val="18"/>
                <w:szCs w:val="18"/>
              </w:rPr>
              <w:t>6</w:t>
            </w:r>
          </w:p>
        </w:tc>
        <w:tc>
          <w:tcPr>
            <w:tcW w:w="638" w:type="dxa"/>
            <w:tcBorders>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53</w:t>
            </w:r>
            <w:r w:rsidR="00A81C10">
              <w:rPr>
                <w:sz w:val="18"/>
                <w:szCs w:val="18"/>
              </w:rPr>
              <w:t>.</w:t>
            </w:r>
            <w:r w:rsidRPr="00A81C10">
              <w:rPr>
                <w:sz w:val="18"/>
                <w:szCs w:val="18"/>
              </w:rPr>
              <w:t>9</w:t>
            </w:r>
          </w:p>
        </w:tc>
      </w:tr>
      <w:tr w:rsidR="00A07983" w:rsidRPr="00A81C10" w:rsidTr="003E13D0">
        <w:trPr>
          <w:trHeight w:val="240"/>
        </w:trPr>
        <w:tc>
          <w:tcPr>
            <w:tcW w:w="426" w:type="dxa"/>
            <w:tcBorders>
              <w:top w:val="nil"/>
              <w:bottom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 </w:t>
            </w:r>
          </w:p>
        </w:tc>
        <w:tc>
          <w:tcPr>
            <w:tcW w:w="567" w:type="dxa"/>
            <w:tcBorders>
              <w:top w:val="nil"/>
              <w:bottom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p>
        </w:tc>
        <w:tc>
          <w:tcPr>
            <w:tcW w:w="850" w:type="dxa"/>
            <w:tcBorders>
              <w:top w:val="nil"/>
              <w:bottom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12.3.2</w:t>
            </w:r>
          </w:p>
        </w:tc>
        <w:tc>
          <w:tcPr>
            <w:tcW w:w="1701" w:type="dxa"/>
            <w:tcBorders>
              <w:top w:val="nil"/>
              <w:bottom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Wattle and daub</w:t>
            </w:r>
          </w:p>
        </w:tc>
        <w:tc>
          <w:tcPr>
            <w:tcW w:w="637" w:type="dxa"/>
            <w:tcBorders>
              <w:top w:val="nil"/>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6</w:t>
            </w:r>
            <w:r w:rsidR="00A81C10">
              <w:rPr>
                <w:sz w:val="18"/>
                <w:szCs w:val="18"/>
              </w:rPr>
              <w:t>.</w:t>
            </w:r>
            <w:r w:rsidRPr="00A81C10">
              <w:rPr>
                <w:sz w:val="18"/>
                <w:szCs w:val="18"/>
              </w:rPr>
              <w:t>9</w:t>
            </w:r>
          </w:p>
        </w:tc>
        <w:tc>
          <w:tcPr>
            <w:tcW w:w="638" w:type="dxa"/>
            <w:tcBorders>
              <w:top w:val="nil"/>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7</w:t>
            </w:r>
            <w:r w:rsidR="00A81C10">
              <w:rPr>
                <w:sz w:val="18"/>
                <w:szCs w:val="18"/>
              </w:rPr>
              <w:t>.</w:t>
            </w:r>
            <w:r w:rsidRPr="00A81C10">
              <w:rPr>
                <w:sz w:val="18"/>
                <w:szCs w:val="18"/>
              </w:rPr>
              <w:t>3</w:t>
            </w:r>
          </w:p>
        </w:tc>
        <w:tc>
          <w:tcPr>
            <w:tcW w:w="638" w:type="dxa"/>
            <w:tcBorders>
              <w:top w:val="nil"/>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7</w:t>
            </w:r>
            <w:r w:rsidR="00A81C10">
              <w:rPr>
                <w:sz w:val="18"/>
                <w:szCs w:val="18"/>
              </w:rPr>
              <w:t>.</w:t>
            </w:r>
            <w:r w:rsidRPr="00A81C10">
              <w:rPr>
                <w:sz w:val="18"/>
                <w:szCs w:val="18"/>
              </w:rPr>
              <w:t>0</w:t>
            </w:r>
          </w:p>
        </w:tc>
        <w:tc>
          <w:tcPr>
            <w:tcW w:w="637" w:type="dxa"/>
            <w:tcBorders>
              <w:top w:val="nil"/>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6</w:t>
            </w:r>
            <w:r w:rsidR="00A81C10">
              <w:rPr>
                <w:sz w:val="18"/>
                <w:szCs w:val="18"/>
              </w:rPr>
              <w:t>.</w:t>
            </w:r>
            <w:r w:rsidRPr="00A81C10">
              <w:rPr>
                <w:sz w:val="18"/>
                <w:szCs w:val="18"/>
              </w:rPr>
              <w:t>1</w:t>
            </w:r>
          </w:p>
        </w:tc>
        <w:tc>
          <w:tcPr>
            <w:tcW w:w="638" w:type="dxa"/>
            <w:tcBorders>
              <w:top w:val="nil"/>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5</w:t>
            </w:r>
            <w:r w:rsidR="00A81C10">
              <w:rPr>
                <w:sz w:val="18"/>
                <w:szCs w:val="18"/>
              </w:rPr>
              <w:t>.</w:t>
            </w:r>
            <w:r w:rsidRPr="00A81C10">
              <w:rPr>
                <w:sz w:val="18"/>
                <w:szCs w:val="18"/>
              </w:rPr>
              <w:t>7</w:t>
            </w:r>
          </w:p>
        </w:tc>
        <w:tc>
          <w:tcPr>
            <w:tcW w:w="638" w:type="dxa"/>
            <w:tcBorders>
              <w:top w:val="nil"/>
              <w:bottom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5</w:t>
            </w:r>
            <w:r w:rsidR="00A81C10">
              <w:rPr>
                <w:sz w:val="18"/>
                <w:szCs w:val="18"/>
              </w:rPr>
              <w:t>.</w:t>
            </w:r>
            <w:r w:rsidRPr="00A81C10">
              <w:rPr>
                <w:sz w:val="18"/>
                <w:szCs w:val="18"/>
              </w:rPr>
              <w:t>5</w:t>
            </w:r>
          </w:p>
        </w:tc>
      </w:tr>
      <w:tr w:rsidR="00A07983" w:rsidRPr="00A81C10" w:rsidTr="003E13D0">
        <w:trPr>
          <w:trHeight w:val="240"/>
        </w:trPr>
        <w:tc>
          <w:tcPr>
            <w:tcW w:w="426" w:type="dxa"/>
            <w:tcBorders>
              <w:top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 </w:t>
            </w:r>
          </w:p>
        </w:tc>
        <w:tc>
          <w:tcPr>
            <w:tcW w:w="567" w:type="dxa"/>
            <w:tcBorders>
              <w:top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 </w:t>
            </w:r>
          </w:p>
        </w:tc>
        <w:tc>
          <w:tcPr>
            <w:tcW w:w="850" w:type="dxa"/>
            <w:tcBorders>
              <w:top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12.3.3</w:t>
            </w:r>
          </w:p>
        </w:tc>
        <w:tc>
          <w:tcPr>
            <w:tcW w:w="1701" w:type="dxa"/>
            <w:tcBorders>
              <w:top w:val="nil"/>
            </w:tcBorders>
            <w:shd w:val="clear" w:color="auto" w:fill="auto"/>
            <w:noWrap/>
            <w:hideMark/>
          </w:tcPr>
          <w:p w:rsidR="00A07983" w:rsidRPr="00A81C10" w:rsidRDefault="00A07983" w:rsidP="002437C2">
            <w:pPr>
              <w:pStyle w:val="SingleTxtG"/>
              <w:keepNext/>
              <w:keepLines/>
              <w:suppressAutoHyphens w:val="0"/>
              <w:spacing w:before="40" w:after="40" w:line="220" w:lineRule="exact"/>
              <w:ind w:left="0" w:right="113"/>
              <w:jc w:val="left"/>
              <w:rPr>
                <w:sz w:val="18"/>
              </w:rPr>
            </w:pPr>
            <w:r w:rsidRPr="00A81C10">
              <w:rPr>
                <w:sz w:val="18"/>
              </w:rPr>
              <w:t>Adobe</w:t>
            </w:r>
          </w:p>
        </w:tc>
        <w:tc>
          <w:tcPr>
            <w:tcW w:w="637" w:type="dxa"/>
            <w:tcBorders>
              <w:top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30</w:t>
            </w:r>
            <w:r w:rsidR="00A81C10">
              <w:rPr>
                <w:sz w:val="18"/>
                <w:szCs w:val="18"/>
              </w:rPr>
              <w:t>.</w:t>
            </w:r>
            <w:r w:rsidRPr="00A81C10">
              <w:rPr>
                <w:sz w:val="18"/>
                <w:szCs w:val="18"/>
              </w:rPr>
              <w:t>6</w:t>
            </w:r>
          </w:p>
        </w:tc>
        <w:tc>
          <w:tcPr>
            <w:tcW w:w="638" w:type="dxa"/>
            <w:tcBorders>
              <w:top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29</w:t>
            </w:r>
            <w:r w:rsidR="00A81C10">
              <w:rPr>
                <w:sz w:val="18"/>
                <w:szCs w:val="18"/>
              </w:rPr>
              <w:t>.</w:t>
            </w:r>
            <w:r w:rsidRPr="00A81C10">
              <w:rPr>
                <w:sz w:val="18"/>
                <w:szCs w:val="18"/>
              </w:rPr>
              <w:t>8</w:t>
            </w:r>
          </w:p>
        </w:tc>
        <w:tc>
          <w:tcPr>
            <w:tcW w:w="638" w:type="dxa"/>
            <w:tcBorders>
              <w:top w:val="nil"/>
            </w:tcBorders>
            <w:shd w:val="clear" w:color="auto" w:fill="auto"/>
            <w:noWrap/>
            <w:vAlign w:val="bottom"/>
          </w:tcPr>
          <w:p w:rsidR="00A07983" w:rsidRPr="00A81C10" w:rsidRDefault="00A07983" w:rsidP="002437C2">
            <w:pPr>
              <w:keepNext/>
              <w:keepLines/>
              <w:suppressAutoHyphens w:val="0"/>
              <w:spacing w:before="40" w:after="40" w:line="220" w:lineRule="exact"/>
              <w:ind w:right="113"/>
              <w:jc w:val="right"/>
              <w:rPr>
                <w:sz w:val="18"/>
                <w:szCs w:val="18"/>
              </w:rPr>
            </w:pPr>
            <w:r w:rsidRPr="00A81C10">
              <w:rPr>
                <w:sz w:val="18"/>
                <w:szCs w:val="18"/>
              </w:rPr>
              <w:t>29</w:t>
            </w:r>
            <w:r w:rsidR="00A81C10">
              <w:rPr>
                <w:sz w:val="18"/>
                <w:szCs w:val="18"/>
              </w:rPr>
              <w:t>.</w:t>
            </w:r>
            <w:r w:rsidRPr="00A81C10">
              <w:rPr>
                <w:sz w:val="18"/>
                <w:szCs w:val="18"/>
              </w:rPr>
              <w:t>5</w:t>
            </w:r>
          </w:p>
        </w:tc>
        <w:tc>
          <w:tcPr>
            <w:tcW w:w="637" w:type="dxa"/>
            <w:tcBorders>
              <w:top w:val="nil"/>
            </w:tcBorders>
            <w:shd w:val="clear" w:color="auto" w:fill="auto"/>
            <w:noWrap/>
            <w:vAlign w:val="bottom"/>
          </w:tcPr>
          <w:p w:rsidR="00A07983" w:rsidRPr="00A81C10" w:rsidRDefault="00A07983" w:rsidP="008A69DD">
            <w:pPr>
              <w:keepNext/>
              <w:keepLines/>
              <w:suppressAutoHyphens w:val="0"/>
              <w:spacing w:before="40" w:after="40" w:line="220" w:lineRule="exact"/>
              <w:ind w:right="113"/>
              <w:jc w:val="right"/>
              <w:rPr>
                <w:sz w:val="18"/>
                <w:szCs w:val="18"/>
              </w:rPr>
            </w:pPr>
            <w:r w:rsidRPr="00A81C10">
              <w:rPr>
                <w:sz w:val="18"/>
                <w:szCs w:val="18"/>
              </w:rPr>
              <w:t>28</w:t>
            </w:r>
            <w:r w:rsidR="008A69DD">
              <w:rPr>
                <w:sz w:val="18"/>
                <w:szCs w:val="18"/>
              </w:rPr>
              <w:t>.</w:t>
            </w:r>
            <w:r w:rsidRPr="00A81C10">
              <w:rPr>
                <w:sz w:val="18"/>
                <w:szCs w:val="18"/>
              </w:rPr>
              <w:t>6</w:t>
            </w:r>
          </w:p>
        </w:tc>
        <w:tc>
          <w:tcPr>
            <w:tcW w:w="638" w:type="dxa"/>
            <w:tcBorders>
              <w:top w:val="nil"/>
            </w:tcBorders>
            <w:shd w:val="clear" w:color="auto" w:fill="auto"/>
            <w:noWrap/>
            <w:vAlign w:val="bottom"/>
          </w:tcPr>
          <w:p w:rsidR="00A07983" w:rsidRPr="00A81C10" w:rsidRDefault="00A07983" w:rsidP="008A69DD">
            <w:pPr>
              <w:keepNext/>
              <w:keepLines/>
              <w:suppressAutoHyphens w:val="0"/>
              <w:spacing w:before="40" w:after="40" w:line="220" w:lineRule="exact"/>
              <w:ind w:right="113"/>
              <w:jc w:val="right"/>
              <w:rPr>
                <w:sz w:val="18"/>
                <w:szCs w:val="18"/>
              </w:rPr>
            </w:pPr>
            <w:r w:rsidRPr="00A81C10">
              <w:rPr>
                <w:sz w:val="18"/>
                <w:szCs w:val="18"/>
              </w:rPr>
              <w:t>28</w:t>
            </w:r>
            <w:r w:rsidR="008A69DD">
              <w:rPr>
                <w:sz w:val="18"/>
                <w:szCs w:val="18"/>
              </w:rPr>
              <w:t>.</w:t>
            </w:r>
            <w:r w:rsidRPr="00A81C10">
              <w:rPr>
                <w:sz w:val="18"/>
                <w:szCs w:val="18"/>
              </w:rPr>
              <w:t>6</w:t>
            </w:r>
          </w:p>
        </w:tc>
        <w:tc>
          <w:tcPr>
            <w:tcW w:w="638" w:type="dxa"/>
            <w:tcBorders>
              <w:top w:val="nil"/>
            </w:tcBorders>
            <w:shd w:val="clear" w:color="auto" w:fill="auto"/>
            <w:noWrap/>
            <w:vAlign w:val="bottom"/>
          </w:tcPr>
          <w:p w:rsidR="00A07983" w:rsidRPr="00A81C10" w:rsidRDefault="00A07983" w:rsidP="008A69DD">
            <w:pPr>
              <w:keepNext/>
              <w:keepLines/>
              <w:suppressAutoHyphens w:val="0"/>
              <w:spacing w:before="40" w:after="40" w:line="220" w:lineRule="exact"/>
              <w:ind w:right="113"/>
              <w:jc w:val="right"/>
              <w:rPr>
                <w:sz w:val="18"/>
                <w:szCs w:val="18"/>
              </w:rPr>
            </w:pPr>
            <w:r w:rsidRPr="00A81C10">
              <w:rPr>
                <w:sz w:val="18"/>
                <w:szCs w:val="18"/>
              </w:rPr>
              <w:t>26</w:t>
            </w:r>
            <w:r w:rsidR="008A69DD">
              <w:rPr>
                <w:sz w:val="18"/>
                <w:szCs w:val="18"/>
              </w:rPr>
              <w:t>.</w:t>
            </w:r>
            <w:r w:rsidRPr="00A81C10">
              <w:rPr>
                <w:sz w:val="18"/>
                <w:szCs w:val="18"/>
              </w:rPr>
              <w:t>9</w:t>
            </w:r>
          </w:p>
        </w:tc>
      </w:tr>
      <w:tr w:rsidR="00A07983" w:rsidRPr="00A81C10" w:rsidTr="003E13D0">
        <w:trPr>
          <w:trHeight w:val="240"/>
        </w:trPr>
        <w:tc>
          <w:tcPr>
            <w:tcW w:w="3544" w:type="dxa"/>
            <w:gridSpan w:val="4"/>
            <w:shd w:val="clear" w:color="auto" w:fill="auto"/>
            <w:hideMark/>
          </w:tcPr>
          <w:p w:rsidR="00A07983" w:rsidRPr="00A81C10" w:rsidRDefault="00A07983" w:rsidP="00BA5EB6">
            <w:pPr>
              <w:pStyle w:val="SingleTxtG"/>
              <w:keepNext/>
              <w:keepLines/>
              <w:suppressAutoHyphens w:val="0"/>
              <w:spacing w:before="40" w:after="40" w:line="220" w:lineRule="exact"/>
              <w:ind w:left="0" w:right="113"/>
              <w:jc w:val="left"/>
              <w:rPr>
                <w:sz w:val="18"/>
              </w:rPr>
            </w:pPr>
            <w:r w:rsidRPr="00A81C10">
              <w:rPr>
                <w:sz w:val="18"/>
              </w:rPr>
              <w:t>13. Homes with dirt floors (%)</w:t>
            </w:r>
          </w:p>
        </w:tc>
        <w:tc>
          <w:tcPr>
            <w:tcW w:w="637" w:type="dxa"/>
            <w:shd w:val="clear" w:color="auto" w:fill="auto"/>
            <w:noWrap/>
            <w:vAlign w:val="bottom"/>
          </w:tcPr>
          <w:p w:rsidR="00A07983" w:rsidRPr="00A81C10" w:rsidRDefault="00A07983" w:rsidP="00BA5EB6">
            <w:pPr>
              <w:pStyle w:val="SingleTxtG"/>
              <w:keepNext/>
              <w:keepLines/>
              <w:suppressAutoHyphens w:val="0"/>
              <w:spacing w:before="40" w:after="40" w:line="220" w:lineRule="exact"/>
              <w:ind w:left="0" w:right="113"/>
              <w:jc w:val="right"/>
              <w:rPr>
                <w:sz w:val="18"/>
              </w:rPr>
            </w:pPr>
          </w:p>
        </w:tc>
        <w:tc>
          <w:tcPr>
            <w:tcW w:w="638" w:type="dxa"/>
            <w:shd w:val="clear" w:color="auto" w:fill="auto"/>
            <w:noWrap/>
            <w:vAlign w:val="bottom"/>
          </w:tcPr>
          <w:p w:rsidR="00A07983" w:rsidRPr="00A81C10" w:rsidRDefault="00A07983" w:rsidP="00BA5EB6">
            <w:pPr>
              <w:pStyle w:val="SingleTxtG"/>
              <w:keepNext/>
              <w:keepLines/>
              <w:suppressAutoHyphens w:val="0"/>
              <w:spacing w:before="40" w:after="40" w:line="220" w:lineRule="exact"/>
              <w:ind w:left="0" w:right="113"/>
              <w:jc w:val="right"/>
              <w:rPr>
                <w:sz w:val="18"/>
              </w:rPr>
            </w:pPr>
          </w:p>
        </w:tc>
        <w:tc>
          <w:tcPr>
            <w:tcW w:w="638" w:type="dxa"/>
            <w:shd w:val="clear" w:color="auto" w:fill="auto"/>
            <w:noWrap/>
            <w:vAlign w:val="bottom"/>
          </w:tcPr>
          <w:p w:rsidR="00A07983" w:rsidRPr="00A81C10" w:rsidRDefault="00A07983" w:rsidP="00BA5EB6">
            <w:pPr>
              <w:pStyle w:val="SingleTxtG"/>
              <w:keepNext/>
              <w:keepLines/>
              <w:suppressAutoHyphens w:val="0"/>
              <w:spacing w:before="40" w:after="40" w:line="220" w:lineRule="exact"/>
              <w:ind w:left="0" w:right="113"/>
              <w:jc w:val="right"/>
              <w:rPr>
                <w:sz w:val="18"/>
              </w:rPr>
            </w:pPr>
          </w:p>
        </w:tc>
        <w:tc>
          <w:tcPr>
            <w:tcW w:w="637" w:type="dxa"/>
            <w:shd w:val="clear" w:color="auto" w:fill="auto"/>
            <w:noWrap/>
            <w:vAlign w:val="bottom"/>
          </w:tcPr>
          <w:p w:rsidR="00A07983" w:rsidRPr="00A81C10" w:rsidRDefault="00A07983" w:rsidP="00BA5EB6">
            <w:pPr>
              <w:pStyle w:val="SingleTxtG"/>
              <w:keepNext/>
              <w:keepLines/>
              <w:suppressAutoHyphens w:val="0"/>
              <w:spacing w:before="40" w:after="40" w:line="220" w:lineRule="exact"/>
              <w:ind w:left="0" w:right="113"/>
              <w:jc w:val="right"/>
              <w:rPr>
                <w:sz w:val="18"/>
              </w:rPr>
            </w:pPr>
          </w:p>
        </w:tc>
        <w:tc>
          <w:tcPr>
            <w:tcW w:w="638" w:type="dxa"/>
            <w:shd w:val="clear" w:color="auto" w:fill="auto"/>
            <w:noWrap/>
            <w:vAlign w:val="bottom"/>
          </w:tcPr>
          <w:p w:rsidR="00A07983" w:rsidRPr="00A81C10" w:rsidRDefault="00A07983" w:rsidP="00BA5EB6">
            <w:pPr>
              <w:pStyle w:val="SingleTxtG"/>
              <w:keepNext/>
              <w:keepLines/>
              <w:suppressAutoHyphens w:val="0"/>
              <w:spacing w:before="40" w:after="40" w:line="220" w:lineRule="exact"/>
              <w:ind w:left="0" w:right="113"/>
              <w:jc w:val="right"/>
              <w:rPr>
                <w:sz w:val="18"/>
              </w:rPr>
            </w:pPr>
          </w:p>
        </w:tc>
        <w:tc>
          <w:tcPr>
            <w:tcW w:w="638" w:type="dxa"/>
            <w:shd w:val="clear" w:color="auto" w:fill="auto"/>
            <w:noWrap/>
            <w:vAlign w:val="bottom"/>
          </w:tcPr>
          <w:p w:rsidR="00A07983" w:rsidRPr="00A81C10" w:rsidRDefault="00A07983" w:rsidP="00BA5EB6">
            <w:pPr>
              <w:pStyle w:val="SingleTxtG"/>
              <w:keepNext/>
              <w:keepLines/>
              <w:suppressAutoHyphens w:val="0"/>
              <w:spacing w:before="40" w:after="40" w:line="220" w:lineRule="exact"/>
              <w:ind w:left="0" w:right="113"/>
              <w:jc w:val="right"/>
              <w:rPr>
                <w:sz w:val="18"/>
              </w:rPr>
            </w:pPr>
          </w:p>
        </w:tc>
      </w:tr>
      <w:tr w:rsidR="00A07983" w:rsidRPr="00A81C10" w:rsidTr="003E13D0">
        <w:trPr>
          <w:trHeight w:val="240"/>
        </w:trPr>
        <w:tc>
          <w:tcPr>
            <w:tcW w:w="426" w:type="dxa"/>
            <w:shd w:val="clear" w:color="auto" w:fill="auto"/>
            <w:noWrap/>
            <w:hideMark/>
          </w:tcPr>
          <w:p w:rsidR="00A07983" w:rsidRPr="00A81C10" w:rsidRDefault="00A07983" w:rsidP="00BA5EB6">
            <w:pPr>
              <w:pStyle w:val="SingleTxtG"/>
              <w:keepNext/>
              <w:keepLines/>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A07983" w:rsidRPr="00A81C10" w:rsidRDefault="00A07983" w:rsidP="00BA5EB6">
            <w:pPr>
              <w:pStyle w:val="SingleTxtG"/>
              <w:keepNext/>
              <w:keepLines/>
              <w:suppressAutoHyphens w:val="0"/>
              <w:spacing w:before="40" w:after="40" w:line="220" w:lineRule="exact"/>
              <w:ind w:left="0" w:right="113"/>
              <w:jc w:val="left"/>
              <w:rPr>
                <w:sz w:val="18"/>
              </w:rPr>
            </w:pPr>
            <w:r w:rsidRPr="00A81C10">
              <w:rPr>
                <w:sz w:val="18"/>
              </w:rPr>
              <w:t>13.1</w:t>
            </w:r>
          </w:p>
        </w:tc>
        <w:tc>
          <w:tcPr>
            <w:tcW w:w="2551" w:type="dxa"/>
            <w:gridSpan w:val="2"/>
            <w:shd w:val="clear" w:color="auto" w:fill="auto"/>
            <w:noWrap/>
            <w:hideMark/>
          </w:tcPr>
          <w:p w:rsidR="00A07983" w:rsidRPr="00A81C10" w:rsidRDefault="00A07983" w:rsidP="00BA5EB6">
            <w:pPr>
              <w:pStyle w:val="SingleTxtG"/>
              <w:keepNext/>
              <w:keepLines/>
              <w:suppressAutoHyphens w:val="0"/>
              <w:spacing w:before="40" w:after="40" w:line="220" w:lineRule="exact"/>
              <w:ind w:left="0" w:right="113"/>
              <w:jc w:val="left"/>
              <w:rPr>
                <w:sz w:val="18"/>
              </w:rPr>
            </w:pPr>
            <w:r w:rsidRPr="00A81C10">
              <w:rPr>
                <w:sz w:val="18"/>
              </w:rPr>
              <w:t>National total</w:t>
            </w:r>
          </w:p>
        </w:tc>
        <w:tc>
          <w:tcPr>
            <w:tcW w:w="637" w:type="dxa"/>
            <w:shd w:val="clear" w:color="auto" w:fill="auto"/>
            <w:noWrap/>
            <w:vAlign w:val="bottom"/>
          </w:tcPr>
          <w:p w:rsidR="00A07983" w:rsidRPr="00A81C10" w:rsidRDefault="00A07983" w:rsidP="00BA5EB6">
            <w:pPr>
              <w:keepNext/>
              <w:keepLines/>
              <w:suppressAutoHyphens w:val="0"/>
              <w:spacing w:before="40" w:after="40" w:line="220" w:lineRule="exact"/>
              <w:ind w:right="113"/>
              <w:jc w:val="right"/>
              <w:rPr>
                <w:sz w:val="18"/>
                <w:szCs w:val="18"/>
              </w:rPr>
            </w:pPr>
            <w:r w:rsidRPr="00A81C10">
              <w:rPr>
                <w:sz w:val="18"/>
                <w:szCs w:val="18"/>
              </w:rPr>
              <w:t>20</w:t>
            </w:r>
            <w:r w:rsidR="00A81C10">
              <w:rPr>
                <w:sz w:val="18"/>
                <w:szCs w:val="18"/>
              </w:rPr>
              <w:t>.</w:t>
            </w:r>
            <w:r w:rsidRPr="00A81C10">
              <w:rPr>
                <w:sz w:val="18"/>
                <w:szCs w:val="18"/>
              </w:rPr>
              <w:t>6</w:t>
            </w:r>
          </w:p>
        </w:tc>
        <w:tc>
          <w:tcPr>
            <w:tcW w:w="638" w:type="dxa"/>
            <w:shd w:val="clear" w:color="auto" w:fill="auto"/>
            <w:noWrap/>
            <w:vAlign w:val="bottom"/>
          </w:tcPr>
          <w:p w:rsidR="00A07983" w:rsidRPr="00A81C10" w:rsidRDefault="00A07983" w:rsidP="00BA5EB6">
            <w:pPr>
              <w:keepNext/>
              <w:keepLines/>
              <w:suppressAutoHyphens w:val="0"/>
              <w:spacing w:before="40" w:after="40" w:line="220" w:lineRule="exact"/>
              <w:ind w:right="113"/>
              <w:jc w:val="right"/>
              <w:rPr>
                <w:sz w:val="18"/>
                <w:szCs w:val="18"/>
              </w:rPr>
            </w:pPr>
            <w:r w:rsidRPr="00A81C10">
              <w:rPr>
                <w:sz w:val="18"/>
                <w:szCs w:val="18"/>
              </w:rPr>
              <w:t>19</w:t>
            </w:r>
            <w:r w:rsidR="00A81C10">
              <w:rPr>
                <w:sz w:val="18"/>
                <w:szCs w:val="18"/>
              </w:rPr>
              <w:t>.</w:t>
            </w:r>
            <w:r w:rsidRPr="00A81C10">
              <w:rPr>
                <w:sz w:val="18"/>
                <w:szCs w:val="18"/>
              </w:rPr>
              <w:t>7</w:t>
            </w:r>
          </w:p>
        </w:tc>
        <w:tc>
          <w:tcPr>
            <w:tcW w:w="638" w:type="dxa"/>
            <w:shd w:val="clear" w:color="auto" w:fill="auto"/>
            <w:noWrap/>
            <w:vAlign w:val="bottom"/>
          </w:tcPr>
          <w:p w:rsidR="00A07983" w:rsidRPr="00A81C10" w:rsidRDefault="00A07983" w:rsidP="00BA5EB6">
            <w:pPr>
              <w:keepNext/>
              <w:keepLines/>
              <w:suppressAutoHyphens w:val="0"/>
              <w:spacing w:before="40" w:after="40" w:line="220" w:lineRule="exact"/>
              <w:ind w:right="113"/>
              <w:jc w:val="right"/>
              <w:rPr>
                <w:sz w:val="18"/>
                <w:szCs w:val="18"/>
              </w:rPr>
            </w:pPr>
            <w:r w:rsidRPr="00A81C10">
              <w:rPr>
                <w:sz w:val="18"/>
                <w:szCs w:val="18"/>
              </w:rPr>
              <w:t>18</w:t>
            </w:r>
            <w:r w:rsidR="00A81C10">
              <w:rPr>
                <w:sz w:val="18"/>
                <w:szCs w:val="18"/>
              </w:rPr>
              <w:t>.</w:t>
            </w:r>
            <w:r w:rsidRPr="00A81C10">
              <w:rPr>
                <w:sz w:val="18"/>
                <w:szCs w:val="18"/>
              </w:rPr>
              <w:t>7</w:t>
            </w:r>
          </w:p>
        </w:tc>
        <w:tc>
          <w:tcPr>
            <w:tcW w:w="637" w:type="dxa"/>
            <w:shd w:val="clear" w:color="auto" w:fill="auto"/>
            <w:noWrap/>
            <w:vAlign w:val="bottom"/>
          </w:tcPr>
          <w:p w:rsidR="00A07983" w:rsidRPr="00A81C10" w:rsidRDefault="00A07983" w:rsidP="00BA5EB6">
            <w:pPr>
              <w:keepNext/>
              <w:keepLines/>
              <w:suppressAutoHyphens w:val="0"/>
              <w:spacing w:before="40" w:after="40" w:line="220" w:lineRule="exact"/>
              <w:ind w:right="113"/>
              <w:jc w:val="right"/>
              <w:rPr>
                <w:sz w:val="18"/>
                <w:szCs w:val="18"/>
              </w:rPr>
            </w:pPr>
            <w:r w:rsidRPr="00A81C10">
              <w:rPr>
                <w:sz w:val="18"/>
                <w:szCs w:val="18"/>
              </w:rPr>
              <w:t>18</w:t>
            </w:r>
            <w:r w:rsidR="00A81C10">
              <w:rPr>
                <w:sz w:val="18"/>
                <w:szCs w:val="18"/>
              </w:rPr>
              <w:t>.</w:t>
            </w:r>
            <w:r w:rsidRPr="00A81C10">
              <w:rPr>
                <w:sz w:val="18"/>
                <w:szCs w:val="18"/>
              </w:rPr>
              <w:t>6</w:t>
            </w:r>
          </w:p>
        </w:tc>
        <w:tc>
          <w:tcPr>
            <w:tcW w:w="638" w:type="dxa"/>
            <w:shd w:val="clear" w:color="auto" w:fill="auto"/>
            <w:noWrap/>
            <w:vAlign w:val="bottom"/>
          </w:tcPr>
          <w:p w:rsidR="00A07983" w:rsidRPr="00A81C10" w:rsidRDefault="00A07983" w:rsidP="008A69DD">
            <w:pPr>
              <w:keepNext/>
              <w:keepLines/>
              <w:suppressAutoHyphens w:val="0"/>
              <w:spacing w:before="40" w:after="40" w:line="220" w:lineRule="exact"/>
              <w:ind w:right="113"/>
              <w:jc w:val="right"/>
              <w:rPr>
                <w:sz w:val="18"/>
                <w:szCs w:val="18"/>
              </w:rPr>
            </w:pPr>
            <w:r w:rsidRPr="00A81C10">
              <w:rPr>
                <w:sz w:val="18"/>
                <w:szCs w:val="18"/>
              </w:rPr>
              <w:t>17</w:t>
            </w:r>
            <w:r w:rsidR="008A69DD">
              <w:rPr>
                <w:sz w:val="18"/>
                <w:szCs w:val="18"/>
              </w:rPr>
              <w:t>.</w:t>
            </w:r>
            <w:r w:rsidRPr="00A81C10">
              <w:rPr>
                <w:sz w:val="18"/>
                <w:szCs w:val="18"/>
              </w:rPr>
              <w:t>4</w:t>
            </w:r>
          </w:p>
        </w:tc>
        <w:tc>
          <w:tcPr>
            <w:tcW w:w="638" w:type="dxa"/>
            <w:shd w:val="clear" w:color="auto" w:fill="auto"/>
            <w:noWrap/>
            <w:vAlign w:val="bottom"/>
          </w:tcPr>
          <w:p w:rsidR="00A07983" w:rsidRPr="00A81C10" w:rsidRDefault="00A07983" w:rsidP="008A69DD">
            <w:pPr>
              <w:keepNext/>
              <w:keepLines/>
              <w:suppressAutoHyphens w:val="0"/>
              <w:spacing w:before="40" w:after="40" w:line="220" w:lineRule="exact"/>
              <w:ind w:right="113"/>
              <w:jc w:val="right"/>
              <w:rPr>
                <w:sz w:val="18"/>
                <w:szCs w:val="18"/>
              </w:rPr>
            </w:pPr>
            <w:r w:rsidRPr="00A81C10">
              <w:rPr>
                <w:sz w:val="18"/>
                <w:szCs w:val="18"/>
              </w:rPr>
              <w:t>16</w:t>
            </w:r>
            <w:r w:rsidR="008A69DD">
              <w:rPr>
                <w:sz w:val="18"/>
                <w:szCs w:val="18"/>
              </w:rPr>
              <w:t>.</w:t>
            </w:r>
            <w:r w:rsidRPr="00A81C10">
              <w:rPr>
                <w:sz w:val="18"/>
                <w:szCs w:val="18"/>
              </w:rPr>
              <w:t>5</w:t>
            </w:r>
          </w:p>
        </w:tc>
      </w:tr>
      <w:tr w:rsidR="00A07983" w:rsidRPr="00A81C10" w:rsidTr="000E6430">
        <w:trPr>
          <w:trHeight w:val="240"/>
        </w:trPr>
        <w:tc>
          <w:tcPr>
            <w:tcW w:w="426" w:type="dxa"/>
            <w:tcBorders>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 </w:t>
            </w:r>
          </w:p>
        </w:tc>
        <w:tc>
          <w:tcPr>
            <w:tcW w:w="567" w:type="dxa"/>
            <w:tcBorders>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13.2</w:t>
            </w:r>
          </w:p>
        </w:tc>
        <w:tc>
          <w:tcPr>
            <w:tcW w:w="850" w:type="dxa"/>
            <w:tcBorders>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Urban</w:t>
            </w:r>
          </w:p>
        </w:tc>
        <w:tc>
          <w:tcPr>
            <w:tcW w:w="1701" w:type="dxa"/>
            <w:tcBorders>
              <w:bottom w:val="nil"/>
            </w:tcBorders>
            <w:shd w:val="clear" w:color="auto" w:fill="auto"/>
            <w:noWrap/>
          </w:tcPr>
          <w:p w:rsidR="00A07983" w:rsidRPr="00A81C10" w:rsidRDefault="00A07983" w:rsidP="00A81C10">
            <w:pPr>
              <w:suppressAutoHyphens w:val="0"/>
              <w:spacing w:before="40" w:after="40" w:line="220" w:lineRule="exact"/>
              <w:ind w:right="113"/>
              <w:rPr>
                <w:sz w:val="18"/>
                <w:szCs w:val="18"/>
              </w:rPr>
            </w:pPr>
          </w:p>
        </w:tc>
        <w:tc>
          <w:tcPr>
            <w:tcW w:w="637"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10</w:t>
            </w:r>
            <w:r w:rsidR="00A81C10">
              <w:rPr>
                <w:sz w:val="18"/>
                <w:szCs w:val="18"/>
              </w:rPr>
              <w:t>.</w:t>
            </w:r>
            <w:r w:rsidRPr="00A81C10">
              <w:rPr>
                <w:sz w:val="18"/>
                <w:szCs w:val="18"/>
              </w:rPr>
              <w:t>3</w:t>
            </w:r>
          </w:p>
        </w:tc>
        <w:tc>
          <w:tcPr>
            <w:tcW w:w="638"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10</w:t>
            </w:r>
            <w:r w:rsidR="00A81C10">
              <w:rPr>
                <w:sz w:val="18"/>
                <w:szCs w:val="18"/>
              </w:rPr>
              <w:t>.</w:t>
            </w:r>
            <w:r w:rsidRPr="00A81C10">
              <w:rPr>
                <w:sz w:val="18"/>
                <w:szCs w:val="18"/>
              </w:rPr>
              <w:t>0</w:t>
            </w:r>
          </w:p>
        </w:tc>
        <w:tc>
          <w:tcPr>
            <w:tcW w:w="638"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w:t>
            </w:r>
            <w:r w:rsidR="00A81C10">
              <w:rPr>
                <w:sz w:val="18"/>
                <w:szCs w:val="18"/>
              </w:rPr>
              <w:t>.</w:t>
            </w:r>
            <w:r w:rsidRPr="00A81C10">
              <w:rPr>
                <w:sz w:val="18"/>
                <w:szCs w:val="18"/>
              </w:rPr>
              <w:t>2</w:t>
            </w:r>
          </w:p>
        </w:tc>
        <w:tc>
          <w:tcPr>
            <w:tcW w:w="637"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w:t>
            </w:r>
            <w:r w:rsidR="003C4F1C">
              <w:rPr>
                <w:sz w:val="18"/>
                <w:szCs w:val="18"/>
              </w:rPr>
              <w:t>.</w:t>
            </w:r>
            <w:r w:rsidRPr="00A81C10">
              <w:rPr>
                <w:sz w:val="18"/>
                <w:szCs w:val="18"/>
              </w:rPr>
              <w:t>3</w:t>
            </w:r>
          </w:p>
        </w:tc>
        <w:tc>
          <w:tcPr>
            <w:tcW w:w="638"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w:t>
            </w:r>
            <w:r w:rsidR="003C4F1C">
              <w:rPr>
                <w:sz w:val="18"/>
                <w:szCs w:val="18"/>
              </w:rPr>
              <w:t>.</w:t>
            </w:r>
            <w:r w:rsidRPr="00A81C10">
              <w:rPr>
                <w:sz w:val="18"/>
                <w:szCs w:val="18"/>
              </w:rPr>
              <w:t>7</w:t>
            </w:r>
          </w:p>
        </w:tc>
        <w:tc>
          <w:tcPr>
            <w:tcW w:w="638" w:type="dxa"/>
            <w:tcBorders>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w:t>
            </w:r>
            <w:r w:rsidR="003C4F1C">
              <w:rPr>
                <w:sz w:val="18"/>
                <w:szCs w:val="18"/>
              </w:rPr>
              <w:t>.</w:t>
            </w:r>
            <w:r w:rsidRPr="00A81C10">
              <w:rPr>
                <w:sz w:val="18"/>
                <w:szCs w:val="18"/>
              </w:rPr>
              <w:t>1</w:t>
            </w:r>
          </w:p>
        </w:tc>
      </w:tr>
      <w:tr w:rsidR="00A07983" w:rsidRPr="00A81C10" w:rsidTr="000E6430">
        <w:trPr>
          <w:trHeight w:val="240"/>
        </w:trPr>
        <w:tc>
          <w:tcPr>
            <w:tcW w:w="426" w:type="dxa"/>
            <w:tcBorders>
              <w:top w:val="nil"/>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 </w:t>
            </w:r>
          </w:p>
        </w:tc>
        <w:tc>
          <w:tcPr>
            <w:tcW w:w="567" w:type="dxa"/>
            <w:tcBorders>
              <w:top w:val="nil"/>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13.3</w:t>
            </w:r>
          </w:p>
        </w:tc>
        <w:tc>
          <w:tcPr>
            <w:tcW w:w="850" w:type="dxa"/>
            <w:tcBorders>
              <w:top w:val="nil"/>
              <w:bottom w:val="nil"/>
            </w:tcBorders>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Rural</w:t>
            </w:r>
          </w:p>
        </w:tc>
        <w:tc>
          <w:tcPr>
            <w:tcW w:w="1701" w:type="dxa"/>
            <w:tcBorders>
              <w:top w:val="nil"/>
              <w:bottom w:val="nil"/>
            </w:tcBorders>
            <w:shd w:val="clear" w:color="auto" w:fill="auto"/>
            <w:noWrap/>
          </w:tcPr>
          <w:p w:rsidR="00A07983" w:rsidRPr="00A81C10" w:rsidRDefault="00A07983" w:rsidP="00A81C10">
            <w:pPr>
              <w:suppressAutoHyphens w:val="0"/>
              <w:spacing w:before="40" w:after="40" w:line="220" w:lineRule="exact"/>
              <w:ind w:right="113"/>
              <w:rPr>
                <w:sz w:val="18"/>
                <w:szCs w:val="18"/>
              </w:rPr>
            </w:pPr>
          </w:p>
        </w:tc>
        <w:tc>
          <w:tcPr>
            <w:tcW w:w="637"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40</w:t>
            </w:r>
            <w:r w:rsidR="00A81C10">
              <w:rPr>
                <w:sz w:val="18"/>
                <w:szCs w:val="18"/>
              </w:rPr>
              <w:t>.</w:t>
            </w:r>
            <w:r w:rsidRPr="00A81C10">
              <w:rPr>
                <w:sz w:val="18"/>
                <w:szCs w:val="18"/>
              </w:rPr>
              <w:t>1</w:t>
            </w:r>
          </w:p>
        </w:tc>
        <w:tc>
          <w:tcPr>
            <w:tcW w:w="638"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38</w:t>
            </w:r>
            <w:r w:rsidR="00A81C10">
              <w:rPr>
                <w:sz w:val="18"/>
                <w:szCs w:val="18"/>
              </w:rPr>
              <w:t>.</w:t>
            </w:r>
            <w:r w:rsidRPr="00A81C10">
              <w:rPr>
                <w:sz w:val="18"/>
                <w:szCs w:val="18"/>
              </w:rPr>
              <w:t>1</w:t>
            </w:r>
          </w:p>
        </w:tc>
        <w:tc>
          <w:tcPr>
            <w:tcW w:w="638"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37</w:t>
            </w:r>
            <w:r w:rsidR="00A81C10">
              <w:rPr>
                <w:sz w:val="18"/>
                <w:szCs w:val="18"/>
              </w:rPr>
              <w:t>.</w:t>
            </w:r>
            <w:r w:rsidRPr="00A81C10">
              <w:rPr>
                <w:sz w:val="18"/>
                <w:szCs w:val="18"/>
              </w:rPr>
              <w:t>1</w:t>
            </w:r>
          </w:p>
        </w:tc>
        <w:tc>
          <w:tcPr>
            <w:tcW w:w="637"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36</w:t>
            </w:r>
            <w:r w:rsidR="003C4F1C">
              <w:rPr>
                <w:sz w:val="18"/>
                <w:szCs w:val="18"/>
              </w:rPr>
              <w:t>.</w:t>
            </w:r>
            <w:r w:rsidRPr="00A81C10">
              <w:rPr>
                <w:sz w:val="18"/>
                <w:szCs w:val="18"/>
              </w:rPr>
              <w:t>0</w:t>
            </w:r>
          </w:p>
        </w:tc>
        <w:tc>
          <w:tcPr>
            <w:tcW w:w="638"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33</w:t>
            </w:r>
            <w:r w:rsidR="003C4F1C">
              <w:rPr>
                <w:sz w:val="18"/>
                <w:szCs w:val="18"/>
              </w:rPr>
              <w:t>.</w:t>
            </w:r>
            <w:r w:rsidRPr="00A81C10">
              <w:rPr>
                <w:sz w:val="18"/>
                <w:szCs w:val="18"/>
              </w:rPr>
              <w:t>1</w:t>
            </w:r>
          </w:p>
        </w:tc>
        <w:tc>
          <w:tcPr>
            <w:tcW w:w="638" w:type="dxa"/>
            <w:tcBorders>
              <w:top w:val="nil"/>
              <w:bottom w:val="nil"/>
            </w:tcBorders>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31</w:t>
            </w:r>
            <w:r w:rsidR="003C4F1C">
              <w:rPr>
                <w:sz w:val="18"/>
                <w:szCs w:val="18"/>
              </w:rPr>
              <w:t>.</w:t>
            </w:r>
            <w:r w:rsidRPr="00A81C10">
              <w:rPr>
                <w:sz w:val="18"/>
                <w:szCs w:val="18"/>
              </w:rPr>
              <w:t>5</w:t>
            </w:r>
          </w:p>
        </w:tc>
      </w:tr>
      <w:tr w:rsidR="00A07983" w:rsidRPr="00A81C10" w:rsidTr="003E13D0">
        <w:trPr>
          <w:trHeight w:val="240"/>
        </w:trPr>
        <w:tc>
          <w:tcPr>
            <w:tcW w:w="3544" w:type="dxa"/>
            <w:gridSpan w:val="4"/>
            <w:shd w:val="clear" w:color="auto" w:fill="auto"/>
            <w:hideMark/>
          </w:tcPr>
          <w:p w:rsidR="00A07983" w:rsidRPr="00A81C10" w:rsidRDefault="00A07983" w:rsidP="00D32E57">
            <w:pPr>
              <w:pStyle w:val="SingleTxtG"/>
              <w:keepNext/>
              <w:keepLines/>
              <w:suppressAutoHyphens w:val="0"/>
              <w:spacing w:before="40" w:after="40" w:line="220" w:lineRule="exact"/>
              <w:ind w:left="0" w:right="113"/>
              <w:jc w:val="left"/>
              <w:rPr>
                <w:sz w:val="18"/>
              </w:rPr>
            </w:pPr>
            <w:r w:rsidRPr="00A81C10">
              <w:rPr>
                <w:sz w:val="18"/>
              </w:rPr>
              <w:t>14. Homes with sanitation facilities (%)</w:t>
            </w:r>
          </w:p>
        </w:tc>
        <w:tc>
          <w:tcPr>
            <w:tcW w:w="637" w:type="dxa"/>
            <w:shd w:val="clear" w:color="auto" w:fill="auto"/>
            <w:noWrap/>
            <w:vAlign w:val="bottom"/>
          </w:tcPr>
          <w:p w:rsidR="00A07983" w:rsidRPr="00A81C10" w:rsidRDefault="00A07983" w:rsidP="00D32E57">
            <w:pPr>
              <w:pStyle w:val="SingleTxtG"/>
              <w:keepNext/>
              <w:keepLines/>
              <w:suppressAutoHyphens w:val="0"/>
              <w:spacing w:before="40" w:after="40" w:line="220" w:lineRule="exact"/>
              <w:ind w:left="0" w:right="113"/>
              <w:jc w:val="right"/>
              <w:rPr>
                <w:sz w:val="18"/>
              </w:rPr>
            </w:pPr>
          </w:p>
        </w:tc>
        <w:tc>
          <w:tcPr>
            <w:tcW w:w="638" w:type="dxa"/>
            <w:shd w:val="clear" w:color="auto" w:fill="auto"/>
            <w:noWrap/>
            <w:vAlign w:val="bottom"/>
          </w:tcPr>
          <w:p w:rsidR="00A07983" w:rsidRPr="00A81C10" w:rsidRDefault="00A07983" w:rsidP="00D32E57">
            <w:pPr>
              <w:pStyle w:val="SingleTxtG"/>
              <w:keepNext/>
              <w:keepLines/>
              <w:suppressAutoHyphens w:val="0"/>
              <w:spacing w:before="40" w:after="40" w:line="220" w:lineRule="exact"/>
              <w:ind w:left="0" w:right="113"/>
              <w:jc w:val="right"/>
              <w:rPr>
                <w:sz w:val="18"/>
              </w:rPr>
            </w:pPr>
          </w:p>
        </w:tc>
        <w:tc>
          <w:tcPr>
            <w:tcW w:w="638" w:type="dxa"/>
            <w:shd w:val="clear" w:color="auto" w:fill="auto"/>
            <w:noWrap/>
            <w:vAlign w:val="bottom"/>
          </w:tcPr>
          <w:p w:rsidR="00A07983" w:rsidRPr="00A81C10" w:rsidRDefault="00A07983" w:rsidP="00D32E57">
            <w:pPr>
              <w:pStyle w:val="SingleTxtG"/>
              <w:keepNext/>
              <w:keepLines/>
              <w:suppressAutoHyphens w:val="0"/>
              <w:spacing w:before="40" w:after="40" w:line="220" w:lineRule="exact"/>
              <w:ind w:left="0" w:right="113"/>
              <w:jc w:val="right"/>
              <w:rPr>
                <w:sz w:val="18"/>
              </w:rPr>
            </w:pPr>
          </w:p>
        </w:tc>
        <w:tc>
          <w:tcPr>
            <w:tcW w:w="637" w:type="dxa"/>
            <w:shd w:val="clear" w:color="auto" w:fill="auto"/>
            <w:noWrap/>
            <w:vAlign w:val="bottom"/>
          </w:tcPr>
          <w:p w:rsidR="00A07983" w:rsidRPr="00A81C10" w:rsidRDefault="00A07983" w:rsidP="00D32E57">
            <w:pPr>
              <w:pStyle w:val="SingleTxtG"/>
              <w:keepNext/>
              <w:keepLines/>
              <w:suppressAutoHyphens w:val="0"/>
              <w:spacing w:before="40" w:after="40" w:line="220" w:lineRule="exact"/>
              <w:ind w:left="0" w:right="113"/>
              <w:jc w:val="right"/>
              <w:rPr>
                <w:sz w:val="18"/>
              </w:rPr>
            </w:pPr>
          </w:p>
        </w:tc>
        <w:tc>
          <w:tcPr>
            <w:tcW w:w="638" w:type="dxa"/>
            <w:shd w:val="clear" w:color="auto" w:fill="auto"/>
            <w:noWrap/>
            <w:vAlign w:val="bottom"/>
          </w:tcPr>
          <w:p w:rsidR="00A07983" w:rsidRPr="00A81C10" w:rsidRDefault="00A07983" w:rsidP="00D32E57">
            <w:pPr>
              <w:pStyle w:val="SingleTxtG"/>
              <w:keepNext/>
              <w:keepLines/>
              <w:suppressAutoHyphens w:val="0"/>
              <w:spacing w:before="40" w:after="40" w:line="220" w:lineRule="exact"/>
              <w:ind w:left="0" w:right="113"/>
              <w:jc w:val="right"/>
              <w:rPr>
                <w:sz w:val="18"/>
              </w:rPr>
            </w:pPr>
          </w:p>
        </w:tc>
        <w:tc>
          <w:tcPr>
            <w:tcW w:w="638" w:type="dxa"/>
            <w:shd w:val="clear" w:color="auto" w:fill="auto"/>
            <w:noWrap/>
            <w:vAlign w:val="bottom"/>
          </w:tcPr>
          <w:p w:rsidR="00A07983" w:rsidRPr="00A81C10" w:rsidRDefault="00A07983" w:rsidP="00D32E57">
            <w:pPr>
              <w:pStyle w:val="SingleTxtG"/>
              <w:keepNext/>
              <w:keepLines/>
              <w:suppressAutoHyphens w:val="0"/>
              <w:spacing w:before="40" w:after="40" w:line="220" w:lineRule="exact"/>
              <w:ind w:left="0" w:right="113"/>
              <w:jc w:val="right"/>
              <w:rPr>
                <w:sz w:val="18"/>
              </w:rPr>
            </w:pPr>
          </w:p>
        </w:tc>
      </w:tr>
      <w:tr w:rsidR="00A07983" w:rsidRPr="00A81C10" w:rsidTr="003E13D0">
        <w:trPr>
          <w:trHeight w:val="240"/>
        </w:trPr>
        <w:tc>
          <w:tcPr>
            <w:tcW w:w="426"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14.1</w:t>
            </w:r>
          </w:p>
        </w:tc>
        <w:tc>
          <w:tcPr>
            <w:tcW w:w="2551" w:type="dxa"/>
            <w:gridSpan w:val="2"/>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National total</w:t>
            </w:r>
          </w:p>
        </w:tc>
        <w:tc>
          <w:tcPr>
            <w:tcW w:w="637"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96</w:t>
            </w:r>
            <w:r w:rsidR="00A81C10">
              <w:rPr>
                <w:sz w:val="18"/>
                <w:szCs w:val="18"/>
              </w:rPr>
              <w:t>.</w:t>
            </w:r>
            <w:r w:rsidRPr="00A81C10">
              <w:rPr>
                <w:sz w:val="18"/>
                <w:szCs w:val="18"/>
              </w:rPr>
              <w:t>0</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96</w:t>
            </w:r>
            <w:r w:rsidR="00A81C10">
              <w:rPr>
                <w:sz w:val="18"/>
                <w:szCs w:val="18"/>
              </w:rPr>
              <w:t>.</w:t>
            </w:r>
            <w:r w:rsidRPr="00A81C10">
              <w:rPr>
                <w:sz w:val="18"/>
                <w:szCs w:val="18"/>
              </w:rPr>
              <w:t>3</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96</w:t>
            </w:r>
            <w:r w:rsidR="00A81C10">
              <w:rPr>
                <w:sz w:val="18"/>
                <w:szCs w:val="18"/>
              </w:rPr>
              <w:t>.</w:t>
            </w:r>
            <w:r w:rsidRPr="00A81C10">
              <w:rPr>
                <w:sz w:val="18"/>
                <w:szCs w:val="18"/>
              </w:rPr>
              <w:t>5</w:t>
            </w:r>
          </w:p>
        </w:tc>
        <w:tc>
          <w:tcPr>
            <w:tcW w:w="637"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97</w:t>
            </w:r>
            <w:r w:rsidR="00A81C10">
              <w:rPr>
                <w:sz w:val="18"/>
                <w:szCs w:val="18"/>
              </w:rPr>
              <w:t>.</w:t>
            </w:r>
            <w:r w:rsidRPr="00A81C10">
              <w:rPr>
                <w:sz w:val="18"/>
                <w:szCs w:val="18"/>
              </w:rPr>
              <w:t>0</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97</w:t>
            </w:r>
            <w:r w:rsidR="003C4F1C">
              <w:rPr>
                <w:sz w:val="18"/>
                <w:szCs w:val="18"/>
              </w:rPr>
              <w:t>.</w:t>
            </w:r>
            <w:r w:rsidRPr="00A81C10">
              <w:rPr>
                <w:sz w:val="18"/>
                <w:szCs w:val="18"/>
              </w:rPr>
              <w:t>5</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97</w:t>
            </w:r>
            <w:r w:rsidR="003C4F1C">
              <w:rPr>
                <w:sz w:val="18"/>
                <w:szCs w:val="18"/>
              </w:rPr>
              <w:t>.</w:t>
            </w:r>
            <w:r w:rsidRPr="00A81C10">
              <w:rPr>
                <w:sz w:val="18"/>
                <w:szCs w:val="18"/>
              </w:rPr>
              <w:t>5</w:t>
            </w:r>
          </w:p>
        </w:tc>
      </w:tr>
      <w:tr w:rsidR="00A07983" w:rsidRPr="00A81C10" w:rsidTr="003E13D0">
        <w:trPr>
          <w:trHeight w:val="240"/>
        </w:trPr>
        <w:tc>
          <w:tcPr>
            <w:tcW w:w="426"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14.2</w:t>
            </w:r>
          </w:p>
        </w:tc>
        <w:tc>
          <w:tcPr>
            <w:tcW w:w="850"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Urban</w:t>
            </w:r>
          </w:p>
        </w:tc>
        <w:tc>
          <w:tcPr>
            <w:tcW w:w="1701" w:type="dxa"/>
            <w:shd w:val="clear" w:color="auto" w:fill="auto"/>
            <w:noWrap/>
          </w:tcPr>
          <w:p w:rsidR="00A07983" w:rsidRPr="00A81C10" w:rsidRDefault="00A07983" w:rsidP="00A81C10">
            <w:pPr>
              <w:suppressAutoHyphens w:val="0"/>
              <w:spacing w:before="40" w:after="40" w:line="220" w:lineRule="exact"/>
              <w:ind w:right="113"/>
              <w:rPr>
                <w:sz w:val="18"/>
                <w:szCs w:val="18"/>
              </w:rPr>
            </w:pPr>
          </w:p>
        </w:tc>
        <w:tc>
          <w:tcPr>
            <w:tcW w:w="637"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99</w:t>
            </w:r>
            <w:r w:rsidR="00A81C10">
              <w:rPr>
                <w:sz w:val="18"/>
                <w:szCs w:val="18"/>
              </w:rPr>
              <w:t>.</w:t>
            </w:r>
            <w:r w:rsidRPr="00A81C10">
              <w:rPr>
                <w:sz w:val="18"/>
                <w:szCs w:val="18"/>
              </w:rPr>
              <w:t>3</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99</w:t>
            </w:r>
            <w:r w:rsidR="00A81C10">
              <w:rPr>
                <w:sz w:val="18"/>
                <w:szCs w:val="18"/>
              </w:rPr>
              <w:t>.</w:t>
            </w:r>
            <w:r w:rsidRPr="00A81C10">
              <w:rPr>
                <w:sz w:val="18"/>
                <w:szCs w:val="18"/>
              </w:rPr>
              <w:t>4</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99</w:t>
            </w:r>
            <w:r w:rsidR="00A81C10">
              <w:rPr>
                <w:sz w:val="18"/>
                <w:szCs w:val="18"/>
              </w:rPr>
              <w:t>.</w:t>
            </w:r>
            <w:r w:rsidRPr="00A81C10">
              <w:rPr>
                <w:sz w:val="18"/>
                <w:szCs w:val="18"/>
              </w:rPr>
              <w:t>4</w:t>
            </w:r>
          </w:p>
        </w:tc>
        <w:tc>
          <w:tcPr>
            <w:tcW w:w="637"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99</w:t>
            </w:r>
            <w:r w:rsidR="003C4F1C">
              <w:rPr>
                <w:sz w:val="18"/>
                <w:szCs w:val="18"/>
              </w:rPr>
              <w:t>.</w:t>
            </w:r>
            <w:r w:rsidRPr="00A81C10">
              <w:rPr>
                <w:sz w:val="18"/>
                <w:szCs w:val="18"/>
              </w:rPr>
              <w:t>4</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99</w:t>
            </w:r>
            <w:r w:rsidR="003C4F1C">
              <w:rPr>
                <w:sz w:val="18"/>
                <w:szCs w:val="18"/>
              </w:rPr>
              <w:t>.</w:t>
            </w:r>
            <w:r w:rsidRPr="00A81C10">
              <w:rPr>
                <w:sz w:val="18"/>
                <w:szCs w:val="18"/>
              </w:rPr>
              <w:t>6</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99</w:t>
            </w:r>
            <w:r w:rsidR="003C4F1C">
              <w:rPr>
                <w:sz w:val="18"/>
                <w:szCs w:val="18"/>
              </w:rPr>
              <w:t>.</w:t>
            </w:r>
            <w:r w:rsidRPr="00A81C10">
              <w:rPr>
                <w:sz w:val="18"/>
                <w:szCs w:val="18"/>
              </w:rPr>
              <w:t>6</w:t>
            </w:r>
          </w:p>
        </w:tc>
      </w:tr>
      <w:tr w:rsidR="00A81C10" w:rsidRPr="00A81C10" w:rsidTr="003E13D0">
        <w:trPr>
          <w:trHeight w:val="240"/>
        </w:trPr>
        <w:tc>
          <w:tcPr>
            <w:tcW w:w="426"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 </w:t>
            </w:r>
          </w:p>
        </w:tc>
        <w:tc>
          <w:tcPr>
            <w:tcW w:w="567"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14.3</w:t>
            </w:r>
          </w:p>
        </w:tc>
        <w:tc>
          <w:tcPr>
            <w:tcW w:w="850" w:type="dxa"/>
            <w:shd w:val="clear" w:color="auto" w:fill="auto"/>
            <w:noWrap/>
            <w:hideMark/>
          </w:tcPr>
          <w:p w:rsidR="00A07983" w:rsidRPr="00A81C10" w:rsidRDefault="00A07983" w:rsidP="00A81C10">
            <w:pPr>
              <w:pStyle w:val="SingleTxtG"/>
              <w:suppressAutoHyphens w:val="0"/>
              <w:spacing w:before="40" w:after="40" w:line="220" w:lineRule="exact"/>
              <w:ind w:left="0" w:right="113"/>
              <w:jc w:val="left"/>
              <w:rPr>
                <w:sz w:val="18"/>
              </w:rPr>
            </w:pPr>
            <w:r w:rsidRPr="00A81C10">
              <w:rPr>
                <w:sz w:val="18"/>
              </w:rPr>
              <w:t>Rural</w:t>
            </w:r>
          </w:p>
        </w:tc>
        <w:tc>
          <w:tcPr>
            <w:tcW w:w="1701" w:type="dxa"/>
            <w:shd w:val="clear" w:color="auto" w:fill="auto"/>
            <w:noWrap/>
          </w:tcPr>
          <w:p w:rsidR="00A07983" w:rsidRPr="00A81C10" w:rsidRDefault="00A07983" w:rsidP="00A81C10">
            <w:pPr>
              <w:suppressAutoHyphens w:val="0"/>
              <w:spacing w:before="40" w:after="40" w:line="220" w:lineRule="exact"/>
              <w:ind w:right="113"/>
              <w:rPr>
                <w:sz w:val="18"/>
                <w:szCs w:val="18"/>
              </w:rPr>
            </w:pPr>
          </w:p>
        </w:tc>
        <w:tc>
          <w:tcPr>
            <w:tcW w:w="637"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89</w:t>
            </w:r>
            <w:r w:rsidR="00A81C10">
              <w:rPr>
                <w:sz w:val="18"/>
                <w:szCs w:val="18"/>
              </w:rPr>
              <w:t>.</w:t>
            </w:r>
            <w:r w:rsidRPr="00A81C10">
              <w:rPr>
                <w:sz w:val="18"/>
                <w:szCs w:val="18"/>
              </w:rPr>
              <w:t>6</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90</w:t>
            </w:r>
            <w:r w:rsidR="00A81C10">
              <w:rPr>
                <w:sz w:val="18"/>
                <w:szCs w:val="18"/>
              </w:rPr>
              <w:t>.</w:t>
            </w:r>
            <w:r w:rsidRPr="00A81C10">
              <w:rPr>
                <w:sz w:val="18"/>
                <w:szCs w:val="18"/>
              </w:rPr>
              <w:t>6</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90</w:t>
            </w:r>
            <w:r w:rsidR="00A81C10">
              <w:rPr>
                <w:sz w:val="18"/>
                <w:szCs w:val="18"/>
              </w:rPr>
              <w:t>.</w:t>
            </w:r>
            <w:r w:rsidRPr="00A81C10">
              <w:rPr>
                <w:sz w:val="18"/>
                <w:szCs w:val="18"/>
              </w:rPr>
              <w:t>8</w:t>
            </w:r>
          </w:p>
        </w:tc>
        <w:tc>
          <w:tcPr>
            <w:tcW w:w="637"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92</w:t>
            </w:r>
            <w:r w:rsidR="003C4F1C">
              <w:rPr>
                <w:sz w:val="18"/>
                <w:szCs w:val="18"/>
              </w:rPr>
              <w:t>.</w:t>
            </w:r>
            <w:r w:rsidRPr="00A81C10">
              <w:rPr>
                <w:sz w:val="18"/>
                <w:szCs w:val="18"/>
              </w:rPr>
              <w:t>3</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93</w:t>
            </w:r>
            <w:r w:rsidR="003C4F1C">
              <w:rPr>
                <w:sz w:val="18"/>
                <w:szCs w:val="18"/>
              </w:rPr>
              <w:t>.</w:t>
            </w:r>
            <w:r w:rsidRPr="00A81C10">
              <w:rPr>
                <w:sz w:val="18"/>
                <w:szCs w:val="18"/>
              </w:rPr>
              <w:t>6</w:t>
            </w:r>
          </w:p>
        </w:tc>
        <w:tc>
          <w:tcPr>
            <w:tcW w:w="638" w:type="dxa"/>
            <w:shd w:val="clear" w:color="auto" w:fill="auto"/>
            <w:noWrap/>
            <w:vAlign w:val="bottom"/>
          </w:tcPr>
          <w:p w:rsidR="00A07983" w:rsidRPr="00A81C10" w:rsidRDefault="00A07983" w:rsidP="00A81C10">
            <w:pPr>
              <w:suppressAutoHyphens w:val="0"/>
              <w:spacing w:before="40" w:after="40" w:line="220" w:lineRule="exact"/>
              <w:ind w:right="113"/>
              <w:jc w:val="right"/>
              <w:rPr>
                <w:sz w:val="18"/>
                <w:szCs w:val="18"/>
              </w:rPr>
            </w:pPr>
            <w:r w:rsidRPr="00A81C10">
              <w:rPr>
                <w:sz w:val="18"/>
                <w:szCs w:val="18"/>
              </w:rPr>
              <w:t>93</w:t>
            </w:r>
            <w:r w:rsidR="003C4F1C">
              <w:rPr>
                <w:sz w:val="18"/>
                <w:szCs w:val="18"/>
              </w:rPr>
              <w:t>.</w:t>
            </w:r>
            <w:r w:rsidRPr="00A81C10">
              <w:rPr>
                <w:sz w:val="18"/>
                <w:szCs w:val="18"/>
              </w:rPr>
              <w:t>8</w:t>
            </w:r>
          </w:p>
        </w:tc>
      </w:tr>
    </w:tbl>
    <w:p w:rsidR="00BA06AB" w:rsidRPr="00E84B55" w:rsidRDefault="00E84B55" w:rsidP="00E84B55">
      <w:pPr>
        <w:pStyle w:val="FootnoteText"/>
        <w:tabs>
          <w:tab w:val="clear" w:pos="1021"/>
          <w:tab w:val="right" w:pos="1304"/>
        </w:tabs>
        <w:suppressAutoHyphens w:val="0"/>
        <w:spacing w:before="60"/>
        <w:ind w:left="1418" w:hanging="1418"/>
      </w:pPr>
      <w:r>
        <w:tab/>
      </w:r>
      <w:r w:rsidR="00BA06AB" w:rsidRPr="00445C95">
        <w:t>*</w:t>
      </w:r>
      <w:r>
        <w:tab/>
      </w:r>
      <w:r w:rsidR="00BA06AB" w:rsidRPr="00445C95">
        <w:t>Includes piped connections</w:t>
      </w:r>
      <w:r w:rsidR="00726016">
        <w:t xml:space="preserve"> </w:t>
      </w:r>
      <w:r w:rsidR="00BA06AB" w:rsidRPr="00445C95">
        <w:t>inside and outside the home or in neighbours</w:t>
      </w:r>
      <w:r w:rsidR="00726016">
        <w:t>’</w:t>
      </w:r>
      <w:r w:rsidR="00BA06AB" w:rsidRPr="00445C95">
        <w:t xml:space="preserve"> homes </w:t>
      </w:r>
      <w:r w:rsidR="00BA06AB" w:rsidRPr="00E84B55">
        <w:t>and public fountains or standpipes (shared standpipes).</w:t>
      </w:r>
    </w:p>
    <w:p w:rsidR="00BA06AB" w:rsidRPr="00E84B55" w:rsidRDefault="00E84B55" w:rsidP="00E84B55">
      <w:pPr>
        <w:pStyle w:val="FootnoteText"/>
        <w:tabs>
          <w:tab w:val="clear" w:pos="1021"/>
          <w:tab w:val="right" w:pos="1304"/>
        </w:tabs>
        <w:suppressAutoHyphens w:val="0"/>
        <w:spacing w:before="60"/>
        <w:ind w:left="1418" w:hanging="1418"/>
      </w:pPr>
      <w:r>
        <w:tab/>
      </w:r>
      <w:r w:rsidR="00BA06AB" w:rsidRPr="00E84B55">
        <w:t>**</w:t>
      </w:r>
      <w:r>
        <w:tab/>
      </w:r>
      <w:r w:rsidR="00BA06AB" w:rsidRPr="00E84B55">
        <w:t>Includes the electricity and electrical connections of neighbours.</w:t>
      </w:r>
    </w:p>
    <w:p w:rsidR="00BA06AB" w:rsidRPr="00445C95" w:rsidRDefault="00BA06AB" w:rsidP="000F1B09">
      <w:pPr>
        <w:pStyle w:val="H23G"/>
      </w:pPr>
      <w:r w:rsidRPr="00445C95">
        <w:tab/>
      </w:r>
      <w:bookmarkStart w:id="11" w:name="_Toc486428520"/>
      <w:r w:rsidRPr="00445C95">
        <w:t>C.</w:t>
      </w:r>
      <w:r w:rsidRPr="00445C95">
        <w:tab/>
        <w:t>Education</w:t>
      </w:r>
      <w:bookmarkEnd w:id="11"/>
      <w:r w:rsidRPr="00445C95">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567"/>
        <w:gridCol w:w="850"/>
        <w:gridCol w:w="1701"/>
        <w:gridCol w:w="637"/>
        <w:gridCol w:w="638"/>
        <w:gridCol w:w="638"/>
        <w:gridCol w:w="637"/>
        <w:gridCol w:w="638"/>
        <w:gridCol w:w="638"/>
      </w:tblGrid>
      <w:tr w:rsidR="00BA06AB" w:rsidRPr="00AB2827" w:rsidTr="00E6466D">
        <w:trPr>
          <w:trHeight w:val="240"/>
          <w:tblHeader/>
        </w:trPr>
        <w:tc>
          <w:tcPr>
            <w:tcW w:w="3544" w:type="dxa"/>
            <w:gridSpan w:val="4"/>
            <w:tcBorders>
              <w:top w:val="single" w:sz="4" w:space="0" w:color="auto"/>
              <w:bottom w:val="single" w:sz="12" w:space="0" w:color="auto"/>
            </w:tcBorders>
            <w:shd w:val="clear" w:color="auto" w:fill="auto"/>
            <w:noWrap/>
            <w:vAlign w:val="bottom"/>
            <w:hideMark/>
          </w:tcPr>
          <w:p w:rsidR="00BA06AB" w:rsidRPr="00AB2827" w:rsidRDefault="00BA06AB" w:rsidP="00AB2827">
            <w:pPr>
              <w:pStyle w:val="SingleTxtG"/>
              <w:suppressAutoHyphens w:val="0"/>
              <w:spacing w:before="80" w:after="80" w:line="200" w:lineRule="exact"/>
              <w:ind w:left="0" w:right="113"/>
              <w:jc w:val="left"/>
              <w:rPr>
                <w:i/>
                <w:sz w:val="16"/>
              </w:rPr>
            </w:pPr>
            <w:r w:rsidRPr="00AB2827">
              <w:rPr>
                <w:i/>
                <w:sz w:val="16"/>
              </w:rPr>
              <w:t>Variables and indicators</w:t>
            </w:r>
          </w:p>
        </w:tc>
        <w:tc>
          <w:tcPr>
            <w:tcW w:w="637" w:type="dxa"/>
            <w:tcBorders>
              <w:top w:val="single" w:sz="4" w:space="0" w:color="auto"/>
              <w:bottom w:val="single" w:sz="12" w:space="0" w:color="auto"/>
            </w:tcBorders>
            <w:shd w:val="clear" w:color="auto" w:fill="auto"/>
            <w:noWrap/>
            <w:vAlign w:val="bottom"/>
            <w:hideMark/>
          </w:tcPr>
          <w:p w:rsidR="00BA06AB" w:rsidRPr="00AB2827" w:rsidRDefault="00BA06AB" w:rsidP="00AB2827">
            <w:pPr>
              <w:pStyle w:val="SingleTxtG"/>
              <w:suppressAutoHyphens w:val="0"/>
              <w:spacing w:before="80" w:after="80" w:line="200" w:lineRule="exact"/>
              <w:ind w:left="0" w:right="113"/>
              <w:jc w:val="right"/>
              <w:rPr>
                <w:i/>
                <w:sz w:val="16"/>
              </w:rPr>
            </w:pPr>
            <w:r w:rsidRPr="00AB2827">
              <w:rPr>
                <w:i/>
                <w:sz w:val="16"/>
              </w:rPr>
              <w:t>2010</w:t>
            </w:r>
          </w:p>
        </w:tc>
        <w:tc>
          <w:tcPr>
            <w:tcW w:w="638" w:type="dxa"/>
            <w:tcBorders>
              <w:top w:val="single" w:sz="4" w:space="0" w:color="auto"/>
              <w:bottom w:val="single" w:sz="12" w:space="0" w:color="auto"/>
            </w:tcBorders>
            <w:shd w:val="clear" w:color="auto" w:fill="auto"/>
            <w:noWrap/>
            <w:vAlign w:val="bottom"/>
            <w:hideMark/>
          </w:tcPr>
          <w:p w:rsidR="00BA06AB" w:rsidRPr="00AB2827" w:rsidRDefault="00BA06AB" w:rsidP="00AB2827">
            <w:pPr>
              <w:pStyle w:val="SingleTxtG"/>
              <w:suppressAutoHyphens w:val="0"/>
              <w:spacing w:before="80" w:after="80" w:line="200" w:lineRule="exact"/>
              <w:ind w:left="0" w:right="113"/>
              <w:jc w:val="right"/>
              <w:rPr>
                <w:i/>
                <w:sz w:val="16"/>
              </w:rPr>
            </w:pPr>
            <w:r w:rsidRPr="00AB2827">
              <w:rPr>
                <w:i/>
                <w:sz w:val="16"/>
              </w:rPr>
              <w:t>2011</w:t>
            </w:r>
          </w:p>
        </w:tc>
        <w:tc>
          <w:tcPr>
            <w:tcW w:w="638" w:type="dxa"/>
            <w:tcBorders>
              <w:top w:val="single" w:sz="4" w:space="0" w:color="auto"/>
              <w:bottom w:val="single" w:sz="12" w:space="0" w:color="auto"/>
            </w:tcBorders>
            <w:shd w:val="clear" w:color="auto" w:fill="auto"/>
            <w:noWrap/>
            <w:vAlign w:val="bottom"/>
            <w:hideMark/>
          </w:tcPr>
          <w:p w:rsidR="00BA06AB" w:rsidRPr="00AB2827" w:rsidRDefault="00BA06AB" w:rsidP="00AB2827">
            <w:pPr>
              <w:pStyle w:val="SingleTxtG"/>
              <w:suppressAutoHyphens w:val="0"/>
              <w:spacing w:before="80" w:after="80" w:line="200" w:lineRule="exact"/>
              <w:ind w:left="0" w:right="113"/>
              <w:jc w:val="right"/>
              <w:rPr>
                <w:i/>
                <w:sz w:val="16"/>
              </w:rPr>
            </w:pPr>
            <w:r w:rsidRPr="00AB2827">
              <w:rPr>
                <w:i/>
                <w:sz w:val="16"/>
              </w:rPr>
              <w:t>2012</w:t>
            </w:r>
          </w:p>
        </w:tc>
        <w:tc>
          <w:tcPr>
            <w:tcW w:w="637" w:type="dxa"/>
            <w:tcBorders>
              <w:top w:val="single" w:sz="4" w:space="0" w:color="auto"/>
              <w:bottom w:val="single" w:sz="12" w:space="0" w:color="auto"/>
            </w:tcBorders>
            <w:shd w:val="clear" w:color="auto" w:fill="auto"/>
            <w:noWrap/>
            <w:vAlign w:val="bottom"/>
            <w:hideMark/>
          </w:tcPr>
          <w:p w:rsidR="00BA06AB" w:rsidRPr="00AB2827" w:rsidRDefault="00BA06AB" w:rsidP="00AB2827">
            <w:pPr>
              <w:pStyle w:val="SingleTxtG"/>
              <w:suppressAutoHyphens w:val="0"/>
              <w:spacing w:before="80" w:after="80" w:line="200" w:lineRule="exact"/>
              <w:ind w:left="0" w:right="113"/>
              <w:jc w:val="right"/>
              <w:rPr>
                <w:i/>
                <w:sz w:val="16"/>
              </w:rPr>
            </w:pPr>
            <w:r w:rsidRPr="00AB2827">
              <w:rPr>
                <w:i/>
                <w:sz w:val="16"/>
              </w:rPr>
              <w:t>2013</w:t>
            </w:r>
          </w:p>
        </w:tc>
        <w:tc>
          <w:tcPr>
            <w:tcW w:w="638" w:type="dxa"/>
            <w:tcBorders>
              <w:top w:val="single" w:sz="4" w:space="0" w:color="auto"/>
              <w:bottom w:val="single" w:sz="12" w:space="0" w:color="auto"/>
            </w:tcBorders>
            <w:shd w:val="clear" w:color="auto" w:fill="auto"/>
            <w:noWrap/>
            <w:vAlign w:val="bottom"/>
            <w:hideMark/>
          </w:tcPr>
          <w:p w:rsidR="00BA06AB" w:rsidRPr="00AB2827" w:rsidRDefault="00BA06AB" w:rsidP="00AB2827">
            <w:pPr>
              <w:pStyle w:val="SingleTxtG"/>
              <w:suppressAutoHyphens w:val="0"/>
              <w:spacing w:before="80" w:after="80" w:line="200" w:lineRule="exact"/>
              <w:ind w:left="0" w:right="113"/>
              <w:jc w:val="right"/>
              <w:rPr>
                <w:i/>
                <w:sz w:val="16"/>
              </w:rPr>
            </w:pPr>
            <w:r w:rsidRPr="00AB2827">
              <w:rPr>
                <w:i/>
                <w:sz w:val="16"/>
              </w:rPr>
              <w:t>2014</w:t>
            </w:r>
          </w:p>
        </w:tc>
        <w:tc>
          <w:tcPr>
            <w:tcW w:w="638" w:type="dxa"/>
            <w:tcBorders>
              <w:top w:val="single" w:sz="4" w:space="0" w:color="auto"/>
              <w:bottom w:val="single" w:sz="12" w:space="0" w:color="auto"/>
            </w:tcBorders>
            <w:shd w:val="clear" w:color="auto" w:fill="auto"/>
            <w:noWrap/>
            <w:vAlign w:val="bottom"/>
            <w:hideMark/>
          </w:tcPr>
          <w:p w:rsidR="00BA06AB" w:rsidRPr="00AB2827" w:rsidRDefault="00BA06AB" w:rsidP="00AB2827">
            <w:pPr>
              <w:pStyle w:val="SingleTxtG"/>
              <w:suppressAutoHyphens w:val="0"/>
              <w:spacing w:before="80" w:after="80" w:line="200" w:lineRule="exact"/>
              <w:ind w:left="0" w:right="113"/>
              <w:jc w:val="right"/>
              <w:rPr>
                <w:i/>
                <w:sz w:val="16"/>
              </w:rPr>
            </w:pPr>
            <w:r w:rsidRPr="00AB2827">
              <w:rPr>
                <w:i/>
                <w:sz w:val="16"/>
              </w:rPr>
              <w:t>2015</w:t>
            </w:r>
          </w:p>
        </w:tc>
      </w:tr>
      <w:tr w:rsidR="000F1B09" w:rsidRPr="00AB2827" w:rsidTr="001F0095">
        <w:trPr>
          <w:trHeight w:val="240"/>
        </w:trPr>
        <w:tc>
          <w:tcPr>
            <w:tcW w:w="7370" w:type="dxa"/>
            <w:gridSpan w:val="10"/>
            <w:tcBorders>
              <w:top w:val="single" w:sz="12" w:space="0" w:color="auto"/>
            </w:tcBorders>
            <w:shd w:val="clear" w:color="auto" w:fill="auto"/>
            <w:hideMark/>
          </w:tcPr>
          <w:p w:rsidR="000F1B09" w:rsidRPr="00AB2827" w:rsidRDefault="000F1B09" w:rsidP="000F1B09">
            <w:pPr>
              <w:pStyle w:val="SingleTxtG"/>
              <w:suppressAutoHyphens w:val="0"/>
              <w:spacing w:before="40" w:after="40" w:line="220" w:lineRule="exact"/>
              <w:ind w:left="0" w:right="113"/>
              <w:jc w:val="left"/>
              <w:rPr>
                <w:sz w:val="18"/>
              </w:rPr>
            </w:pPr>
            <w:r w:rsidRPr="00AB2827">
              <w:rPr>
                <w:sz w:val="18"/>
              </w:rPr>
              <w:t>15. Average duration of schooling (years of study completed, population aged 6 and over)</w:t>
            </w:r>
          </w:p>
        </w:tc>
      </w:tr>
      <w:tr w:rsidR="00863D5E" w:rsidRPr="0026247C" w:rsidTr="00E6466D">
        <w:trPr>
          <w:trHeight w:val="240"/>
        </w:trPr>
        <w:tc>
          <w:tcPr>
            <w:tcW w:w="426" w:type="dxa"/>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15.1</w:t>
            </w:r>
          </w:p>
        </w:tc>
        <w:tc>
          <w:tcPr>
            <w:tcW w:w="2551" w:type="dxa"/>
            <w:gridSpan w:val="2"/>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National total</w:t>
            </w:r>
          </w:p>
        </w:tc>
        <w:tc>
          <w:tcPr>
            <w:tcW w:w="637"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1</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2</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4</w:t>
            </w:r>
          </w:p>
        </w:tc>
        <w:tc>
          <w:tcPr>
            <w:tcW w:w="637"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6</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7</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8</w:t>
            </w:r>
          </w:p>
        </w:tc>
      </w:tr>
      <w:tr w:rsidR="00863D5E" w:rsidRPr="0026247C" w:rsidTr="00E6466D">
        <w:trPr>
          <w:trHeight w:val="240"/>
        </w:trPr>
        <w:tc>
          <w:tcPr>
            <w:tcW w:w="426" w:type="dxa"/>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15.2</w:t>
            </w:r>
          </w:p>
        </w:tc>
        <w:tc>
          <w:tcPr>
            <w:tcW w:w="850" w:type="dxa"/>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Urban</w:t>
            </w:r>
          </w:p>
        </w:tc>
        <w:tc>
          <w:tcPr>
            <w:tcW w:w="1701" w:type="dxa"/>
            <w:shd w:val="clear" w:color="auto" w:fill="auto"/>
            <w:noWrap/>
            <w:vAlign w:val="bottom"/>
          </w:tcPr>
          <w:p w:rsidR="00863D5E" w:rsidRPr="00853621" w:rsidRDefault="00863D5E" w:rsidP="00863D5E">
            <w:pPr>
              <w:spacing w:before="40" w:after="40" w:line="220" w:lineRule="exact"/>
              <w:ind w:left="113"/>
              <w:jc w:val="right"/>
              <w:rPr>
                <w:sz w:val="18"/>
                <w:szCs w:val="18"/>
              </w:rPr>
            </w:pPr>
          </w:p>
        </w:tc>
        <w:tc>
          <w:tcPr>
            <w:tcW w:w="637"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2</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3</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5</w:t>
            </w:r>
          </w:p>
        </w:tc>
        <w:tc>
          <w:tcPr>
            <w:tcW w:w="637"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7</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8</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9</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15.1.2</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6</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8</w:t>
            </w:r>
            <w:r>
              <w:rPr>
                <w:sz w:val="18"/>
                <w:szCs w:val="18"/>
              </w:rPr>
              <w:t>.</w:t>
            </w:r>
            <w:r w:rsidRPr="00853621">
              <w:rPr>
                <w:sz w:val="18"/>
                <w:szCs w:val="18"/>
              </w:rPr>
              <w:t>5</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9</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8</w:t>
            </w:r>
            <w:r>
              <w:rPr>
                <w:sz w:val="18"/>
                <w:szCs w:val="18"/>
              </w:rPr>
              <w:t>.</w:t>
            </w:r>
            <w:r w:rsidRPr="00853621">
              <w:rPr>
                <w:sz w:val="18"/>
                <w:szCs w:val="18"/>
              </w:rPr>
              <w:t>0</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8</w:t>
            </w:r>
            <w:r>
              <w:rPr>
                <w:sz w:val="18"/>
                <w:szCs w:val="18"/>
              </w:rPr>
              <w:t>.</w:t>
            </w:r>
            <w:r w:rsidRPr="00853621">
              <w:rPr>
                <w:sz w:val="18"/>
                <w:szCs w:val="18"/>
              </w:rPr>
              <w:t>1</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15.2.2</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Women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2</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1</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3</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5</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6</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7</w:t>
            </w:r>
          </w:p>
        </w:tc>
      </w:tr>
      <w:tr w:rsidR="00863D5E" w:rsidRPr="0026247C" w:rsidTr="00E6466D">
        <w:trPr>
          <w:trHeight w:val="240"/>
        </w:trPr>
        <w:tc>
          <w:tcPr>
            <w:tcW w:w="426" w:type="dxa"/>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15.3</w:t>
            </w:r>
          </w:p>
        </w:tc>
        <w:tc>
          <w:tcPr>
            <w:tcW w:w="850" w:type="dxa"/>
            <w:shd w:val="clear" w:color="auto" w:fill="auto"/>
            <w:noWrap/>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Rural</w:t>
            </w:r>
          </w:p>
        </w:tc>
        <w:tc>
          <w:tcPr>
            <w:tcW w:w="1701" w:type="dxa"/>
            <w:shd w:val="clear" w:color="auto" w:fill="auto"/>
            <w:noWrap/>
            <w:vAlign w:val="bottom"/>
          </w:tcPr>
          <w:p w:rsidR="00863D5E" w:rsidRPr="00853621" w:rsidRDefault="00863D5E" w:rsidP="00863D5E">
            <w:pPr>
              <w:spacing w:before="40" w:after="40" w:line="220" w:lineRule="exact"/>
              <w:ind w:left="113"/>
              <w:jc w:val="right"/>
              <w:rPr>
                <w:sz w:val="18"/>
                <w:szCs w:val="18"/>
              </w:rPr>
            </w:pPr>
          </w:p>
        </w:tc>
        <w:tc>
          <w:tcPr>
            <w:tcW w:w="637"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2</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3</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6</w:t>
            </w:r>
          </w:p>
        </w:tc>
        <w:tc>
          <w:tcPr>
            <w:tcW w:w="637"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7</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9</w:t>
            </w:r>
          </w:p>
        </w:tc>
        <w:tc>
          <w:tcPr>
            <w:tcW w:w="638" w:type="dxa"/>
            <w:shd w:val="clear" w:color="auto" w:fill="auto"/>
            <w:noWrap/>
            <w:vAlign w:val="bottom"/>
          </w:tcPr>
          <w:p w:rsidR="00863D5E" w:rsidRPr="00853621" w:rsidRDefault="00863D5E" w:rsidP="0026247C">
            <w:pPr>
              <w:suppressAutoHyphens w:val="0"/>
              <w:spacing w:before="40" w:after="40" w:line="220" w:lineRule="exact"/>
              <w:ind w:right="113"/>
              <w:jc w:val="right"/>
              <w:rPr>
                <w:sz w:val="18"/>
                <w:szCs w:val="18"/>
              </w:rPr>
            </w:pPr>
            <w:r w:rsidRPr="00853621">
              <w:rPr>
                <w:sz w:val="18"/>
                <w:szCs w:val="18"/>
              </w:rPr>
              <w:t>5</w:t>
            </w:r>
            <w:r>
              <w:rPr>
                <w:sz w:val="18"/>
                <w:szCs w:val="18"/>
              </w:rPr>
              <w:t>.</w:t>
            </w:r>
            <w:r w:rsidRPr="00853621">
              <w:rPr>
                <w:sz w:val="18"/>
                <w:szCs w:val="18"/>
              </w:rPr>
              <w:t>0</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15.3.1</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2</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w:t>
            </w:r>
            <w:r>
              <w:rPr>
                <w:sz w:val="18"/>
                <w:szCs w:val="18"/>
              </w:rPr>
              <w:t>.</w:t>
            </w:r>
            <w:r w:rsidRPr="00853621">
              <w:rPr>
                <w:sz w:val="18"/>
                <w:szCs w:val="18"/>
              </w:rPr>
              <w:t>9</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9</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5</w:t>
            </w:r>
            <w:r>
              <w:rPr>
                <w:sz w:val="18"/>
                <w:szCs w:val="18"/>
              </w:rPr>
              <w:t>.</w:t>
            </w:r>
            <w:r w:rsidRPr="00853621">
              <w:rPr>
                <w:sz w:val="18"/>
                <w:szCs w:val="18"/>
              </w:rPr>
              <w:t>0</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5</w:t>
            </w:r>
            <w:r>
              <w:rPr>
                <w:sz w:val="18"/>
                <w:szCs w:val="18"/>
              </w:rPr>
              <w:t>.</w:t>
            </w:r>
            <w:r w:rsidRPr="00853621">
              <w:rPr>
                <w:sz w:val="18"/>
                <w:szCs w:val="18"/>
              </w:rPr>
              <w:t>1</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15.3.2</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Women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1</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2</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w:t>
            </w:r>
            <w:r>
              <w:rPr>
                <w:sz w:val="18"/>
                <w:szCs w:val="18"/>
              </w:rPr>
              <w:t>.</w:t>
            </w:r>
            <w:r w:rsidRPr="00853621">
              <w:rPr>
                <w:sz w:val="18"/>
                <w:szCs w:val="18"/>
              </w:rPr>
              <w:t>7</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6</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8</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9</w:t>
            </w:r>
          </w:p>
        </w:tc>
      </w:tr>
      <w:tr w:rsidR="00863D5E" w:rsidRPr="0026247C" w:rsidTr="00E6466D">
        <w:trPr>
          <w:trHeight w:val="240"/>
        </w:trPr>
        <w:tc>
          <w:tcPr>
            <w:tcW w:w="3544" w:type="dxa"/>
            <w:gridSpan w:val="4"/>
            <w:shd w:val="clear" w:color="auto" w:fill="auto"/>
            <w:hideMark/>
          </w:tcPr>
          <w:p w:rsidR="00863D5E" w:rsidRPr="00AB2827" w:rsidRDefault="00863D5E" w:rsidP="00863D5E">
            <w:pPr>
              <w:pStyle w:val="SingleTxtG"/>
              <w:suppressAutoHyphens w:val="0"/>
              <w:spacing w:before="40" w:after="40" w:line="220" w:lineRule="exact"/>
              <w:ind w:left="0" w:right="113"/>
              <w:jc w:val="left"/>
              <w:rPr>
                <w:sz w:val="18"/>
              </w:rPr>
            </w:pPr>
            <w:r w:rsidRPr="00AB2827">
              <w:rPr>
                <w:sz w:val="18"/>
              </w:rPr>
              <w:t>16. Illiteracy (population aged 10 and over)</w:t>
            </w:r>
          </w:p>
        </w:tc>
        <w:tc>
          <w:tcPr>
            <w:tcW w:w="637" w:type="dxa"/>
            <w:shd w:val="clear" w:color="auto" w:fill="auto"/>
            <w:noWrap/>
            <w:vAlign w:val="bottom"/>
          </w:tcPr>
          <w:p w:rsidR="00863D5E" w:rsidRPr="0026247C" w:rsidRDefault="00863D5E" w:rsidP="0026247C">
            <w:pPr>
              <w:suppressAutoHyphens w:val="0"/>
              <w:spacing w:before="40" w:after="40" w:line="220" w:lineRule="exact"/>
              <w:ind w:right="113"/>
              <w:jc w:val="right"/>
              <w:rPr>
                <w:sz w:val="18"/>
                <w:szCs w:val="18"/>
              </w:rPr>
            </w:pPr>
          </w:p>
        </w:tc>
        <w:tc>
          <w:tcPr>
            <w:tcW w:w="638" w:type="dxa"/>
            <w:shd w:val="clear" w:color="auto" w:fill="auto"/>
            <w:noWrap/>
            <w:vAlign w:val="bottom"/>
          </w:tcPr>
          <w:p w:rsidR="00863D5E" w:rsidRPr="0026247C" w:rsidRDefault="00863D5E" w:rsidP="0026247C">
            <w:pPr>
              <w:suppressAutoHyphens w:val="0"/>
              <w:spacing w:before="40" w:after="40" w:line="220" w:lineRule="exact"/>
              <w:ind w:right="113"/>
              <w:jc w:val="right"/>
              <w:rPr>
                <w:sz w:val="18"/>
                <w:szCs w:val="18"/>
              </w:rPr>
            </w:pPr>
          </w:p>
        </w:tc>
        <w:tc>
          <w:tcPr>
            <w:tcW w:w="638" w:type="dxa"/>
            <w:shd w:val="clear" w:color="auto" w:fill="auto"/>
            <w:noWrap/>
            <w:vAlign w:val="bottom"/>
          </w:tcPr>
          <w:p w:rsidR="00863D5E" w:rsidRPr="0026247C" w:rsidRDefault="00863D5E" w:rsidP="0026247C">
            <w:pPr>
              <w:suppressAutoHyphens w:val="0"/>
              <w:spacing w:before="40" w:after="40" w:line="220" w:lineRule="exact"/>
              <w:ind w:right="113"/>
              <w:jc w:val="right"/>
              <w:rPr>
                <w:sz w:val="18"/>
                <w:szCs w:val="18"/>
              </w:rPr>
            </w:pPr>
          </w:p>
        </w:tc>
        <w:tc>
          <w:tcPr>
            <w:tcW w:w="637" w:type="dxa"/>
            <w:shd w:val="clear" w:color="auto" w:fill="auto"/>
            <w:noWrap/>
            <w:vAlign w:val="bottom"/>
          </w:tcPr>
          <w:p w:rsidR="00863D5E" w:rsidRPr="0026247C" w:rsidRDefault="00863D5E" w:rsidP="0026247C">
            <w:pPr>
              <w:suppressAutoHyphens w:val="0"/>
              <w:spacing w:before="40" w:after="40" w:line="220" w:lineRule="exact"/>
              <w:ind w:right="113"/>
              <w:jc w:val="right"/>
              <w:rPr>
                <w:sz w:val="18"/>
                <w:szCs w:val="18"/>
              </w:rPr>
            </w:pPr>
          </w:p>
        </w:tc>
        <w:tc>
          <w:tcPr>
            <w:tcW w:w="638" w:type="dxa"/>
            <w:shd w:val="clear" w:color="auto" w:fill="auto"/>
            <w:noWrap/>
            <w:vAlign w:val="bottom"/>
          </w:tcPr>
          <w:p w:rsidR="00863D5E" w:rsidRPr="0026247C" w:rsidRDefault="00863D5E" w:rsidP="0026247C">
            <w:pPr>
              <w:suppressAutoHyphens w:val="0"/>
              <w:spacing w:before="40" w:after="40" w:line="220" w:lineRule="exact"/>
              <w:ind w:right="113"/>
              <w:jc w:val="right"/>
              <w:rPr>
                <w:sz w:val="18"/>
                <w:szCs w:val="18"/>
              </w:rPr>
            </w:pPr>
          </w:p>
        </w:tc>
        <w:tc>
          <w:tcPr>
            <w:tcW w:w="638" w:type="dxa"/>
            <w:shd w:val="clear" w:color="auto" w:fill="auto"/>
            <w:noWrap/>
            <w:vAlign w:val="bottom"/>
          </w:tcPr>
          <w:p w:rsidR="00863D5E" w:rsidRPr="0026247C" w:rsidRDefault="00863D5E" w:rsidP="0026247C">
            <w:pPr>
              <w:suppressAutoHyphens w:val="0"/>
              <w:spacing w:before="40" w:after="40" w:line="220" w:lineRule="exact"/>
              <w:ind w:right="113"/>
              <w:jc w:val="right"/>
              <w:rPr>
                <w:sz w:val="18"/>
                <w:szCs w:val="18"/>
              </w:rPr>
            </w:pPr>
          </w:p>
        </w:tc>
      </w:tr>
      <w:tr w:rsidR="00474936" w:rsidRPr="0026247C" w:rsidTr="00E6466D">
        <w:trPr>
          <w:trHeight w:val="240"/>
        </w:trPr>
        <w:tc>
          <w:tcPr>
            <w:tcW w:w="426"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16.1</w:t>
            </w:r>
          </w:p>
        </w:tc>
        <w:tc>
          <w:tcPr>
            <w:tcW w:w="2551" w:type="dxa"/>
            <w:gridSpan w:val="2"/>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National total</w:t>
            </w: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13</w:t>
            </w:r>
            <w:r>
              <w:rPr>
                <w:sz w:val="18"/>
                <w:szCs w:val="18"/>
              </w:rPr>
              <w:t>.</w:t>
            </w:r>
            <w:r w:rsidRPr="00853621">
              <w:rPr>
                <w:sz w:val="18"/>
                <w:szCs w:val="18"/>
              </w:rPr>
              <w:t>7</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12</w:t>
            </w:r>
            <w:r>
              <w:rPr>
                <w:sz w:val="18"/>
                <w:szCs w:val="18"/>
              </w:rPr>
              <w:t>.</w:t>
            </w:r>
            <w:r w:rsidRPr="00853621">
              <w:rPr>
                <w:sz w:val="18"/>
                <w:szCs w:val="18"/>
              </w:rPr>
              <w:t>7</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12</w:t>
            </w:r>
            <w:r>
              <w:rPr>
                <w:sz w:val="18"/>
                <w:szCs w:val="18"/>
              </w:rPr>
              <w:t>.</w:t>
            </w:r>
            <w:r w:rsidRPr="00853621">
              <w:rPr>
                <w:sz w:val="18"/>
                <w:szCs w:val="18"/>
              </w:rPr>
              <w:t>4</w:t>
            </w: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11</w:t>
            </w:r>
            <w:r>
              <w:rPr>
                <w:sz w:val="18"/>
                <w:szCs w:val="18"/>
              </w:rPr>
              <w:t>.</w:t>
            </w:r>
            <w:r w:rsidRPr="00853621">
              <w:rPr>
                <w:sz w:val="18"/>
                <w:szCs w:val="18"/>
              </w:rPr>
              <w:t>8</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10</w:t>
            </w:r>
            <w:r>
              <w:rPr>
                <w:sz w:val="18"/>
                <w:szCs w:val="18"/>
              </w:rPr>
              <w:t>.</w:t>
            </w:r>
            <w:r w:rsidRPr="00853621">
              <w:rPr>
                <w:sz w:val="18"/>
                <w:szCs w:val="18"/>
              </w:rPr>
              <w:t>9</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10</w:t>
            </w:r>
            <w:r>
              <w:rPr>
                <w:sz w:val="18"/>
                <w:szCs w:val="18"/>
              </w:rPr>
              <w:t>.</w:t>
            </w:r>
            <w:r w:rsidRPr="00853621">
              <w:rPr>
                <w:sz w:val="18"/>
                <w:szCs w:val="18"/>
              </w:rPr>
              <w:t>8</w:t>
            </w:r>
          </w:p>
        </w:tc>
      </w:tr>
      <w:tr w:rsidR="00474936" w:rsidRPr="0026247C" w:rsidTr="00E6466D">
        <w:trPr>
          <w:trHeight w:val="240"/>
        </w:trPr>
        <w:tc>
          <w:tcPr>
            <w:tcW w:w="426"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16.2</w:t>
            </w:r>
          </w:p>
        </w:tc>
        <w:tc>
          <w:tcPr>
            <w:tcW w:w="850"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Urban</w:t>
            </w:r>
          </w:p>
        </w:tc>
        <w:tc>
          <w:tcPr>
            <w:tcW w:w="1701" w:type="dxa"/>
            <w:shd w:val="clear" w:color="auto" w:fill="auto"/>
            <w:noWrap/>
            <w:vAlign w:val="bottom"/>
          </w:tcPr>
          <w:p w:rsidR="00474936" w:rsidRPr="00853621" w:rsidRDefault="00474936" w:rsidP="00474936">
            <w:pPr>
              <w:spacing w:before="40" w:after="40" w:line="220" w:lineRule="exact"/>
              <w:ind w:left="113"/>
              <w:jc w:val="right"/>
              <w:rPr>
                <w:sz w:val="18"/>
                <w:szCs w:val="18"/>
              </w:rPr>
            </w:pP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8</w:t>
            </w:r>
            <w:r>
              <w:rPr>
                <w:sz w:val="18"/>
                <w:szCs w:val="18"/>
              </w:rPr>
              <w:t>.</w:t>
            </w:r>
            <w:r w:rsidRPr="00853621">
              <w:rPr>
                <w:sz w:val="18"/>
                <w:szCs w:val="18"/>
              </w:rPr>
              <w:t>8</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8</w:t>
            </w:r>
            <w:r>
              <w:rPr>
                <w:sz w:val="18"/>
                <w:szCs w:val="18"/>
              </w:rPr>
              <w:t>.</w:t>
            </w:r>
            <w:r w:rsidRPr="00853621">
              <w:rPr>
                <w:sz w:val="18"/>
                <w:szCs w:val="18"/>
              </w:rPr>
              <w:t>2</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8</w:t>
            </w:r>
            <w:r>
              <w:rPr>
                <w:sz w:val="18"/>
                <w:szCs w:val="18"/>
              </w:rPr>
              <w:t>.</w:t>
            </w:r>
            <w:r w:rsidRPr="00853621">
              <w:rPr>
                <w:sz w:val="18"/>
                <w:szCs w:val="18"/>
              </w:rPr>
              <w:t>2</w:t>
            </w: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6</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7</w:t>
            </w:r>
            <w:r>
              <w:rPr>
                <w:sz w:val="18"/>
                <w:szCs w:val="18"/>
              </w:rPr>
              <w:t>.</w:t>
            </w:r>
            <w:r w:rsidRPr="00853621">
              <w:rPr>
                <w:sz w:val="18"/>
                <w:szCs w:val="18"/>
              </w:rPr>
              <w:t>0</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9</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16.2.1</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6</w:t>
            </w:r>
            <w:r>
              <w:rPr>
                <w:sz w:val="18"/>
                <w:szCs w:val="18"/>
              </w:rPr>
              <w:t>.</w:t>
            </w:r>
            <w:r w:rsidRPr="00853621">
              <w:rPr>
                <w:sz w:val="18"/>
                <w:szCs w:val="18"/>
              </w:rPr>
              <w:t>3</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5</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5</w:t>
            </w:r>
            <w:r>
              <w:rPr>
                <w:sz w:val="18"/>
                <w:szCs w:val="18"/>
              </w:rPr>
              <w:t>.</w:t>
            </w:r>
            <w:r w:rsidRPr="00853621">
              <w:rPr>
                <w:sz w:val="18"/>
                <w:szCs w:val="18"/>
              </w:rPr>
              <w:t>4</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5</w:t>
            </w:r>
            <w:r>
              <w:rPr>
                <w:sz w:val="18"/>
                <w:szCs w:val="18"/>
              </w:rPr>
              <w:t>.</w:t>
            </w:r>
            <w:r w:rsidRPr="00853621">
              <w:rPr>
                <w:sz w:val="18"/>
                <w:szCs w:val="18"/>
              </w:rPr>
              <w:t>3</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5</w:t>
            </w:r>
            <w:r>
              <w:rPr>
                <w:sz w:val="18"/>
                <w:szCs w:val="18"/>
              </w:rPr>
              <w:t>.</w:t>
            </w:r>
            <w:r w:rsidRPr="00853621">
              <w:rPr>
                <w:sz w:val="18"/>
                <w:szCs w:val="18"/>
              </w:rPr>
              <w:t>0</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4</w:t>
            </w:r>
            <w:r>
              <w:rPr>
                <w:sz w:val="18"/>
                <w:szCs w:val="18"/>
              </w:rPr>
              <w:t>.</w:t>
            </w:r>
            <w:r w:rsidRPr="00853621">
              <w:rPr>
                <w:sz w:val="18"/>
                <w:szCs w:val="18"/>
              </w:rPr>
              <w:t>9</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16.2.2</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Women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10</w:t>
            </w:r>
            <w:r>
              <w:rPr>
                <w:sz w:val="18"/>
                <w:szCs w:val="18"/>
              </w:rPr>
              <w:t>.</w:t>
            </w:r>
            <w:r w:rsidRPr="00853621">
              <w:rPr>
                <w:sz w:val="18"/>
                <w:szCs w:val="18"/>
              </w:rPr>
              <w:t>9</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10</w:t>
            </w:r>
            <w:r>
              <w:rPr>
                <w:sz w:val="18"/>
                <w:szCs w:val="18"/>
              </w:rPr>
              <w:t>.</w:t>
            </w:r>
            <w:r w:rsidRPr="00853621">
              <w:rPr>
                <w:sz w:val="18"/>
                <w:szCs w:val="18"/>
              </w:rPr>
              <w:t>5</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10</w:t>
            </w:r>
            <w:r>
              <w:rPr>
                <w:sz w:val="18"/>
                <w:szCs w:val="18"/>
              </w:rPr>
              <w:t>.</w:t>
            </w:r>
            <w:r w:rsidRPr="00853621">
              <w:rPr>
                <w:sz w:val="18"/>
                <w:szCs w:val="18"/>
              </w:rPr>
              <w:t>5</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9</w:t>
            </w:r>
            <w:r>
              <w:rPr>
                <w:sz w:val="18"/>
                <w:szCs w:val="18"/>
              </w:rPr>
              <w:t>.</w:t>
            </w:r>
            <w:r w:rsidRPr="00853621">
              <w:rPr>
                <w:sz w:val="18"/>
                <w:szCs w:val="18"/>
              </w:rPr>
              <w:t>5</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8</w:t>
            </w:r>
            <w:r>
              <w:rPr>
                <w:sz w:val="18"/>
                <w:szCs w:val="18"/>
              </w:rPr>
              <w:t>.</w:t>
            </w:r>
            <w:r w:rsidRPr="00853621">
              <w:rPr>
                <w:sz w:val="18"/>
                <w:szCs w:val="18"/>
              </w:rPr>
              <w:t>7</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8</w:t>
            </w:r>
            <w:r>
              <w:rPr>
                <w:sz w:val="18"/>
                <w:szCs w:val="18"/>
              </w:rPr>
              <w:t>.</w:t>
            </w:r>
            <w:r w:rsidRPr="00853621">
              <w:rPr>
                <w:sz w:val="18"/>
                <w:szCs w:val="18"/>
              </w:rPr>
              <w:t>7</w:t>
            </w:r>
          </w:p>
        </w:tc>
      </w:tr>
      <w:tr w:rsidR="00474936" w:rsidRPr="0026247C" w:rsidTr="00E6466D">
        <w:trPr>
          <w:trHeight w:val="240"/>
        </w:trPr>
        <w:tc>
          <w:tcPr>
            <w:tcW w:w="426"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16.3</w:t>
            </w:r>
          </w:p>
        </w:tc>
        <w:tc>
          <w:tcPr>
            <w:tcW w:w="850"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Rural</w:t>
            </w:r>
          </w:p>
        </w:tc>
        <w:tc>
          <w:tcPr>
            <w:tcW w:w="1701" w:type="dxa"/>
            <w:shd w:val="clear" w:color="auto" w:fill="auto"/>
            <w:noWrap/>
            <w:vAlign w:val="bottom"/>
          </w:tcPr>
          <w:p w:rsidR="00474936" w:rsidRPr="00853621" w:rsidRDefault="00474936" w:rsidP="00474936">
            <w:pPr>
              <w:spacing w:before="40" w:after="40" w:line="220" w:lineRule="exact"/>
              <w:ind w:left="113"/>
              <w:jc w:val="right"/>
              <w:rPr>
                <w:sz w:val="18"/>
                <w:szCs w:val="18"/>
              </w:rPr>
            </w:pP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22</w:t>
            </w:r>
            <w:r>
              <w:rPr>
                <w:sz w:val="18"/>
                <w:szCs w:val="18"/>
              </w:rPr>
              <w:t>.</w:t>
            </w:r>
            <w:r w:rsidRPr="00853621">
              <w:rPr>
                <w:sz w:val="18"/>
                <w:szCs w:val="18"/>
              </w:rPr>
              <w:t>2</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20</w:t>
            </w:r>
            <w:r>
              <w:rPr>
                <w:sz w:val="18"/>
                <w:szCs w:val="18"/>
              </w:rPr>
              <w:t>.</w:t>
            </w:r>
            <w:r w:rsidRPr="00853621">
              <w:rPr>
                <w:sz w:val="18"/>
                <w:szCs w:val="18"/>
              </w:rPr>
              <w:t>7</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19</w:t>
            </w:r>
            <w:r>
              <w:rPr>
                <w:sz w:val="18"/>
                <w:szCs w:val="18"/>
              </w:rPr>
              <w:t>.</w:t>
            </w:r>
            <w:r w:rsidRPr="00853621">
              <w:rPr>
                <w:sz w:val="18"/>
                <w:szCs w:val="18"/>
              </w:rPr>
              <w:t>9</w:t>
            </w: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18</w:t>
            </w:r>
            <w:r>
              <w:rPr>
                <w:sz w:val="18"/>
                <w:szCs w:val="18"/>
              </w:rPr>
              <w:t>.</w:t>
            </w:r>
            <w:r w:rsidRPr="00853621">
              <w:rPr>
                <w:sz w:val="18"/>
                <w:szCs w:val="18"/>
              </w:rPr>
              <w:t>9</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17</w:t>
            </w:r>
            <w:r>
              <w:rPr>
                <w:sz w:val="18"/>
                <w:szCs w:val="18"/>
              </w:rPr>
              <w:t>.</w:t>
            </w:r>
            <w:r w:rsidRPr="00853621">
              <w:rPr>
                <w:sz w:val="18"/>
                <w:szCs w:val="18"/>
              </w:rPr>
              <w:t>7</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17</w:t>
            </w:r>
            <w:r>
              <w:rPr>
                <w:sz w:val="18"/>
                <w:szCs w:val="18"/>
              </w:rPr>
              <w:t>.</w:t>
            </w:r>
            <w:r w:rsidRPr="00853621">
              <w:rPr>
                <w:sz w:val="18"/>
                <w:szCs w:val="18"/>
              </w:rPr>
              <w:t>6</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16.3.1</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19</w:t>
            </w:r>
            <w:r>
              <w:rPr>
                <w:sz w:val="18"/>
                <w:szCs w:val="18"/>
              </w:rPr>
              <w:t>.</w:t>
            </w:r>
            <w:r w:rsidRPr="00853621">
              <w:rPr>
                <w:sz w:val="18"/>
                <w:szCs w:val="18"/>
              </w:rPr>
              <w:t>6</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17</w:t>
            </w:r>
            <w:r>
              <w:rPr>
                <w:sz w:val="18"/>
                <w:szCs w:val="18"/>
              </w:rPr>
              <w:t>.</w:t>
            </w:r>
            <w:r w:rsidRPr="00853621">
              <w:rPr>
                <w:sz w:val="18"/>
                <w:szCs w:val="18"/>
              </w:rPr>
              <w:t>9</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17</w:t>
            </w:r>
            <w:r>
              <w:rPr>
                <w:sz w:val="18"/>
                <w:szCs w:val="18"/>
              </w:rPr>
              <w:t>.</w:t>
            </w:r>
            <w:r w:rsidRPr="00853621">
              <w:rPr>
                <w:sz w:val="18"/>
                <w:szCs w:val="18"/>
              </w:rPr>
              <w:t>3</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16</w:t>
            </w:r>
            <w:r>
              <w:rPr>
                <w:sz w:val="18"/>
                <w:szCs w:val="18"/>
              </w:rPr>
              <w:t>.</w:t>
            </w:r>
            <w:r w:rsidRPr="00853621">
              <w:rPr>
                <w:sz w:val="18"/>
                <w:szCs w:val="18"/>
              </w:rPr>
              <w:t>5</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15</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15</w:t>
            </w:r>
            <w:r>
              <w:rPr>
                <w:sz w:val="18"/>
                <w:szCs w:val="18"/>
              </w:rPr>
              <w:t>.</w:t>
            </w:r>
            <w:r w:rsidRPr="00853621">
              <w:rPr>
                <w:sz w:val="18"/>
                <w:szCs w:val="18"/>
              </w:rPr>
              <w:t>8</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16.3.2</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Women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24</w:t>
            </w:r>
            <w:r>
              <w:rPr>
                <w:sz w:val="18"/>
                <w:szCs w:val="18"/>
              </w:rPr>
              <w:t>.</w:t>
            </w:r>
            <w:r w:rsidRPr="00853621">
              <w:rPr>
                <w:sz w:val="18"/>
                <w:szCs w:val="18"/>
              </w:rPr>
              <w:t>6</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23</w:t>
            </w:r>
            <w:r>
              <w:rPr>
                <w:sz w:val="18"/>
                <w:szCs w:val="18"/>
              </w:rPr>
              <w:t>.</w:t>
            </w:r>
            <w:r w:rsidRPr="00853621">
              <w:rPr>
                <w:sz w:val="18"/>
                <w:szCs w:val="18"/>
              </w:rPr>
              <w:t>3</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22</w:t>
            </w:r>
            <w:r>
              <w:rPr>
                <w:sz w:val="18"/>
                <w:szCs w:val="18"/>
              </w:rPr>
              <w:t>.</w:t>
            </w:r>
            <w:r w:rsidRPr="00853621">
              <w:rPr>
                <w:sz w:val="18"/>
                <w:szCs w:val="18"/>
              </w:rPr>
              <w:t>3</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21</w:t>
            </w:r>
            <w:r>
              <w:rPr>
                <w:sz w:val="18"/>
                <w:szCs w:val="18"/>
              </w:rPr>
              <w:t>.</w:t>
            </w:r>
            <w:r w:rsidRPr="00853621">
              <w:rPr>
                <w:sz w:val="18"/>
                <w:szCs w:val="18"/>
              </w:rPr>
              <w:t>2</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19</w:t>
            </w:r>
            <w:r>
              <w:rPr>
                <w:sz w:val="18"/>
                <w:szCs w:val="18"/>
              </w:rPr>
              <w:t>.</w:t>
            </w:r>
            <w:r w:rsidRPr="00853621">
              <w:rPr>
                <w:sz w:val="18"/>
                <w:szCs w:val="18"/>
              </w:rPr>
              <w:t>7</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19</w:t>
            </w:r>
            <w:r>
              <w:rPr>
                <w:sz w:val="18"/>
                <w:szCs w:val="18"/>
              </w:rPr>
              <w:t>.</w:t>
            </w:r>
            <w:r w:rsidRPr="00853621">
              <w:rPr>
                <w:sz w:val="18"/>
                <w:szCs w:val="18"/>
              </w:rPr>
              <w:t>2</w:t>
            </w:r>
          </w:p>
        </w:tc>
      </w:tr>
      <w:tr w:rsidR="00570155" w:rsidRPr="0026247C" w:rsidTr="002629A6">
        <w:trPr>
          <w:trHeight w:val="240"/>
        </w:trPr>
        <w:tc>
          <w:tcPr>
            <w:tcW w:w="4819" w:type="dxa"/>
            <w:gridSpan w:val="6"/>
            <w:shd w:val="clear" w:color="auto" w:fill="auto"/>
            <w:noWrap/>
            <w:hideMark/>
          </w:tcPr>
          <w:p w:rsidR="00570155" w:rsidRPr="0026247C" w:rsidRDefault="00570155" w:rsidP="00570155">
            <w:pPr>
              <w:suppressAutoHyphens w:val="0"/>
              <w:spacing w:before="40" w:after="40" w:line="220" w:lineRule="exact"/>
              <w:ind w:right="113"/>
              <w:rPr>
                <w:sz w:val="18"/>
                <w:szCs w:val="18"/>
              </w:rPr>
            </w:pPr>
            <w:r w:rsidRPr="00AB2827">
              <w:rPr>
                <w:sz w:val="18"/>
              </w:rPr>
              <w:t>17. School attendance (population aged 4 and over)</w:t>
            </w:r>
          </w:p>
        </w:tc>
        <w:tc>
          <w:tcPr>
            <w:tcW w:w="638" w:type="dxa"/>
            <w:shd w:val="clear" w:color="auto" w:fill="auto"/>
            <w:noWrap/>
            <w:vAlign w:val="bottom"/>
          </w:tcPr>
          <w:p w:rsidR="00570155" w:rsidRPr="0026247C" w:rsidRDefault="00570155" w:rsidP="0026247C">
            <w:pPr>
              <w:suppressAutoHyphens w:val="0"/>
              <w:spacing w:before="40" w:after="40" w:line="220" w:lineRule="exact"/>
              <w:ind w:right="113"/>
              <w:jc w:val="right"/>
              <w:rPr>
                <w:sz w:val="18"/>
                <w:szCs w:val="18"/>
              </w:rPr>
            </w:pPr>
          </w:p>
        </w:tc>
        <w:tc>
          <w:tcPr>
            <w:tcW w:w="637" w:type="dxa"/>
            <w:shd w:val="clear" w:color="auto" w:fill="auto"/>
            <w:noWrap/>
            <w:vAlign w:val="bottom"/>
          </w:tcPr>
          <w:p w:rsidR="00570155" w:rsidRPr="0026247C" w:rsidRDefault="00570155" w:rsidP="0026247C">
            <w:pPr>
              <w:suppressAutoHyphens w:val="0"/>
              <w:spacing w:before="40" w:after="40" w:line="220" w:lineRule="exact"/>
              <w:ind w:right="113"/>
              <w:jc w:val="right"/>
              <w:rPr>
                <w:sz w:val="18"/>
                <w:szCs w:val="18"/>
              </w:rPr>
            </w:pPr>
          </w:p>
        </w:tc>
        <w:tc>
          <w:tcPr>
            <w:tcW w:w="638" w:type="dxa"/>
            <w:shd w:val="clear" w:color="auto" w:fill="auto"/>
            <w:noWrap/>
            <w:vAlign w:val="bottom"/>
          </w:tcPr>
          <w:p w:rsidR="00570155" w:rsidRPr="0026247C" w:rsidRDefault="00570155" w:rsidP="0026247C">
            <w:pPr>
              <w:suppressAutoHyphens w:val="0"/>
              <w:spacing w:before="40" w:after="40" w:line="220" w:lineRule="exact"/>
              <w:ind w:right="113"/>
              <w:jc w:val="right"/>
              <w:rPr>
                <w:sz w:val="18"/>
                <w:szCs w:val="18"/>
              </w:rPr>
            </w:pPr>
          </w:p>
        </w:tc>
        <w:tc>
          <w:tcPr>
            <w:tcW w:w="638" w:type="dxa"/>
            <w:shd w:val="clear" w:color="auto" w:fill="auto"/>
            <w:noWrap/>
            <w:vAlign w:val="bottom"/>
          </w:tcPr>
          <w:p w:rsidR="00570155" w:rsidRPr="0026247C" w:rsidRDefault="00570155" w:rsidP="0026247C">
            <w:pPr>
              <w:suppressAutoHyphens w:val="0"/>
              <w:spacing w:before="40" w:after="40" w:line="220" w:lineRule="exact"/>
              <w:ind w:right="113"/>
              <w:jc w:val="right"/>
              <w:rPr>
                <w:sz w:val="18"/>
                <w:szCs w:val="18"/>
              </w:rPr>
            </w:pPr>
          </w:p>
        </w:tc>
      </w:tr>
      <w:tr w:rsidR="00474936" w:rsidRPr="0026247C" w:rsidTr="00E6466D">
        <w:trPr>
          <w:trHeight w:val="240"/>
        </w:trPr>
        <w:tc>
          <w:tcPr>
            <w:tcW w:w="426"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17.1</w:t>
            </w:r>
          </w:p>
        </w:tc>
        <w:tc>
          <w:tcPr>
            <w:tcW w:w="2551" w:type="dxa"/>
            <w:gridSpan w:val="2"/>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National total</w:t>
            </w: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7</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4</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31</w:t>
            </w:r>
            <w:r>
              <w:rPr>
                <w:sz w:val="18"/>
                <w:szCs w:val="18"/>
              </w:rPr>
              <w:t>.</w:t>
            </w:r>
            <w:r w:rsidRPr="00853621">
              <w:rPr>
                <w:sz w:val="18"/>
                <w:szCs w:val="18"/>
              </w:rPr>
              <w:t>6</w:t>
            </w: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31</w:t>
            </w:r>
            <w:r>
              <w:rPr>
                <w:sz w:val="18"/>
                <w:szCs w:val="18"/>
              </w:rPr>
              <w:t>.</w:t>
            </w:r>
            <w:r w:rsidRPr="00853621">
              <w:rPr>
                <w:sz w:val="18"/>
                <w:szCs w:val="18"/>
              </w:rPr>
              <w:t>1</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29</w:t>
            </w:r>
            <w:r>
              <w:rPr>
                <w:sz w:val="18"/>
                <w:szCs w:val="18"/>
              </w:rPr>
              <w:t>.</w:t>
            </w:r>
            <w:r w:rsidRPr="00853621">
              <w:rPr>
                <w:sz w:val="18"/>
                <w:szCs w:val="18"/>
              </w:rPr>
              <w:t>6</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28</w:t>
            </w:r>
            <w:r>
              <w:rPr>
                <w:sz w:val="18"/>
                <w:szCs w:val="18"/>
              </w:rPr>
              <w:t>.</w:t>
            </w:r>
            <w:r w:rsidRPr="00853621">
              <w:rPr>
                <w:sz w:val="18"/>
                <w:szCs w:val="18"/>
              </w:rPr>
              <w:t>7</w:t>
            </w:r>
          </w:p>
        </w:tc>
      </w:tr>
      <w:tr w:rsidR="00474936" w:rsidRPr="0026247C" w:rsidTr="00E6466D">
        <w:trPr>
          <w:trHeight w:val="240"/>
        </w:trPr>
        <w:tc>
          <w:tcPr>
            <w:tcW w:w="426"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17.2</w:t>
            </w:r>
          </w:p>
        </w:tc>
        <w:tc>
          <w:tcPr>
            <w:tcW w:w="850"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Urban</w:t>
            </w:r>
          </w:p>
        </w:tc>
        <w:tc>
          <w:tcPr>
            <w:tcW w:w="1701" w:type="dxa"/>
            <w:shd w:val="clear" w:color="auto" w:fill="auto"/>
            <w:noWrap/>
            <w:vAlign w:val="bottom"/>
          </w:tcPr>
          <w:p w:rsidR="00474936" w:rsidRPr="00853621" w:rsidRDefault="00474936" w:rsidP="00474936">
            <w:pPr>
              <w:spacing w:before="40" w:after="40" w:line="220" w:lineRule="exact"/>
              <w:ind w:left="113"/>
              <w:jc w:val="right"/>
              <w:rPr>
                <w:sz w:val="18"/>
                <w:szCs w:val="18"/>
              </w:rPr>
            </w:pP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8</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6</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1</w:t>
            </w: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31</w:t>
            </w:r>
            <w:r>
              <w:rPr>
                <w:sz w:val="18"/>
                <w:szCs w:val="18"/>
              </w:rPr>
              <w:t>.</w:t>
            </w:r>
            <w:r w:rsidRPr="00853621">
              <w:rPr>
                <w:sz w:val="18"/>
                <w:szCs w:val="18"/>
              </w:rPr>
              <w:t>8</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30</w:t>
            </w:r>
            <w:r>
              <w:rPr>
                <w:sz w:val="18"/>
                <w:szCs w:val="18"/>
              </w:rPr>
              <w:t>.</w:t>
            </w:r>
            <w:r w:rsidRPr="00853621">
              <w:rPr>
                <w:sz w:val="18"/>
                <w:szCs w:val="18"/>
              </w:rPr>
              <w:t>2</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29</w:t>
            </w:r>
            <w:r>
              <w:rPr>
                <w:sz w:val="18"/>
                <w:szCs w:val="18"/>
              </w:rPr>
              <w:t>.</w:t>
            </w:r>
            <w:r w:rsidRPr="00853621">
              <w:rPr>
                <w:sz w:val="18"/>
                <w:szCs w:val="18"/>
              </w:rPr>
              <w:t>4</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17.2.1</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35</w:t>
            </w:r>
            <w:r>
              <w:rPr>
                <w:sz w:val="18"/>
                <w:szCs w:val="18"/>
              </w:rPr>
              <w:t>.</w:t>
            </w:r>
            <w:r w:rsidRPr="00853621">
              <w:rPr>
                <w:sz w:val="18"/>
                <w:szCs w:val="18"/>
              </w:rPr>
              <w:t>7</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35</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35</w:t>
            </w:r>
            <w:r>
              <w:rPr>
                <w:sz w:val="18"/>
                <w:szCs w:val="18"/>
              </w:rPr>
              <w:t>.</w:t>
            </w:r>
            <w:r w:rsidRPr="00853621">
              <w:rPr>
                <w:sz w:val="18"/>
                <w:szCs w:val="18"/>
              </w:rPr>
              <w:t>2</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34</w:t>
            </w:r>
            <w:r>
              <w:rPr>
                <w:sz w:val="18"/>
                <w:szCs w:val="18"/>
              </w:rPr>
              <w:t>.</w:t>
            </w:r>
            <w:r w:rsidRPr="00853621">
              <w:rPr>
                <w:sz w:val="18"/>
                <w:szCs w:val="18"/>
              </w:rPr>
              <w:t>7</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33</w:t>
            </w:r>
            <w:r>
              <w:rPr>
                <w:sz w:val="18"/>
                <w:szCs w:val="18"/>
              </w:rPr>
              <w:t>.</w:t>
            </w:r>
            <w:r w:rsidRPr="00853621">
              <w:rPr>
                <w:sz w:val="18"/>
                <w:szCs w:val="18"/>
              </w:rPr>
              <w:t>0</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0</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17.2.2</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Women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30</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30</w:t>
            </w:r>
            <w:r>
              <w:rPr>
                <w:sz w:val="18"/>
                <w:szCs w:val="18"/>
              </w:rPr>
              <w:t>.</w:t>
            </w:r>
            <w:r w:rsidRPr="00853621">
              <w:rPr>
                <w:sz w:val="18"/>
                <w:szCs w:val="18"/>
              </w:rPr>
              <w:t>1</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29</w:t>
            </w:r>
            <w:r>
              <w:rPr>
                <w:sz w:val="18"/>
                <w:szCs w:val="18"/>
              </w:rPr>
              <w:t>.</w:t>
            </w:r>
            <w:r w:rsidRPr="00853621">
              <w:rPr>
                <w:sz w:val="18"/>
                <w:szCs w:val="18"/>
              </w:rPr>
              <w:t>5</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29</w:t>
            </w:r>
            <w:r>
              <w:rPr>
                <w:sz w:val="18"/>
                <w:szCs w:val="18"/>
              </w:rPr>
              <w:t>.</w:t>
            </w:r>
            <w:r w:rsidRPr="00853621">
              <w:rPr>
                <w:sz w:val="18"/>
                <w:szCs w:val="18"/>
              </w:rPr>
              <w:t>2</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27</w:t>
            </w:r>
            <w:r>
              <w:rPr>
                <w:sz w:val="18"/>
                <w:szCs w:val="18"/>
              </w:rPr>
              <w:t>.</w:t>
            </w:r>
            <w:r w:rsidRPr="00853621">
              <w:rPr>
                <w:sz w:val="18"/>
                <w:szCs w:val="18"/>
              </w:rPr>
              <w:t>8</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27</w:t>
            </w:r>
            <w:r>
              <w:rPr>
                <w:sz w:val="18"/>
                <w:szCs w:val="18"/>
              </w:rPr>
              <w:t>.</w:t>
            </w:r>
            <w:r w:rsidRPr="00853621">
              <w:rPr>
                <w:sz w:val="18"/>
                <w:szCs w:val="18"/>
              </w:rPr>
              <w:t>1</w:t>
            </w:r>
          </w:p>
        </w:tc>
      </w:tr>
      <w:tr w:rsidR="00474936" w:rsidRPr="0026247C" w:rsidTr="00E6466D">
        <w:trPr>
          <w:trHeight w:val="240"/>
        </w:trPr>
        <w:tc>
          <w:tcPr>
            <w:tcW w:w="426"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17.3</w:t>
            </w:r>
          </w:p>
        </w:tc>
        <w:tc>
          <w:tcPr>
            <w:tcW w:w="850" w:type="dxa"/>
            <w:shd w:val="clear" w:color="auto" w:fill="auto"/>
            <w:noWrap/>
            <w:hideMark/>
          </w:tcPr>
          <w:p w:rsidR="00474936" w:rsidRPr="00AB2827" w:rsidRDefault="00474936" w:rsidP="00474936">
            <w:pPr>
              <w:pStyle w:val="SingleTxtG"/>
              <w:suppressAutoHyphens w:val="0"/>
              <w:spacing w:before="40" w:after="40" w:line="220" w:lineRule="exact"/>
              <w:ind w:left="0" w:right="113"/>
              <w:jc w:val="left"/>
              <w:rPr>
                <w:sz w:val="18"/>
              </w:rPr>
            </w:pPr>
            <w:r w:rsidRPr="00AB2827">
              <w:rPr>
                <w:sz w:val="18"/>
              </w:rPr>
              <w:t>Rural</w:t>
            </w:r>
          </w:p>
        </w:tc>
        <w:tc>
          <w:tcPr>
            <w:tcW w:w="1701" w:type="dxa"/>
            <w:shd w:val="clear" w:color="auto" w:fill="auto"/>
            <w:noWrap/>
            <w:vAlign w:val="bottom"/>
          </w:tcPr>
          <w:p w:rsidR="00474936" w:rsidRPr="00853621" w:rsidRDefault="00474936" w:rsidP="00474936">
            <w:pPr>
              <w:spacing w:before="40" w:after="40" w:line="220" w:lineRule="exact"/>
              <w:ind w:left="113"/>
              <w:jc w:val="right"/>
              <w:rPr>
                <w:sz w:val="18"/>
                <w:szCs w:val="18"/>
              </w:rPr>
            </w:pP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5</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1</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30</w:t>
            </w:r>
            <w:r>
              <w:rPr>
                <w:sz w:val="18"/>
                <w:szCs w:val="18"/>
              </w:rPr>
              <w:t>.</w:t>
            </w:r>
            <w:r w:rsidRPr="00853621">
              <w:rPr>
                <w:sz w:val="18"/>
                <w:szCs w:val="18"/>
              </w:rPr>
              <w:t>7</w:t>
            </w:r>
          </w:p>
        </w:tc>
        <w:tc>
          <w:tcPr>
            <w:tcW w:w="637"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29</w:t>
            </w:r>
            <w:r>
              <w:rPr>
                <w:sz w:val="18"/>
                <w:szCs w:val="18"/>
              </w:rPr>
              <w:t>.</w:t>
            </w:r>
            <w:r w:rsidRPr="00853621">
              <w:rPr>
                <w:sz w:val="18"/>
                <w:szCs w:val="18"/>
              </w:rPr>
              <w:t>9</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28</w:t>
            </w:r>
            <w:r>
              <w:rPr>
                <w:sz w:val="18"/>
                <w:szCs w:val="18"/>
              </w:rPr>
              <w:t>.</w:t>
            </w:r>
            <w:r w:rsidRPr="00853621">
              <w:rPr>
                <w:sz w:val="18"/>
                <w:szCs w:val="18"/>
              </w:rPr>
              <w:t>6</w:t>
            </w:r>
          </w:p>
        </w:tc>
        <w:tc>
          <w:tcPr>
            <w:tcW w:w="638" w:type="dxa"/>
            <w:shd w:val="clear" w:color="auto" w:fill="auto"/>
            <w:noWrap/>
            <w:vAlign w:val="bottom"/>
          </w:tcPr>
          <w:p w:rsidR="00474936" w:rsidRPr="00853621" w:rsidRDefault="00474936" w:rsidP="0026247C">
            <w:pPr>
              <w:suppressAutoHyphens w:val="0"/>
              <w:spacing w:before="40" w:after="40" w:line="220" w:lineRule="exact"/>
              <w:ind w:right="113"/>
              <w:jc w:val="right"/>
              <w:rPr>
                <w:sz w:val="18"/>
                <w:szCs w:val="18"/>
              </w:rPr>
            </w:pPr>
            <w:r w:rsidRPr="00853621">
              <w:rPr>
                <w:sz w:val="18"/>
                <w:szCs w:val="18"/>
              </w:rPr>
              <w:t>27</w:t>
            </w:r>
            <w:r>
              <w:rPr>
                <w:sz w:val="18"/>
                <w:szCs w:val="18"/>
              </w:rPr>
              <w:t>.</w:t>
            </w:r>
            <w:r w:rsidRPr="00853621">
              <w:rPr>
                <w:sz w:val="18"/>
                <w:szCs w:val="18"/>
              </w:rPr>
              <w:t>5</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17.3.1</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34</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34</w:t>
            </w:r>
            <w:r>
              <w:rPr>
                <w:sz w:val="18"/>
                <w:szCs w:val="18"/>
              </w:rPr>
              <w:t>.</w:t>
            </w:r>
            <w:r w:rsidRPr="00853621">
              <w:rPr>
                <w:sz w:val="18"/>
                <w:szCs w:val="18"/>
              </w:rPr>
              <w:t>2</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32</w:t>
            </w:r>
            <w:r>
              <w:rPr>
                <w:sz w:val="18"/>
                <w:szCs w:val="18"/>
              </w:rPr>
              <w:t>.</w:t>
            </w:r>
            <w:r w:rsidRPr="00853621">
              <w:rPr>
                <w:sz w:val="18"/>
                <w:szCs w:val="18"/>
              </w:rPr>
              <w:t>1</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31</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30</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29</w:t>
            </w:r>
            <w:r>
              <w:rPr>
                <w:sz w:val="18"/>
                <w:szCs w:val="18"/>
              </w:rPr>
              <w:t>.</w:t>
            </w:r>
            <w:r w:rsidRPr="00853621">
              <w:rPr>
                <w:sz w:val="18"/>
                <w:szCs w:val="18"/>
              </w:rPr>
              <w:t>2</w:t>
            </w:r>
          </w:p>
        </w:tc>
      </w:tr>
      <w:tr w:rsidR="00AD3BE4" w:rsidRPr="0026247C" w:rsidTr="00E6466D">
        <w:trPr>
          <w:trHeight w:val="240"/>
        </w:trPr>
        <w:tc>
          <w:tcPr>
            <w:tcW w:w="426"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567"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 </w:t>
            </w:r>
          </w:p>
        </w:tc>
        <w:tc>
          <w:tcPr>
            <w:tcW w:w="850" w:type="dxa"/>
            <w:shd w:val="clear" w:color="auto" w:fill="auto"/>
            <w:noWrap/>
            <w:hideMark/>
          </w:tcPr>
          <w:p w:rsidR="00AD3BE4" w:rsidRPr="00AB2827" w:rsidRDefault="00AD3BE4" w:rsidP="00AD3BE4">
            <w:pPr>
              <w:pStyle w:val="SingleTxtG"/>
              <w:suppressAutoHyphens w:val="0"/>
              <w:spacing w:before="40" w:after="40" w:line="220" w:lineRule="exact"/>
              <w:ind w:left="0" w:right="113"/>
              <w:jc w:val="left"/>
              <w:rPr>
                <w:sz w:val="18"/>
              </w:rPr>
            </w:pPr>
            <w:r w:rsidRPr="00AB2827">
              <w:rPr>
                <w:sz w:val="18"/>
              </w:rPr>
              <w:t>17.3.2</w:t>
            </w:r>
          </w:p>
        </w:tc>
        <w:tc>
          <w:tcPr>
            <w:tcW w:w="1701" w:type="dxa"/>
            <w:shd w:val="clear" w:color="auto" w:fill="auto"/>
            <w:noWrap/>
          </w:tcPr>
          <w:p w:rsidR="00AD3BE4" w:rsidRPr="00D94868" w:rsidRDefault="00AD3BE4" w:rsidP="00AD3BE4">
            <w:pPr>
              <w:pStyle w:val="SingleTxtG"/>
              <w:suppressAutoHyphens w:val="0"/>
              <w:spacing w:before="40" w:after="40" w:line="220" w:lineRule="exact"/>
              <w:ind w:left="0" w:right="113"/>
              <w:jc w:val="left"/>
              <w:rPr>
                <w:sz w:val="18"/>
              </w:rPr>
            </w:pPr>
            <w:r w:rsidRPr="00D94868">
              <w:rPr>
                <w:sz w:val="18"/>
              </w:rPr>
              <w:t>Women</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30</w:t>
            </w:r>
            <w:r>
              <w:rPr>
                <w:sz w:val="18"/>
                <w:szCs w:val="18"/>
              </w:rPr>
              <w:t>.</w:t>
            </w:r>
            <w:r w:rsidRPr="00853621">
              <w:rPr>
                <w:sz w:val="18"/>
                <w:szCs w:val="18"/>
              </w:rPr>
              <w:t>6</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30</w:t>
            </w:r>
            <w:r>
              <w:rPr>
                <w:sz w:val="18"/>
                <w:szCs w:val="18"/>
              </w:rPr>
              <w:t>.</w:t>
            </w:r>
            <w:r w:rsidRPr="00853621">
              <w:rPr>
                <w:sz w:val="18"/>
                <w:szCs w:val="18"/>
              </w:rPr>
              <w:t>2</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29</w:t>
            </w:r>
            <w:r>
              <w:rPr>
                <w:sz w:val="18"/>
                <w:szCs w:val="18"/>
              </w:rPr>
              <w:t>.</w:t>
            </w:r>
            <w:r w:rsidRPr="00853621">
              <w:rPr>
                <w:sz w:val="18"/>
                <w:szCs w:val="18"/>
              </w:rPr>
              <w:t>4</w:t>
            </w:r>
          </w:p>
        </w:tc>
        <w:tc>
          <w:tcPr>
            <w:tcW w:w="637"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28</w:t>
            </w:r>
            <w:r>
              <w:rPr>
                <w:sz w:val="18"/>
                <w:szCs w:val="18"/>
              </w:rPr>
              <w:t>.</w:t>
            </w:r>
            <w:r w:rsidRPr="00853621">
              <w:rPr>
                <w:sz w:val="18"/>
                <w:szCs w:val="18"/>
              </w:rPr>
              <w:t>4</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26</w:t>
            </w:r>
            <w:r>
              <w:rPr>
                <w:sz w:val="18"/>
                <w:szCs w:val="18"/>
              </w:rPr>
              <w:t>.</w:t>
            </w:r>
            <w:r w:rsidRPr="00853621">
              <w:rPr>
                <w:sz w:val="18"/>
                <w:szCs w:val="18"/>
              </w:rPr>
              <w:t>8</w:t>
            </w:r>
          </w:p>
        </w:tc>
        <w:tc>
          <w:tcPr>
            <w:tcW w:w="638" w:type="dxa"/>
            <w:shd w:val="clear" w:color="auto" w:fill="auto"/>
            <w:noWrap/>
            <w:vAlign w:val="bottom"/>
          </w:tcPr>
          <w:p w:rsidR="00AD3BE4" w:rsidRPr="00853621" w:rsidRDefault="00AD3BE4" w:rsidP="0026247C">
            <w:pPr>
              <w:suppressAutoHyphens w:val="0"/>
              <w:spacing w:before="40" w:after="40" w:line="220" w:lineRule="exact"/>
              <w:ind w:right="113"/>
              <w:jc w:val="right"/>
              <w:rPr>
                <w:sz w:val="18"/>
                <w:szCs w:val="18"/>
              </w:rPr>
            </w:pPr>
            <w:r w:rsidRPr="00853621">
              <w:rPr>
                <w:sz w:val="18"/>
                <w:szCs w:val="18"/>
              </w:rPr>
              <w:t>25</w:t>
            </w:r>
            <w:r>
              <w:rPr>
                <w:sz w:val="18"/>
                <w:szCs w:val="18"/>
              </w:rPr>
              <w:t>.</w:t>
            </w:r>
            <w:r w:rsidRPr="00853621">
              <w:rPr>
                <w:sz w:val="18"/>
                <w:szCs w:val="18"/>
              </w:rPr>
              <w:t>8</w:t>
            </w:r>
          </w:p>
        </w:tc>
      </w:tr>
    </w:tbl>
    <w:p w:rsidR="00BA06AB" w:rsidRPr="00474936" w:rsidRDefault="00BA06AB" w:rsidP="00474936">
      <w:pPr>
        <w:spacing w:before="120"/>
        <w:ind w:left="1134" w:right="1134" w:firstLine="170"/>
        <w:rPr>
          <w:sz w:val="18"/>
        </w:rPr>
      </w:pPr>
      <w:r w:rsidRPr="00474936">
        <w:rPr>
          <w:i/>
          <w:sz w:val="18"/>
        </w:rPr>
        <w:t>Source</w:t>
      </w:r>
      <w:r w:rsidRPr="00474936">
        <w:rPr>
          <w:sz w:val="18"/>
        </w:rPr>
        <w:t xml:space="preserve">: </w:t>
      </w:r>
      <w:r w:rsidR="00C319B5">
        <w:rPr>
          <w:sz w:val="18"/>
        </w:rPr>
        <w:t xml:space="preserve"> </w:t>
      </w:r>
      <w:r w:rsidRPr="00474936">
        <w:rPr>
          <w:sz w:val="18"/>
        </w:rPr>
        <w:t>Directorate General of Statistics and Censuses (DIGESTYC).</w:t>
      </w:r>
    </w:p>
    <w:p w:rsidR="00BA06AB" w:rsidRPr="00445C95" w:rsidRDefault="00BA06AB" w:rsidP="00474936">
      <w:pPr>
        <w:pStyle w:val="SingleTxtG"/>
        <w:spacing w:before="240"/>
      </w:pPr>
      <w:r w:rsidRPr="00445C95">
        <w:t>23.</w:t>
      </w:r>
      <w:r w:rsidRPr="00445C95">
        <w:tab/>
        <w:t>In the fourth quarter of 2014, the annual growth rate of gross domestic product (GDP) was 1.7 per cent, which was slightly lower than it had been the previous year (1.9 per cent). The sectors that drove this growth were: real estate and business services (3.0 per cent); industry, manufacturing and mining (2.9 per cent); financial institutions and insurance (2.8 per cent); commerce, restaurants and hotels (2.7 per cent); community, public, personal and domestic services (1.8 per cent); electricity, natural gas and water (1.6 per cent); government services (1.5 per cent); transportation, storage and communications (1.2 per cent); housing rentals (0.9 per cent); and agriculture, hunting, forestry and fishing (0.6 per cent). The construction industry recorded a decrease of -11.9 per cent.</w:t>
      </w:r>
    </w:p>
    <w:p w:rsidR="00BA06AB" w:rsidRPr="00445C95" w:rsidRDefault="00BA06AB" w:rsidP="00BA06AB">
      <w:pPr>
        <w:pStyle w:val="SingleTxtG"/>
      </w:pPr>
      <w:r w:rsidRPr="00445C95">
        <w:t>24.</w:t>
      </w:r>
      <w:r w:rsidRPr="00445C95">
        <w:tab/>
        <w:t xml:space="preserve">The quarterly GDP growth rate remains around 2.0 per cent. The impact of the various sectors on overall growth depends on their relative share of GDP. The industry, manufacturing and mining sector was the sector that generated the most added value and accounted for 23.3 per cent of GDP in real terms in 2014. </w:t>
      </w:r>
    </w:p>
    <w:p w:rsidR="00BA06AB" w:rsidRPr="00445C95" w:rsidRDefault="00BA06AB" w:rsidP="00BA06AB">
      <w:pPr>
        <w:pStyle w:val="SingleTxtG"/>
      </w:pPr>
      <w:r w:rsidRPr="00445C95">
        <w:t>25.</w:t>
      </w:r>
      <w:r w:rsidRPr="00445C95">
        <w:tab/>
        <w:t>In the fourth quarter of 2014, this sector</w:t>
      </w:r>
      <w:r w:rsidR="00726016">
        <w:t>’</w:t>
      </w:r>
      <w:r w:rsidRPr="00445C95">
        <w:t>s annual growth rate amounted to 2.9 per cent, which was slightly higher than the 2013 figure (2.6 per cent) and higher than the average for 2010-2013 (2.1 per cent).</w:t>
      </w:r>
    </w:p>
    <w:p w:rsidR="00BA06AB" w:rsidRPr="00445C95" w:rsidRDefault="00BA06AB" w:rsidP="00BA06AB">
      <w:pPr>
        <w:pStyle w:val="SingleTxtG"/>
      </w:pPr>
      <w:r w:rsidRPr="00445C95">
        <w:t>26.</w:t>
      </w:r>
      <w:r w:rsidRPr="00445C95">
        <w:tab/>
        <w:t>The positive impact of remittances on household demand has a strong influence on consumption patterns, while infrastructure projects have a strong impact on investment levels. Recovery from the economic downturn has been slow and external demand for Salvadoran goods remains depressed. Final consumption also includes public spending, which accounted for 8.4 per cent of GDP in 2014; this was slightly higher than in 2010, when it accounted for 8.0 per cent. Final government spending is of great help in shoring up the economy, especially during recessions.</w:t>
      </w:r>
      <w:r w:rsidR="008B1093">
        <w:rPr>
          <w:rStyle w:val="FootnoteReference"/>
        </w:rPr>
        <w:footnoteReference w:id="3"/>
      </w:r>
    </w:p>
    <w:p w:rsidR="00BA06AB" w:rsidRPr="00445C95" w:rsidRDefault="00BA06AB" w:rsidP="00BA06AB">
      <w:pPr>
        <w:pStyle w:val="SingleTxtG"/>
      </w:pPr>
      <w:r w:rsidRPr="00445C95">
        <w:t>27.</w:t>
      </w:r>
      <w:r w:rsidRPr="00445C95">
        <w:tab/>
        <w:t xml:space="preserve">In the first quarter of 2015, remittances totalled US$ 988 billion, which was 1.6 per cent more than in the first quarter of 2014. Salvadoran families use more than 90 per cent of total remittances on final consumption expenditure. In the period ending in March 2015, imports of durable and non-durable consumer goods </w:t>
      </w:r>
      <w:r w:rsidRPr="00966CC9">
        <w:t>showed a decrease around the trend-cycle of -1.9 per cent, whereas the corresponding figu</w:t>
      </w:r>
      <w:r w:rsidRPr="00445C95">
        <w:t>re as of March 2014 had been 4.0 per cent. The total value of imported goods, 36.1 per cent of which were consumer goods, amounted to US$ 915.9 million in the first quarter of 2015, a drop of US$ 45.9 million from the same period in 2014 (US$ 961.8 million).</w:t>
      </w:r>
    </w:p>
    <w:p w:rsidR="00BA06AB" w:rsidRPr="00445C95" w:rsidRDefault="00BA06AB" w:rsidP="00BA06AB">
      <w:pPr>
        <w:pStyle w:val="SingleTxtG"/>
      </w:pPr>
      <w:r w:rsidRPr="00445C95">
        <w:t>28.</w:t>
      </w:r>
      <w:r w:rsidRPr="00445C95">
        <w:tab/>
        <w:t xml:space="preserve">Trends in employment: In February 2015, formal employment posted a year-on-year increase </w:t>
      </w:r>
      <w:r w:rsidRPr="00E24AAB">
        <w:t>around the trend-cycle of 2</w:t>
      </w:r>
      <w:r w:rsidRPr="00445C95">
        <w:t>.0 per cent, which was lower than the figure for the same period in 2014 (4.3 per cent). Job growth rebounded from its downward trend of the previous year. A year-on-year increase in the number of jobs in the formal sector, as measured by the number of contributors to the Salvadoran Social Security Institute, of 12,496 was recorded in February 2015. This job growth occurred chiefly in financial institutions (banks, insurers and other financial institutions), a category that includes business services (6,991), and in manufacturing (5,785). There were also sectors, such as personal services (418) and construction (300), where levels of employment fell.</w:t>
      </w:r>
    </w:p>
    <w:p w:rsidR="00BA06AB" w:rsidRPr="00445C95" w:rsidRDefault="00BA06AB" w:rsidP="00BA06AB">
      <w:pPr>
        <w:pStyle w:val="SingleTxtG"/>
      </w:pPr>
      <w:r w:rsidRPr="00445C95">
        <w:t>29.</w:t>
      </w:r>
      <w:r w:rsidRPr="00445C95">
        <w:tab/>
        <w:t xml:space="preserve">At the end of 2014, net foreign direct investment in El Salvador came to US$ 275 million, for a 53.4 per cent increase over the US$ 179.2 million registered in 2013. This increase was accounted for by an upturn in equity investment of US$ 337.9 million, which included reinvested profits of US$ 224.3 million. </w:t>
      </w:r>
    </w:p>
    <w:p w:rsidR="00BA06AB" w:rsidRPr="00445C95" w:rsidRDefault="00BA06AB" w:rsidP="00BA06AB">
      <w:pPr>
        <w:pStyle w:val="SingleTxtG"/>
      </w:pPr>
      <w:r w:rsidRPr="00445C95">
        <w:t>30.</w:t>
      </w:r>
      <w:r w:rsidRPr="00445C95">
        <w:tab/>
        <w:t>In 2014, the net inflow of foreign direct investment fell by US$ 166.3 million as a result of the sale of Enel</w:t>
      </w:r>
      <w:r w:rsidR="00726016">
        <w:t>’</w:t>
      </w:r>
      <w:r w:rsidRPr="00445C95">
        <w:t xml:space="preserve">s stake in </w:t>
      </w:r>
      <w:proofErr w:type="spellStart"/>
      <w:r w:rsidRPr="00445C95">
        <w:t>LaGeo</w:t>
      </w:r>
      <w:proofErr w:type="spellEnd"/>
      <w:r w:rsidRPr="00445C95">
        <w:t>, for which there was a securities issue of US$ 287.6 million, payable in 15 years at an interest rate of 5.8 per cent. According to articles published on the Salvadoran stock market</w:t>
      </w:r>
      <w:r w:rsidR="00726016">
        <w:t>’</w:t>
      </w:r>
      <w:r w:rsidRPr="00445C95">
        <w:t xml:space="preserve">s website, 71 per cent of the issue (US$ 205.3 million) was purchased by pension fund administrators (US$ 105 million worth by the pension fund manager </w:t>
      </w:r>
      <w:proofErr w:type="spellStart"/>
      <w:r w:rsidRPr="00445C95">
        <w:t>Confía</w:t>
      </w:r>
      <w:proofErr w:type="spellEnd"/>
      <w:r w:rsidRPr="00445C95">
        <w:t xml:space="preserve"> and US$ 100.3 million by the pension fund manager </w:t>
      </w:r>
      <w:proofErr w:type="spellStart"/>
      <w:r w:rsidRPr="00445C95">
        <w:t>Crecer</w:t>
      </w:r>
      <w:proofErr w:type="spellEnd"/>
      <w:r w:rsidRPr="00445C95">
        <w:t>). The rest of the financing was raised from companies in the service industry, banks, foreign investors and insurers.</w:t>
      </w:r>
    </w:p>
    <w:p w:rsidR="00BA06AB" w:rsidRPr="00445C95" w:rsidRDefault="00BA06AB" w:rsidP="00BA06AB">
      <w:pPr>
        <w:pStyle w:val="SingleTxtG"/>
      </w:pPr>
      <w:r w:rsidRPr="00445C95">
        <w:t>31.</w:t>
      </w:r>
      <w:r w:rsidRPr="00445C95">
        <w:tab/>
        <w:t>In the first quarter of 2015, GDP in the United States of America dropped by 0.7 per cent, after growth of 2.2 per cent in the previous quarter. In the same period in 2014, GDP had fallen by 2.1 per cent. For the second consecutive year, harsh winter weather conditions in the United States at the beginning of the year limited the expansion of economic activity in that country. This situation was compounded by the appreciation of the United States dollar and the labour dispute between employers and dock workers in the ports of the West Coast of the United States, which had a negative impact during the quarter, especially on exports.</w:t>
      </w:r>
    </w:p>
    <w:p w:rsidR="00BA06AB" w:rsidRPr="00445C95" w:rsidRDefault="00BA06AB" w:rsidP="00BA06AB">
      <w:pPr>
        <w:pStyle w:val="SingleTxtG"/>
      </w:pPr>
      <w:r w:rsidRPr="00445C95">
        <w:t>32.</w:t>
      </w:r>
      <w:r w:rsidRPr="00445C95">
        <w:tab/>
        <w:t>These factors led to a drop in exports of 7.6 per cent. Other components of GDP that shrank in the quarter were non-residential fixed investment (</w:t>
      </w:r>
      <w:r w:rsidR="00CC2CA8">
        <w:t>-</w:t>
      </w:r>
      <w:r w:rsidRPr="00445C95">
        <w:t>2.8 per cent) and consumer spending and gross government investment (</w:t>
      </w:r>
      <w:r w:rsidR="00CC2CA8">
        <w:t>-</w:t>
      </w:r>
      <w:r w:rsidRPr="00445C95">
        <w:t>1.1 per cent). Other slowdowns occurred in private domestic investment (which fell from 3.7 per cent in the fourth quarter of 2014 to 0.7 per cent in the first quarter of 2015) and private consumer spending (which slowed to 1.8 per cent from 4.4 per cent in the previous quarter). Imports increased by 5.6 per cent.</w:t>
      </w:r>
    </w:p>
    <w:p w:rsidR="00BA06AB" w:rsidRPr="00445C95" w:rsidRDefault="00BA06AB" w:rsidP="00BA06AB">
      <w:pPr>
        <w:pStyle w:val="SingleTxtG"/>
      </w:pPr>
      <w:r w:rsidRPr="00445C95">
        <w:t>33.</w:t>
      </w:r>
      <w:r w:rsidRPr="00445C95">
        <w:tab/>
        <w:t xml:space="preserve">One of the most important indicators drawn from the multipurpose household survey is monetary poverty, which, using the cost of the basic food basket as a criterion, is classified as extreme or relative. Households whose per capita income does not cover the per capita cost of the basic food basket are classified as being in extreme poverty, and households whose per income does not cover the cost of the expanded basic food basket (double that of the basic basket) are classified as being in relative poverty. In 2015, the cost of the urban basic food basket was US$ 53.85 per person, while the cost of the rural food basket was US$ 34.23 per person. The cost of both of these baskets was higher than in 2014. </w:t>
      </w:r>
    </w:p>
    <w:p w:rsidR="00BA06AB" w:rsidRPr="00445C95" w:rsidRDefault="00BA06AB" w:rsidP="00BA06AB">
      <w:pPr>
        <w:pStyle w:val="SingleTxtG"/>
      </w:pPr>
      <w:r w:rsidRPr="00445C95">
        <w:t>34.</w:t>
      </w:r>
      <w:r w:rsidRPr="00445C95">
        <w:tab/>
        <w:t>In 2015, in urban areas, the cost of the basic food basket for a typical household with an average of 3.55 members was US$ 191.17 and the cost of the expanded basket was US$ 382.34. In rural areas, the basic food basket cost US$ 132.13 for a typical household with an average of 3.86 members, while the expanded basket cost US$ 264.26. At the national level, 34.9 per cent of households are in poverty; of these, 8.1 per cent</w:t>
      </w:r>
      <w:r w:rsidR="00726016">
        <w:t xml:space="preserve"> </w:t>
      </w:r>
      <w:r w:rsidRPr="00445C95">
        <w:t xml:space="preserve">are in extreme poverty, while the other 26.8 per cent are in relative poverty. </w:t>
      </w:r>
    </w:p>
    <w:p w:rsidR="00BA06AB" w:rsidRPr="00445C95" w:rsidRDefault="00BA06AB" w:rsidP="00BA06AB">
      <w:pPr>
        <w:pStyle w:val="SingleTxtG"/>
      </w:pPr>
      <w:r w:rsidRPr="00445C95">
        <w:t>35.</w:t>
      </w:r>
      <w:r w:rsidRPr="00445C95">
        <w:tab/>
        <w:t>In rural areas, of the 38.8 per cent of households that are in poverty, 10.1 per cent are in extreme poverty and 28.7 per cent are in relative poverty. In urban areas, 32.7 per cent of households are in poverty (7.0 per</w:t>
      </w:r>
      <w:r w:rsidR="00FB2DAE">
        <w:t xml:space="preserve"> </w:t>
      </w:r>
      <w:r w:rsidRPr="00445C95">
        <w:t>cent in extreme poverty and 25.7 per</w:t>
      </w:r>
      <w:r w:rsidR="00FB2DAE">
        <w:t xml:space="preserve"> </w:t>
      </w:r>
      <w:r w:rsidRPr="00445C95">
        <w:t>cent in relative poverty). The San Salvador Metropolitan Area, where 24.9 per cent of households are in poverty (4.3 per cent in extreme poverty and 20.6 per cent in relative poverty), has the lowest poverty rate.</w:t>
      </w:r>
      <w:r w:rsidRPr="008B1093">
        <w:rPr>
          <w:rStyle w:val="FootnoteReference"/>
        </w:rPr>
        <w:footnoteReference w:id="4"/>
      </w:r>
      <w:r w:rsidR="00726016">
        <w:t xml:space="preserve"> </w:t>
      </w:r>
    </w:p>
    <w:p w:rsidR="00BA06AB" w:rsidRPr="00445C95" w:rsidRDefault="00BA06AB" w:rsidP="00BA06AB">
      <w:pPr>
        <w:pStyle w:val="SingleTxtG"/>
      </w:pPr>
      <w:r w:rsidRPr="00445C95">
        <w:t>36.</w:t>
      </w:r>
      <w:r w:rsidRPr="00445C95">
        <w:tab/>
        <w:t>In September 2016, El Salvador underwent its most recent trade policy review and has continued to play an active role in the World Trade Organization (WTO). During the review period, it was a party to a dispute settlement procedure for the first time and continued to participate as a third party in other disputes. It also submitted further notifications under the vario</w:t>
      </w:r>
      <w:r w:rsidR="00FB2DAE">
        <w:t>us provisions of WTO agreements.</w:t>
      </w:r>
    </w:p>
    <w:p w:rsidR="00BA06AB" w:rsidRPr="00445C95" w:rsidRDefault="00BA06AB" w:rsidP="00BA06AB">
      <w:pPr>
        <w:pStyle w:val="SingleTxtG"/>
      </w:pPr>
      <w:r w:rsidRPr="00445C95">
        <w:t>37.</w:t>
      </w:r>
      <w:r w:rsidRPr="00445C95">
        <w:tab/>
        <w:t xml:space="preserve">Since the previous review, there have been significant reforms to the institutional environment and legal framework for foreign investment. Under the new Investment Act, foreign investors, once registered, have the same rights and obligations as domestic investors and are entitled to transfer the entirety of their investment funds abroad. During the review period, an amendment to the Investment Act was adopted in replacement of the provision on the settlement of disputes between private Salvadoran or foreign investors and the State regarding investments made in El Salvador. In April 2014, the Act for the Establishment of the Export and Investment Promotion Agency of El Salvador was adopted with a view to promoting and attracting domestic and foreign private investment and promoting exports of goods and services. </w:t>
      </w:r>
    </w:p>
    <w:p w:rsidR="00BA06AB" w:rsidRPr="00445C95" w:rsidRDefault="00BA06AB" w:rsidP="00BA06AB">
      <w:pPr>
        <w:pStyle w:val="SingleTxtG"/>
      </w:pPr>
      <w:r w:rsidRPr="00445C95">
        <w:t>38.</w:t>
      </w:r>
      <w:r w:rsidRPr="00445C95">
        <w:tab/>
        <w:t>Since 2009, El Salvador has pursued its customs modernization efforts, not least by gradually establishing a single window for imports, using non-intrusive inspection equipment, strengthening risk management and migrating steadily towards the Automated System for Customs Data software package ASYCUDA World. Together with its Central American partners, El Salvador has moved forward on the electronic exchange of data among customs authorities and has introduced measures to simplify formalities and facilitate the flow of goods at border crossings. However, the limited physical infrastructure and problems of congestion at customs facilities continue to pose a challenge. On 4 July 2016, El Salvador deposited with WTO its instrument of acceptance of the Agreement on Trade Facilitation.</w:t>
      </w:r>
      <w:r w:rsidRPr="008B1093">
        <w:rPr>
          <w:rStyle w:val="FootnoteReference"/>
        </w:rPr>
        <w:footnoteReference w:id="5"/>
      </w:r>
    </w:p>
    <w:p w:rsidR="00BA06AB" w:rsidRPr="00445C95" w:rsidRDefault="009D30AE" w:rsidP="009D30AE">
      <w:pPr>
        <w:pStyle w:val="H1G"/>
      </w:pPr>
      <w:r>
        <w:tab/>
      </w:r>
      <w:bookmarkStart w:id="12" w:name="_Toc486428521"/>
      <w:bookmarkStart w:id="13" w:name="_Toc490483648"/>
      <w:r w:rsidR="00BA06AB" w:rsidRPr="00445C95">
        <w:t>B.</w:t>
      </w:r>
      <w:r w:rsidR="00BA06AB" w:rsidRPr="00445C95">
        <w:tab/>
        <w:t>Constitutional, political and legal structure of the State</w:t>
      </w:r>
      <w:bookmarkEnd w:id="12"/>
      <w:bookmarkEnd w:id="13"/>
    </w:p>
    <w:p w:rsidR="00BA06AB" w:rsidRPr="00445C95" w:rsidRDefault="009D30AE" w:rsidP="009D30AE">
      <w:pPr>
        <w:pStyle w:val="H4G"/>
      </w:pPr>
      <w:r>
        <w:tab/>
      </w:r>
      <w:r>
        <w:tab/>
      </w:r>
      <w:r w:rsidR="00BA06AB" w:rsidRPr="00445C95">
        <w:t>Guideline 36: constitutional, political and legal structure of the State</w:t>
      </w:r>
    </w:p>
    <w:p w:rsidR="00BA06AB" w:rsidRPr="00445C95" w:rsidRDefault="00866581" w:rsidP="00866581">
      <w:pPr>
        <w:pStyle w:val="H23G"/>
      </w:pPr>
      <w:r>
        <w:tab/>
      </w:r>
      <w:bookmarkStart w:id="14" w:name="_Toc486428522"/>
      <w:r w:rsidR="00BA06AB" w:rsidRPr="00445C95">
        <w:t>1.</w:t>
      </w:r>
      <w:r w:rsidR="00BA06AB" w:rsidRPr="00445C95">
        <w:tab/>
        <w:t>Constitutional structure of the Salvadoran State</w:t>
      </w:r>
      <w:bookmarkEnd w:id="14"/>
      <w:r w:rsidR="00BA06AB" w:rsidRPr="00445C95">
        <w:t xml:space="preserve"> </w:t>
      </w:r>
    </w:p>
    <w:p w:rsidR="00BA06AB" w:rsidRPr="00445C95" w:rsidRDefault="00BA06AB" w:rsidP="00BA06AB">
      <w:pPr>
        <w:pStyle w:val="SingleTxtG"/>
      </w:pPr>
      <w:r w:rsidRPr="00445C95">
        <w:t>39.</w:t>
      </w:r>
      <w:r w:rsidRPr="00445C95">
        <w:tab/>
        <w:t>The Constitution, which entered into force on 20 December 1983 and was framed by the Constituent Assembly elected by popular vote in 1982, is a legal instrument that, in addition to containing regulations governing the State</w:t>
      </w:r>
      <w:r w:rsidR="00726016">
        <w:t>’</w:t>
      </w:r>
      <w:r w:rsidRPr="00445C95">
        <w:t>s political affairs and the organization of its society, establishes safeguards for the rights of the people without any discrimination whatsoever and grants the power to restrict those rights in the circumstances provided for by law and by order of a competent authority.</w:t>
      </w:r>
    </w:p>
    <w:p w:rsidR="00BA06AB" w:rsidRPr="00445C95" w:rsidRDefault="00BA06AB" w:rsidP="00BA06AB">
      <w:pPr>
        <w:pStyle w:val="SingleTxtG"/>
      </w:pPr>
      <w:r w:rsidRPr="00445C95">
        <w:t>40.</w:t>
      </w:r>
      <w:r w:rsidRPr="00445C95">
        <w:tab/>
        <w:t xml:space="preserve">The current Constitution superseded the 1962 Constitution and introduced reforms of the political, economic and social order. The traditional designation </w:t>
      </w:r>
      <w:r w:rsidR="00726016">
        <w:t>“</w:t>
      </w:r>
      <w:r w:rsidRPr="00445C95">
        <w:t>powers of the State</w:t>
      </w:r>
      <w:r w:rsidR="00726016">
        <w:t>”</w:t>
      </w:r>
      <w:r w:rsidRPr="00445C95">
        <w:t xml:space="preserve"> was replaced by </w:t>
      </w:r>
      <w:r w:rsidR="00726016">
        <w:t>“</w:t>
      </w:r>
      <w:r w:rsidRPr="00445C95">
        <w:t>organs of the State</w:t>
      </w:r>
      <w:r w:rsidR="00726016">
        <w:t>”</w:t>
      </w:r>
      <w:r w:rsidRPr="00445C95">
        <w:t xml:space="preserve"> — namely, the legislature, the executive branch and the judiciary.</w:t>
      </w:r>
    </w:p>
    <w:p w:rsidR="00BA06AB" w:rsidRPr="00445C95" w:rsidRDefault="00BA06AB" w:rsidP="00BA06AB">
      <w:pPr>
        <w:pStyle w:val="SingleTxtG"/>
      </w:pPr>
      <w:r w:rsidRPr="00445C95">
        <w:t>41.</w:t>
      </w:r>
      <w:r w:rsidRPr="00445C95">
        <w:tab/>
        <w:t>In November 1991 and January 1992, in keeping with article 248 of the Constitution, the Legislative Assembly ratified amendments to the Constitution on which a national consensus had been reached. They concerned human rights, electoral and judicial questions and matters relating to the National Civil Police, the Public Legal Service and the armed forces.</w:t>
      </w:r>
    </w:p>
    <w:p w:rsidR="00BA06AB" w:rsidRPr="00445C95" w:rsidRDefault="00866581" w:rsidP="00866581">
      <w:pPr>
        <w:pStyle w:val="H23G"/>
      </w:pPr>
      <w:r>
        <w:tab/>
      </w:r>
      <w:bookmarkStart w:id="15" w:name="_Toc486428523"/>
      <w:r w:rsidR="00BA06AB" w:rsidRPr="00445C95">
        <w:t>2.</w:t>
      </w:r>
      <w:r w:rsidR="00BA06AB" w:rsidRPr="00445C95">
        <w:tab/>
        <w:t>The State, its form of government and political system</w:t>
      </w:r>
      <w:bookmarkEnd w:id="15"/>
      <w:r w:rsidR="00BA06AB" w:rsidRPr="00445C95">
        <w:t xml:space="preserve"> </w:t>
      </w:r>
    </w:p>
    <w:p w:rsidR="00BA06AB" w:rsidRPr="00445C95" w:rsidRDefault="00BA06AB" w:rsidP="00BA06AB">
      <w:pPr>
        <w:pStyle w:val="SingleTxtG"/>
      </w:pPr>
      <w:r w:rsidRPr="00445C95">
        <w:t>42.</w:t>
      </w:r>
      <w:r w:rsidRPr="00445C95">
        <w:tab/>
        <w:t>El Salvador is a sovereign State. Sovereignty is vested in the people, who exercise it in the form and within the limits laid down in the Constitution. The form of government is republican, democratic and representative. The State is unitary.</w:t>
      </w:r>
    </w:p>
    <w:p w:rsidR="00BA06AB" w:rsidRPr="00445C95" w:rsidRDefault="00BA06AB" w:rsidP="00BA06AB">
      <w:pPr>
        <w:pStyle w:val="SingleTxtG"/>
      </w:pPr>
      <w:r w:rsidRPr="00445C95">
        <w:t>43.</w:t>
      </w:r>
      <w:r w:rsidRPr="00445C95">
        <w:tab/>
        <w:t>The political system is pluralist and operates through political parties, which are the sole instrument for representation of the people in the Government. Their rules, organization and operation are governed by the principles of representative democracy. The provision that prevents the President from holding office for a second consecutive term is indispensable to the preservation of the established form of government and political system.</w:t>
      </w:r>
    </w:p>
    <w:p w:rsidR="00BA06AB" w:rsidRPr="00445C95" w:rsidRDefault="00866581" w:rsidP="00866581">
      <w:pPr>
        <w:pStyle w:val="H23G"/>
      </w:pPr>
      <w:r>
        <w:tab/>
      </w:r>
      <w:bookmarkStart w:id="16" w:name="_Toc486428524"/>
      <w:r w:rsidR="00BA06AB" w:rsidRPr="00445C95">
        <w:t>3.</w:t>
      </w:r>
      <w:r w:rsidR="00BA06AB" w:rsidRPr="00445C95">
        <w:tab/>
        <w:t>Political structure</w:t>
      </w:r>
      <w:bookmarkEnd w:id="16"/>
    </w:p>
    <w:p w:rsidR="00BA06AB" w:rsidRPr="00445C95" w:rsidRDefault="00BA06AB" w:rsidP="00BA06AB">
      <w:pPr>
        <w:pStyle w:val="SingleTxtG"/>
      </w:pPr>
      <w:r w:rsidRPr="00445C95">
        <w:t>44.</w:t>
      </w:r>
      <w:r w:rsidRPr="00445C95">
        <w:tab/>
        <w:t>Public authority derives from the people, and the branches of government exercise their powers independently, within their respective scope of authority and responsibility, as established by the Constitution and the law. The duties of the branches of government may not be delegated, but they cooperate with one another in carrying out the State</w:t>
      </w:r>
      <w:r w:rsidR="00726016">
        <w:t>’</w:t>
      </w:r>
      <w:r w:rsidRPr="00445C95">
        <w:t>s functions.</w:t>
      </w:r>
    </w:p>
    <w:p w:rsidR="00BA06AB" w:rsidRPr="00445C95" w:rsidRDefault="00BA06AB" w:rsidP="00BA06AB">
      <w:pPr>
        <w:pStyle w:val="SingleTxtG"/>
      </w:pPr>
      <w:r w:rsidRPr="00445C95">
        <w:t>45.</w:t>
      </w:r>
      <w:r w:rsidRPr="00445C95">
        <w:tab/>
        <w:t>The main branches of government are the legislature, the executive branch and the judiciary. Government officials are the delegates of the people and have no powers other than those expressly conferred on them by law.</w:t>
      </w:r>
    </w:p>
    <w:p w:rsidR="00BA06AB" w:rsidRPr="00445C95" w:rsidRDefault="00BA06AB" w:rsidP="00BA06AB">
      <w:pPr>
        <w:pStyle w:val="SingleTxtG"/>
      </w:pPr>
      <w:r w:rsidRPr="00445C95">
        <w:t>46.</w:t>
      </w:r>
      <w:r w:rsidRPr="00445C95">
        <w:tab/>
        <w:t>Form of the State: presidential republic</w:t>
      </w:r>
    </w:p>
    <w:p w:rsidR="00BA06AB" w:rsidRPr="00445C95" w:rsidRDefault="00BA06AB" w:rsidP="00866581">
      <w:pPr>
        <w:pStyle w:val="Bullet1G"/>
      </w:pPr>
      <w:r w:rsidRPr="00445C95">
        <w:t xml:space="preserve">Head of Government (President): Salvador Sánchez </w:t>
      </w:r>
      <w:proofErr w:type="spellStart"/>
      <w:r w:rsidRPr="00445C95">
        <w:t>Cerén</w:t>
      </w:r>
      <w:proofErr w:type="spellEnd"/>
      <w:r w:rsidRPr="00445C95">
        <w:t xml:space="preserve"> (2014</w:t>
      </w:r>
      <w:r w:rsidR="00866581">
        <w:t>-</w:t>
      </w:r>
      <w:r w:rsidRPr="00445C95">
        <w:t>2019)</w:t>
      </w:r>
    </w:p>
    <w:p w:rsidR="00BA06AB" w:rsidRPr="00445C95" w:rsidRDefault="00BA06AB" w:rsidP="00BA06AB">
      <w:pPr>
        <w:pStyle w:val="SingleTxtG"/>
      </w:pPr>
      <w:r w:rsidRPr="00445C95">
        <w:t xml:space="preserve">Next legislative and presidential elections: March 2018 and March 2019, respectively. The unicameral Legislative Assembly has 84 seats; members are elected by direct universal suffrage for a three-year term. </w:t>
      </w:r>
    </w:p>
    <w:p w:rsidR="00BA06AB" w:rsidRPr="00445C95" w:rsidRDefault="00D9455C" w:rsidP="00D9455C">
      <w:pPr>
        <w:pStyle w:val="H23G"/>
      </w:pPr>
      <w:r>
        <w:tab/>
      </w:r>
      <w:bookmarkStart w:id="17" w:name="_Toc486428525"/>
      <w:r w:rsidR="00BA06AB" w:rsidRPr="00445C95">
        <w:t>4.</w:t>
      </w:r>
      <w:r w:rsidR="00BA06AB" w:rsidRPr="00445C95">
        <w:tab/>
        <w:t>Electoral system</w:t>
      </w:r>
      <w:bookmarkEnd w:id="17"/>
    </w:p>
    <w:p w:rsidR="00BA06AB" w:rsidRPr="00445C95" w:rsidRDefault="00BA06AB" w:rsidP="00BA06AB">
      <w:pPr>
        <w:pStyle w:val="SingleTxtG"/>
      </w:pPr>
      <w:r w:rsidRPr="00445C95">
        <w:t>47.</w:t>
      </w:r>
      <w:r w:rsidRPr="00445C95">
        <w:tab/>
        <w:t>During the negotiations concerning the armed conflict in El Salvador, the parties to the negotiations agreed to reform the electoral system, and in article 208 of the Constitution of 1983, provision was made for the establishment of the Supreme Electoral Court, which replaced the Central Elections Board. The Supreme Electoral Court is now the highest authority of the electoral system.</w:t>
      </w:r>
    </w:p>
    <w:p w:rsidR="00BA06AB" w:rsidRPr="00445C95" w:rsidRDefault="00BA06AB" w:rsidP="00BA06AB">
      <w:pPr>
        <w:pStyle w:val="SingleTxtG"/>
      </w:pPr>
      <w:r w:rsidRPr="00445C95">
        <w:t>48.</w:t>
      </w:r>
      <w:r w:rsidRPr="00445C95">
        <w:tab/>
        <w:t xml:space="preserve">In accordance with article 208 of the Constitution and the Electoral Code, the Supreme Electoral Court has an administrative function and a judicial one. Its administrative duties are to plan, organize and conduct elections in El Salvador for the following public offices: </w:t>
      </w:r>
    </w:p>
    <w:p w:rsidR="00BA06AB" w:rsidRPr="00445C95" w:rsidRDefault="00BA06AB" w:rsidP="00BA06AB">
      <w:pPr>
        <w:pStyle w:val="SingleTxtG"/>
      </w:pPr>
      <w:r w:rsidRPr="00445C95">
        <w:tab/>
        <w:t>(a)</w:t>
      </w:r>
      <w:r w:rsidRPr="00445C95">
        <w:tab/>
        <w:t>President and Vice-President of the Republic;</w:t>
      </w:r>
    </w:p>
    <w:p w:rsidR="00BA06AB" w:rsidRPr="00445C95" w:rsidRDefault="00BA06AB" w:rsidP="00BA06AB">
      <w:pPr>
        <w:pStyle w:val="SingleTxtG"/>
      </w:pPr>
      <w:r w:rsidRPr="00445C95">
        <w:tab/>
        <w:t>(b)</w:t>
      </w:r>
      <w:r w:rsidRPr="00445C95">
        <w:tab/>
        <w:t>Members of the Legislative Assembly (deputies);</w:t>
      </w:r>
    </w:p>
    <w:p w:rsidR="00BA06AB" w:rsidRPr="00445C95" w:rsidRDefault="00BA06AB" w:rsidP="00BA06AB">
      <w:pPr>
        <w:pStyle w:val="SingleTxtG"/>
      </w:pPr>
      <w:r w:rsidRPr="00445C95">
        <w:tab/>
        <w:t>(c)</w:t>
      </w:r>
      <w:r w:rsidRPr="00445C95">
        <w:tab/>
        <w:t>Members of the Central American Parliament;</w:t>
      </w:r>
    </w:p>
    <w:p w:rsidR="00BA06AB" w:rsidRPr="00445C95" w:rsidRDefault="00BA06AB" w:rsidP="00BA06AB">
      <w:pPr>
        <w:pStyle w:val="SingleTxtG"/>
      </w:pPr>
      <w:r w:rsidRPr="00445C95">
        <w:tab/>
        <w:t>(d)</w:t>
      </w:r>
      <w:r w:rsidRPr="00445C95">
        <w:tab/>
        <w:t>Mayors and city council deputies.</w:t>
      </w:r>
    </w:p>
    <w:p w:rsidR="00BA06AB" w:rsidRPr="00445C95" w:rsidRDefault="00BA06AB" w:rsidP="00BA06AB">
      <w:pPr>
        <w:pStyle w:val="SingleTxtG"/>
      </w:pPr>
      <w:r w:rsidRPr="00445C95">
        <w:t>The Court</w:t>
      </w:r>
      <w:r w:rsidR="00726016">
        <w:t>’</w:t>
      </w:r>
      <w:r w:rsidRPr="00445C95">
        <w:t>s judicial function involves exercising its exclusive authority to dispense electoral justice in response to complaints by citizens of violations of their voting rights and to resolve conflicts between political parties.</w:t>
      </w:r>
    </w:p>
    <w:p w:rsidR="00BA06AB" w:rsidRPr="00445C95" w:rsidRDefault="00BA06AB" w:rsidP="00BA06AB">
      <w:pPr>
        <w:pStyle w:val="SingleTxtG"/>
      </w:pPr>
      <w:r w:rsidRPr="00445C95">
        <w:t>49.</w:t>
      </w:r>
      <w:r w:rsidRPr="00445C95">
        <w:tab/>
        <w:t>The Supreme Electoral Court has five judges, who are elected by the Legislative Assembly for a term of office of five years. Three of the judges are elected from the lists submitted by the three legally constituted political parties or coalitions that obtained the most votes in the most recent presidential election, with one judge being chosen from each of those lists. The other two are elected, with at least two thirds of the elected deputies voting in favour, from two lists submitted by the Supreme Court of Justice.</w:t>
      </w:r>
    </w:p>
    <w:p w:rsidR="00BA06AB" w:rsidRPr="00445C95" w:rsidRDefault="00BA06AB" w:rsidP="00BA06AB">
      <w:pPr>
        <w:pStyle w:val="SingleTxtG"/>
      </w:pPr>
      <w:r w:rsidRPr="00445C95">
        <w:t>50.</w:t>
      </w:r>
      <w:r w:rsidRPr="00445C95">
        <w:tab/>
        <w:t xml:space="preserve">On 29 July 2010, the Constitutional Division of the Supreme Court of Justice issued a ruling on an unconstitutionality action brought in respect of Electoral Code article 211, paragraph 1; article 215, paragraph 2, subparagraphs 3 and 5; article 216; article 218, paragraph 1; article 239, paragraph 1; article 250, paragraph 1; and article 262, paragraph 6. It found that article 215, paragraph 2, subparagraph 5, was unconstitutional under articles 72 and 126 of the Constitution, since the requirement that a candidate or deputy be a member of a political party restricted the right of all citizens to stand for the offices concerned. It likewise found article 262, paragraph 6, to be unconstitutional under article 78 of the Constitution, since the impact of the closed and blocked list system on the right of citizens to exercise their vote with complete freedom of choice was disproportionate. Along the same lines, it entered a finding of unconstitutionality with respect to articles 238, 239, 250 and 253-C of the Electoral Code with reference to the closed and blocked list system. </w:t>
      </w:r>
    </w:p>
    <w:p w:rsidR="00BA06AB" w:rsidRPr="00445C95" w:rsidRDefault="00BA06AB" w:rsidP="00BA06AB">
      <w:pPr>
        <w:pStyle w:val="SingleTxtG"/>
      </w:pPr>
      <w:r w:rsidRPr="00445C95">
        <w:t>51.</w:t>
      </w:r>
      <w:r w:rsidRPr="00445C95">
        <w:tab/>
        <w:t xml:space="preserve">On the other hand, it ruled that articles 211 and 215 of the Electoral Code were not unconstitutional, since they could be interpreted in a manner that is consistent with articles 72 and 126 of the Constitution, given that candidates could be required to obtain party accreditation only if they opted to run on a party ticket and that they could also run as independent candidates or in other ways specified in the ruling. It likewise found that articles 215, 216, 218, 239, 250 and 262 of the Electoral Code were not unconstitutional, since the list system they establish facilitates the exercise of the right to vote. Lastly, the Court ruled that article 262 was not unconstitutional, since citizens exercised the right to vote directly, as prescribed by the Constitution. Taken as a whole, the foregoing makes it clear that El Salvador needs to undertake a wide-ranging electoral reform. </w:t>
      </w:r>
    </w:p>
    <w:p w:rsidR="00BA06AB" w:rsidRPr="00445C95" w:rsidRDefault="00BA06AB" w:rsidP="00BA06AB">
      <w:pPr>
        <w:pStyle w:val="SingleTxtG"/>
      </w:pPr>
      <w:r w:rsidRPr="00445C95">
        <w:t>52.</w:t>
      </w:r>
      <w:r w:rsidRPr="00445C95">
        <w:tab/>
        <w:t xml:space="preserve">It was noted in this context, without prejudice to the right of political parties and coalitions to propose candidates for seats in the legislature and on municipal councils by means of electoral lists, </w:t>
      </w:r>
      <w:r w:rsidR="00D06E17">
        <w:t>the</w:t>
      </w:r>
      <w:r w:rsidRPr="00445C95">
        <w:t xml:space="preserve"> fact that voting is to be direct makes it necessary to amend the unconstitutional system of blocked and closed lists and to restore to citizens the sovereign power to elect their representatives freely, in keeping with the Constitution and international instruments signed and ratified by El Salvador. This is possible only if deputies can be elected by means of open or independent lists that enable voters to cast their ballots directly for the candidate of their choice.</w:t>
      </w:r>
    </w:p>
    <w:p w:rsidR="00BA06AB" w:rsidRPr="00445C95" w:rsidRDefault="00BA06AB" w:rsidP="00BA06AB">
      <w:pPr>
        <w:pStyle w:val="SingleTxtG"/>
      </w:pPr>
      <w:r w:rsidRPr="00445C95">
        <w:t>53.</w:t>
      </w:r>
      <w:r w:rsidRPr="00445C95">
        <w:tab/>
        <w:t xml:space="preserve">The Constitutional Division of the Supreme Court of Justice agreed to hear complaints brought by the </w:t>
      </w:r>
      <w:proofErr w:type="spellStart"/>
      <w:r w:rsidRPr="00445C95">
        <w:t>Partido</w:t>
      </w:r>
      <w:proofErr w:type="spellEnd"/>
      <w:r w:rsidRPr="00445C95">
        <w:t xml:space="preserve"> de </w:t>
      </w:r>
      <w:proofErr w:type="spellStart"/>
      <w:r w:rsidRPr="00445C95">
        <w:t>Conciliación</w:t>
      </w:r>
      <w:proofErr w:type="spellEnd"/>
      <w:r w:rsidRPr="00445C95">
        <w:t xml:space="preserve"> Nacional, the </w:t>
      </w:r>
      <w:proofErr w:type="spellStart"/>
      <w:r w:rsidRPr="00445C95">
        <w:t>Partido</w:t>
      </w:r>
      <w:proofErr w:type="spellEnd"/>
      <w:r w:rsidRPr="00445C95">
        <w:t xml:space="preserve"> </w:t>
      </w:r>
      <w:proofErr w:type="spellStart"/>
      <w:r w:rsidRPr="00445C95">
        <w:t>Demócrata</w:t>
      </w:r>
      <w:proofErr w:type="spellEnd"/>
      <w:r w:rsidRPr="00445C95">
        <w:t xml:space="preserve"> Cristiano and the Gran </w:t>
      </w:r>
      <w:proofErr w:type="spellStart"/>
      <w:r w:rsidRPr="00445C95">
        <w:t>Alianza</w:t>
      </w:r>
      <w:proofErr w:type="spellEnd"/>
      <w:r w:rsidRPr="00445C95">
        <w:t xml:space="preserve"> </w:t>
      </w:r>
      <w:proofErr w:type="spellStart"/>
      <w:r w:rsidRPr="00445C95">
        <w:t>por</w:t>
      </w:r>
      <w:proofErr w:type="spellEnd"/>
      <w:r w:rsidRPr="00445C95">
        <w:t xml:space="preserve"> la </w:t>
      </w:r>
      <w:proofErr w:type="spellStart"/>
      <w:r w:rsidRPr="00445C95">
        <w:t>Unidad</w:t>
      </w:r>
      <w:proofErr w:type="spellEnd"/>
      <w:r w:rsidRPr="00445C95">
        <w:t xml:space="preserve"> in which they requested a recount of the votes cast for the deputies elected on 1 March 2015. The Division then ordered a recount of the votes cast in those elections in the Department of San Salvador. The recount was supervised by the Attorney General</w:t>
      </w:r>
      <w:r w:rsidR="00726016">
        <w:t>’</w:t>
      </w:r>
      <w:r w:rsidRPr="00445C95">
        <w:t>s Office.</w:t>
      </w:r>
    </w:p>
    <w:p w:rsidR="00BA06AB" w:rsidRPr="00445C95" w:rsidRDefault="00BA06AB" w:rsidP="00BA06AB">
      <w:pPr>
        <w:pStyle w:val="SingleTxtG"/>
      </w:pPr>
      <w:r w:rsidRPr="00445C95">
        <w:t>54.</w:t>
      </w:r>
      <w:r w:rsidRPr="00445C95">
        <w:tab/>
        <w:t xml:space="preserve">The judges of the Supreme Electoral Court were elected and sworn in by the Legislative Assembly. They included the President of the Court, Julio </w:t>
      </w:r>
      <w:proofErr w:type="spellStart"/>
      <w:r w:rsidRPr="00445C95">
        <w:t>Olivo</w:t>
      </w:r>
      <w:proofErr w:type="spellEnd"/>
      <w:r w:rsidRPr="00445C95">
        <w:t xml:space="preserve"> </w:t>
      </w:r>
      <w:proofErr w:type="spellStart"/>
      <w:r w:rsidRPr="00445C95">
        <w:t>Granadino</w:t>
      </w:r>
      <w:proofErr w:type="spellEnd"/>
      <w:r w:rsidRPr="00445C95">
        <w:t xml:space="preserve">, and as his alternate </w:t>
      </w:r>
      <w:proofErr w:type="spellStart"/>
      <w:r w:rsidRPr="00445C95">
        <w:t>María</w:t>
      </w:r>
      <w:proofErr w:type="spellEnd"/>
      <w:r w:rsidRPr="00445C95">
        <w:t xml:space="preserve"> Blanca, who were put forward by the </w:t>
      </w:r>
      <w:proofErr w:type="spellStart"/>
      <w:r w:rsidRPr="00445C95">
        <w:t>Frente</w:t>
      </w:r>
      <w:proofErr w:type="spellEnd"/>
      <w:r w:rsidRPr="00445C95">
        <w:t xml:space="preserve"> </w:t>
      </w:r>
      <w:proofErr w:type="spellStart"/>
      <w:r w:rsidRPr="00445C95">
        <w:t>Farabundo</w:t>
      </w:r>
      <w:proofErr w:type="spellEnd"/>
      <w:r w:rsidRPr="00445C95">
        <w:t xml:space="preserve"> </w:t>
      </w:r>
      <w:proofErr w:type="spellStart"/>
      <w:r w:rsidRPr="00445C95">
        <w:t>Martí</w:t>
      </w:r>
      <w:proofErr w:type="spellEnd"/>
      <w:r w:rsidRPr="00445C95">
        <w:t xml:space="preserve"> para la </w:t>
      </w:r>
      <w:proofErr w:type="spellStart"/>
      <w:r w:rsidRPr="00445C95">
        <w:t>Liberación</w:t>
      </w:r>
      <w:proofErr w:type="spellEnd"/>
      <w:r w:rsidRPr="00445C95">
        <w:t xml:space="preserve"> Nacional (FMLN), and Fernando </w:t>
      </w:r>
      <w:proofErr w:type="spellStart"/>
      <w:r w:rsidRPr="00445C95">
        <w:t>Argüello</w:t>
      </w:r>
      <w:proofErr w:type="spellEnd"/>
      <w:r w:rsidRPr="00445C95">
        <w:t xml:space="preserve"> </w:t>
      </w:r>
      <w:proofErr w:type="spellStart"/>
      <w:r w:rsidRPr="00445C95">
        <w:t>Téllez</w:t>
      </w:r>
      <w:proofErr w:type="spellEnd"/>
      <w:r w:rsidRPr="00445C95">
        <w:t xml:space="preserve"> as a judge and Carlos </w:t>
      </w:r>
      <w:proofErr w:type="spellStart"/>
      <w:r w:rsidRPr="00445C95">
        <w:t>Rovira</w:t>
      </w:r>
      <w:proofErr w:type="spellEnd"/>
      <w:r w:rsidRPr="00445C95">
        <w:t xml:space="preserve"> Alvarado as his alternate, who were put forward by the </w:t>
      </w:r>
      <w:proofErr w:type="spellStart"/>
      <w:r w:rsidRPr="00445C95">
        <w:t>Alianza</w:t>
      </w:r>
      <w:proofErr w:type="spellEnd"/>
      <w:r w:rsidRPr="00445C95">
        <w:t xml:space="preserve"> </w:t>
      </w:r>
      <w:proofErr w:type="spellStart"/>
      <w:r w:rsidRPr="00445C95">
        <w:t>Republicana</w:t>
      </w:r>
      <w:proofErr w:type="spellEnd"/>
      <w:r w:rsidRPr="00445C95">
        <w:t xml:space="preserve"> </w:t>
      </w:r>
      <w:proofErr w:type="spellStart"/>
      <w:r w:rsidRPr="00445C95">
        <w:t>Nacionalista</w:t>
      </w:r>
      <w:proofErr w:type="spellEnd"/>
      <w:r w:rsidRPr="00445C95">
        <w:t xml:space="preserve"> (ARENA). The </w:t>
      </w:r>
      <w:proofErr w:type="spellStart"/>
      <w:r w:rsidRPr="00445C95">
        <w:t>Partido</w:t>
      </w:r>
      <w:proofErr w:type="spellEnd"/>
      <w:r w:rsidRPr="00445C95">
        <w:t xml:space="preserve"> de </w:t>
      </w:r>
      <w:proofErr w:type="spellStart"/>
      <w:r w:rsidRPr="00445C95">
        <w:t>Conciliación</w:t>
      </w:r>
      <w:proofErr w:type="spellEnd"/>
      <w:r w:rsidRPr="00445C95">
        <w:t xml:space="preserve"> Nacional nominated Guadalupe Medina, who is also currently a member of the Supreme Electoral Court put forward by the Supreme Court of Justice, and the </w:t>
      </w:r>
      <w:proofErr w:type="spellStart"/>
      <w:r w:rsidRPr="00445C95">
        <w:t>Partido</w:t>
      </w:r>
      <w:proofErr w:type="spellEnd"/>
      <w:r w:rsidRPr="00445C95">
        <w:t xml:space="preserve"> </w:t>
      </w:r>
      <w:proofErr w:type="spellStart"/>
      <w:r w:rsidRPr="00445C95">
        <w:t>Demócrata</w:t>
      </w:r>
      <w:proofErr w:type="spellEnd"/>
      <w:r w:rsidRPr="00445C95">
        <w:t xml:space="preserve"> Cristiano nominated </w:t>
      </w:r>
      <w:proofErr w:type="spellStart"/>
      <w:r w:rsidRPr="00445C95">
        <w:t>Óscar</w:t>
      </w:r>
      <w:proofErr w:type="spellEnd"/>
      <w:r w:rsidRPr="00445C95">
        <w:t xml:space="preserve"> Francisco </w:t>
      </w:r>
      <w:proofErr w:type="spellStart"/>
      <w:r w:rsidRPr="00445C95">
        <w:t>Panameño</w:t>
      </w:r>
      <w:proofErr w:type="spellEnd"/>
      <w:r w:rsidRPr="00445C95">
        <w:t xml:space="preserve">. The nominees for the Supreme Electoral Court on the list sent by the Supreme Court of Justice to the Legislative Assembly, who were also elected unanimously, were </w:t>
      </w:r>
      <w:proofErr w:type="spellStart"/>
      <w:r w:rsidRPr="00445C95">
        <w:t>Jesús</w:t>
      </w:r>
      <w:proofErr w:type="spellEnd"/>
      <w:r w:rsidRPr="00445C95">
        <w:t xml:space="preserve"> Ulises Rivas, with Sonia Clementina </w:t>
      </w:r>
      <w:proofErr w:type="spellStart"/>
      <w:r w:rsidRPr="00445C95">
        <w:t>Liévano</w:t>
      </w:r>
      <w:proofErr w:type="spellEnd"/>
      <w:r w:rsidRPr="00445C95">
        <w:t xml:space="preserve"> de Lemus as his alternate, and Miguel </w:t>
      </w:r>
      <w:proofErr w:type="spellStart"/>
      <w:r w:rsidRPr="00445C95">
        <w:t>Ángel</w:t>
      </w:r>
      <w:proofErr w:type="spellEnd"/>
      <w:r w:rsidRPr="00445C95">
        <w:t xml:space="preserve"> Cardoza, who was a judge in the Administrative Litigation Division of the Supreme Court of Justice, with Rubén Atilio </w:t>
      </w:r>
      <w:proofErr w:type="spellStart"/>
      <w:r w:rsidRPr="00445C95">
        <w:t>Meléndez</w:t>
      </w:r>
      <w:proofErr w:type="spellEnd"/>
      <w:r w:rsidRPr="00445C95">
        <w:t xml:space="preserve"> as his alternate. These new judges will serve until July 2019, which means that they will be in charge of the municipal and legislative elections of 2017 and 2018 and the presidential elections of 2019.</w:t>
      </w:r>
    </w:p>
    <w:p w:rsidR="00BA06AB" w:rsidRPr="00445C95" w:rsidRDefault="00BA06AB" w:rsidP="00BA06AB">
      <w:pPr>
        <w:pStyle w:val="SingleTxtG"/>
      </w:pPr>
      <w:r w:rsidRPr="00445C95">
        <w:t>55.</w:t>
      </w:r>
      <w:r w:rsidRPr="00445C95">
        <w:tab/>
        <w:t xml:space="preserve">This was the first time that the Legislative Assembly had elected judges to the Supreme Electoral Court who had no party affiliation. This change had been ordered pursuant to the decision of the Constitutional Division of the Supreme Court of Justice when it ruled that the nomination of Eugenio </w:t>
      </w:r>
      <w:proofErr w:type="spellStart"/>
      <w:r w:rsidRPr="00445C95">
        <w:t>Chicas</w:t>
      </w:r>
      <w:proofErr w:type="spellEnd"/>
      <w:r w:rsidRPr="00445C95">
        <w:t xml:space="preserve"> as President of the Supreme Electoral Court had been unconstitutional owing to his affiliation with FMLN.</w:t>
      </w:r>
    </w:p>
    <w:p w:rsidR="00BA06AB" w:rsidRPr="00445C95" w:rsidRDefault="00BA06AB" w:rsidP="00BA06AB">
      <w:pPr>
        <w:pStyle w:val="SingleTxtG"/>
      </w:pPr>
      <w:r w:rsidRPr="00445C95">
        <w:t>56.</w:t>
      </w:r>
      <w:r w:rsidRPr="00445C95">
        <w:tab/>
        <w:t xml:space="preserve">Pursuant to article 76 of the Constitution, the electorate consists of all Salvadoran citizens over 18 years of age who are entered on the electoral rolls and are in full possession of their civil and political rights. Electoral laws govern the work of the Supreme Electoral Court and of the other authorities that oversee elections. </w:t>
      </w:r>
    </w:p>
    <w:p w:rsidR="00BA06AB" w:rsidRPr="00445C95" w:rsidRDefault="00BA06AB" w:rsidP="00BA06AB">
      <w:pPr>
        <w:pStyle w:val="SingleTxtG"/>
      </w:pPr>
      <w:r w:rsidRPr="00445C95">
        <w:t>57.</w:t>
      </w:r>
      <w:r w:rsidRPr="00445C95">
        <w:tab/>
        <w:t>According to the Supreme Electoral Court, a total of 4,911,672 Salvadoran citizens were eligible to vote in the elections held on 1 March 2015 for members of the Legislative Assembly and the Central American Parliament and the country</w:t>
      </w:r>
      <w:r w:rsidR="00726016">
        <w:t>’</w:t>
      </w:r>
      <w:r w:rsidRPr="00445C95">
        <w:t>s 262 municipal councils. Of the total number of voters, 2,608,806, or 53.11 per cent, were women, and 2,302,866, or 46.89 per cent, were men.</w:t>
      </w:r>
    </w:p>
    <w:p w:rsidR="00BA06AB" w:rsidRPr="00445C95" w:rsidRDefault="00782CBA" w:rsidP="00782CBA">
      <w:pPr>
        <w:pStyle w:val="H23G"/>
      </w:pPr>
      <w:r>
        <w:tab/>
      </w:r>
      <w:bookmarkStart w:id="18" w:name="_Toc486428526"/>
      <w:r w:rsidR="00BA06AB" w:rsidRPr="00445C95">
        <w:t>5.</w:t>
      </w:r>
      <w:r w:rsidR="00BA06AB" w:rsidRPr="00445C95">
        <w:tab/>
        <w:t>Legislature</w:t>
      </w:r>
      <w:bookmarkEnd w:id="18"/>
    </w:p>
    <w:p w:rsidR="00BA06AB" w:rsidRPr="00445C95" w:rsidRDefault="00BA06AB" w:rsidP="00BA06AB">
      <w:pPr>
        <w:pStyle w:val="SingleTxtG"/>
      </w:pPr>
      <w:r w:rsidRPr="00445C95">
        <w:t>58.</w:t>
      </w:r>
      <w:r w:rsidRPr="00445C95">
        <w:tab/>
        <w:t>The Legislative Assembly is a collegiate body of 84 deputies who are elected by the people by direct, secret and equal vote. Its main function is that of legislating — in other words, of creating, interpreting, amending and repealing laws and of ratifying or rejecting treaties or agreements concluded by the executive with other States or international organizations. The Assembly</w:t>
      </w:r>
      <w:r w:rsidR="00726016">
        <w:t>’</w:t>
      </w:r>
      <w:r w:rsidRPr="00445C95">
        <w:t xml:space="preserve">s work is governed by the Constitution and by its own internal regulations. </w:t>
      </w:r>
    </w:p>
    <w:p w:rsidR="00BA06AB" w:rsidRPr="00445C95" w:rsidRDefault="00BA06AB" w:rsidP="00BA06AB">
      <w:pPr>
        <w:pStyle w:val="SingleTxtG"/>
      </w:pPr>
      <w:r w:rsidRPr="00445C95">
        <w:t>59.</w:t>
      </w:r>
      <w:r w:rsidRPr="00445C95">
        <w:tab/>
        <w:t>Deputies are elected for a term of three years and may be re-elected. Their term of office begins on 1 May of the year in which they are elected.</w:t>
      </w:r>
    </w:p>
    <w:p w:rsidR="00BA06AB" w:rsidRPr="00445C95" w:rsidRDefault="00BA06AB" w:rsidP="00BA06AB">
      <w:pPr>
        <w:pStyle w:val="SingleTxtG"/>
      </w:pPr>
      <w:r w:rsidRPr="00445C95">
        <w:t>60.</w:t>
      </w:r>
      <w:r w:rsidRPr="00445C95">
        <w:tab/>
        <w:t>The votes of at least one half of the elected deputies plus one (i.e., 43 votes) are generally required in order to pass a bill or resolution. However, some decisions require a qualified majority of two thirds (56 votes in favour), such as the election of the Presidents and judges of the Supreme Court of Justice, the Supreme Electoral Court and the Court of Audit of the Republic, the Attorney General of the Republic, the Counsel General of the Republic, the Human Rights Advocate and members of the National Council of the Judiciary.</w:t>
      </w:r>
    </w:p>
    <w:p w:rsidR="00BA06AB" w:rsidRPr="00445C95" w:rsidRDefault="00BA06AB" w:rsidP="00BA06AB">
      <w:pPr>
        <w:pStyle w:val="SingleTxtG"/>
      </w:pPr>
      <w:r w:rsidRPr="00445C95">
        <w:t>61.</w:t>
      </w:r>
      <w:r w:rsidRPr="00445C95">
        <w:tab/>
        <w:t>Deputies may not occupy any paid public post during their term of office except for academic or cultural posts or those connected with professional social welfare services.</w:t>
      </w:r>
    </w:p>
    <w:p w:rsidR="00BA06AB" w:rsidRPr="00445C95" w:rsidRDefault="00AA41C9" w:rsidP="00AA41C9">
      <w:pPr>
        <w:pStyle w:val="H23G"/>
      </w:pPr>
      <w:r>
        <w:tab/>
      </w:r>
      <w:bookmarkStart w:id="19" w:name="_Toc486428527"/>
      <w:r w:rsidR="00BA06AB" w:rsidRPr="00445C95">
        <w:t>6.</w:t>
      </w:r>
      <w:r w:rsidR="00BA06AB" w:rsidRPr="00445C95">
        <w:tab/>
        <w:t>Executive branch</w:t>
      </w:r>
      <w:bookmarkEnd w:id="19"/>
    </w:p>
    <w:p w:rsidR="00BA06AB" w:rsidRPr="00445C95" w:rsidRDefault="00BA06AB" w:rsidP="00BA06AB">
      <w:pPr>
        <w:pStyle w:val="SingleTxtG"/>
      </w:pPr>
      <w:r w:rsidRPr="00445C95">
        <w:t>62.</w:t>
      </w:r>
      <w:r w:rsidRPr="00445C95">
        <w:tab/>
        <w:t>The executive branch consists of the President and Vice-President of the Republic, the ministers and deputy ministers of State and their subordinate officials. Its work is governed by the Constitution and its own internal regulations.</w:t>
      </w:r>
    </w:p>
    <w:p w:rsidR="00BA06AB" w:rsidRPr="00445C95" w:rsidRDefault="00BA06AB" w:rsidP="00BA06AB">
      <w:pPr>
        <w:pStyle w:val="SingleTxtG"/>
      </w:pPr>
      <w:r w:rsidRPr="00445C95">
        <w:t>63.</w:t>
      </w:r>
      <w:r w:rsidRPr="00445C95">
        <w:tab/>
        <w:t>The President of the Republic is Head of State, Head of Government and Commander-in-Chief of the Armed Forces, and the executive branch is under his or her direction. The presidential term of office is five years and begins and ends on 1 June.</w:t>
      </w:r>
    </w:p>
    <w:p w:rsidR="00BA06AB" w:rsidRPr="00445C95" w:rsidRDefault="00BA06AB" w:rsidP="00BA06AB">
      <w:pPr>
        <w:pStyle w:val="SingleTxtG"/>
      </w:pPr>
      <w:r w:rsidRPr="00445C95">
        <w:t>64.</w:t>
      </w:r>
      <w:r w:rsidRPr="00445C95">
        <w:tab/>
        <w:t xml:space="preserve">Responsibility for the administration of public affairs is assigned to the various State secretariats, each of which is headed by a minister, who acts in cooperation with one or more deputy ministers, in accordance with article 159 of the Constitution. In order to be valid, presidential decrees, agreements, orders and decisions must be endorsed and </w:t>
      </w:r>
      <w:r w:rsidRPr="005C40EB">
        <w:t>notification thereof must be issued by the</w:t>
      </w:r>
      <w:r w:rsidRPr="00445C95">
        <w:t xml:space="preserve"> relevant ministers or, where appropriate, by their deputies.</w:t>
      </w:r>
    </w:p>
    <w:p w:rsidR="00BA06AB" w:rsidRPr="00445C95" w:rsidRDefault="00BA06AB" w:rsidP="00BA06AB">
      <w:pPr>
        <w:pStyle w:val="SingleTxtG"/>
      </w:pPr>
      <w:r w:rsidRPr="00445C95">
        <w:t>65.</w:t>
      </w:r>
      <w:r w:rsidRPr="00445C95">
        <w:tab/>
        <w:t>The Council of Ministers is composed of the President and Vice-President of the Republic together with the ministers of State or those acting in their stead. Its responsibilities include issuing the internal regulations of the executive branch and its own regulations, drawing up the overall government plan and the draft budget for submission to the Legislative Assembly, reviewing proposed changes to the budget involving transfers of allocations to different branches of the Administration and proposing that the Legislative Assembly suspend constitutional guarantees when appropriate.</w:t>
      </w:r>
      <w:r w:rsidR="00726016">
        <w:t xml:space="preserve"> </w:t>
      </w:r>
    </w:p>
    <w:p w:rsidR="00BA06AB" w:rsidRPr="00445C95" w:rsidRDefault="00BA06AB" w:rsidP="00BA06AB">
      <w:pPr>
        <w:pStyle w:val="SingleTxtG"/>
      </w:pPr>
      <w:r w:rsidRPr="00445C95">
        <w:t>66.</w:t>
      </w:r>
      <w:r w:rsidRPr="00445C95">
        <w:tab/>
        <w:t>Responsibility for national defence is assigned by the Constitution to the Ministry of Defence, whereas public security is the responsibility of the National Civil Police Force, which was established on the basis of humanist and democratic principles, together with the Ministry of Justice and Public Security and the National Public Security Academy.</w:t>
      </w:r>
    </w:p>
    <w:p w:rsidR="00BA06AB" w:rsidRPr="00445C95" w:rsidRDefault="00F46BF2" w:rsidP="00F46BF2">
      <w:pPr>
        <w:pStyle w:val="H23G"/>
      </w:pPr>
      <w:r>
        <w:tab/>
      </w:r>
      <w:bookmarkStart w:id="20" w:name="_Toc486428528"/>
      <w:r w:rsidR="00BA06AB" w:rsidRPr="00445C95">
        <w:t>7.</w:t>
      </w:r>
      <w:r w:rsidR="00BA06AB" w:rsidRPr="00445C95">
        <w:tab/>
        <w:t>Judiciary</w:t>
      </w:r>
      <w:bookmarkEnd w:id="20"/>
    </w:p>
    <w:p w:rsidR="00BA06AB" w:rsidRPr="00445C95" w:rsidRDefault="00BA06AB" w:rsidP="00BA06AB">
      <w:pPr>
        <w:pStyle w:val="SingleTxtG"/>
      </w:pPr>
      <w:r w:rsidRPr="00445C95">
        <w:t>67.</w:t>
      </w:r>
      <w:r w:rsidRPr="00445C95">
        <w:tab/>
        <w:t>El Salvador has mechanisms for ensuring that all persons have access to justice in keeping with the principle of equality before the law, which is guaranteed in article 3 of the Constitution. There are a total of 27 appellate courts for civil, criminal, special criminal, family, traffic and labour cases, juvenile justice proceedings and mixed actions which provide coverage in 9 of the country</w:t>
      </w:r>
      <w:r w:rsidR="00726016">
        <w:t>’</w:t>
      </w:r>
      <w:r w:rsidRPr="00445C95">
        <w:t>s 14 departments and account for 5 per cent of the country</w:t>
      </w:r>
      <w:r w:rsidR="00726016">
        <w:t>’</w:t>
      </w:r>
      <w:r w:rsidRPr="00445C95">
        <w:t>s courts. There are 207 courts of first instance at the national level (37 per cent of all courts) and 322 municipal courts (58 per cent of all courts) in the country</w:t>
      </w:r>
      <w:r w:rsidR="00726016">
        <w:t>’</w:t>
      </w:r>
      <w:r w:rsidRPr="00445C95">
        <w:t>s 262 municipalities. To ensure better service, the more populous municipalities have more than one such court.</w:t>
      </w:r>
    </w:p>
    <w:p w:rsidR="00BA06AB" w:rsidRPr="00445C95" w:rsidRDefault="00BA06AB" w:rsidP="00BA06AB">
      <w:pPr>
        <w:pStyle w:val="SingleTxtG"/>
      </w:pPr>
      <w:r w:rsidRPr="00445C95">
        <w:t>68.</w:t>
      </w:r>
      <w:r w:rsidRPr="00445C95">
        <w:tab/>
        <w:t>The Special Criminal Court in San Salvador and special trial courts and special investigate courts in San Salvador, Santa Ana and San Miguel were established starting on 1 April 2007 pursuant to Legislative Decree No. 246, published in the Official Gazette (No. 43) of 5 March 2007.</w:t>
      </w:r>
    </w:p>
    <w:p w:rsidR="00BA06AB" w:rsidRPr="00445C95" w:rsidRDefault="00BA06AB" w:rsidP="00BA06AB">
      <w:pPr>
        <w:pStyle w:val="SingleTxtG"/>
      </w:pPr>
      <w:r w:rsidRPr="00445C95">
        <w:t>69.</w:t>
      </w:r>
      <w:r w:rsidRPr="00445C95">
        <w:tab/>
        <w:t xml:space="preserve">Once the Peace Accords were signed, it became necessary to reform and strengthen the judicial system in order to improve the administration of justice. This reform effort included a change in the way the 15 judges of the Supreme Court of Justice were chosen. </w:t>
      </w:r>
    </w:p>
    <w:p w:rsidR="00BA06AB" w:rsidRPr="00445C95" w:rsidRDefault="00BA06AB" w:rsidP="00BA06AB">
      <w:pPr>
        <w:pStyle w:val="SingleTxtG"/>
      </w:pPr>
      <w:r w:rsidRPr="00445C95">
        <w:t>70.</w:t>
      </w:r>
      <w:r w:rsidRPr="00445C95">
        <w:tab/>
        <w:t>There is a technical selection unit that screens and updates the list of lawyers who have been admitted to the Supreme Court bar and removes the names of</w:t>
      </w:r>
      <w:r w:rsidR="00726016">
        <w:t xml:space="preserve"> </w:t>
      </w:r>
      <w:r w:rsidRPr="00445C95">
        <w:t>suspended and deceased lawyers and those who have not yet met the constitutional requirements for the position. The resulting list of lawyers eligible for positions on the Supreme Court is, following its authorization by the full Court, published in two national newspapers.</w:t>
      </w:r>
    </w:p>
    <w:p w:rsidR="00BA06AB" w:rsidRPr="00445C95" w:rsidRDefault="00BA06AB" w:rsidP="00BA06AB">
      <w:pPr>
        <w:pStyle w:val="SingleTxtG"/>
      </w:pPr>
      <w:r w:rsidRPr="00445C95">
        <w:t>71.</w:t>
      </w:r>
      <w:r w:rsidRPr="00445C95">
        <w:tab/>
        <w:t>As noted earlier, the National Council of the Judiciary is an independent institution responsible for nominating candidates to serve as judges on the Supreme Court, courts of appeal, courts of first instance and municipal courts. It is also responsible for organizing and running the Judicial College, whose purpose is to improve the professional training of judges and other judicial officials.</w:t>
      </w:r>
    </w:p>
    <w:p w:rsidR="00BA06AB" w:rsidRPr="00445C95" w:rsidRDefault="00BA06AB" w:rsidP="00BA06AB">
      <w:pPr>
        <w:pStyle w:val="SingleTxtG"/>
      </w:pPr>
      <w:r w:rsidRPr="00445C95">
        <w:t>72.</w:t>
      </w:r>
      <w:r w:rsidRPr="00445C95">
        <w:tab/>
        <w:t xml:space="preserve">In order to modernize the justice system and ensure a more rapid and effective administration of justice, a wide-ranging overhaul of laws and regulations has been undertaken that has included amendments to the Civil Code, the adoption of the new Code of Criminal Procedure and the modification of civil and commercial proceedings, including the introduction of oral hearings, through the adoption of the new Code of Civil and Commercial Procedure. The Child and Adolescent Protection Act has amended earlier legislation on children and the family, and the Legislative Assembly is currently discussing a draft constitutional procedures bill designed to make </w:t>
      </w:r>
      <w:proofErr w:type="spellStart"/>
      <w:r w:rsidRPr="006B40AC">
        <w:rPr>
          <w:i/>
        </w:rPr>
        <w:t>amparo</w:t>
      </w:r>
      <w:proofErr w:type="spellEnd"/>
      <w:r w:rsidRPr="00445C95">
        <w:t xml:space="preserve">, habeas corpus and unconstitutionality proceedings more flexible and effective. </w:t>
      </w:r>
    </w:p>
    <w:p w:rsidR="00BA06AB" w:rsidRPr="00445C95" w:rsidRDefault="00BA06AB" w:rsidP="00BA06AB">
      <w:pPr>
        <w:pStyle w:val="SingleTxtG"/>
      </w:pPr>
      <w:r w:rsidRPr="00445C95">
        <w:t>73.</w:t>
      </w:r>
      <w:r w:rsidRPr="00445C95">
        <w:tab/>
        <w:t xml:space="preserve">The Supreme Court of Justice has four divisions: </w:t>
      </w:r>
      <w:proofErr w:type="gramStart"/>
      <w:r w:rsidRPr="00445C95">
        <w:t>the</w:t>
      </w:r>
      <w:proofErr w:type="gramEnd"/>
      <w:r w:rsidRPr="00445C95">
        <w:t xml:space="preserve"> Constitutional Division, the Civil Division, the Criminal Division and the Administrative Disputes Division, all of which have a President and two other judges. Their function is to consider and rule on petitions and appeals in their respective jurisdictions.</w:t>
      </w:r>
    </w:p>
    <w:p w:rsidR="00BA06AB" w:rsidRPr="00445C95" w:rsidRDefault="00BA06AB" w:rsidP="00BA06AB">
      <w:pPr>
        <w:pStyle w:val="SingleTxtG"/>
      </w:pPr>
      <w:r w:rsidRPr="00445C95">
        <w:t>74.</w:t>
      </w:r>
      <w:r w:rsidRPr="00445C95">
        <w:tab/>
        <w:t>Currently, the judges on the Supreme Court of Justice are as follows.</w:t>
      </w:r>
    </w:p>
    <w:p w:rsidR="00BA06AB" w:rsidRPr="00445C95" w:rsidRDefault="00BA06AB" w:rsidP="00540E3D">
      <w:pPr>
        <w:pStyle w:val="Heading1"/>
      </w:pPr>
      <w:bookmarkStart w:id="21" w:name="_Toc486428529"/>
      <w:bookmarkStart w:id="22" w:name="_Toc490483649"/>
      <w:r w:rsidRPr="00445C95">
        <w:t>Table 2</w:t>
      </w:r>
      <w:bookmarkEnd w:id="21"/>
      <w:bookmarkEnd w:id="22"/>
    </w:p>
    <w:p w:rsidR="00BA06AB" w:rsidRPr="00540E3D" w:rsidRDefault="00BA06AB" w:rsidP="00BA06AB">
      <w:pPr>
        <w:pStyle w:val="SingleTxtG"/>
        <w:rPr>
          <w:b/>
        </w:rPr>
      </w:pPr>
      <w:r w:rsidRPr="00540E3D">
        <w:rPr>
          <w:b/>
        </w:rPr>
        <w:t>Supreme Court of Justice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3118"/>
        <w:gridCol w:w="2126"/>
        <w:gridCol w:w="1133"/>
      </w:tblGrid>
      <w:tr w:rsidR="00BA06AB" w:rsidRPr="00540E3D" w:rsidTr="00DF02B3">
        <w:trPr>
          <w:trHeight w:val="240"/>
          <w:tblHeader/>
        </w:trPr>
        <w:tc>
          <w:tcPr>
            <w:tcW w:w="993" w:type="dxa"/>
            <w:tcBorders>
              <w:top w:val="single" w:sz="4" w:space="0" w:color="auto"/>
              <w:bottom w:val="single" w:sz="12" w:space="0" w:color="auto"/>
            </w:tcBorders>
            <w:shd w:val="clear" w:color="auto" w:fill="auto"/>
            <w:vAlign w:val="bottom"/>
            <w:hideMark/>
          </w:tcPr>
          <w:p w:rsidR="00BA06AB" w:rsidRPr="00540E3D" w:rsidRDefault="00BA06AB" w:rsidP="00540E3D">
            <w:pPr>
              <w:pStyle w:val="SingleTxtG"/>
              <w:suppressAutoHyphens w:val="0"/>
              <w:spacing w:before="80" w:after="80" w:line="200" w:lineRule="exact"/>
              <w:ind w:left="0" w:right="113"/>
              <w:jc w:val="left"/>
              <w:rPr>
                <w:i/>
                <w:sz w:val="16"/>
              </w:rPr>
            </w:pPr>
            <w:r w:rsidRPr="00540E3D">
              <w:rPr>
                <w:i/>
                <w:sz w:val="16"/>
              </w:rPr>
              <w:t>Title</w:t>
            </w:r>
          </w:p>
        </w:tc>
        <w:tc>
          <w:tcPr>
            <w:tcW w:w="3118" w:type="dxa"/>
            <w:tcBorders>
              <w:top w:val="single" w:sz="4" w:space="0" w:color="auto"/>
              <w:bottom w:val="single" w:sz="12" w:space="0" w:color="auto"/>
            </w:tcBorders>
            <w:shd w:val="clear" w:color="auto" w:fill="auto"/>
            <w:vAlign w:val="bottom"/>
            <w:hideMark/>
          </w:tcPr>
          <w:p w:rsidR="00BA06AB" w:rsidRPr="00540E3D" w:rsidRDefault="00BA06AB" w:rsidP="00540E3D">
            <w:pPr>
              <w:pStyle w:val="SingleTxtG"/>
              <w:suppressAutoHyphens w:val="0"/>
              <w:spacing w:before="80" w:after="80" w:line="200" w:lineRule="exact"/>
              <w:ind w:left="0" w:right="113"/>
              <w:jc w:val="left"/>
              <w:rPr>
                <w:i/>
                <w:sz w:val="16"/>
              </w:rPr>
            </w:pPr>
            <w:r w:rsidRPr="00540E3D">
              <w:rPr>
                <w:i/>
                <w:sz w:val="16"/>
              </w:rPr>
              <w:t>Judge</w:t>
            </w:r>
          </w:p>
        </w:tc>
        <w:tc>
          <w:tcPr>
            <w:tcW w:w="2126" w:type="dxa"/>
            <w:tcBorders>
              <w:top w:val="single" w:sz="4" w:space="0" w:color="auto"/>
              <w:bottom w:val="single" w:sz="12" w:space="0" w:color="auto"/>
            </w:tcBorders>
            <w:shd w:val="clear" w:color="auto" w:fill="auto"/>
            <w:vAlign w:val="bottom"/>
            <w:hideMark/>
          </w:tcPr>
          <w:p w:rsidR="00BA06AB" w:rsidRPr="00540E3D" w:rsidRDefault="00BA06AB" w:rsidP="00540E3D">
            <w:pPr>
              <w:pStyle w:val="SingleTxtG"/>
              <w:suppressAutoHyphens w:val="0"/>
              <w:spacing w:before="80" w:after="80" w:line="200" w:lineRule="exact"/>
              <w:ind w:left="0" w:right="113"/>
              <w:jc w:val="left"/>
              <w:rPr>
                <w:i/>
                <w:sz w:val="16"/>
              </w:rPr>
            </w:pPr>
            <w:r w:rsidRPr="00540E3D">
              <w:rPr>
                <w:i/>
                <w:sz w:val="16"/>
              </w:rPr>
              <w:t>Division</w:t>
            </w:r>
          </w:p>
        </w:tc>
        <w:tc>
          <w:tcPr>
            <w:tcW w:w="1133" w:type="dxa"/>
            <w:tcBorders>
              <w:top w:val="single" w:sz="4" w:space="0" w:color="auto"/>
              <w:bottom w:val="single" w:sz="12" w:space="0" w:color="auto"/>
            </w:tcBorders>
            <w:shd w:val="clear" w:color="auto" w:fill="auto"/>
            <w:vAlign w:val="bottom"/>
            <w:hideMark/>
          </w:tcPr>
          <w:p w:rsidR="00BA06AB" w:rsidRPr="00540E3D" w:rsidRDefault="00BA06AB" w:rsidP="00540E3D">
            <w:pPr>
              <w:pStyle w:val="SingleTxtG"/>
              <w:suppressAutoHyphens w:val="0"/>
              <w:spacing w:before="80" w:after="80" w:line="200" w:lineRule="exact"/>
              <w:ind w:left="0" w:right="113"/>
              <w:jc w:val="left"/>
              <w:rPr>
                <w:i/>
                <w:sz w:val="16"/>
              </w:rPr>
            </w:pPr>
            <w:r w:rsidRPr="00540E3D">
              <w:rPr>
                <w:i/>
                <w:sz w:val="16"/>
              </w:rPr>
              <w:t>Year of election</w:t>
            </w:r>
          </w:p>
        </w:tc>
      </w:tr>
      <w:tr w:rsidR="00BA06AB" w:rsidRPr="00540E3D" w:rsidTr="00DF02B3">
        <w:trPr>
          <w:trHeight w:val="240"/>
        </w:trPr>
        <w:tc>
          <w:tcPr>
            <w:tcW w:w="993" w:type="dxa"/>
            <w:tcBorders>
              <w:top w:val="single" w:sz="12" w:space="0" w:color="auto"/>
            </w:tcBorders>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President</w:t>
            </w:r>
          </w:p>
        </w:tc>
        <w:tc>
          <w:tcPr>
            <w:tcW w:w="3118" w:type="dxa"/>
            <w:tcBorders>
              <w:top w:val="single" w:sz="12" w:space="0" w:color="auto"/>
            </w:tcBorders>
            <w:shd w:val="clear" w:color="auto" w:fill="auto"/>
            <w:hideMark/>
          </w:tcPr>
          <w:p w:rsidR="00BA06AB" w:rsidRPr="00540E3D" w:rsidRDefault="00BA06AB" w:rsidP="00540E3D">
            <w:pPr>
              <w:pStyle w:val="SingleTxtG"/>
              <w:suppressAutoHyphens w:val="0"/>
              <w:spacing w:before="40" w:line="220" w:lineRule="exact"/>
              <w:ind w:left="0" w:right="113"/>
              <w:jc w:val="left"/>
            </w:pPr>
            <w:proofErr w:type="spellStart"/>
            <w:r w:rsidRPr="00540E3D">
              <w:t>Óscar</w:t>
            </w:r>
            <w:proofErr w:type="spellEnd"/>
            <w:r w:rsidRPr="00540E3D">
              <w:t xml:space="preserve"> Armando Pineda Navas</w:t>
            </w:r>
            <w:r w:rsidRPr="008A6042">
              <w:rPr>
                <w:sz w:val="18"/>
                <w:szCs w:val="18"/>
                <w:vertAlign w:val="superscript"/>
              </w:rPr>
              <w:t>1</w:t>
            </w:r>
          </w:p>
        </w:tc>
        <w:tc>
          <w:tcPr>
            <w:tcW w:w="2126" w:type="dxa"/>
            <w:tcBorders>
              <w:top w:val="single" w:sz="12" w:space="0" w:color="auto"/>
            </w:tcBorders>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Constitutional</w:t>
            </w:r>
          </w:p>
        </w:tc>
        <w:tc>
          <w:tcPr>
            <w:tcW w:w="1133" w:type="dxa"/>
            <w:tcBorders>
              <w:top w:val="single" w:sz="12" w:space="0" w:color="auto"/>
            </w:tcBorders>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2014</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 xml:space="preserve">José </w:t>
            </w:r>
            <w:proofErr w:type="spellStart"/>
            <w:r w:rsidRPr="00540E3D">
              <w:t>Belarmino</w:t>
            </w:r>
            <w:proofErr w:type="spellEnd"/>
            <w:r w:rsidRPr="00540E3D">
              <w:t xml:space="preserve"> Jaime Flores</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Constitutional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2009</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Sidney Blanco</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Constitutional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2009</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Rodolfo Ernesto González Bonilla</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Constitutional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2009</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proofErr w:type="spellStart"/>
            <w:r w:rsidRPr="00540E3D">
              <w:t>Florentín</w:t>
            </w:r>
            <w:proofErr w:type="spellEnd"/>
            <w:r w:rsidRPr="00540E3D">
              <w:t xml:space="preserve"> </w:t>
            </w:r>
            <w:proofErr w:type="spellStart"/>
            <w:r w:rsidRPr="00540E3D">
              <w:t>Meléndez</w:t>
            </w:r>
            <w:proofErr w:type="spellEnd"/>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Constitutional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2009</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proofErr w:type="spellStart"/>
            <w:r w:rsidRPr="00540E3D">
              <w:t>María</w:t>
            </w:r>
            <w:proofErr w:type="spellEnd"/>
            <w:r w:rsidRPr="00540E3D">
              <w:t xml:space="preserve"> Luz Regalado</w:t>
            </w:r>
            <w:r w:rsidRPr="008A6042">
              <w:rPr>
                <w:vertAlign w:val="superscript"/>
              </w:rPr>
              <w:t>2</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Civil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2009</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proofErr w:type="spellStart"/>
            <w:r w:rsidRPr="00540E3D">
              <w:t>Ovidio</w:t>
            </w:r>
            <w:proofErr w:type="spellEnd"/>
            <w:r w:rsidRPr="00540E3D">
              <w:t xml:space="preserve"> Bonilla Flores</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Civil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2012</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proofErr w:type="spellStart"/>
            <w:r w:rsidRPr="00540E3D">
              <w:t>Óscar</w:t>
            </w:r>
            <w:proofErr w:type="spellEnd"/>
            <w:r w:rsidRPr="00540E3D">
              <w:t xml:space="preserve"> Alberto </w:t>
            </w:r>
            <w:proofErr w:type="spellStart"/>
            <w:r w:rsidRPr="00540E3D">
              <w:t>López</w:t>
            </w:r>
            <w:proofErr w:type="spellEnd"/>
            <w:r w:rsidRPr="00540E3D">
              <w:t xml:space="preserve"> Jerez</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Civil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2015</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Doris Luz Rivas Galindo</w:t>
            </w:r>
            <w:r w:rsidRPr="008A6042">
              <w:rPr>
                <w:sz w:val="18"/>
                <w:szCs w:val="18"/>
                <w:vertAlign w:val="superscript"/>
              </w:rPr>
              <w:t>2</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Criminal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2012</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 xml:space="preserve">José Roberto Argueta </w:t>
            </w:r>
            <w:proofErr w:type="spellStart"/>
            <w:r w:rsidRPr="00540E3D">
              <w:t>Manzano</w:t>
            </w:r>
            <w:proofErr w:type="spellEnd"/>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Criminal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2012</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 xml:space="preserve">Leonardo </w:t>
            </w:r>
            <w:proofErr w:type="spellStart"/>
            <w:r w:rsidRPr="00540E3D">
              <w:t>Ramírez</w:t>
            </w:r>
            <w:proofErr w:type="spellEnd"/>
            <w:r w:rsidRPr="00540E3D">
              <w:t xml:space="preserve"> Murcia</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Criminal</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2015</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proofErr w:type="spellStart"/>
            <w:r w:rsidRPr="00540E3D">
              <w:t>Dafne</w:t>
            </w:r>
            <w:proofErr w:type="spellEnd"/>
            <w:r w:rsidRPr="00540E3D">
              <w:t xml:space="preserve"> </w:t>
            </w:r>
            <w:proofErr w:type="spellStart"/>
            <w:r w:rsidRPr="00540E3D">
              <w:t>Yanira</w:t>
            </w:r>
            <w:proofErr w:type="spellEnd"/>
            <w:r w:rsidRPr="00540E3D">
              <w:t xml:space="preserve"> Sánchez de Muñoz</w:t>
            </w:r>
            <w:r w:rsidRPr="008A6042">
              <w:rPr>
                <w:vertAlign w:val="superscript"/>
              </w:rPr>
              <w:t>2</w:t>
            </w:r>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Administrative Disputes</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2015</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proofErr w:type="spellStart"/>
            <w:r w:rsidRPr="00540E3D">
              <w:t>Elsy</w:t>
            </w:r>
            <w:proofErr w:type="spellEnd"/>
            <w:r w:rsidRPr="00540E3D">
              <w:t xml:space="preserve"> </w:t>
            </w:r>
            <w:proofErr w:type="spellStart"/>
            <w:r w:rsidRPr="00540E3D">
              <w:t>Dueñas</w:t>
            </w:r>
            <w:proofErr w:type="spellEnd"/>
            <w:r w:rsidRPr="00540E3D">
              <w:t xml:space="preserve"> de </w:t>
            </w:r>
            <w:proofErr w:type="spellStart"/>
            <w:r w:rsidRPr="00540E3D">
              <w:t>Avilés</w:t>
            </w:r>
            <w:proofErr w:type="spellEnd"/>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Administrative Disputes</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2012</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 xml:space="preserve">Sergio Luis Rivera </w:t>
            </w:r>
            <w:proofErr w:type="spellStart"/>
            <w:r w:rsidRPr="00540E3D">
              <w:t>Márquez</w:t>
            </w:r>
            <w:proofErr w:type="spellEnd"/>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Administrative Disputes</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2015</w:t>
            </w:r>
          </w:p>
        </w:tc>
      </w:tr>
      <w:tr w:rsidR="00BA06AB" w:rsidRPr="00540E3D" w:rsidTr="00DF02B3">
        <w:trPr>
          <w:trHeight w:val="240"/>
        </w:trPr>
        <w:tc>
          <w:tcPr>
            <w:tcW w:w="993"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Judge</w:t>
            </w:r>
          </w:p>
        </w:tc>
        <w:tc>
          <w:tcPr>
            <w:tcW w:w="3118"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 xml:space="preserve">Paula Patricia </w:t>
            </w:r>
            <w:proofErr w:type="spellStart"/>
            <w:r w:rsidRPr="00540E3D">
              <w:t>Velásquez</w:t>
            </w:r>
            <w:proofErr w:type="spellEnd"/>
          </w:p>
        </w:tc>
        <w:tc>
          <w:tcPr>
            <w:tcW w:w="2126" w:type="dxa"/>
            <w:shd w:val="clear" w:color="auto" w:fill="auto"/>
            <w:hideMark/>
          </w:tcPr>
          <w:p w:rsidR="00BA06AB" w:rsidRPr="00540E3D" w:rsidRDefault="00BA06AB" w:rsidP="00540E3D">
            <w:pPr>
              <w:pStyle w:val="SingleTxtG"/>
              <w:suppressAutoHyphens w:val="0"/>
              <w:spacing w:before="40" w:line="220" w:lineRule="exact"/>
              <w:ind w:left="0" w:right="113"/>
              <w:jc w:val="left"/>
            </w:pPr>
            <w:r w:rsidRPr="00540E3D">
              <w:t>Administrative Disputes</w:t>
            </w:r>
          </w:p>
        </w:tc>
        <w:tc>
          <w:tcPr>
            <w:tcW w:w="1133" w:type="dxa"/>
            <w:shd w:val="clear" w:color="auto" w:fill="auto"/>
            <w:hideMark/>
          </w:tcPr>
          <w:p w:rsidR="00BA06AB" w:rsidRPr="00540E3D" w:rsidRDefault="00BA06AB" w:rsidP="008A6042">
            <w:pPr>
              <w:pStyle w:val="SingleTxtG"/>
              <w:suppressAutoHyphens w:val="0"/>
              <w:spacing w:before="40" w:line="220" w:lineRule="exact"/>
              <w:ind w:left="0" w:right="113"/>
              <w:jc w:val="right"/>
            </w:pPr>
            <w:r w:rsidRPr="00540E3D">
              <w:t>2015</w:t>
            </w:r>
          </w:p>
        </w:tc>
      </w:tr>
    </w:tbl>
    <w:p w:rsidR="00BA06AB" w:rsidRPr="00733176" w:rsidRDefault="00BA06AB" w:rsidP="00805437">
      <w:pPr>
        <w:pStyle w:val="FootnoteText"/>
        <w:tabs>
          <w:tab w:val="clear" w:pos="1021"/>
          <w:tab w:val="right" w:pos="1304"/>
        </w:tabs>
        <w:suppressAutoHyphens w:val="0"/>
        <w:spacing w:before="120" w:after="60"/>
        <w:ind w:left="1418" w:hanging="1418"/>
      </w:pPr>
      <w:r w:rsidRPr="00733176">
        <w:tab/>
      </w:r>
      <w:r w:rsidRPr="008A6042">
        <w:rPr>
          <w:vertAlign w:val="superscript"/>
        </w:rPr>
        <w:t>1</w:t>
      </w:r>
      <w:r w:rsidR="00733176">
        <w:tab/>
      </w:r>
      <w:r w:rsidRPr="00733176">
        <w:t xml:space="preserve">President of the Constitutional Division of the Supreme Court of Justice and head judge of the judiciary since 31 July 2014 in lieu of José Padilla </w:t>
      </w:r>
      <w:proofErr w:type="spellStart"/>
      <w:r w:rsidRPr="00733176">
        <w:t>Salomón</w:t>
      </w:r>
      <w:proofErr w:type="spellEnd"/>
      <w:r w:rsidRPr="00733176">
        <w:t>, who held the position from 21 August 2012 to 14 October 2013, the date on which his appointment was declared [unconstitutional].</w:t>
      </w:r>
    </w:p>
    <w:p w:rsidR="00BA06AB" w:rsidRPr="00733176" w:rsidRDefault="00BA06AB" w:rsidP="00805437">
      <w:pPr>
        <w:pStyle w:val="FootnoteText"/>
        <w:tabs>
          <w:tab w:val="clear" w:pos="1021"/>
          <w:tab w:val="right" w:pos="1304"/>
        </w:tabs>
        <w:suppressAutoHyphens w:val="0"/>
        <w:ind w:left="1418" w:hanging="1418"/>
      </w:pPr>
      <w:r w:rsidRPr="00733176">
        <w:tab/>
      </w:r>
      <w:r w:rsidRPr="008A6042">
        <w:rPr>
          <w:vertAlign w:val="superscript"/>
        </w:rPr>
        <w:t>2</w:t>
      </w:r>
      <w:r w:rsidR="00733176">
        <w:tab/>
      </w:r>
      <w:r w:rsidRPr="00733176">
        <w:t>President of the division.</w:t>
      </w:r>
    </w:p>
    <w:p w:rsidR="00BA06AB" w:rsidRPr="00445C95" w:rsidRDefault="00BA06AB" w:rsidP="00805437">
      <w:pPr>
        <w:pStyle w:val="SingleTxtG"/>
        <w:spacing w:before="240"/>
      </w:pPr>
      <w:r w:rsidRPr="00445C95">
        <w:t>75.</w:t>
      </w:r>
      <w:r w:rsidRPr="00445C95">
        <w:tab/>
        <w:t>The courts of second instance, or appellate courts, are presided over by two-judge panels, while the courts of first instance and the municipal courts are single-judge courts. These judges are all appointed by the Supreme Court of Justice from a list of three candidates submitted in each case by the National Council of the Judiciary (art. 175 of the Constitution).</w:t>
      </w:r>
    </w:p>
    <w:p w:rsidR="00BA06AB" w:rsidRPr="00445C95" w:rsidRDefault="00BA06AB" w:rsidP="00BA06AB">
      <w:pPr>
        <w:pStyle w:val="SingleTxtG"/>
      </w:pPr>
      <w:r w:rsidRPr="00445C95">
        <w:t>76.</w:t>
      </w:r>
      <w:r w:rsidRPr="00445C95">
        <w:tab/>
        <w:t xml:space="preserve">Under the Judiciary Organization Act, the Supreme Court of Justice has the following sections: </w:t>
      </w:r>
      <w:proofErr w:type="gramStart"/>
      <w:r w:rsidRPr="00445C95">
        <w:t>the</w:t>
      </w:r>
      <w:proofErr w:type="gramEnd"/>
      <w:r w:rsidRPr="00445C95">
        <w:t xml:space="preserve"> Notarial Section, the Probity Section, the Professional Investigation Section and the Publications Section.</w:t>
      </w:r>
    </w:p>
    <w:p w:rsidR="00BA06AB" w:rsidRPr="00445C95" w:rsidRDefault="00BA06AB" w:rsidP="00BA06AB">
      <w:pPr>
        <w:pStyle w:val="SingleTxtG"/>
      </w:pPr>
      <w:r w:rsidRPr="00445C95">
        <w:t>77.</w:t>
      </w:r>
      <w:r w:rsidRPr="00445C95">
        <w:tab/>
        <w:t xml:space="preserve">The Court also has three units: the first processes information on persons detained by any authority; the second monitors the conditions under which criminal sentences are served; and the third deals with the seizures </w:t>
      </w:r>
      <w:r w:rsidRPr="0074788B">
        <w:t>made and bail bonds forfeited in</w:t>
      </w:r>
      <w:r w:rsidRPr="00445C95">
        <w:t xml:space="preserve"> all the country</w:t>
      </w:r>
      <w:r w:rsidR="00726016">
        <w:t>’</w:t>
      </w:r>
      <w:r w:rsidRPr="00445C95">
        <w:t xml:space="preserve">s courts. </w:t>
      </w:r>
    </w:p>
    <w:p w:rsidR="00BA06AB" w:rsidRPr="00445C95" w:rsidRDefault="00BA06AB" w:rsidP="00BA06AB">
      <w:pPr>
        <w:pStyle w:val="SingleTxtG"/>
      </w:pPr>
      <w:r w:rsidRPr="00445C95">
        <w:t>78.</w:t>
      </w:r>
      <w:r w:rsidRPr="00445C95">
        <w:tab/>
        <w:t xml:space="preserve">In addition, the Court has an executive administration unit, which is made up of finance, engineering, human resources, administration and maintenance departments. There is also a section responsible for compiling laws, regulations and the jurisprudence of the Supreme Court, as well as other administrative offices. </w:t>
      </w:r>
    </w:p>
    <w:p w:rsidR="00BA06AB" w:rsidRPr="00445C95" w:rsidRDefault="00BA06AB" w:rsidP="00BA06AB">
      <w:pPr>
        <w:pStyle w:val="SingleTxtG"/>
      </w:pPr>
      <w:r w:rsidRPr="00445C95">
        <w:t>79.</w:t>
      </w:r>
      <w:r w:rsidRPr="00445C95">
        <w:tab/>
        <w:t xml:space="preserve">The function of the Inspection and Supervised Release Department is to work with sentence supervision judges and sentence enforcement judges in monitoring the conditions or rules of conduct established in cases involving conditional suspension of criminal proceedings, security measures, conditional release and conditional suspension of a sentence and in cases involving non-custodial sentences. </w:t>
      </w:r>
    </w:p>
    <w:p w:rsidR="00BA06AB" w:rsidRPr="00445C95" w:rsidRDefault="00BA06AB" w:rsidP="00BA06AB">
      <w:pPr>
        <w:pStyle w:val="SingleTxtG"/>
      </w:pPr>
      <w:r w:rsidRPr="00445C95">
        <w:t>80.</w:t>
      </w:r>
      <w:r w:rsidRPr="00445C95">
        <w:tab/>
        <w:t>The Court</w:t>
      </w:r>
      <w:r w:rsidR="00726016">
        <w:t>’</w:t>
      </w:r>
      <w:r w:rsidRPr="00445C95">
        <w:t>s Forensic Medicine Directorate is the lead forensic sciences and medicine agency operating in support of the administration of justice. The services of the Institute of Forensic Medicine are provided by order of the Attorney General</w:t>
      </w:r>
      <w:r w:rsidR="00726016">
        <w:t>’</w:t>
      </w:r>
      <w:r w:rsidRPr="00445C95">
        <w:t>s Office, the courts, the Counsel General</w:t>
      </w:r>
      <w:r w:rsidR="00726016">
        <w:t>’</w:t>
      </w:r>
      <w:r w:rsidRPr="00445C95">
        <w:t xml:space="preserve">s Office, the Office of the Human Rights Advocate and, in certain cases, the National Civil Police. </w:t>
      </w:r>
    </w:p>
    <w:p w:rsidR="00BA06AB" w:rsidRPr="00445C95" w:rsidRDefault="0078758F" w:rsidP="0078758F">
      <w:pPr>
        <w:pStyle w:val="H23G"/>
      </w:pPr>
      <w:r>
        <w:tab/>
      </w:r>
      <w:bookmarkStart w:id="23" w:name="_Toc486428530"/>
      <w:r w:rsidR="00BA06AB" w:rsidRPr="00445C95">
        <w:t>8.</w:t>
      </w:r>
      <w:r w:rsidR="00BA06AB" w:rsidRPr="00445C95">
        <w:tab/>
        <w:t>Independence of judges and the judiciary</w:t>
      </w:r>
      <w:bookmarkEnd w:id="23"/>
      <w:r w:rsidR="00BA06AB" w:rsidRPr="00445C95">
        <w:t xml:space="preserve"> </w:t>
      </w:r>
    </w:p>
    <w:p w:rsidR="00BA06AB" w:rsidRPr="00445C95" w:rsidRDefault="00BA06AB" w:rsidP="00BA06AB">
      <w:pPr>
        <w:pStyle w:val="SingleTxtG"/>
      </w:pPr>
      <w:r w:rsidRPr="00445C95">
        <w:t>81.</w:t>
      </w:r>
      <w:r w:rsidRPr="00445C95">
        <w:tab/>
        <w:t>Article 172, paragraph 3, of the Constitution stipulates that in matters pertaining to the discharge of judicial duties, judges are independent and are subject to no restrictions other than those established by the Constitution and the law. In accordance with that provision, judges, when handing down decisions, are bound solely by the Constitution and the applicable laws. Regardless of their rank, judges are empowered to act with full independence when trying the cases brought before them.</w:t>
      </w:r>
    </w:p>
    <w:p w:rsidR="00BA06AB" w:rsidRPr="00445C95" w:rsidRDefault="00BA06AB" w:rsidP="00BA06AB">
      <w:pPr>
        <w:pStyle w:val="SingleTxtG"/>
      </w:pPr>
      <w:r w:rsidRPr="00445C95">
        <w:t>82.</w:t>
      </w:r>
      <w:r w:rsidRPr="00445C95">
        <w:tab/>
        <w:t xml:space="preserve">A series of provisions that cover budget and operational matters in the current Constitution ensure the independence of the judiciary vis-à-vis the other branches of government. For example, the final paragraph of article 172 states that: </w:t>
      </w:r>
      <w:r w:rsidR="00726016">
        <w:t>“</w:t>
      </w:r>
      <w:r w:rsidRPr="00445C95">
        <w:t>the judiciary shall be entitled to an annual allocation of not less than 6 per cent of current budget revenues.</w:t>
      </w:r>
      <w:r w:rsidR="00726016">
        <w:t>”</w:t>
      </w:r>
      <w:r w:rsidRPr="00445C95">
        <w:t xml:space="preserve"> Article 182, paragraph 13, of the Constitution states that it is the duty of the Supreme Court of Justice </w:t>
      </w:r>
      <w:r w:rsidR="00726016">
        <w:t>“</w:t>
      </w:r>
      <w:r w:rsidRPr="00445C95">
        <w:t>to prepare the budget for salaries and expenditures in the administration of justice and to transmit it to the executive branch for inclusion in the general budget of the State. The Legislative Assembly shall consult with the Supreme Court of Justice about any adjustments to the budget estimates that it deems necessary.</w:t>
      </w:r>
      <w:r w:rsidR="00726016">
        <w:t>”</w:t>
      </w:r>
    </w:p>
    <w:p w:rsidR="00BA06AB" w:rsidRPr="00445C95" w:rsidRDefault="00BA06AB" w:rsidP="00BA06AB">
      <w:pPr>
        <w:pStyle w:val="SingleTxtG"/>
      </w:pPr>
      <w:r w:rsidRPr="00445C95">
        <w:t>83.</w:t>
      </w:r>
      <w:r w:rsidRPr="00445C95">
        <w:tab/>
        <w:t>Operational independence is ensured mainly by the Judicial Profession Act and the National Council of the Judiciary Act, two laws that strengthen the justice system and enhance the independence of judicial officials. The first of these laws sets out the principle of security of tenure and promotion of judges, while the second elaborates upon this principle even further and provides for assessments of judges</w:t>
      </w:r>
      <w:r w:rsidR="00726016">
        <w:t>’</w:t>
      </w:r>
      <w:r w:rsidRPr="00445C95">
        <w:t xml:space="preserve"> level of competence.</w:t>
      </w:r>
    </w:p>
    <w:p w:rsidR="00BA06AB" w:rsidRPr="00445C95" w:rsidRDefault="00EE686A" w:rsidP="00EE686A">
      <w:pPr>
        <w:pStyle w:val="H23G"/>
      </w:pPr>
      <w:r>
        <w:tab/>
      </w:r>
      <w:r w:rsidR="00BA06AB" w:rsidRPr="00445C95">
        <w:t>9.</w:t>
      </w:r>
      <w:r w:rsidR="00BA06AB" w:rsidRPr="00445C95">
        <w:tab/>
        <w:t>Participation of the judiciary in law-making</w:t>
      </w:r>
    </w:p>
    <w:p w:rsidR="00BA06AB" w:rsidRPr="00445C95" w:rsidRDefault="00BA06AB" w:rsidP="00BA06AB">
      <w:pPr>
        <w:pStyle w:val="SingleTxtG"/>
      </w:pPr>
      <w:r w:rsidRPr="00445C95">
        <w:t>84.</w:t>
      </w:r>
      <w:r w:rsidRPr="00445C95">
        <w:tab/>
        <w:t>The Supreme Court of Justice may, in certain cases, play a role in the law-making process. Under article 133, paragraph 3, of the Constitution, the Supreme Court of Justice has the power to draft legislation on matters concerning the judiciary, the practice of the legal profession by notaries and lawyers, and the jurisdiction and competence of the courts.</w:t>
      </w:r>
    </w:p>
    <w:p w:rsidR="00BA06AB" w:rsidRPr="00445C95" w:rsidRDefault="00BA06AB" w:rsidP="00BA06AB">
      <w:pPr>
        <w:pStyle w:val="SingleTxtG"/>
      </w:pPr>
      <w:r w:rsidRPr="00445C95">
        <w:t>85.</w:t>
      </w:r>
      <w:r w:rsidRPr="00445C95">
        <w:tab/>
        <w:t>It may also intervene in the law-making process concerning any other matter when the President of the Republic vetoes a bill on the grounds of unconstitutionality and the legislature votes to confirm this by at least a two-thirds majority. In such cases, the President of the Republic must ask the Court within three days to decide whether the bill is constitutional.</w:t>
      </w:r>
    </w:p>
    <w:p w:rsidR="00BA06AB" w:rsidRPr="00445C95" w:rsidRDefault="00BA06AB" w:rsidP="00BA06AB">
      <w:pPr>
        <w:pStyle w:val="SingleTxtG"/>
      </w:pPr>
      <w:r w:rsidRPr="00445C95">
        <w:t>86.</w:t>
      </w:r>
      <w:r w:rsidRPr="00445C95">
        <w:tab/>
        <w:t xml:space="preserve">The following tables provide information on a number of indicators included in annex 3 of the harmonized guidelines. </w:t>
      </w:r>
    </w:p>
    <w:p w:rsidR="00BA06AB" w:rsidRPr="00445C95" w:rsidRDefault="00BA06AB" w:rsidP="003D37EB">
      <w:pPr>
        <w:pStyle w:val="Heading1"/>
        <w:keepNext/>
        <w:keepLines/>
      </w:pPr>
      <w:bookmarkStart w:id="24" w:name="_Toc486428531"/>
      <w:bookmarkStart w:id="25" w:name="_Toc490483650"/>
      <w:r w:rsidRPr="00445C95">
        <w:t>Table 3</w:t>
      </w:r>
      <w:bookmarkEnd w:id="24"/>
      <w:bookmarkEnd w:id="25"/>
    </w:p>
    <w:p w:rsidR="00BA06AB" w:rsidRPr="00CF39F3" w:rsidRDefault="00BA06AB" w:rsidP="003D37EB">
      <w:pPr>
        <w:pStyle w:val="SingleTxtG"/>
        <w:keepNext/>
        <w:keepLines/>
        <w:rPr>
          <w:b/>
        </w:rPr>
      </w:pPr>
      <w:r w:rsidRPr="00CF39F3">
        <w:rPr>
          <w:b/>
        </w:rPr>
        <w:t>Homicides per capita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874"/>
        <w:gridCol w:w="874"/>
        <w:gridCol w:w="874"/>
        <w:gridCol w:w="874"/>
        <w:gridCol w:w="874"/>
        <w:gridCol w:w="874"/>
      </w:tblGrid>
      <w:tr w:rsidR="00BA06AB" w:rsidRPr="00CF39F3" w:rsidTr="003D37EB">
        <w:trPr>
          <w:trHeight w:val="240"/>
          <w:tblHeader/>
        </w:trPr>
        <w:tc>
          <w:tcPr>
            <w:tcW w:w="3261" w:type="dxa"/>
            <w:tcBorders>
              <w:top w:val="single" w:sz="4" w:space="0" w:color="auto"/>
              <w:bottom w:val="single" w:sz="12" w:space="0" w:color="auto"/>
            </w:tcBorders>
            <w:shd w:val="clear" w:color="auto" w:fill="auto"/>
            <w:vAlign w:val="bottom"/>
          </w:tcPr>
          <w:p w:rsidR="00BA06AB" w:rsidRPr="00CF39F3" w:rsidRDefault="00BA06AB" w:rsidP="003D37EB">
            <w:pPr>
              <w:pStyle w:val="SingleTxtG"/>
              <w:keepNext/>
              <w:keepLines/>
              <w:suppressAutoHyphens w:val="0"/>
              <w:spacing w:before="80" w:after="80" w:line="200" w:lineRule="exact"/>
              <w:ind w:left="0" w:right="113"/>
              <w:jc w:val="left"/>
              <w:rPr>
                <w:i/>
                <w:sz w:val="16"/>
              </w:rPr>
            </w:pPr>
            <w:r w:rsidRPr="00CF39F3">
              <w:rPr>
                <w:i/>
                <w:sz w:val="16"/>
              </w:rPr>
              <w:t>Characteristics</w:t>
            </w:r>
          </w:p>
        </w:tc>
        <w:tc>
          <w:tcPr>
            <w:tcW w:w="874" w:type="dxa"/>
            <w:tcBorders>
              <w:top w:val="single" w:sz="4" w:space="0" w:color="auto"/>
              <w:bottom w:val="single" w:sz="12" w:space="0" w:color="auto"/>
            </w:tcBorders>
            <w:shd w:val="clear" w:color="auto" w:fill="auto"/>
            <w:vAlign w:val="bottom"/>
          </w:tcPr>
          <w:p w:rsidR="00BA06AB" w:rsidRPr="00CF39F3" w:rsidRDefault="00BA06AB" w:rsidP="003D37EB">
            <w:pPr>
              <w:pStyle w:val="SingleTxtG"/>
              <w:keepNext/>
              <w:keepLines/>
              <w:suppressAutoHyphens w:val="0"/>
              <w:spacing w:before="80" w:after="80" w:line="200" w:lineRule="exact"/>
              <w:ind w:left="0" w:right="113"/>
              <w:jc w:val="right"/>
              <w:rPr>
                <w:i/>
                <w:sz w:val="16"/>
              </w:rPr>
            </w:pPr>
            <w:r w:rsidRPr="00CF39F3">
              <w:rPr>
                <w:i/>
                <w:sz w:val="16"/>
              </w:rPr>
              <w:t>2010</w:t>
            </w:r>
          </w:p>
        </w:tc>
        <w:tc>
          <w:tcPr>
            <w:tcW w:w="874" w:type="dxa"/>
            <w:tcBorders>
              <w:top w:val="single" w:sz="4" w:space="0" w:color="auto"/>
              <w:bottom w:val="single" w:sz="12" w:space="0" w:color="auto"/>
            </w:tcBorders>
            <w:shd w:val="clear" w:color="auto" w:fill="auto"/>
            <w:vAlign w:val="bottom"/>
          </w:tcPr>
          <w:p w:rsidR="00BA06AB" w:rsidRPr="00CF39F3" w:rsidRDefault="00BA06AB" w:rsidP="003D37EB">
            <w:pPr>
              <w:pStyle w:val="SingleTxtG"/>
              <w:keepNext/>
              <w:keepLines/>
              <w:suppressAutoHyphens w:val="0"/>
              <w:spacing w:before="80" w:after="80" w:line="200" w:lineRule="exact"/>
              <w:ind w:left="0" w:right="113"/>
              <w:jc w:val="right"/>
              <w:rPr>
                <w:i/>
                <w:sz w:val="16"/>
              </w:rPr>
            </w:pPr>
            <w:r w:rsidRPr="00CF39F3">
              <w:rPr>
                <w:i/>
                <w:sz w:val="16"/>
              </w:rPr>
              <w:t>2011</w:t>
            </w:r>
          </w:p>
        </w:tc>
        <w:tc>
          <w:tcPr>
            <w:tcW w:w="874" w:type="dxa"/>
            <w:tcBorders>
              <w:top w:val="single" w:sz="4" w:space="0" w:color="auto"/>
              <w:bottom w:val="single" w:sz="12" w:space="0" w:color="auto"/>
            </w:tcBorders>
            <w:shd w:val="clear" w:color="auto" w:fill="auto"/>
            <w:vAlign w:val="bottom"/>
          </w:tcPr>
          <w:p w:rsidR="00BA06AB" w:rsidRPr="00CF39F3" w:rsidRDefault="00BA06AB" w:rsidP="003D37EB">
            <w:pPr>
              <w:pStyle w:val="SingleTxtG"/>
              <w:keepNext/>
              <w:keepLines/>
              <w:suppressAutoHyphens w:val="0"/>
              <w:spacing w:before="80" w:after="80" w:line="200" w:lineRule="exact"/>
              <w:ind w:left="0" w:right="113"/>
              <w:jc w:val="right"/>
              <w:rPr>
                <w:i/>
                <w:sz w:val="16"/>
              </w:rPr>
            </w:pPr>
            <w:r w:rsidRPr="00CF39F3">
              <w:rPr>
                <w:i/>
                <w:sz w:val="16"/>
              </w:rPr>
              <w:t>2012</w:t>
            </w:r>
          </w:p>
        </w:tc>
        <w:tc>
          <w:tcPr>
            <w:tcW w:w="874" w:type="dxa"/>
            <w:tcBorders>
              <w:top w:val="single" w:sz="4" w:space="0" w:color="auto"/>
              <w:bottom w:val="single" w:sz="12" w:space="0" w:color="auto"/>
            </w:tcBorders>
            <w:shd w:val="clear" w:color="auto" w:fill="auto"/>
            <w:vAlign w:val="bottom"/>
          </w:tcPr>
          <w:p w:rsidR="00BA06AB" w:rsidRPr="00CF39F3" w:rsidRDefault="00BA06AB" w:rsidP="003D37EB">
            <w:pPr>
              <w:pStyle w:val="SingleTxtG"/>
              <w:keepNext/>
              <w:keepLines/>
              <w:suppressAutoHyphens w:val="0"/>
              <w:spacing w:before="80" w:after="80" w:line="200" w:lineRule="exact"/>
              <w:ind w:left="0" w:right="113"/>
              <w:jc w:val="right"/>
              <w:rPr>
                <w:i/>
                <w:sz w:val="16"/>
              </w:rPr>
            </w:pPr>
            <w:r w:rsidRPr="00CF39F3">
              <w:rPr>
                <w:i/>
                <w:sz w:val="16"/>
              </w:rPr>
              <w:t>2013</w:t>
            </w:r>
          </w:p>
        </w:tc>
        <w:tc>
          <w:tcPr>
            <w:tcW w:w="874" w:type="dxa"/>
            <w:tcBorders>
              <w:top w:val="single" w:sz="4" w:space="0" w:color="auto"/>
              <w:bottom w:val="single" w:sz="12" w:space="0" w:color="auto"/>
            </w:tcBorders>
            <w:shd w:val="clear" w:color="auto" w:fill="auto"/>
            <w:vAlign w:val="bottom"/>
          </w:tcPr>
          <w:p w:rsidR="00BA06AB" w:rsidRPr="00CF39F3" w:rsidRDefault="00BA06AB" w:rsidP="003D37EB">
            <w:pPr>
              <w:pStyle w:val="SingleTxtG"/>
              <w:keepNext/>
              <w:keepLines/>
              <w:suppressAutoHyphens w:val="0"/>
              <w:spacing w:before="80" w:after="80" w:line="200" w:lineRule="exact"/>
              <w:ind w:left="0" w:right="113"/>
              <w:jc w:val="right"/>
              <w:rPr>
                <w:i/>
                <w:sz w:val="16"/>
              </w:rPr>
            </w:pPr>
            <w:r w:rsidRPr="00CF39F3">
              <w:rPr>
                <w:i/>
                <w:sz w:val="16"/>
              </w:rPr>
              <w:t>2014</w:t>
            </w:r>
          </w:p>
        </w:tc>
        <w:tc>
          <w:tcPr>
            <w:tcW w:w="874" w:type="dxa"/>
            <w:tcBorders>
              <w:top w:val="single" w:sz="4" w:space="0" w:color="auto"/>
              <w:bottom w:val="single" w:sz="12" w:space="0" w:color="auto"/>
            </w:tcBorders>
            <w:shd w:val="clear" w:color="auto" w:fill="auto"/>
            <w:vAlign w:val="bottom"/>
          </w:tcPr>
          <w:p w:rsidR="00BA06AB" w:rsidRPr="00CF39F3" w:rsidRDefault="00BA06AB" w:rsidP="003D37EB">
            <w:pPr>
              <w:pStyle w:val="SingleTxtG"/>
              <w:keepNext/>
              <w:keepLines/>
              <w:suppressAutoHyphens w:val="0"/>
              <w:spacing w:before="80" w:after="80" w:line="200" w:lineRule="exact"/>
              <w:ind w:left="0" w:right="113"/>
              <w:jc w:val="right"/>
              <w:rPr>
                <w:i/>
                <w:sz w:val="16"/>
              </w:rPr>
            </w:pPr>
            <w:r w:rsidRPr="00CF39F3">
              <w:rPr>
                <w:i/>
                <w:sz w:val="16"/>
              </w:rPr>
              <w:t>2015</w:t>
            </w:r>
          </w:p>
        </w:tc>
      </w:tr>
      <w:tr w:rsidR="00BA06AB" w:rsidRPr="00CF39F3" w:rsidTr="003D37EB">
        <w:trPr>
          <w:trHeight w:val="240"/>
        </w:trPr>
        <w:tc>
          <w:tcPr>
            <w:tcW w:w="3261" w:type="dxa"/>
            <w:tcBorders>
              <w:top w:val="single" w:sz="12" w:space="0" w:color="auto"/>
            </w:tcBorders>
            <w:shd w:val="clear" w:color="auto" w:fill="auto"/>
          </w:tcPr>
          <w:p w:rsidR="00BA06AB" w:rsidRPr="00CF39F3" w:rsidRDefault="00BA06AB" w:rsidP="003D37EB">
            <w:pPr>
              <w:pStyle w:val="SingleTxtG"/>
              <w:keepNext/>
              <w:keepLines/>
              <w:suppressAutoHyphens w:val="0"/>
              <w:spacing w:before="40" w:after="40" w:line="220" w:lineRule="exact"/>
              <w:ind w:left="0" w:right="113"/>
              <w:jc w:val="left"/>
              <w:rPr>
                <w:sz w:val="18"/>
              </w:rPr>
            </w:pPr>
            <w:r w:rsidRPr="00CF39F3">
              <w:rPr>
                <w:sz w:val="18"/>
              </w:rPr>
              <w:t>Inhabitants</w:t>
            </w:r>
          </w:p>
        </w:tc>
        <w:tc>
          <w:tcPr>
            <w:tcW w:w="874" w:type="dxa"/>
            <w:tcBorders>
              <w:top w:val="single" w:sz="12" w:space="0" w:color="auto"/>
            </w:tcBorders>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 xml:space="preserve">6 193 164 </w:t>
            </w:r>
          </w:p>
        </w:tc>
        <w:tc>
          <w:tcPr>
            <w:tcW w:w="874" w:type="dxa"/>
            <w:tcBorders>
              <w:top w:val="single" w:sz="12" w:space="0" w:color="auto"/>
            </w:tcBorders>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6 239 084</w:t>
            </w:r>
          </w:p>
        </w:tc>
        <w:tc>
          <w:tcPr>
            <w:tcW w:w="874" w:type="dxa"/>
            <w:tcBorders>
              <w:top w:val="single" w:sz="12" w:space="0" w:color="auto"/>
            </w:tcBorders>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6 289 709</w:t>
            </w:r>
          </w:p>
        </w:tc>
        <w:tc>
          <w:tcPr>
            <w:tcW w:w="874" w:type="dxa"/>
            <w:tcBorders>
              <w:top w:val="single" w:sz="12" w:space="0" w:color="auto"/>
            </w:tcBorders>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6 344 069</w:t>
            </w:r>
          </w:p>
        </w:tc>
        <w:tc>
          <w:tcPr>
            <w:tcW w:w="874" w:type="dxa"/>
            <w:tcBorders>
              <w:top w:val="single" w:sz="12" w:space="0" w:color="auto"/>
            </w:tcBorders>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6 401 240</w:t>
            </w:r>
          </w:p>
        </w:tc>
        <w:tc>
          <w:tcPr>
            <w:tcW w:w="874" w:type="dxa"/>
            <w:tcBorders>
              <w:top w:val="single" w:sz="12" w:space="0" w:color="auto"/>
            </w:tcBorders>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6 460 271</w:t>
            </w:r>
          </w:p>
        </w:tc>
      </w:tr>
      <w:tr w:rsidR="00BA06AB" w:rsidRPr="00CF39F3" w:rsidTr="003D37EB">
        <w:trPr>
          <w:trHeight w:val="240"/>
        </w:trPr>
        <w:tc>
          <w:tcPr>
            <w:tcW w:w="3261" w:type="dxa"/>
            <w:shd w:val="clear" w:color="auto" w:fill="auto"/>
          </w:tcPr>
          <w:p w:rsidR="00BA06AB" w:rsidRPr="00CF39F3" w:rsidRDefault="00BA06AB" w:rsidP="003D37EB">
            <w:pPr>
              <w:pStyle w:val="SingleTxtG"/>
              <w:keepNext/>
              <w:keepLines/>
              <w:suppressAutoHyphens w:val="0"/>
              <w:spacing w:before="40" w:after="40" w:line="220" w:lineRule="exact"/>
              <w:ind w:left="0" w:right="113"/>
              <w:jc w:val="left"/>
              <w:rPr>
                <w:sz w:val="18"/>
              </w:rPr>
            </w:pPr>
            <w:r w:rsidRPr="00CF39F3">
              <w:rPr>
                <w:sz w:val="18"/>
              </w:rPr>
              <w:t>Homicides</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 xml:space="preserve">4 004 </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4 371</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2 594</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2 513</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3 921</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6 656</w:t>
            </w:r>
          </w:p>
        </w:tc>
      </w:tr>
      <w:tr w:rsidR="00BA06AB" w:rsidRPr="00CF39F3" w:rsidTr="003D37EB">
        <w:trPr>
          <w:trHeight w:val="240"/>
        </w:trPr>
        <w:tc>
          <w:tcPr>
            <w:tcW w:w="3261" w:type="dxa"/>
            <w:shd w:val="clear" w:color="auto" w:fill="auto"/>
          </w:tcPr>
          <w:p w:rsidR="00BA06AB" w:rsidRPr="00CF39F3" w:rsidRDefault="00BA06AB" w:rsidP="003D37EB">
            <w:pPr>
              <w:pStyle w:val="SingleTxtG"/>
              <w:keepNext/>
              <w:keepLines/>
              <w:suppressAutoHyphens w:val="0"/>
              <w:spacing w:before="40" w:after="40" w:line="220" w:lineRule="exact"/>
              <w:ind w:left="0" w:right="113"/>
              <w:jc w:val="left"/>
              <w:rPr>
                <w:sz w:val="18"/>
              </w:rPr>
            </w:pPr>
            <w:r w:rsidRPr="00CF39F3">
              <w:rPr>
                <w:sz w:val="18"/>
              </w:rPr>
              <w:t>Homicide rate (per 100 000 population)</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64.6</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70.1</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41.2</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39.6</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61.2</w:t>
            </w:r>
          </w:p>
        </w:tc>
        <w:tc>
          <w:tcPr>
            <w:tcW w:w="874" w:type="dxa"/>
            <w:shd w:val="clear" w:color="auto" w:fill="auto"/>
            <w:vAlign w:val="bottom"/>
          </w:tcPr>
          <w:p w:rsidR="00BA06AB" w:rsidRPr="00CF39F3" w:rsidRDefault="00BA06AB" w:rsidP="003D37EB">
            <w:pPr>
              <w:pStyle w:val="SingleTxtG"/>
              <w:keepNext/>
              <w:keepLines/>
              <w:suppressAutoHyphens w:val="0"/>
              <w:spacing w:before="40" w:after="40" w:line="220" w:lineRule="exact"/>
              <w:ind w:left="0" w:right="113"/>
              <w:jc w:val="right"/>
              <w:rPr>
                <w:sz w:val="18"/>
              </w:rPr>
            </w:pPr>
            <w:r w:rsidRPr="00CF39F3">
              <w:rPr>
                <w:sz w:val="18"/>
              </w:rPr>
              <w:t>103.03</w:t>
            </w:r>
          </w:p>
        </w:tc>
      </w:tr>
    </w:tbl>
    <w:p w:rsidR="00BA06AB" w:rsidRPr="00CF39F3" w:rsidRDefault="00BA06AB" w:rsidP="008B74F6">
      <w:pPr>
        <w:pStyle w:val="SingleTxtG"/>
        <w:spacing w:before="120" w:after="240"/>
        <w:ind w:firstLine="170"/>
        <w:jc w:val="left"/>
        <w:rPr>
          <w:sz w:val="18"/>
        </w:rPr>
      </w:pPr>
      <w:r w:rsidRPr="00CF39F3">
        <w:rPr>
          <w:i/>
          <w:sz w:val="18"/>
        </w:rPr>
        <w:t>Source</w:t>
      </w:r>
      <w:r w:rsidRPr="00CF39F3">
        <w:rPr>
          <w:sz w:val="18"/>
        </w:rPr>
        <w:t xml:space="preserve">: </w:t>
      </w:r>
      <w:r w:rsidR="003D37EB">
        <w:rPr>
          <w:sz w:val="18"/>
        </w:rPr>
        <w:t xml:space="preserve"> </w:t>
      </w:r>
      <w:r w:rsidRPr="00CF39F3">
        <w:rPr>
          <w:sz w:val="18"/>
        </w:rPr>
        <w:t>Original compilation based on Department of Forensic Medicine Statistics and the population projections for 2005</w:t>
      </w:r>
      <w:r w:rsidR="00866581" w:rsidRPr="00CF39F3">
        <w:rPr>
          <w:sz w:val="18"/>
        </w:rPr>
        <w:t>-</w:t>
      </w:r>
      <w:r w:rsidRPr="00CF39F3">
        <w:rPr>
          <w:sz w:val="18"/>
        </w:rPr>
        <w:t>2050, Rev. 2014, of the Directorate General of Statistics and Censuses.</w:t>
      </w:r>
    </w:p>
    <w:p w:rsidR="00BA06AB" w:rsidRPr="00445C95" w:rsidRDefault="00BA06AB" w:rsidP="008B74F6">
      <w:pPr>
        <w:pStyle w:val="Heading1"/>
      </w:pPr>
      <w:bookmarkStart w:id="26" w:name="_Toc486428532"/>
      <w:bookmarkStart w:id="27" w:name="_Toc490483651"/>
      <w:r w:rsidRPr="00445C95">
        <w:t>Table 4</w:t>
      </w:r>
      <w:bookmarkEnd w:id="26"/>
      <w:bookmarkEnd w:id="27"/>
    </w:p>
    <w:p w:rsidR="00BA06AB" w:rsidRPr="008B74F6" w:rsidRDefault="00BA06AB" w:rsidP="00BA06AB">
      <w:pPr>
        <w:pStyle w:val="SingleTxtG"/>
        <w:rPr>
          <w:b/>
        </w:rPr>
      </w:pPr>
      <w:r w:rsidRPr="008B74F6">
        <w:rPr>
          <w:b/>
        </w:rPr>
        <w:t>Homicides of children and adolescents, 2010</w:t>
      </w:r>
      <w:r w:rsidR="00866581" w:rsidRPr="008B74F6">
        <w:rPr>
          <w:b/>
        </w:rPr>
        <w:t>-</w:t>
      </w:r>
      <w:r w:rsidRPr="008B74F6">
        <w:rPr>
          <w:b/>
        </w:rPr>
        <w:t>2015, by age group</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41"/>
        <w:gridCol w:w="841"/>
        <w:gridCol w:w="952"/>
        <w:gridCol w:w="1053"/>
        <w:gridCol w:w="1024"/>
        <w:gridCol w:w="1124"/>
        <w:gridCol w:w="835"/>
      </w:tblGrid>
      <w:tr w:rsidR="00BA06AB" w:rsidRPr="00FE7B4B" w:rsidTr="00FE7B4B">
        <w:trPr>
          <w:trHeight w:val="240"/>
          <w:tblHeader/>
        </w:trPr>
        <w:tc>
          <w:tcPr>
            <w:tcW w:w="1684" w:type="dxa"/>
            <w:tcBorders>
              <w:top w:val="single" w:sz="4" w:space="0" w:color="auto"/>
              <w:bottom w:val="single" w:sz="12" w:space="0" w:color="auto"/>
            </w:tcBorders>
            <w:shd w:val="clear" w:color="auto" w:fill="auto"/>
            <w:vAlign w:val="bottom"/>
            <w:hideMark/>
          </w:tcPr>
          <w:p w:rsidR="00BA06AB" w:rsidRPr="00FE7B4B" w:rsidRDefault="00BA06AB" w:rsidP="00FE7B4B">
            <w:pPr>
              <w:pStyle w:val="SingleTxtG"/>
              <w:suppressAutoHyphens w:val="0"/>
              <w:spacing w:before="80" w:after="80" w:line="200" w:lineRule="exact"/>
              <w:ind w:left="0" w:right="113"/>
              <w:jc w:val="left"/>
              <w:rPr>
                <w:i/>
                <w:sz w:val="16"/>
              </w:rPr>
            </w:pPr>
            <w:r w:rsidRPr="00FE7B4B">
              <w:rPr>
                <w:i/>
                <w:sz w:val="16"/>
              </w:rPr>
              <w:t>Age group</w:t>
            </w:r>
          </w:p>
        </w:tc>
        <w:tc>
          <w:tcPr>
            <w:tcW w:w="918"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00" w:lineRule="exact"/>
              <w:ind w:left="0" w:right="113"/>
              <w:jc w:val="right"/>
              <w:rPr>
                <w:i/>
                <w:sz w:val="16"/>
              </w:rPr>
            </w:pPr>
            <w:r w:rsidRPr="00FE7B4B">
              <w:rPr>
                <w:i/>
                <w:sz w:val="16"/>
              </w:rPr>
              <w:t>2010</w:t>
            </w:r>
          </w:p>
        </w:tc>
        <w:tc>
          <w:tcPr>
            <w:tcW w:w="1040"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00" w:lineRule="exact"/>
              <w:ind w:left="0" w:right="113"/>
              <w:jc w:val="right"/>
              <w:rPr>
                <w:i/>
                <w:sz w:val="16"/>
              </w:rPr>
            </w:pPr>
            <w:r w:rsidRPr="00FE7B4B">
              <w:rPr>
                <w:i/>
                <w:sz w:val="16"/>
              </w:rPr>
              <w:t>2011</w:t>
            </w:r>
          </w:p>
        </w:tc>
        <w:tc>
          <w:tcPr>
            <w:tcW w:w="1150"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00" w:lineRule="exact"/>
              <w:ind w:left="0" w:right="113"/>
              <w:jc w:val="right"/>
              <w:rPr>
                <w:i/>
                <w:sz w:val="16"/>
              </w:rPr>
            </w:pPr>
            <w:r w:rsidRPr="00FE7B4B">
              <w:rPr>
                <w:i/>
                <w:sz w:val="16"/>
              </w:rPr>
              <w:t>2012</w:t>
            </w:r>
          </w:p>
        </w:tc>
        <w:tc>
          <w:tcPr>
            <w:tcW w:w="1118"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00" w:lineRule="exact"/>
              <w:ind w:left="0" w:right="113"/>
              <w:jc w:val="right"/>
              <w:rPr>
                <w:i/>
                <w:sz w:val="16"/>
              </w:rPr>
            </w:pPr>
            <w:r w:rsidRPr="00FE7B4B">
              <w:rPr>
                <w:i/>
                <w:sz w:val="16"/>
              </w:rPr>
              <w:t>2013</w:t>
            </w:r>
          </w:p>
        </w:tc>
        <w:tc>
          <w:tcPr>
            <w:tcW w:w="1228"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00" w:lineRule="exact"/>
              <w:ind w:left="0" w:right="113"/>
              <w:jc w:val="right"/>
              <w:rPr>
                <w:i/>
                <w:sz w:val="16"/>
              </w:rPr>
            </w:pPr>
            <w:r w:rsidRPr="00FE7B4B">
              <w:rPr>
                <w:i/>
                <w:sz w:val="16"/>
              </w:rPr>
              <w:t>2014</w:t>
            </w:r>
          </w:p>
        </w:tc>
        <w:tc>
          <w:tcPr>
            <w:tcW w:w="912"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00" w:lineRule="exact"/>
              <w:ind w:left="0" w:right="113"/>
              <w:jc w:val="right"/>
              <w:rPr>
                <w:i/>
                <w:sz w:val="16"/>
              </w:rPr>
            </w:pPr>
            <w:r w:rsidRPr="00FE7B4B">
              <w:rPr>
                <w:i/>
                <w:sz w:val="16"/>
              </w:rPr>
              <w:t>2015</w:t>
            </w:r>
          </w:p>
        </w:tc>
      </w:tr>
      <w:tr w:rsidR="00BA06AB" w:rsidRPr="00FE7B4B" w:rsidTr="00FE7B4B">
        <w:trPr>
          <w:trHeight w:val="240"/>
        </w:trPr>
        <w:tc>
          <w:tcPr>
            <w:tcW w:w="1684" w:type="dxa"/>
            <w:tcBorders>
              <w:top w:val="single" w:sz="12" w:space="0" w:color="auto"/>
            </w:tcBorders>
            <w:shd w:val="clear" w:color="auto" w:fill="auto"/>
            <w:hideMark/>
          </w:tcPr>
          <w:p w:rsidR="00BA06AB" w:rsidRPr="00FE7B4B" w:rsidRDefault="00BA06AB" w:rsidP="00FE7B4B">
            <w:pPr>
              <w:pStyle w:val="SingleTxtG"/>
              <w:suppressAutoHyphens w:val="0"/>
              <w:spacing w:before="40" w:after="40" w:line="220" w:lineRule="exact"/>
              <w:ind w:left="0" w:right="113"/>
              <w:jc w:val="left"/>
              <w:rPr>
                <w:sz w:val="18"/>
              </w:rPr>
            </w:pPr>
            <w:r w:rsidRPr="00FE7B4B">
              <w:rPr>
                <w:sz w:val="18"/>
              </w:rPr>
              <w:t>Less than 1 year</w:t>
            </w:r>
          </w:p>
        </w:tc>
        <w:tc>
          <w:tcPr>
            <w:tcW w:w="918" w:type="dxa"/>
            <w:tcBorders>
              <w:top w:val="single" w:sz="12"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4</w:t>
            </w:r>
          </w:p>
        </w:tc>
        <w:tc>
          <w:tcPr>
            <w:tcW w:w="1040" w:type="dxa"/>
            <w:tcBorders>
              <w:top w:val="single" w:sz="12"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8</w:t>
            </w:r>
          </w:p>
        </w:tc>
        <w:tc>
          <w:tcPr>
            <w:tcW w:w="1150" w:type="dxa"/>
            <w:tcBorders>
              <w:top w:val="single" w:sz="12"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3</w:t>
            </w:r>
          </w:p>
        </w:tc>
        <w:tc>
          <w:tcPr>
            <w:tcW w:w="1118" w:type="dxa"/>
            <w:tcBorders>
              <w:top w:val="single" w:sz="12"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5</w:t>
            </w:r>
          </w:p>
        </w:tc>
        <w:tc>
          <w:tcPr>
            <w:tcW w:w="1228" w:type="dxa"/>
            <w:tcBorders>
              <w:top w:val="single" w:sz="12"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4</w:t>
            </w:r>
          </w:p>
        </w:tc>
        <w:tc>
          <w:tcPr>
            <w:tcW w:w="912" w:type="dxa"/>
            <w:tcBorders>
              <w:top w:val="single" w:sz="12"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8</w:t>
            </w:r>
          </w:p>
        </w:tc>
      </w:tr>
      <w:tr w:rsidR="00BA06AB" w:rsidRPr="00FE7B4B" w:rsidTr="00FE7B4B">
        <w:trPr>
          <w:trHeight w:val="240"/>
        </w:trPr>
        <w:tc>
          <w:tcPr>
            <w:tcW w:w="1684" w:type="dxa"/>
            <w:shd w:val="clear" w:color="auto" w:fill="auto"/>
            <w:hideMark/>
          </w:tcPr>
          <w:p w:rsidR="00BA06AB" w:rsidRPr="00FE7B4B" w:rsidRDefault="00BA06AB" w:rsidP="00FE7B4B">
            <w:pPr>
              <w:pStyle w:val="SingleTxtG"/>
              <w:suppressAutoHyphens w:val="0"/>
              <w:spacing w:before="40" w:after="40" w:line="220" w:lineRule="exact"/>
              <w:ind w:left="0" w:right="113"/>
              <w:jc w:val="left"/>
              <w:rPr>
                <w:sz w:val="18"/>
              </w:rPr>
            </w:pPr>
            <w:r w:rsidRPr="00FE7B4B">
              <w:rPr>
                <w:sz w:val="18"/>
              </w:rPr>
              <w:t>1 to 4</w:t>
            </w:r>
          </w:p>
        </w:tc>
        <w:tc>
          <w:tcPr>
            <w:tcW w:w="91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3</w:t>
            </w:r>
          </w:p>
        </w:tc>
        <w:tc>
          <w:tcPr>
            <w:tcW w:w="1040"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6</w:t>
            </w:r>
          </w:p>
        </w:tc>
        <w:tc>
          <w:tcPr>
            <w:tcW w:w="1150"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6</w:t>
            </w:r>
          </w:p>
        </w:tc>
        <w:tc>
          <w:tcPr>
            <w:tcW w:w="111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3</w:t>
            </w:r>
          </w:p>
        </w:tc>
        <w:tc>
          <w:tcPr>
            <w:tcW w:w="122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4</w:t>
            </w:r>
          </w:p>
        </w:tc>
        <w:tc>
          <w:tcPr>
            <w:tcW w:w="912"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3</w:t>
            </w:r>
          </w:p>
        </w:tc>
      </w:tr>
      <w:tr w:rsidR="00BA06AB" w:rsidRPr="00FE7B4B" w:rsidTr="00FE7B4B">
        <w:trPr>
          <w:trHeight w:val="240"/>
        </w:trPr>
        <w:tc>
          <w:tcPr>
            <w:tcW w:w="1684" w:type="dxa"/>
            <w:shd w:val="clear" w:color="auto" w:fill="auto"/>
            <w:hideMark/>
          </w:tcPr>
          <w:p w:rsidR="00BA06AB" w:rsidRPr="00FE7B4B" w:rsidRDefault="00BA06AB" w:rsidP="00FE7B4B">
            <w:pPr>
              <w:pStyle w:val="SingleTxtG"/>
              <w:suppressAutoHyphens w:val="0"/>
              <w:spacing w:before="40" w:after="40" w:line="220" w:lineRule="exact"/>
              <w:ind w:left="0" w:right="113"/>
              <w:jc w:val="left"/>
              <w:rPr>
                <w:sz w:val="18"/>
              </w:rPr>
            </w:pPr>
            <w:r w:rsidRPr="00FE7B4B">
              <w:rPr>
                <w:sz w:val="18"/>
              </w:rPr>
              <w:t>5 to 9</w:t>
            </w:r>
          </w:p>
        </w:tc>
        <w:tc>
          <w:tcPr>
            <w:tcW w:w="91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4</w:t>
            </w:r>
          </w:p>
        </w:tc>
        <w:tc>
          <w:tcPr>
            <w:tcW w:w="1040"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7</w:t>
            </w:r>
          </w:p>
        </w:tc>
        <w:tc>
          <w:tcPr>
            <w:tcW w:w="1150"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4</w:t>
            </w:r>
          </w:p>
        </w:tc>
        <w:tc>
          <w:tcPr>
            <w:tcW w:w="111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3</w:t>
            </w:r>
          </w:p>
        </w:tc>
        <w:tc>
          <w:tcPr>
            <w:tcW w:w="122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6</w:t>
            </w:r>
          </w:p>
        </w:tc>
        <w:tc>
          <w:tcPr>
            <w:tcW w:w="912"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8</w:t>
            </w:r>
          </w:p>
        </w:tc>
      </w:tr>
      <w:tr w:rsidR="00BA06AB" w:rsidRPr="00FE7B4B" w:rsidTr="00FE7B4B">
        <w:trPr>
          <w:trHeight w:val="240"/>
        </w:trPr>
        <w:tc>
          <w:tcPr>
            <w:tcW w:w="1684" w:type="dxa"/>
            <w:shd w:val="clear" w:color="auto" w:fill="auto"/>
            <w:hideMark/>
          </w:tcPr>
          <w:p w:rsidR="00BA06AB" w:rsidRPr="00FE7B4B" w:rsidRDefault="00BA06AB" w:rsidP="00FE7B4B">
            <w:pPr>
              <w:pStyle w:val="SingleTxtG"/>
              <w:suppressAutoHyphens w:val="0"/>
              <w:spacing w:before="40" w:after="40" w:line="220" w:lineRule="exact"/>
              <w:ind w:left="0" w:right="113"/>
              <w:jc w:val="left"/>
              <w:rPr>
                <w:sz w:val="18"/>
              </w:rPr>
            </w:pPr>
            <w:r w:rsidRPr="00FE7B4B">
              <w:rPr>
                <w:sz w:val="18"/>
              </w:rPr>
              <w:t>10 to 14</w:t>
            </w:r>
          </w:p>
        </w:tc>
        <w:tc>
          <w:tcPr>
            <w:tcW w:w="91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79</w:t>
            </w:r>
          </w:p>
        </w:tc>
        <w:tc>
          <w:tcPr>
            <w:tcW w:w="1040"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85</w:t>
            </w:r>
          </w:p>
        </w:tc>
        <w:tc>
          <w:tcPr>
            <w:tcW w:w="1150"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39</w:t>
            </w:r>
          </w:p>
        </w:tc>
        <w:tc>
          <w:tcPr>
            <w:tcW w:w="111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23</w:t>
            </w:r>
          </w:p>
        </w:tc>
        <w:tc>
          <w:tcPr>
            <w:tcW w:w="122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55</w:t>
            </w:r>
          </w:p>
        </w:tc>
        <w:tc>
          <w:tcPr>
            <w:tcW w:w="912"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80</w:t>
            </w:r>
          </w:p>
        </w:tc>
      </w:tr>
      <w:tr w:rsidR="00BA06AB" w:rsidRPr="00FE7B4B" w:rsidTr="00FE7B4B">
        <w:trPr>
          <w:trHeight w:val="240"/>
        </w:trPr>
        <w:tc>
          <w:tcPr>
            <w:tcW w:w="1684" w:type="dxa"/>
            <w:shd w:val="clear" w:color="auto" w:fill="auto"/>
            <w:hideMark/>
          </w:tcPr>
          <w:p w:rsidR="00BA06AB" w:rsidRPr="00FE7B4B" w:rsidRDefault="00BA06AB" w:rsidP="00FE7B4B">
            <w:pPr>
              <w:pStyle w:val="SingleTxtG"/>
              <w:suppressAutoHyphens w:val="0"/>
              <w:spacing w:before="40" w:after="40" w:line="220" w:lineRule="exact"/>
              <w:ind w:left="0" w:right="113"/>
              <w:jc w:val="left"/>
              <w:rPr>
                <w:sz w:val="18"/>
              </w:rPr>
            </w:pPr>
            <w:r w:rsidRPr="00FE7B4B">
              <w:rPr>
                <w:sz w:val="18"/>
              </w:rPr>
              <w:t>15 to less than 18</w:t>
            </w:r>
          </w:p>
        </w:tc>
        <w:tc>
          <w:tcPr>
            <w:tcW w:w="91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 </w:t>
            </w:r>
          </w:p>
        </w:tc>
        <w:tc>
          <w:tcPr>
            <w:tcW w:w="1040"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 </w:t>
            </w:r>
          </w:p>
        </w:tc>
        <w:tc>
          <w:tcPr>
            <w:tcW w:w="1150"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229</w:t>
            </w:r>
          </w:p>
        </w:tc>
        <w:tc>
          <w:tcPr>
            <w:tcW w:w="111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257</w:t>
            </w:r>
          </w:p>
        </w:tc>
        <w:tc>
          <w:tcPr>
            <w:tcW w:w="1228"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362</w:t>
            </w:r>
          </w:p>
        </w:tc>
        <w:tc>
          <w:tcPr>
            <w:tcW w:w="912" w:type="dxa"/>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632</w:t>
            </w:r>
          </w:p>
        </w:tc>
      </w:tr>
      <w:tr w:rsidR="00BA06AB" w:rsidRPr="00FE7B4B" w:rsidTr="00FE7B4B">
        <w:trPr>
          <w:trHeight w:val="240"/>
        </w:trPr>
        <w:tc>
          <w:tcPr>
            <w:tcW w:w="1684" w:type="dxa"/>
            <w:tcBorders>
              <w:bottom w:val="single" w:sz="4" w:space="0" w:color="auto"/>
            </w:tcBorders>
            <w:shd w:val="clear" w:color="auto" w:fill="auto"/>
            <w:hideMark/>
          </w:tcPr>
          <w:p w:rsidR="00BA06AB" w:rsidRPr="00FE7B4B" w:rsidRDefault="00BA06AB" w:rsidP="00FE7B4B">
            <w:pPr>
              <w:pStyle w:val="SingleTxtG"/>
              <w:suppressAutoHyphens w:val="0"/>
              <w:spacing w:before="40" w:after="40" w:line="220" w:lineRule="exact"/>
              <w:ind w:left="0" w:right="113"/>
              <w:jc w:val="left"/>
              <w:rPr>
                <w:sz w:val="18"/>
              </w:rPr>
            </w:pPr>
            <w:r w:rsidRPr="00FE7B4B">
              <w:rPr>
                <w:sz w:val="18"/>
              </w:rPr>
              <w:t>15 to 19</w:t>
            </w:r>
          </w:p>
        </w:tc>
        <w:tc>
          <w:tcPr>
            <w:tcW w:w="918" w:type="dxa"/>
            <w:tcBorders>
              <w:bottom w:val="single" w:sz="4"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394</w:t>
            </w:r>
          </w:p>
        </w:tc>
        <w:tc>
          <w:tcPr>
            <w:tcW w:w="1040" w:type="dxa"/>
            <w:tcBorders>
              <w:bottom w:val="single" w:sz="4"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480</w:t>
            </w:r>
          </w:p>
        </w:tc>
        <w:tc>
          <w:tcPr>
            <w:tcW w:w="1150" w:type="dxa"/>
            <w:tcBorders>
              <w:bottom w:val="single" w:sz="4"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 </w:t>
            </w:r>
          </w:p>
        </w:tc>
        <w:tc>
          <w:tcPr>
            <w:tcW w:w="1118" w:type="dxa"/>
            <w:tcBorders>
              <w:bottom w:val="single" w:sz="4"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 </w:t>
            </w:r>
          </w:p>
        </w:tc>
        <w:tc>
          <w:tcPr>
            <w:tcW w:w="1228" w:type="dxa"/>
            <w:tcBorders>
              <w:bottom w:val="single" w:sz="4"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 </w:t>
            </w:r>
          </w:p>
        </w:tc>
        <w:tc>
          <w:tcPr>
            <w:tcW w:w="912" w:type="dxa"/>
            <w:tcBorders>
              <w:bottom w:val="single" w:sz="4" w:space="0" w:color="auto"/>
            </w:tcBorders>
            <w:shd w:val="clear" w:color="auto" w:fill="auto"/>
            <w:noWrap/>
            <w:vAlign w:val="bottom"/>
            <w:hideMark/>
          </w:tcPr>
          <w:p w:rsidR="00BA06AB" w:rsidRPr="00FE7B4B" w:rsidRDefault="00BA06AB" w:rsidP="00FE7B4B">
            <w:pPr>
              <w:pStyle w:val="SingleTxtG"/>
              <w:suppressAutoHyphens w:val="0"/>
              <w:spacing w:before="40" w:after="40" w:line="220" w:lineRule="exact"/>
              <w:ind w:left="0" w:right="113"/>
              <w:jc w:val="right"/>
              <w:rPr>
                <w:sz w:val="18"/>
              </w:rPr>
            </w:pPr>
            <w:r w:rsidRPr="00FE7B4B">
              <w:rPr>
                <w:sz w:val="18"/>
              </w:rPr>
              <w:t> </w:t>
            </w:r>
          </w:p>
        </w:tc>
      </w:tr>
      <w:tr w:rsidR="00BA06AB" w:rsidRPr="00FE7B4B" w:rsidTr="00FE7B4B">
        <w:trPr>
          <w:trHeight w:val="240"/>
        </w:trPr>
        <w:tc>
          <w:tcPr>
            <w:tcW w:w="1684" w:type="dxa"/>
            <w:tcBorders>
              <w:top w:val="single" w:sz="4" w:space="0" w:color="auto"/>
              <w:bottom w:val="single" w:sz="12" w:space="0" w:color="auto"/>
            </w:tcBorders>
            <w:shd w:val="clear" w:color="auto" w:fill="auto"/>
            <w:noWrap/>
            <w:hideMark/>
          </w:tcPr>
          <w:p w:rsidR="00BA06AB" w:rsidRPr="00FE7B4B" w:rsidRDefault="00BA06AB" w:rsidP="00FE7B4B">
            <w:pPr>
              <w:pStyle w:val="SingleTxtG"/>
              <w:suppressAutoHyphens w:val="0"/>
              <w:spacing w:before="80" w:after="80" w:line="220" w:lineRule="exact"/>
              <w:ind w:left="283" w:right="0"/>
              <w:jc w:val="left"/>
              <w:rPr>
                <w:b/>
                <w:sz w:val="18"/>
              </w:rPr>
            </w:pPr>
            <w:r w:rsidRPr="00FE7B4B">
              <w:rPr>
                <w:b/>
                <w:sz w:val="18"/>
              </w:rPr>
              <w:t>Total</w:t>
            </w:r>
          </w:p>
        </w:tc>
        <w:tc>
          <w:tcPr>
            <w:tcW w:w="918"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20" w:lineRule="exact"/>
              <w:ind w:left="0" w:right="113"/>
              <w:jc w:val="right"/>
              <w:rPr>
                <w:b/>
                <w:sz w:val="18"/>
              </w:rPr>
            </w:pPr>
            <w:r w:rsidRPr="00FE7B4B">
              <w:rPr>
                <w:b/>
                <w:sz w:val="18"/>
              </w:rPr>
              <w:t>484</w:t>
            </w:r>
          </w:p>
        </w:tc>
        <w:tc>
          <w:tcPr>
            <w:tcW w:w="1040"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20" w:lineRule="exact"/>
              <w:ind w:left="0" w:right="113"/>
              <w:jc w:val="right"/>
              <w:rPr>
                <w:b/>
                <w:sz w:val="18"/>
              </w:rPr>
            </w:pPr>
            <w:r w:rsidRPr="00FE7B4B">
              <w:rPr>
                <w:b/>
                <w:sz w:val="18"/>
              </w:rPr>
              <w:t>586</w:t>
            </w:r>
          </w:p>
        </w:tc>
        <w:tc>
          <w:tcPr>
            <w:tcW w:w="1150"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20" w:lineRule="exact"/>
              <w:ind w:left="0" w:right="113"/>
              <w:jc w:val="right"/>
              <w:rPr>
                <w:b/>
                <w:sz w:val="18"/>
              </w:rPr>
            </w:pPr>
            <w:r w:rsidRPr="00FE7B4B">
              <w:rPr>
                <w:b/>
                <w:sz w:val="18"/>
              </w:rPr>
              <w:t>281</w:t>
            </w:r>
          </w:p>
        </w:tc>
        <w:tc>
          <w:tcPr>
            <w:tcW w:w="1118"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20" w:lineRule="exact"/>
              <w:ind w:left="0" w:right="113"/>
              <w:jc w:val="right"/>
              <w:rPr>
                <w:b/>
                <w:sz w:val="18"/>
              </w:rPr>
            </w:pPr>
            <w:r w:rsidRPr="00FE7B4B">
              <w:rPr>
                <w:b/>
                <w:sz w:val="18"/>
              </w:rPr>
              <w:t>292</w:t>
            </w:r>
          </w:p>
        </w:tc>
        <w:tc>
          <w:tcPr>
            <w:tcW w:w="1228"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20" w:lineRule="exact"/>
              <w:ind w:left="0" w:right="113"/>
              <w:jc w:val="right"/>
              <w:rPr>
                <w:b/>
                <w:sz w:val="18"/>
              </w:rPr>
            </w:pPr>
            <w:r w:rsidRPr="00FE7B4B">
              <w:rPr>
                <w:b/>
                <w:sz w:val="18"/>
              </w:rPr>
              <w:t>431</w:t>
            </w:r>
          </w:p>
        </w:tc>
        <w:tc>
          <w:tcPr>
            <w:tcW w:w="912" w:type="dxa"/>
            <w:tcBorders>
              <w:top w:val="single" w:sz="4" w:space="0" w:color="auto"/>
              <w:bottom w:val="single" w:sz="12" w:space="0" w:color="auto"/>
            </w:tcBorders>
            <w:shd w:val="clear" w:color="auto" w:fill="auto"/>
            <w:noWrap/>
            <w:vAlign w:val="bottom"/>
            <w:hideMark/>
          </w:tcPr>
          <w:p w:rsidR="00BA06AB" w:rsidRPr="00FE7B4B" w:rsidRDefault="00BA06AB" w:rsidP="00FE7B4B">
            <w:pPr>
              <w:pStyle w:val="SingleTxtG"/>
              <w:suppressAutoHyphens w:val="0"/>
              <w:spacing w:before="80" w:after="80" w:line="220" w:lineRule="exact"/>
              <w:ind w:left="0" w:right="113"/>
              <w:jc w:val="right"/>
              <w:rPr>
                <w:b/>
                <w:sz w:val="18"/>
              </w:rPr>
            </w:pPr>
            <w:r w:rsidRPr="00FE7B4B">
              <w:rPr>
                <w:b/>
                <w:sz w:val="18"/>
              </w:rPr>
              <w:t>731</w:t>
            </w:r>
          </w:p>
        </w:tc>
      </w:tr>
    </w:tbl>
    <w:p w:rsidR="00BA06AB" w:rsidRPr="003A7439" w:rsidRDefault="00BA06AB" w:rsidP="003A7439">
      <w:pPr>
        <w:pStyle w:val="SingleTxtG"/>
        <w:spacing w:before="120" w:after="0"/>
        <w:ind w:firstLine="170"/>
        <w:jc w:val="left"/>
        <w:rPr>
          <w:sz w:val="18"/>
        </w:rPr>
      </w:pPr>
      <w:r w:rsidRPr="00F376DE">
        <w:rPr>
          <w:i/>
          <w:sz w:val="18"/>
        </w:rPr>
        <w:t>Source</w:t>
      </w:r>
      <w:r w:rsidRPr="003A7439">
        <w:rPr>
          <w:sz w:val="18"/>
        </w:rPr>
        <w:t xml:space="preserve">: Original compilation based on Department of Forensic Medicine Statistics, for all years. </w:t>
      </w:r>
    </w:p>
    <w:p w:rsidR="00BA06AB" w:rsidRPr="00F376DE" w:rsidRDefault="00BA06AB" w:rsidP="00F376DE">
      <w:pPr>
        <w:pStyle w:val="SingleTxtG"/>
        <w:spacing w:before="120" w:after="0"/>
        <w:ind w:firstLine="170"/>
        <w:jc w:val="left"/>
        <w:rPr>
          <w:sz w:val="18"/>
        </w:rPr>
      </w:pPr>
      <w:r w:rsidRPr="00F376DE">
        <w:rPr>
          <w:i/>
          <w:sz w:val="18"/>
        </w:rPr>
        <w:t>Note</w:t>
      </w:r>
      <w:r w:rsidRPr="00F376DE">
        <w:rPr>
          <w:sz w:val="18"/>
        </w:rPr>
        <w:t>: Since 2012, there have been disaggregated data for persons under the age of 18. For 2010 and 2011, the information for persons under the age of 18 is included in the 15</w:t>
      </w:r>
      <w:r w:rsidR="00866581" w:rsidRPr="00F376DE">
        <w:rPr>
          <w:sz w:val="18"/>
        </w:rPr>
        <w:t>-</w:t>
      </w:r>
      <w:r w:rsidRPr="00F376DE">
        <w:rPr>
          <w:sz w:val="18"/>
        </w:rPr>
        <w:t xml:space="preserve">19 age range. </w:t>
      </w:r>
    </w:p>
    <w:p w:rsidR="00BA06AB" w:rsidRPr="00445C95" w:rsidRDefault="00BA06AB" w:rsidP="00AD75B8">
      <w:pPr>
        <w:pStyle w:val="Heading1"/>
        <w:spacing w:before="240"/>
      </w:pPr>
      <w:bookmarkStart w:id="28" w:name="_Toc486428533"/>
      <w:bookmarkStart w:id="29" w:name="_Toc490483652"/>
      <w:r w:rsidRPr="00445C95">
        <w:t>Table 5</w:t>
      </w:r>
      <w:bookmarkEnd w:id="28"/>
      <w:bookmarkEnd w:id="29"/>
    </w:p>
    <w:p w:rsidR="00BA06AB" w:rsidRPr="00AD75B8" w:rsidRDefault="00BA06AB" w:rsidP="00BA06AB">
      <w:pPr>
        <w:pStyle w:val="SingleTxtG"/>
        <w:rPr>
          <w:b/>
        </w:rPr>
      </w:pPr>
      <w:r w:rsidRPr="00AD75B8">
        <w:rPr>
          <w:b/>
        </w:rPr>
        <w:t>Compilation of all cases received by Protection Boards, 2012</w:t>
      </w:r>
      <w:r w:rsidR="00866581" w:rsidRPr="00AD75B8">
        <w:rPr>
          <w:b/>
        </w:rPr>
        <w:t>-</w:t>
      </w:r>
      <w:r w:rsidRPr="00AD75B8">
        <w:rPr>
          <w:b/>
        </w:rPr>
        <w:t>2015</w:t>
      </w:r>
      <w:r w:rsidRPr="00AD75B8">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7"/>
        <w:gridCol w:w="599"/>
        <w:gridCol w:w="598"/>
        <w:gridCol w:w="598"/>
        <w:gridCol w:w="598"/>
        <w:gridCol w:w="598"/>
        <w:gridCol w:w="598"/>
        <w:gridCol w:w="598"/>
        <w:gridCol w:w="598"/>
        <w:gridCol w:w="598"/>
        <w:gridCol w:w="556"/>
        <w:gridCol w:w="598"/>
        <w:gridCol w:w="598"/>
        <w:gridCol w:w="731"/>
        <w:gridCol w:w="1166"/>
      </w:tblGrid>
      <w:tr w:rsidR="00BA06AB" w:rsidRPr="00AD75B8" w:rsidTr="00AD75B8">
        <w:trPr>
          <w:trHeight w:val="360"/>
          <w:tblHeader/>
        </w:trPr>
        <w:tc>
          <w:tcPr>
            <w:tcW w:w="606"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left"/>
              <w:rPr>
                <w:i/>
                <w:sz w:val="16"/>
              </w:rPr>
            </w:pPr>
            <w:r w:rsidRPr="00AD75B8">
              <w:rPr>
                <w:i/>
                <w:sz w:val="16"/>
              </w:rPr>
              <w:t>Year</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Jan.</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Feb.</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March</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Apr.</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May</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June</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July</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Aug.</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Sept.</w:t>
            </w:r>
          </w:p>
        </w:tc>
        <w:tc>
          <w:tcPr>
            <w:tcW w:w="556" w:type="dxa"/>
            <w:tcBorders>
              <w:top w:val="single" w:sz="4" w:space="0" w:color="auto"/>
              <w:bottom w:val="single" w:sz="12" w:space="0" w:color="auto"/>
            </w:tcBorders>
            <w:shd w:val="clear" w:color="auto" w:fill="auto"/>
            <w:vAlign w:val="bottom"/>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Oct.</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Nov.</w:t>
            </w:r>
          </w:p>
        </w:tc>
        <w:tc>
          <w:tcPr>
            <w:tcW w:w="598"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Dec.</w:t>
            </w:r>
          </w:p>
        </w:tc>
        <w:tc>
          <w:tcPr>
            <w:tcW w:w="731"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Total</w:t>
            </w:r>
          </w:p>
        </w:tc>
        <w:tc>
          <w:tcPr>
            <w:tcW w:w="1166" w:type="dxa"/>
            <w:tcBorders>
              <w:top w:val="single" w:sz="4" w:space="0" w:color="auto"/>
              <w:bottom w:val="single" w:sz="12" w:space="0" w:color="auto"/>
            </w:tcBorders>
            <w:shd w:val="clear" w:color="auto" w:fill="auto"/>
            <w:noWrap/>
            <w:vAlign w:val="bottom"/>
            <w:hideMark/>
          </w:tcPr>
          <w:p w:rsidR="00BA06AB" w:rsidRPr="00AD75B8" w:rsidRDefault="00BA06AB" w:rsidP="00AD75B8">
            <w:pPr>
              <w:pStyle w:val="SingleTxtG"/>
              <w:suppressAutoHyphens w:val="0"/>
              <w:spacing w:before="80" w:after="80" w:line="200" w:lineRule="exact"/>
              <w:ind w:left="0" w:right="113"/>
              <w:jc w:val="right"/>
              <w:rPr>
                <w:i/>
                <w:sz w:val="16"/>
              </w:rPr>
            </w:pPr>
            <w:r w:rsidRPr="00AD75B8">
              <w:rPr>
                <w:i/>
                <w:sz w:val="16"/>
              </w:rPr>
              <w:t>Per cent</w:t>
            </w:r>
          </w:p>
        </w:tc>
      </w:tr>
      <w:tr w:rsidR="00BA06AB" w:rsidRPr="00AD75B8" w:rsidTr="00AD75B8">
        <w:trPr>
          <w:trHeight w:val="360"/>
        </w:trPr>
        <w:tc>
          <w:tcPr>
            <w:tcW w:w="606"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left"/>
              <w:rPr>
                <w:sz w:val="18"/>
              </w:rPr>
            </w:pPr>
            <w:r w:rsidRPr="00AD75B8">
              <w:rPr>
                <w:sz w:val="18"/>
              </w:rPr>
              <w:t>2012</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0</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808</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616</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561</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497</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557</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752</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569</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541</w:t>
            </w:r>
          </w:p>
        </w:tc>
        <w:tc>
          <w:tcPr>
            <w:tcW w:w="556" w:type="dxa"/>
            <w:tcBorders>
              <w:top w:val="single" w:sz="12" w:space="0" w:color="auto"/>
            </w:tcBorders>
            <w:shd w:val="clear" w:color="auto" w:fill="auto"/>
            <w:vAlign w:val="bottom"/>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626</w:t>
            </w:r>
          </w:p>
        </w:tc>
        <w:tc>
          <w:tcPr>
            <w:tcW w:w="598"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563</w:t>
            </w:r>
          </w:p>
        </w:tc>
        <w:tc>
          <w:tcPr>
            <w:tcW w:w="598" w:type="dxa"/>
            <w:tcBorders>
              <w:top w:val="single" w:sz="12" w:space="0" w:color="auto"/>
            </w:tcBorders>
            <w:shd w:val="clear" w:color="auto" w:fill="auto"/>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394</w:t>
            </w:r>
          </w:p>
        </w:tc>
        <w:tc>
          <w:tcPr>
            <w:tcW w:w="731"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6 484</w:t>
            </w:r>
          </w:p>
        </w:tc>
        <w:tc>
          <w:tcPr>
            <w:tcW w:w="1166" w:type="dxa"/>
            <w:tcBorders>
              <w:top w:val="single" w:sz="12"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14.1%</w:t>
            </w:r>
          </w:p>
        </w:tc>
      </w:tr>
      <w:tr w:rsidR="00BA06AB" w:rsidRPr="00AD75B8" w:rsidTr="00AD75B8">
        <w:trPr>
          <w:trHeight w:val="360"/>
        </w:trPr>
        <w:tc>
          <w:tcPr>
            <w:tcW w:w="606"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left"/>
              <w:rPr>
                <w:sz w:val="18"/>
              </w:rPr>
            </w:pPr>
            <w:r w:rsidRPr="00AD75B8">
              <w:rPr>
                <w:sz w:val="18"/>
              </w:rPr>
              <w:t>2013</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738</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601</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541</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864</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857</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767</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875</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819</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919</w:t>
            </w:r>
          </w:p>
        </w:tc>
        <w:tc>
          <w:tcPr>
            <w:tcW w:w="556" w:type="dxa"/>
            <w:shd w:val="clear" w:color="auto" w:fill="auto"/>
            <w:vAlign w:val="bottom"/>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999</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914</w:t>
            </w:r>
          </w:p>
        </w:tc>
        <w:tc>
          <w:tcPr>
            <w:tcW w:w="598" w:type="dxa"/>
            <w:shd w:val="clear" w:color="auto" w:fill="auto"/>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768</w:t>
            </w:r>
          </w:p>
        </w:tc>
        <w:tc>
          <w:tcPr>
            <w:tcW w:w="731"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9 662</w:t>
            </w:r>
          </w:p>
        </w:tc>
        <w:tc>
          <w:tcPr>
            <w:tcW w:w="1166"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21.0%</w:t>
            </w:r>
          </w:p>
        </w:tc>
      </w:tr>
      <w:tr w:rsidR="00BA06AB" w:rsidRPr="00AD75B8" w:rsidTr="00AD75B8">
        <w:trPr>
          <w:trHeight w:val="360"/>
        </w:trPr>
        <w:tc>
          <w:tcPr>
            <w:tcW w:w="606"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left"/>
              <w:rPr>
                <w:sz w:val="18"/>
              </w:rPr>
            </w:pPr>
            <w:r w:rsidRPr="00AD75B8">
              <w:rPr>
                <w:sz w:val="18"/>
              </w:rPr>
              <w:t>2014</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943</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990</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1 186</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1 021</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1 235</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1 353</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1 660</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1 138</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1 316</w:t>
            </w:r>
          </w:p>
        </w:tc>
        <w:tc>
          <w:tcPr>
            <w:tcW w:w="556" w:type="dxa"/>
            <w:shd w:val="clear" w:color="auto" w:fill="auto"/>
            <w:vAlign w:val="bottom"/>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1 341</w:t>
            </w:r>
          </w:p>
        </w:tc>
        <w:tc>
          <w:tcPr>
            <w:tcW w:w="598"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1 088</w:t>
            </w:r>
          </w:p>
        </w:tc>
        <w:tc>
          <w:tcPr>
            <w:tcW w:w="598" w:type="dxa"/>
            <w:shd w:val="clear" w:color="auto" w:fill="auto"/>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1 009</w:t>
            </w:r>
          </w:p>
        </w:tc>
        <w:tc>
          <w:tcPr>
            <w:tcW w:w="731"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14 280</w:t>
            </w:r>
          </w:p>
        </w:tc>
        <w:tc>
          <w:tcPr>
            <w:tcW w:w="1166" w:type="dxa"/>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31.1%</w:t>
            </w:r>
          </w:p>
        </w:tc>
      </w:tr>
      <w:tr w:rsidR="00BA06AB" w:rsidRPr="00AD75B8" w:rsidTr="00173035">
        <w:trPr>
          <w:trHeight w:val="360"/>
        </w:trPr>
        <w:tc>
          <w:tcPr>
            <w:tcW w:w="606"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left"/>
              <w:rPr>
                <w:sz w:val="18"/>
              </w:rPr>
            </w:pPr>
            <w:r w:rsidRPr="00AD75B8">
              <w:rPr>
                <w:sz w:val="18"/>
              </w:rPr>
              <w:t>2015</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1 069</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1 150</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1 300</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1 280</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1 454</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1 374</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1 420</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1 332</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1 454</w:t>
            </w:r>
          </w:p>
        </w:tc>
        <w:tc>
          <w:tcPr>
            <w:tcW w:w="556" w:type="dxa"/>
            <w:tcBorders>
              <w:bottom w:val="single" w:sz="4" w:space="0" w:color="auto"/>
            </w:tcBorders>
            <w:shd w:val="clear" w:color="auto" w:fill="auto"/>
            <w:vAlign w:val="bottom"/>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1 579</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1 174</w:t>
            </w:r>
          </w:p>
        </w:tc>
        <w:tc>
          <w:tcPr>
            <w:tcW w:w="598"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913</w:t>
            </w:r>
          </w:p>
        </w:tc>
        <w:tc>
          <w:tcPr>
            <w:tcW w:w="731"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15 499</w:t>
            </w:r>
          </w:p>
        </w:tc>
        <w:tc>
          <w:tcPr>
            <w:tcW w:w="1166" w:type="dxa"/>
            <w:tcBorders>
              <w:bottom w:val="single" w:sz="4" w:space="0" w:color="auto"/>
            </w:tcBorders>
            <w:shd w:val="clear" w:color="auto" w:fill="auto"/>
            <w:noWrap/>
            <w:vAlign w:val="bottom"/>
            <w:hideMark/>
          </w:tcPr>
          <w:p w:rsidR="00BA06AB" w:rsidRPr="00AD75B8" w:rsidRDefault="00BA06AB" w:rsidP="00AD75B8">
            <w:pPr>
              <w:pStyle w:val="SingleTxtG"/>
              <w:suppressAutoHyphens w:val="0"/>
              <w:spacing w:before="40" w:after="40" w:line="220" w:lineRule="exact"/>
              <w:ind w:left="0" w:right="113"/>
              <w:jc w:val="right"/>
              <w:rPr>
                <w:sz w:val="18"/>
              </w:rPr>
            </w:pPr>
            <w:r w:rsidRPr="00AD75B8">
              <w:rPr>
                <w:sz w:val="18"/>
              </w:rPr>
              <w:t>33.7%</w:t>
            </w:r>
          </w:p>
        </w:tc>
      </w:tr>
      <w:tr w:rsidR="00BA06AB" w:rsidRPr="00173035" w:rsidTr="00173035">
        <w:trPr>
          <w:trHeight w:val="360"/>
        </w:trPr>
        <w:tc>
          <w:tcPr>
            <w:tcW w:w="606"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Total</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2 750</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3 549</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3 643</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3 726</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4 043</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4 051</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4 707</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3 858</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4 230</w:t>
            </w:r>
          </w:p>
        </w:tc>
        <w:tc>
          <w:tcPr>
            <w:tcW w:w="556" w:type="dxa"/>
            <w:tcBorders>
              <w:top w:val="single" w:sz="4" w:space="0" w:color="auto"/>
              <w:bottom w:val="single" w:sz="12" w:space="0" w:color="auto"/>
            </w:tcBorders>
            <w:shd w:val="clear" w:color="auto" w:fill="auto"/>
            <w:vAlign w:val="bottom"/>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4 545</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3 739</w:t>
            </w:r>
          </w:p>
        </w:tc>
        <w:tc>
          <w:tcPr>
            <w:tcW w:w="598"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3 084</w:t>
            </w:r>
          </w:p>
        </w:tc>
        <w:tc>
          <w:tcPr>
            <w:tcW w:w="731"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45 925</w:t>
            </w:r>
          </w:p>
        </w:tc>
        <w:tc>
          <w:tcPr>
            <w:tcW w:w="1166" w:type="dxa"/>
            <w:tcBorders>
              <w:top w:val="single" w:sz="4" w:space="0" w:color="auto"/>
              <w:bottom w:val="single" w:sz="12" w:space="0" w:color="auto"/>
            </w:tcBorders>
            <w:shd w:val="clear" w:color="auto" w:fill="auto"/>
            <w:noWrap/>
            <w:vAlign w:val="bottom"/>
            <w:hideMark/>
          </w:tcPr>
          <w:p w:rsidR="00BA06AB" w:rsidRPr="00173035" w:rsidRDefault="00BA06AB" w:rsidP="00173035">
            <w:pPr>
              <w:pStyle w:val="SingleTxtG"/>
              <w:suppressAutoHyphens w:val="0"/>
              <w:spacing w:before="80" w:after="80" w:line="220" w:lineRule="exact"/>
              <w:ind w:left="0" w:right="113"/>
              <w:jc w:val="right"/>
              <w:rPr>
                <w:b/>
                <w:sz w:val="18"/>
              </w:rPr>
            </w:pPr>
            <w:r w:rsidRPr="00173035">
              <w:rPr>
                <w:b/>
                <w:sz w:val="18"/>
              </w:rPr>
              <w:t>100.0%</w:t>
            </w:r>
          </w:p>
        </w:tc>
      </w:tr>
    </w:tbl>
    <w:p w:rsidR="00BA06AB" w:rsidRPr="00755659" w:rsidRDefault="00BA06AB" w:rsidP="00755659">
      <w:pPr>
        <w:pStyle w:val="SingleTxtG"/>
        <w:spacing w:before="120" w:after="0"/>
        <w:ind w:left="0" w:firstLine="170"/>
        <w:jc w:val="left"/>
        <w:rPr>
          <w:sz w:val="18"/>
        </w:rPr>
      </w:pPr>
      <w:r w:rsidRPr="00755659">
        <w:rPr>
          <w:sz w:val="18"/>
        </w:rPr>
        <w:t>* The Boards were gradually set up starting in 2012 and continuing until January 2014, when the current number of 15 was reached.</w:t>
      </w:r>
    </w:p>
    <w:p w:rsidR="00BA06AB" w:rsidRPr="00755659" w:rsidRDefault="00BA06AB" w:rsidP="00755659">
      <w:pPr>
        <w:spacing w:before="120"/>
        <w:ind w:right="1134" w:firstLine="170"/>
        <w:rPr>
          <w:sz w:val="18"/>
        </w:rPr>
      </w:pPr>
      <w:r w:rsidRPr="00755659">
        <w:rPr>
          <w:i/>
          <w:sz w:val="18"/>
        </w:rPr>
        <w:t>Source</w:t>
      </w:r>
      <w:r w:rsidRPr="00755659">
        <w:rPr>
          <w:sz w:val="18"/>
        </w:rPr>
        <w:t>: National Council for Children and Adolescents</w:t>
      </w:r>
      <w:r w:rsidR="005E3500">
        <w:rPr>
          <w:sz w:val="18"/>
        </w:rPr>
        <w:t>.</w:t>
      </w:r>
    </w:p>
    <w:p w:rsidR="001706BE" w:rsidRDefault="001706BE">
      <w:pPr>
        <w:suppressAutoHyphens w:val="0"/>
        <w:spacing w:line="240" w:lineRule="auto"/>
      </w:pPr>
      <w:r>
        <w:br w:type="page"/>
      </w:r>
    </w:p>
    <w:p w:rsidR="00BA06AB" w:rsidRPr="00445C95" w:rsidRDefault="00BA06AB" w:rsidP="001706BE">
      <w:pPr>
        <w:pStyle w:val="Heading1"/>
        <w:spacing w:before="240"/>
      </w:pPr>
      <w:bookmarkStart w:id="30" w:name="_Toc486428534"/>
      <w:bookmarkStart w:id="31" w:name="_Toc490483653"/>
      <w:r w:rsidRPr="00445C95">
        <w:t>Table 6</w:t>
      </w:r>
      <w:bookmarkEnd w:id="30"/>
      <w:bookmarkEnd w:id="31"/>
    </w:p>
    <w:p w:rsidR="00BA06AB" w:rsidRPr="001706BE" w:rsidRDefault="00BA06AB" w:rsidP="000E3F9F">
      <w:pPr>
        <w:pStyle w:val="SingleTxtG"/>
        <w:jc w:val="left"/>
        <w:rPr>
          <w:b/>
        </w:rPr>
      </w:pPr>
      <w:r w:rsidRPr="001706BE">
        <w:rPr>
          <w:b/>
        </w:rPr>
        <w:t xml:space="preserve">Threats or rights violations reported to the 15 Protection Boards, </w:t>
      </w:r>
      <w:r w:rsidR="001706BE">
        <w:rPr>
          <w:b/>
        </w:rPr>
        <w:br/>
      </w:r>
      <w:r w:rsidRPr="001706BE">
        <w:rPr>
          <w:b/>
        </w:rPr>
        <w:t>January 2012</w:t>
      </w:r>
      <w:r w:rsidR="00866581" w:rsidRPr="001706BE">
        <w:rPr>
          <w:b/>
        </w:rPr>
        <w:t>-</w:t>
      </w:r>
      <w:r w:rsidRPr="001706BE">
        <w:rPr>
          <w:b/>
        </w:rPr>
        <w:t>December 2015</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15"/>
        <w:gridCol w:w="915"/>
        <w:gridCol w:w="915"/>
        <w:gridCol w:w="915"/>
        <w:gridCol w:w="915"/>
        <w:gridCol w:w="915"/>
        <w:gridCol w:w="915"/>
      </w:tblGrid>
      <w:tr w:rsidR="00BA06AB" w:rsidRPr="0074636F" w:rsidTr="0040720F">
        <w:trPr>
          <w:trHeight w:val="240"/>
          <w:tblHeader/>
        </w:trPr>
        <w:tc>
          <w:tcPr>
            <w:tcW w:w="30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80" w:after="80" w:line="200" w:lineRule="exact"/>
              <w:ind w:left="0" w:right="113"/>
              <w:jc w:val="left"/>
              <w:rPr>
                <w:i/>
                <w:sz w:val="16"/>
              </w:rPr>
            </w:pPr>
            <w:r w:rsidRPr="0074636F">
              <w:rPr>
                <w:i/>
                <w:sz w:val="16"/>
              </w:rPr>
              <w:t xml:space="preserve">Right </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80" w:after="80" w:line="200" w:lineRule="exact"/>
              <w:ind w:left="0" w:right="113"/>
              <w:jc w:val="right"/>
              <w:rPr>
                <w:i/>
                <w:sz w:val="16"/>
              </w:rPr>
            </w:pPr>
            <w:r w:rsidRPr="0074636F">
              <w:rPr>
                <w:i/>
                <w:sz w:val="16"/>
              </w:rPr>
              <w:t>2012</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80" w:after="80" w:line="200" w:lineRule="exact"/>
              <w:ind w:left="0" w:right="113"/>
              <w:jc w:val="right"/>
              <w:rPr>
                <w:i/>
                <w:sz w:val="16"/>
              </w:rPr>
            </w:pPr>
            <w:r w:rsidRPr="0074636F">
              <w:rPr>
                <w:i/>
                <w:sz w:val="16"/>
              </w:rPr>
              <w:t>2013</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80" w:after="80" w:line="200" w:lineRule="exact"/>
              <w:ind w:left="0" w:right="113"/>
              <w:jc w:val="right"/>
              <w:rPr>
                <w:i/>
                <w:sz w:val="16"/>
              </w:rPr>
            </w:pPr>
            <w:r w:rsidRPr="0074636F">
              <w:rPr>
                <w:i/>
                <w:sz w:val="16"/>
              </w:rPr>
              <w:t>2014</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80" w:after="80" w:line="200" w:lineRule="exact"/>
              <w:ind w:left="0" w:right="113"/>
              <w:jc w:val="right"/>
              <w:rPr>
                <w:i/>
                <w:sz w:val="16"/>
              </w:rPr>
            </w:pPr>
            <w:r w:rsidRPr="0074636F">
              <w:rPr>
                <w:i/>
                <w:sz w:val="16"/>
              </w:rPr>
              <w:t>2015</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80" w:after="80" w:line="200" w:lineRule="exact"/>
              <w:ind w:left="0" w:right="113"/>
              <w:jc w:val="right"/>
              <w:rPr>
                <w:i/>
                <w:sz w:val="16"/>
              </w:rPr>
            </w:pPr>
            <w:r w:rsidRPr="0074636F">
              <w:rPr>
                <w:i/>
                <w:sz w:val="16"/>
              </w:rPr>
              <w:t>Total</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80" w:after="80" w:line="200" w:lineRule="exact"/>
              <w:ind w:left="0" w:right="113"/>
              <w:jc w:val="right"/>
              <w:rPr>
                <w:i/>
                <w:sz w:val="16"/>
              </w:rPr>
            </w:pPr>
            <w:r w:rsidRPr="0074636F">
              <w:rPr>
                <w:i/>
                <w:sz w:val="16"/>
              </w:rPr>
              <w:t>Per cent</w:t>
            </w:r>
          </w:p>
        </w:tc>
      </w:tr>
      <w:tr w:rsidR="00BA06AB" w:rsidRPr="0074636F" w:rsidTr="0040720F">
        <w:trPr>
          <w:trHeight w:val="240"/>
        </w:trPr>
        <w:tc>
          <w:tcPr>
            <w:tcW w:w="3015" w:type="dxa"/>
            <w:tcBorders>
              <w:top w:val="single" w:sz="12" w:space="0" w:color="auto"/>
            </w:tcBorders>
            <w:shd w:val="clear" w:color="auto" w:fill="auto"/>
            <w:tcMar>
              <w:top w:w="0" w:type="dxa"/>
              <w:left w:w="0" w:type="dxa"/>
              <w:bottom w:w="0" w:type="dxa"/>
              <w:right w:w="0" w:type="dxa"/>
            </w:tcMar>
            <w:hideMark/>
          </w:tcPr>
          <w:p w:rsidR="00BA06AB" w:rsidRPr="0074636F" w:rsidRDefault="00BA06AB" w:rsidP="0074636F">
            <w:pPr>
              <w:pStyle w:val="SingleTxtG"/>
              <w:suppressAutoHyphens w:val="0"/>
              <w:spacing w:before="40" w:after="40" w:line="220" w:lineRule="exact"/>
              <w:ind w:left="0" w:right="113"/>
              <w:jc w:val="left"/>
              <w:rPr>
                <w:sz w:val="18"/>
              </w:rPr>
            </w:pPr>
            <w:r w:rsidRPr="0074636F">
              <w:rPr>
                <w:sz w:val="18"/>
              </w:rPr>
              <w:t>Integrity of the person</w:t>
            </w:r>
          </w:p>
        </w:tc>
        <w:tc>
          <w:tcPr>
            <w:tcW w:w="915" w:type="dxa"/>
            <w:tcBorders>
              <w:top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3 206</w:t>
            </w:r>
          </w:p>
        </w:tc>
        <w:tc>
          <w:tcPr>
            <w:tcW w:w="915" w:type="dxa"/>
            <w:tcBorders>
              <w:top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7 326</w:t>
            </w:r>
          </w:p>
        </w:tc>
        <w:tc>
          <w:tcPr>
            <w:tcW w:w="915" w:type="dxa"/>
            <w:tcBorders>
              <w:top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11 078</w:t>
            </w:r>
          </w:p>
        </w:tc>
        <w:tc>
          <w:tcPr>
            <w:tcW w:w="915" w:type="dxa"/>
            <w:tcBorders>
              <w:top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10 162</w:t>
            </w:r>
          </w:p>
        </w:tc>
        <w:tc>
          <w:tcPr>
            <w:tcW w:w="915" w:type="dxa"/>
            <w:tcBorders>
              <w:top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31 772</w:t>
            </w:r>
          </w:p>
        </w:tc>
        <w:tc>
          <w:tcPr>
            <w:tcW w:w="915" w:type="dxa"/>
            <w:tcBorders>
              <w:top w:val="single" w:sz="12"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61.3%</w:t>
            </w:r>
          </w:p>
        </w:tc>
      </w:tr>
      <w:tr w:rsidR="00BA06AB" w:rsidRPr="0074636F" w:rsidTr="0040720F">
        <w:trPr>
          <w:trHeight w:val="240"/>
        </w:trPr>
        <w:tc>
          <w:tcPr>
            <w:tcW w:w="3015" w:type="dxa"/>
            <w:shd w:val="clear" w:color="auto" w:fill="auto"/>
            <w:noWrap/>
            <w:tcMar>
              <w:top w:w="0" w:type="dxa"/>
              <w:left w:w="0" w:type="dxa"/>
              <w:bottom w:w="0" w:type="dxa"/>
              <w:right w:w="0" w:type="dxa"/>
            </w:tcMar>
            <w:hideMark/>
          </w:tcPr>
          <w:p w:rsidR="00BA06AB" w:rsidRPr="0074636F" w:rsidRDefault="00BA06AB" w:rsidP="0074636F">
            <w:pPr>
              <w:pStyle w:val="SingleTxtG"/>
              <w:suppressAutoHyphens w:val="0"/>
              <w:spacing w:before="40" w:after="40" w:line="220" w:lineRule="exact"/>
              <w:ind w:left="0" w:right="113"/>
              <w:jc w:val="left"/>
              <w:rPr>
                <w:sz w:val="18"/>
              </w:rPr>
            </w:pPr>
            <w:r w:rsidRPr="0074636F">
              <w:rPr>
                <w:sz w:val="18"/>
              </w:rPr>
              <w:t>Right to education and culture</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396</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377</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496</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1 421</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2 690</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5.2%</w:t>
            </w:r>
          </w:p>
        </w:tc>
      </w:tr>
      <w:tr w:rsidR="00BA06AB" w:rsidRPr="0074636F" w:rsidTr="0040720F">
        <w:trPr>
          <w:trHeight w:val="240"/>
        </w:trPr>
        <w:tc>
          <w:tcPr>
            <w:tcW w:w="3015" w:type="dxa"/>
            <w:shd w:val="clear" w:color="auto" w:fill="auto"/>
            <w:noWrap/>
            <w:tcMar>
              <w:top w:w="0" w:type="dxa"/>
              <w:left w:w="0" w:type="dxa"/>
              <w:bottom w:w="0" w:type="dxa"/>
              <w:right w:w="0" w:type="dxa"/>
            </w:tcMar>
            <w:hideMark/>
          </w:tcPr>
          <w:p w:rsidR="00BA06AB" w:rsidRPr="0074636F" w:rsidRDefault="00BA06AB" w:rsidP="0074636F">
            <w:pPr>
              <w:pStyle w:val="SingleTxtG"/>
              <w:suppressAutoHyphens w:val="0"/>
              <w:spacing w:before="40" w:after="40" w:line="220" w:lineRule="exact"/>
              <w:ind w:left="0" w:right="113"/>
              <w:jc w:val="left"/>
              <w:rPr>
                <w:sz w:val="18"/>
              </w:rPr>
            </w:pPr>
            <w:r w:rsidRPr="0074636F">
              <w:rPr>
                <w:sz w:val="18"/>
              </w:rPr>
              <w:t>Right to health</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307</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193</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1 400</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3 530</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5 430</w:t>
            </w:r>
          </w:p>
        </w:tc>
        <w:tc>
          <w:tcPr>
            <w:tcW w:w="915" w:type="dxa"/>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10.5%</w:t>
            </w:r>
          </w:p>
        </w:tc>
      </w:tr>
      <w:tr w:rsidR="00BA06AB" w:rsidRPr="0074636F" w:rsidTr="00B958CC">
        <w:trPr>
          <w:trHeight w:val="240"/>
        </w:trPr>
        <w:tc>
          <w:tcPr>
            <w:tcW w:w="3015" w:type="dxa"/>
            <w:tcBorders>
              <w:bottom w:val="single" w:sz="4" w:space="0" w:color="auto"/>
            </w:tcBorders>
            <w:shd w:val="clear" w:color="auto" w:fill="auto"/>
            <w:noWrap/>
            <w:tcMar>
              <w:top w:w="0" w:type="dxa"/>
              <w:left w:w="0" w:type="dxa"/>
              <w:bottom w:w="0" w:type="dxa"/>
              <w:right w:w="0" w:type="dxa"/>
            </w:tcMar>
            <w:hideMark/>
          </w:tcPr>
          <w:p w:rsidR="00BA06AB" w:rsidRPr="0074636F" w:rsidRDefault="00BA06AB" w:rsidP="0074636F">
            <w:pPr>
              <w:pStyle w:val="SingleTxtG"/>
              <w:suppressAutoHyphens w:val="0"/>
              <w:spacing w:before="40" w:after="40" w:line="220" w:lineRule="exact"/>
              <w:ind w:left="0" w:right="113"/>
              <w:jc w:val="left"/>
              <w:rPr>
                <w:sz w:val="18"/>
              </w:rPr>
            </w:pPr>
            <w:r w:rsidRPr="0074636F">
              <w:rPr>
                <w:sz w:val="18"/>
              </w:rPr>
              <w:t>Other</w:t>
            </w:r>
          </w:p>
        </w:tc>
        <w:tc>
          <w:tcPr>
            <w:tcW w:w="915" w:type="dxa"/>
            <w:tcBorders>
              <w:bottom w:val="single" w:sz="4"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1 162</w:t>
            </w:r>
          </w:p>
        </w:tc>
        <w:tc>
          <w:tcPr>
            <w:tcW w:w="915" w:type="dxa"/>
            <w:tcBorders>
              <w:bottom w:val="single" w:sz="4"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2 067</w:t>
            </w:r>
          </w:p>
        </w:tc>
        <w:tc>
          <w:tcPr>
            <w:tcW w:w="915" w:type="dxa"/>
            <w:tcBorders>
              <w:bottom w:val="single" w:sz="4"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2 100</w:t>
            </w:r>
          </w:p>
        </w:tc>
        <w:tc>
          <w:tcPr>
            <w:tcW w:w="915" w:type="dxa"/>
            <w:tcBorders>
              <w:bottom w:val="single" w:sz="4"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6 617</w:t>
            </w:r>
          </w:p>
        </w:tc>
        <w:tc>
          <w:tcPr>
            <w:tcW w:w="915" w:type="dxa"/>
            <w:tcBorders>
              <w:bottom w:val="single" w:sz="4"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11 946</w:t>
            </w:r>
          </w:p>
        </w:tc>
        <w:tc>
          <w:tcPr>
            <w:tcW w:w="915" w:type="dxa"/>
            <w:tcBorders>
              <w:bottom w:val="single" w:sz="4" w:space="0" w:color="auto"/>
            </w:tcBorders>
            <w:shd w:val="clear" w:color="auto" w:fill="auto"/>
            <w:noWrap/>
            <w:tcMar>
              <w:top w:w="0" w:type="dxa"/>
              <w:left w:w="0" w:type="dxa"/>
              <w:bottom w:w="0" w:type="dxa"/>
              <w:right w:w="0" w:type="dxa"/>
            </w:tcMar>
            <w:vAlign w:val="bottom"/>
            <w:hideMark/>
          </w:tcPr>
          <w:p w:rsidR="00BA06AB" w:rsidRPr="0074636F" w:rsidRDefault="00BA06AB" w:rsidP="0074636F">
            <w:pPr>
              <w:pStyle w:val="SingleTxtG"/>
              <w:suppressAutoHyphens w:val="0"/>
              <w:spacing w:before="40" w:after="40" w:line="220" w:lineRule="exact"/>
              <w:ind w:left="0" w:right="113"/>
              <w:jc w:val="right"/>
              <w:rPr>
                <w:sz w:val="18"/>
              </w:rPr>
            </w:pPr>
            <w:r w:rsidRPr="0074636F">
              <w:rPr>
                <w:sz w:val="18"/>
              </w:rPr>
              <w:t>23.0%</w:t>
            </w:r>
          </w:p>
        </w:tc>
      </w:tr>
      <w:tr w:rsidR="00BA06AB" w:rsidRPr="0074636F" w:rsidTr="00B958CC">
        <w:trPr>
          <w:trHeight w:val="240"/>
        </w:trPr>
        <w:tc>
          <w:tcPr>
            <w:tcW w:w="3015" w:type="dxa"/>
            <w:tcBorders>
              <w:top w:val="single" w:sz="4" w:space="0" w:color="auto"/>
              <w:bottom w:val="single" w:sz="12" w:space="0" w:color="auto"/>
            </w:tcBorders>
            <w:shd w:val="clear" w:color="auto" w:fill="auto"/>
            <w:noWrap/>
            <w:tcMar>
              <w:top w:w="0" w:type="dxa"/>
              <w:left w:w="0" w:type="dxa"/>
              <w:bottom w:w="0" w:type="dxa"/>
              <w:right w:w="0" w:type="dxa"/>
            </w:tcMar>
            <w:hideMark/>
          </w:tcPr>
          <w:p w:rsidR="00BA06AB" w:rsidRPr="00B958CC" w:rsidRDefault="00BA06AB" w:rsidP="00B958CC">
            <w:pPr>
              <w:pStyle w:val="SingleTxtG"/>
              <w:suppressAutoHyphens w:val="0"/>
              <w:spacing w:before="80" w:after="80" w:line="220" w:lineRule="exact"/>
              <w:ind w:left="283" w:right="0"/>
              <w:jc w:val="left"/>
              <w:rPr>
                <w:b/>
                <w:sz w:val="18"/>
              </w:rPr>
            </w:pPr>
            <w:r w:rsidRPr="00B958CC">
              <w:rPr>
                <w:b/>
                <w:sz w:val="18"/>
              </w:rPr>
              <w:t>Total</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B958CC" w:rsidRDefault="00BA06AB" w:rsidP="00B958CC">
            <w:pPr>
              <w:pStyle w:val="SingleTxtG"/>
              <w:suppressAutoHyphens w:val="0"/>
              <w:spacing w:before="80" w:after="80" w:line="220" w:lineRule="exact"/>
              <w:ind w:left="0" w:right="113"/>
              <w:jc w:val="right"/>
              <w:rPr>
                <w:b/>
                <w:sz w:val="18"/>
              </w:rPr>
            </w:pPr>
            <w:r w:rsidRPr="00B958CC">
              <w:rPr>
                <w:b/>
                <w:sz w:val="18"/>
              </w:rPr>
              <w:t>5 071</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B958CC" w:rsidRDefault="00BA06AB" w:rsidP="00B958CC">
            <w:pPr>
              <w:pStyle w:val="SingleTxtG"/>
              <w:suppressAutoHyphens w:val="0"/>
              <w:spacing w:before="80" w:after="80" w:line="220" w:lineRule="exact"/>
              <w:ind w:left="0" w:right="113"/>
              <w:jc w:val="right"/>
              <w:rPr>
                <w:b/>
                <w:sz w:val="18"/>
              </w:rPr>
            </w:pPr>
            <w:r w:rsidRPr="00B958CC">
              <w:rPr>
                <w:b/>
                <w:sz w:val="18"/>
              </w:rPr>
              <w:t>9 963</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B958CC" w:rsidRDefault="00BA06AB" w:rsidP="00B958CC">
            <w:pPr>
              <w:pStyle w:val="SingleTxtG"/>
              <w:suppressAutoHyphens w:val="0"/>
              <w:spacing w:before="80" w:after="80" w:line="220" w:lineRule="exact"/>
              <w:ind w:left="0" w:right="113"/>
              <w:jc w:val="right"/>
              <w:rPr>
                <w:b/>
                <w:sz w:val="18"/>
              </w:rPr>
            </w:pPr>
            <w:r w:rsidRPr="00B958CC">
              <w:rPr>
                <w:b/>
                <w:sz w:val="18"/>
              </w:rPr>
              <w:t>15 074</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B958CC" w:rsidRDefault="00BA06AB" w:rsidP="00B958CC">
            <w:pPr>
              <w:pStyle w:val="SingleTxtG"/>
              <w:suppressAutoHyphens w:val="0"/>
              <w:spacing w:before="80" w:after="80" w:line="220" w:lineRule="exact"/>
              <w:ind w:left="0" w:right="113"/>
              <w:jc w:val="right"/>
              <w:rPr>
                <w:b/>
                <w:sz w:val="18"/>
              </w:rPr>
            </w:pPr>
            <w:r w:rsidRPr="00B958CC">
              <w:rPr>
                <w:b/>
                <w:sz w:val="18"/>
              </w:rPr>
              <w:t>21 730</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B958CC" w:rsidRDefault="00BA06AB" w:rsidP="00B958CC">
            <w:pPr>
              <w:pStyle w:val="SingleTxtG"/>
              <w:suppressAutoHyphens w:val="0"/>
              <w:spacing w:before="80" w:after="80" w:line="220" w:lineRule="exact"/>
              <w:ind w:left="0" w:right="113"/>
              <w:jc w:val="right"/>
              <w:rPr>
                <w:b/>
                <w:sz w:val="18"/>
              </w:rPr>
            </w:pPr>
            <w:r w:rsidRPr="00B958CC">
              <w:rPr>
                <w:b/>
                <w:sz w:val="18"/>
              </w:rPr>
              <w:t>51 838</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BA06AB" w:rsidRPr="00B958CC" w:rsidRDefault="00BA06AB" w:rsidP="00B958CC">
            <w:pPr>
              <w:pStyle w:val="SingleTxtG"/>
              <w:suppressAutoHyphens w:val="0"/>
              <w:spacing w:before="80" w:after="80" w:line="220" w:lineRule="exact"/>
              <w:ind w:left="0" w:right="113"/>
              <w:jc w:val="right"/>
              <w:rPr>
                <w:b/>
                <w:sz w:val="18"/>
              </w:rPr>
            </w:pPr>
            <w:r w:rsidRPr="00B958CC">
              <w:rPr>
                <w:b/>
                <w:sz w:val="18"/>
              </w:rPr>
              <w:t>100.0%</w:t>
            </w:r>
          </w:p>
        </w:tc>
      </w:tr>
    </w:tbl>
    <w:p w:rsidR="00BA06AB" w:rsidRPr="000E3F9F" w:rsidRDefault="00BA06AB" w:rsidP="000E3F9F">
      <w:pPr>
        <w:pStyle w:val="SingleTxtG"/>
        <w:spacing w:before="120" w:after="0"/>
        <w:ind w:firstLine="170"/>
        <w:jc w:val="left"/>
        <w:rPr>
          <w:sz w:val="18"/>
        </w:rPr>
      </w:pPr>
      <w:r w:rsidRPr="000E3F9F">
        <w:rPr>
          <w:i/>
          <w:sz w:val="18"/>
        </w:rPr>
        <w:t>Source</w:t>
      </w:r>
      <w:r w:rsidRPr="000E3F9F">
        <w:rPr>
          <w:sz w:val="18"/>
        </w:rPr>
        <w:t xml:space="preserve">: </w:t>
      </w:r>
      <w:r w:rsidR="00B958CC">
        <w:rPr>
          <w:sz w:val="18"/>
        </w:rPr>
        <w:t xml:space="preserve"> </w:t>
      </w:r>
      <w:r w:rsidRPr="000E3F9F">
        <w:rPr>
          <w:sz w:val="18"/>
        </w:rPr>
        <w:t>National Council for Children and Adolescents and Child and Adolescent Protection Boards, 2015.</w:t>
      </w:r>
    </w:p>
    <w:p w:rsidR="00BA06AB" w:rsidRPr="00445C95" w:rsidRDefault="00BA06AB" w:rsidP="000E3F9F">
      <w:pPr>
        <w:pStyle w:val="Heading1"/>
        <w:spacing w:before="240"/>
      </w:pPr>
      <w:bookmarkStart w:id="32" w:name="_Toc486428535"/>
      <w:bookmarkStart w:id="33" w:name="_Toc490483654"/>
      <w:r w:rsidRPr="00445C95">
        <w:t>Table 7</w:t>
      </w:r>
      <w:bookmarkEnd w:id="32"/>
      <w:bookmarkEnd w:id="33"/>
    </w:p>
    <w:p w:rsidR="00BA06AB" w:rsidRPr="000E3F9F" w:rsidRDefault="00BA06AB" w:rsidP="00BA06AB">
      <w:pPr>
        <w:pStyle w:val="SingleTxtG"/>
        <w:rPr>
          <w:b/>
        </w:rPr>
      </w:pPr>
      <w:r w:rsidRPr="000E3F9F">
        <w:rPr>
          <w:b/>
        </w:rPr>
        <w:t>Rapes,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55"/>
        <w:gridCol w:w="585"/>
        <w:gridCol w:w="585"/>
        <w:gridCol w:w="585"/>
        <w:gridCol w:w="603"/>
        <w:gridCol w:w="603"/>
        <w:gridCol w:w="582"/>
        <w:gridCol w:w="605"/>
        <w:gridCol w:w="582"/>
        <w:gridCol w:w="580"/>
        <w:gridCol w:w="571"/>
        <w:gridCol w:w="534"/>
      </w:tblGrid>
      <w:tr w:rsidR="00BA06AB" w:rsidRPr="000E3F9F" w:rsidTr="000E3F9F">
        <w:trPr>
          <w:trHeight w:val="240"/>
          <w:tblHeader/>
        </w:trPr>
        <w:tc>
          <w:tcPr>
            <w:tcW w:w="955"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left"/>
              <w:rPr>
                <w:i/>
                <w:sz w:val="16"/>
              </w:rPr>
            </w:pPr>
            <w:r w:rsidRPr="000E3F9F">
              <w:rPr>
                <w:i/>
                <w:sz w:val="16"/>
              </w:rPr>
              <w:t>Sex</w:t>
            </w:r>
          </w:p>
        </w:tc>
        <w:tc>
          <w:tcPr>
            <w:tcW w:w="585"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2005</w:t>
            </w:r>
          </w:p>
        </w:tc>
        <w:tc>
          <w:tcPr>
            <w:tcW w:w="585"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2006</w:t>
            </w:r>
          </w:p>
        </w:tc>
        <w:tc>
          <w:tcPr>
            <w:tcW w:w="585"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2007</w:t>
            </w:r>
          </w:p>
        </w:tc>
        <w:tc>
          <w:tcPr>
            <w:tcW w:w="603"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2008</w:t>
            </w:r>
          </w:p>
        </w:tc>
        <w:tc>
          <w:tcPr>
            <w:tcW w:w="603"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2009</w:t>
            </w:r>
          </w:p>
        </w:tc>
        <w:tc>
          <w:tcPr>
            <w:tcW w:w="582"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2010</w:t>
            </w:r>
          </w:p>
        </w:tc>
        <w:tc>
          <w:tcPr>
            <w:tcW w:w="605"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2011</w:t>
            </w:r>
          </w:p>
        </w:tc>
        <w:tc>
          <w:tcPr>
            <w:tcW w:w="582"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2012</w:t>
            </w:r>
          </w:p>
        </w:tc>
        <w:tc>
          <w:tcPr>
            <w:tcW w:w="580"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2013</w:t>
            </w:r>
          </w:p>
        </w:tc>
        <w:tc>
          <w:tcPr>
            <w:tcW w:w="571"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2014</w:t>
            </w:r>
          </w:p>
        </w:tc>
        <w:tc>
          <w:tcPr>
            <w:tcW w:w="534" w:type="dxa"/>
            <w:tcBorders>
              <w:top w:val="single" w:sz="4" w:space="0" w:color="auto"/>
              <w:bottom w:val="single" w:sz="12" w:space="0" w:color="auto"/>
            </w:tcBorders>
            <w:shd w:val="clear" w:color="auto" w:fill="auto"/>
            <w:vAlign w:val="bottom"/>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2015</w:t>
            </w:r>
          </w:p>
        </w:tc>
      </w:tr>
      <w:tr w:rsidR="00BA06AB" w:rsidRPr="000E3F9F" w:rsidTr="000E3F9F">
        <w:trPr>
          <w:trHeight w:val="240"/>
        </w:trPr>
        <w:tc>
          <w:tcPr>
            <w:tcW w:w="955" w:type="dxa"/>
            <w:tcBorders>
              <w:top w:val="single" w:sz="12" w:space="0" w:color="auto"/>
            </w:tcBorders>
            <w:shd w:val="clear" w:color="auto" w:fill="auto"/>
          </w:tcPr>
          <w:p w:rsidR="00BA06AB" w:rsidRPr="000E3F9F" w:rsidRDefault="00BA06AB" w:rsidP="000E3F9F">
            <w:pPr>
              <w:pStyle w:val="SingleTxtG"/>
              <w:suppressAutoHyphens w:val="0"/>
              <w:spacing w:before="40" w:after="40" w:line="220" w:lineRule="exact"/>
              <w:ind w:left="0" w:right="113"/>
              <w:jc w:val="left"/>
              <w:rPr>
                <w:sz w:val="18"/>
              </w:rPr>
            </w:pPr>
            <w:r w:rsidRPr="000E3F9F">
              <w:rPr>
                <w:sz w:val="18"/>
              </w:rPr>
              <w:t>Female</w:t>
            </w:r>
          </w:p>
        </w:tc>
        <w:tc>
          <w:tcPr>
            <w:tcW w:w="585"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1 647</w:t>
            </w:r>
          </w:p>
        </w:tc>
        <w:tc>
          <w:tcPr>
            <w:tcW w:w="585"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1 632</w:t>
            </w:r>
          </w:p>
        </w:tc>
        <w:tc>
          <w:tcPr>
            <w:tcW w:w="585"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1 849</w:t>
            </w:r>
          </w:p>
        </w:tc>
        <w:tc>
          <w:tcPr>
            <w:tcW w:w="603"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2 131</w:t>
            </w:r>
          </w:p>
        </w:tc>
        <w:tc>
          <w:tcPr>
            <w:tcW w:w="603"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1 784</w:t>
            </w:r>
          </w:p>
        </w:tc>
        <w:tc>
          <w:tcPr>
            <w:tcW w:w="582"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p>
        </w:tc>
        <w:tc>
          <w:tcPr>
            <w:tcW w:w="605"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1 908</w:t>
            </w:r>
          </w:p>
        </w:tc>
        <w:tc>
          <w:tcPr>
            <w:tcW w:w="582"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p>
        </w:tc>
        <w:tc>
          <w:tcPr>
            <w:tcW w:w="580"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1 718</w:t>
            </w:r>
          </w:p>
        </w:tc>
        <w:tc>
          <w:tcPr>
            <w:tcW w:w="571"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2 536</w:t>
            </w:r>
          </w:p>
        </w:tc>
        <w:tc>
          <w:tcPr>
            <w:tcW w:w="534" w:type="dxa"/>
            <w:tcBorders>
              <w:top w:val="single" w:sz="12" w:space="0" w:color="auto"/>
            </w:tcBorders>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2 047</w:t>
            </w:r>
          </w:p>
        </w:tc>
      </w:tr>
      <w:tr w:rsidR="00BA06AB" w:rsidRPr="000E3F9F" w:rsidTr="000E3F9F">
        <w:trPr>
          <w:trHeight w:val="240"/>
        </w:trPr>
        <w:tc>
          <w:tcPr>
            <w:tcW w:w="955" w:type="dxa"/>
            <w:shd w:val="clear" w:color="auto" w:fill="auto"/>
          </w:tcPr>
          <w:p w:rsidR="00BA06AB" w:rsidRPr="000E3F9F" w:rsidRDefault="00BA06AB" w:rsidP="000E3F9F">
            <w:pPr>
              <w:pStyle w:val="SingleTxtG"/>
              <w:suppressAutoHyphens w:val="0"/>
              <w:spacing w:before="40" w:after="40" w:line="220" w:lineRule="exact"/>
              <w:ind w:left="0" w:right="113"/>
              <w:jc w:val="left"/>
              <w:rPr>
                <w:sz w:val="18"/>
              </w:rPr>
            </w:pPr>
            <w:r w:rsidRPr="000E3F9F">
              <w:rPr>
                <w:sz w:val="18"/>
              </w:rPr>
              <w:t>Male</w:t>
            </w:r>
          </w:p>
        </w:tc>
        <w:tc>
          <w:tcPr>
            <w:tcW w:w="585"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146</w:t>
            </w:r>
          </w:p>
        </w:tc>
        <w:tc>
          <w:tcPr>
            <w:tcW w:w="585"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148</w:t>
            </w:r>
          </w:p>
        </w:tc>
        <w:tc>
          <w:tcPr>
            <w:tcW w:w="585"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168</w:t>
            </w:r>
          </w:p>
        </w:tc>
        <w:tc>
          <w:tcPr>
            <w:tcW w:w="603"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191</w:t>
            </w:r>
          </w:p>
        </w:tc>
        <w:tc>
          <w:tcPr>
            <w:tcW w:w="603"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141</w:t>
            </w:r>
          </w:p>
        </w:tc>
        <w:tc>
          <w:tcPr>
            <w:tcW w:w="582"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p>
        </w:tc>
        <w:tc>
          <w:tcPr>
            <w:tcW w:w="605"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129</w:t>
            </w:r>
          </w:p>
        </w:tc>
        <w:tc>
          <w:tcPr>
            <w:tcW w:w="582"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p>
        </w:tc>
        <w:tc>
          <w:tcPr>
            <w:tcW w:w="580"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112</w:t>
            </w:r>
          </w:p>
        </w:tc>
        <w:tc>
          <w:tcPr>
            <w:tcW w:w="571"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284</w:t>
            </w:r>
          </w:p>
        </w:tc>
        <w:tc>
          <w:tcPr>
            <w:tcW w:w="534" w:type="dxa"/>
            <w:shd w:val="clear" w:color="auto" w:fill="auto"/>
            <w:vAlign w:val="bottom"/>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215</w:t>
            </w:r>
          </w:p>
        </w:tc>
      </w:tr>
    </w:tbl>
    <w:p w:rsidR="00BA06AB" w:rsidRPr="000E3F9F" w:rsidRDefault="00BA06AB" w:rsidP="000E3F9F">
      <w:pPr>
        <w:spacing w:before="120"/>
        <w:ind w:left="1134" w:right="1134" w:firstLine="170"/>
        <w:rPr>
          <w:sz w:val="18"/>
        </w:rPr>
      </w:pPr>
      <w:r w:rsidRPr="000E3F9F">
        <w:rPr>
          <w:i/>
          <w:sz w:val="18"/>
        </w:rPr>
        <w:t>Source</w:t>
      </w:r>
      <w:r w:rsidRPr="000E3F9F">
        <w:rPr>
          <w:sz w:val="18"/>
        </w:rPr>
        <w:t xml:space="preserve">: </w:t>
      </w:r>
      <w:r w:rsidR="00C90600">
        <w:rPr>
          <w:sz w:val="18"/>
        </w:rPr>
        <w:t xml:space="preserve"> </w:t>
      </w:r>
      <w:r w:rsidRPr="000E3F9F">
        <w:rPr>
          <w:sz w:val="18"/>
        </w:rPr>
        <w:t>Department of Forensic Medicine Statistics.</w:t>
      </w:r>
    </w:p>
    <w:p w:rsidR="00BA06AB" w:rsidRPr="000E3F9F" w:rsidRDefault="00BA06AB" w:rsidP="00313077">
      <w:pPr>
        <w:ind w:left="1134" w:right="1134" w:firstLine="170"/>
        <w:rPr>
          <w:sz w:val="18"/>
        </w:rPr>
      </w:pPr>
      <w:r w:rsidRPr="000E3F9F">
        <w:rPr>
          <w:i/>
          <w:sz w:val="18"/>
        </w:rPr>
        <w:t>Note</w:t>
      </w:r>
      <w:r w:rsidRPr="000E3F9F">
        <w:rPr>
          <w:sz w:val="18"/>
        </w:rPr>
        <w:t xml:space="preserve">: </w:t>
      </w:r>
      <w:r w:rsidR="00C90600">
        <w:rPr>
          <w:sz w:val="18"/>
        </w:rPr>
        <w:t xml:space="preserve"> </w:t>
      </w:r>
      <w:r w:rsidRPr="000E3F9F">
        <w:rPr>
          <w:sz w:val="18"/>
        </w:rPr>
        <w:t>There is currently no information for 2010 and 2012.</w:t>
      </w:r>
    </w:p>
    <w:p w:rsidR="00BA06AB" w:rsidRPr="00445C95" w:rsidRDefault="000E3F9F" w:rsidP="000E3F9F">
      <w:pPr>
        <w:pStyle w:val="H23G"/>
      </w:pPr>
      <w:r>
        <w:tab/>
      </w:r>
      <w:r>
        <w:tab/>
      </w:r>
      <w:bookmarkStart w:id="34" w:name="_Toc486428536"/>
      <w:r w:rsidR="00BA06AB" w:rsidRPr="00445C95">
        <w:t>Child and adolescent rape victims, by sex, 2013</w:t>
      </w:r>
      <w:r w:rsidR="00866581">
        <w:t>-</w:t>
      </w:r>
      <w:r w:rsidR="00BA06AB" w:rsidRPr="00445C95">
        <w:t>2014</w:t>
      </w:r>
      <w:bookmarkEnd w:id="3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54"/>
        <w:gridCol w:w="1216"/>
        <w:gridCol w:w="1569"/>
        <w:gridCol w:w="1331"/>
      </w:tblGrid>
      <w:tr w:rsidR="00BA06AB" w:rsidRPr="000E3F9F" w:rsidTr="000E3F9F">
        <w:trPr>
          <w:trHeight w:val="300"/>
          <w:tblHeader/>
        </w:trPr>
        <w:tc>
          <w:tcPr>
            <w:tcW w:w="3254" w:type="dxa"/>
            <w:tcBorders>
              <w:top w:val="single" w:sz="4" w:space="0" w:color="auto"/>
              <w:bottom w:val="single" w:sz="12" w:space="0" w:color="auto"/>
            </w:tcBorders>
            <w:shd w:val="clear" w:color="auto" w:fill="auto"/>
            <w:noWrap/>
            <w:vAlign w:val="bottom"/>
            <w:hideMark/>
          </w:tcPr>
          <w:p w:rsidR="00BA06AB" w:rsidRPr="000E3F9F" w:rsidRDefault="00BA06AB" w:rsidP="000E3F9F">
            <w:pPr>
              <w:pStyle w:val="SingleTxtG"/>
              <w:suppressAutoHyphens w:val="0"/>
              <w:spacing w:before="80" w:after="80" w:line="200" w:lineRule="exact"/>
              <w:ind w:left="0" w:right="113"/>
              <w:jc w:val="left"/>
              <w:rPr>
                <w:i/>
                <w:sz w:val="16"/>
              </w:rPr>
            </w:pPr>
            <w:r w:rsidRPr="000E3F9F">
              <w:rPr>
                <w:i/>
                <w:sz w:val="16"/>
              </w:rPr>
              <w:t>Sex</w:t>
            </w:r>
          </w:p>
        </w:tc>
        <w:tc>
          <w:tcPr>
            <w:tcW w:w="1216" w:type="dxa"/>
            <w:tcBorders>
              <w:top w:val="single" w:sz="4" w:space="0" w:color="auto"/>
              <w:bottom w:val="single" w:sz="12" w:space="0" w:color="auto"/>
            </w:tcBorders>
            <w:shd w:val="clear" w:color="auto" w:fill="auto"/>
            <w:noWrap/>
            <w:vAlign w:val="bottom"/>
            <w:hideMark/>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2013</w:t>
            </w:r>
          </w:p>
        </w:tc>
        <w:tc>
          <w:tcPr>
            <w:tcW w:w="1569" w:type="dxa"/>
            <w:tcBorders>
              <w:top w:val="single" w:sz="4" w:space="0" w:color="auto"/>
              <w:bottom w:val="single" w:sz="12" w:space="0" w:color="auto"/>
            </w:tcBorders>
            <w:shd w:val="clear" w:color="auto" w:fill="auto"/>
            <w:noWrap/>
            <w:vAlign w:val="bottom"/>
            <w:hideMark/>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2014</w:t>
            </w:r>
          </w:p>
        </w:tc>
        <w:tc>
          <w:tcPr>
            <w:tcW w:w="1331" w:type="dxa"/>
            <w:tcBorders>
              <w:top w:val="single" w:sz="4" w:space="0" w:color="auto"/>
              <w:bottom w:val="single" w:sz="12" w:space="0" w:color="auto"/>
            </w:tcBorders>
            <w:shd w:val="clear" w:color="auto" w:fill="auto"/>
            <w:noWrap/>
            <w:vAlign w:val="bottom"/>
            <w:hideMark/>
          </w:tcPr>
          <w:p w:rsidR="00BA06AB" w:rsidRPr="000E3F9F" w:rsidRDefault="00BA06AB" w:rsidP="000E3F9F">
            <w:pPr>
              <w:pStyle w:val="SingleTxtG"/>
              <w:suppressAutoHyphens w:val="0"/>
              <w:spacing w:before="80" w:after="80" w:line="200" w:lineRule="exact"/>
              <w:ind w:left="0" w:right="113"/>
              <w:jc w:val="right"/>
              <w:rPr>
                <w:i/>
                <w:sz w:val="16"/>
              </w:rPr>
            </w:pPr>
            <w:r w:rsidRPr="000E3F9F">
              <w:rPr>
                <w:i/>
                <w:sz w:val="16"/>
              </w:rPr>
              <w:t>2015</w:t>
            </w:r>
          </w:p>
        </w:tc>
      </w:tr>
      <w:tr w:rsidR="00BA06AB" w:rsidRPr="000E3F9F" w:rsidTr="000E3F9F">
        <w:trPr>
          <w:trHeight w:val="300"/>
        </w:trPr>
        <w:tc>
          <w:tcPr>
            <w:tcW w:w="3254" w:type="dxa"/>
            <w:tcBorders>
              <w:top w:val="single" w:sz="12" w:space="0" w:color="auto"/>
            </w:tcBorders>
            <w:shd w:val="clear" w:color="auto" w:fill="auto"/>
            <w:noWrap/>
            <w:hideMark/>
          </w:tcPr>
          <w:p w:rsidR="00BA06AB" w:rsidRPr="000E3F9F" w:rsidRDefault="00BA06AB" w:rsidP="000E3F9F">
            <w:pPr>
              <w:pStyle w:val="SingleTxtG"/>
              <w:suppressAutoHyphens w:val="0"/>
              <w:spacing w:before="40" w:after="40" w:line="220" w:lineRule="exact"/>
              <w:ind w:left="0" w:right="113"/>
              <w:jc w:val="left"/>
              <w:rPr>
                <w:sz w:val="18"/>
              </w:rPr>
            </w:pPr>
            <w:r w:rsidRPr="000E3F9F">
              <w:rPr>
                <w:sz w:val="18"/>
              </w:rPr>
              <w:t>Boys</w:t>
            </w:r>
          </w:p>
        </w:tc>
        <w:tc>
          <w:tcPr>
            <w:tcW w:w="1216" w:type="dxa"/>
            <w:tcBorders>
              <w:top w:val="single" w:sz="12" w:space="0" w:color="auto"/>
            </w:tcBorders>
            <w:shd w:val="clear" w:color="auto" w:fill="auto"/>
            <w:noWrap/>
            <w:vAlign w:val="bottom"/>
            <w:hideMark/>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101</w:t>
            </w:r>
          </w:p>
        </w:tc>
        <w:tc>
          <w:tcPr>
            <w:tcW w:w="1569" w:type="dxa"/>
            <w:tcBorders>
              <w:top w:val="single" w:sz="12" w:space="0" w:color="auto"/>
            </w:tcBorders>
            <w:shd w:val="clear" w:color="auto" w:fill="auto"/>
            <w:noWrap/>
            <w:vAlign w:val="bottom"/>
            <w:hideMark/>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64</w:t>
            </w:r>
          </w:p>
        </w:tc>
        <w:tc>
          <w:tcPr>
            <w:tcW w:w="1331" w:type="dxa"/>
            <w:tcBorders>
              <w:top w:val="single" w:sz="12" w:space="0" w:color="auto"/>
            </w:tcBorders>
            <w:shd w:val="clear" w:color="auto" w:fill="auto"/>
            <w:noWrap/>
            <w:vAlign w:val="bottom"/>
            <w:hideMark/>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50</w:t>
            </w:r>
          </w:p>
        </w:tc>
      </w:tr>
      <w:tr w:rsidR="00BA06AB" w:rsidRPr="000E3F9F" w:rsidTr="000E3F9F">
        <w:trPr>
          <w:trHeight w:val="300"/>
        </w:trPr>
        <w:tc>
          <w:tcPr>
            <w:tcW w:w="3254" w:type="dxa"/>
            <w:tcBorders>
              <w:bottom w:val="single" w:sz="4" w:space="0" w:color="auto"/>
            </w:tcBorders>
            <w:shd w:val="clear" w:color="auto" w:fill="auto"/>
            <w:noWrap/>
            <w:hideMark/>
          </w:tcPr>
          <w:p w:rsidR="00BA06AB" w:rsidRPr="000E3F9F" w:rsidRDefault="00BA06AB" w:rsidP="000E3F9F">
            <w:pPr>
              <w:pStyle w:val="SingleTxtG"/>
              <w:suppressAutoHyphens w:val="0"/>
              <w:spacing w:before="40" w:after="40" w:line="220" w:lineRule="exact"/>
              <w:ind w:left="0" w:right="113"/>
              <w:jc w:val="left"/>
              <w:rPr>
                <w:sz w:val="18"/>
              </w:rPr>
            </w:pPr>
            <w:r w:rsidRPr="000E3F9F">
              <w:rPr>
                <w:sz w:val="18"/>
              </w:rPr>
              <w:t>Girls</w:t>
            </w:r>
          </w:p>
        </w:tc>
        <w:tc>
          <w:tcPr>
            <w:tcW w:w="1216" w:type="dxa"/>
            <w:tcBorders>
              <w:bottom w:val="single" w:sz="4" w:space="0" w:color="auto"/>
            </w:tcBorders>
            <w:shd w:val="clear" w:color="auto" w:fill="auto"/>
            <w:noWrap/>
            <w:vAlign w:val="bottom"/>
            <w:hideMark/>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1 218</w:t>
            </w:r>
          </w:p>
        </w:tc>
        <w:tc>
          <w:tcPr>
            <w:tcW w:w="1569" w:type="dxa"/>
            <w:tcBorders>
              <w:bottom w:val="single" w:sz="4" w:space="0" w:color="auto"/>
            </w:tcBorders>
            <w:shd w:val="clear" w:color="auto" w:fill="auto"/>
            <w:noWrap/>
            <w:vAlign w:val="bottom"/>
            <w:hideMark/>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882</w:t>
            </w:r>
          </w:p>
        </w:tc>
        <w:tc>
          <w:tcPr>
            <w:tcW w:w="1331" w:type="dxa"/>
            <w:tcBorders>
              <w:bottom w:val="single" w:sz="4" w:space="0" w:color="auto"/>
            </w:tcBorders>
            <w:shd w:val="clear" w:color="auto" w:fill="auto"/>
            <w:noWrap/>
            <w:vAlign w:val="bottom"/>
            <w:hideMark/>
          </w:tcPr>
          <w:p w:rsidR="00BA06AB" w:rsidRPr="000E3F9F" w:rsidRDefault="00BA06AB" w:rsidP="000E3F9F">
            <w:pPr>
              <w:pStyle w:val="SingleTxtG"/>
              <w:suppressAutoHyphens w:val="0"/>
              <w:spacing w:before="40" w:after="40" w:line="220" w:lineRule="exact"/>
              <w:ind w:left="0" w:right="113"/>
              <w:jc w:val="right"/>
              <w:rPr>
                <w:sz w:val="18"/>
              </w:rPr>
            </w:pPr>
            <w:r w:rsidRPr="000E3F9F">
              <w:rPr>
                <w:sz w:val="18"/>
              </w:rPr>
              <w:t>703</w:t>
            </w:r>
          </w:p>
        </w:tc>
      </w:tr>
      <w:tr w:rsidR="00BA06AB" w:rsidRPr="000E3F9F" w:rsidTr="000E3F9F">
        <w:trPr>
          <w:trHeight w:val="300"/>
        </w:trPr>
        <w:tc>
          <w:tcPr>
            <w:tcW w:w="3254" w:type="dxa"/>
            <w:tcBorders>
              <w:top w:val="single" w:sz="4" w:space="0" w:color="auto"/>
              <w:bottom w:val="single" w:sz="12" w:space="0" w:color="auto"/>
            </w:tcBorders>
            <w:shd w:val="clear" w:color="auto" w:fill="auto"/>
            <w:noWrap/>
            <w:hideMark/>
          </w:tcPr>
          <w:p w:rsidR="00BA06AB" w:rsidRPr="000E3F9F" w:rsidRDefault="00BA06AB" w:rsidP="000E3F9F">
            <w:pPr>
              <w:pStyle w:val="SingleTxtG"/>
              <w:suppressAutoHyphens w:val="0"/>
              <w:spacing w:before="80" w:after="80" w:line="220" w:lineRule="exact"/>
              <w:ind w:left="283" w:right="0"/>
              <w:jc w:val="left"/>
              <w:rPr>
                <w:b/>
                <w:sz w:val="18"/>
              </w:rPr>
            </w:pPr>
            <w:r w:rsidRPr="000E3F9F">
              <w:rPr>
                <w:b/>
                <w:sz w:val="18"/>
              </w:rPr>
              <w:t>Total</w:t>
            </w:r>
          </w:p>
        </w:tc>
        <w:tc>
          <w:tcPr>
            <w:tcW w:w="1216" w:type="dxa"/>
            <w:tcBorders>
              <w:top w:val="single" w:sz="4" w:space="0" w:color="auto"/>
              <w:bottom w:val="single" w:sz="12" w:space="0" w:color="auto"/>
            </w:tcBorders>
            <w:shd w:val="clear" w:color="auto" w:fill="auto"/>
            <w:noWrap/>
            <w:vAlign w:val="bottom"/>
            <w:hideMark/>
          </w:tcPr>
          <w:p w:rsidR="00BA06AB" w:rsidRPr="000E3F9F" w:rsidRDefault="00BA06AB" w:rsidP="000E3F9F">
            <w:pPr>
              <w:pStyle w:val="SingleTxtG"/>
              <w:suppressAutoHyphens w:val="0"/>
              <w:spacing w:before="80" w:after="80" w:line="220" w:lineRule="exact"/>
              <w:ind w:left="0" w:right="113"/>
              <w:jc w:val="right"/>
              <w:rPr>
                <w:b/>
                <w:sz w:val="18"/>
              </w:rPr>
            </w:pPr>
            <w:r w:rsidRPr="000E3F9F">
              <w:rPr>
                <w:b/>
                <w:sz w:val="18"/>
              </w:rPr>
              <w:t>1 319</w:t>
            </w:r>
          </w:p>
        </w:tc>
        <w:tc>
          <w:tcPr>
            <w:tcW w:w="1569" w:type="dxa"/>
            <w:tcBorders>
              <w:top w:val="single" w:sz="4" w:space="0" w:color="auto"/>
              <w:bottom w:val="single" w:sz="12" w:space="0" w:color="auto"/>
            </w:tcBorders>
            <w:shd w:val="clear" w:color="auto" w:fill="auto"/>
            <w:noWrap/>
            <w:vAlign w:val="bottom"/>
            <w:hideMark/>
          </w:tcPr>
          <w:p w:rsidR="00BA06AB" w:rsidRPr="000E3F9F" w:rsidRDefault="00BA06AB" w:rsidP="000E3F9F">
            <w:pPr>
              <w:pStyle w:val="SingleTxtG"/>
              <w:suppressAutoHyphens w:val="0"/>
              <w:spacing w:before="80" w:after="80" w:line="220" w:lineRule="exact"/>
              <w:ind w:left="0" w:right="113"/>
              <w:jc w:val="right"/>
              <w:rPr>
                <w:b/>
                <w:sz w:val="18"/>
              </w:rPr>
            </w:pPr>
            <w:r w:rsidRPr="000E3F9F">
              <w:rPr>
                <w:b/>
                <w:sz w:val="18"/>
              </w:rPr>
              <w:t>946</w:t>
            </w:r>
          </w:p>
        </w:tc>
        <w:tc>
          <w:tcPr>
            <w:tcW w:w="1331" w:type="dxa"/>
            <w:tcBorders>
              <w:top w:val="single" w:sz="4" w:space="0" w:color="auto"/>
              <w:bottom w:val="single" w:sz="12" w:space="0" w:color="auto"/>
            </w:tcBorders>
            <w:shd w:val="clear" w:color="auto" w:fill="auto"/>
            <w:noWrap/>
            <w:vAlign w:val="bottom"/>
            <w:hideMark/>
          </w:tcPr>
          <w:p w:rsidR="00BA06AB" w:rsidRPr="000E3F9F" w:rsidRDefault="00BA06AB" w:rsidP="000E3F9F">
            <w:pPr>
              <w:pStyle w:val="SingleTxtG"/>
              <w:suppressAutoHyphens w:val="0"/>
              <w:spacing w:before="80" w:after="80" w:line="220" w:lineRule="exact"/>
              <w:ind w:left="0" w:right="113"/>
              <w:jc w:val="right"/>
              <w:rPr>
                <w:b/>
                <w:sz w:val="18"/>
              </w:rPr>
            </w:pPr>
            <w:r w:rsidRPr="000E3F9F">
              <w:rPr>
                <w:b/>
                <w:sz w:val="18"/>
              </w:rPr>
              <w:t>753</w:t>
            </w:r>
          </w:p>
        </w:tc>
      </w:tr>
    </w:tbl>
    <w:p w:rsidR="00BA06AB" w:rsidRPr="000E3F9F" w:rsidRDefault="00BA06AB" w:rsidP="000E3F9F">
      <w:pPr>
        <w:spacing w:before="120"/>
        <w:ind w:left="1134" w:right="1134" w:firstLine="170"/>
        <w:rPr>
          <w:sz w:val="18"/>
        </w:rPr>
      </w:pPr>
      <w:r w:rsidRPr="000E3F9F">
        <w:rPr>
          <w:i/>
          <w:sz w:val="18"/>
        </w:rPr>
        <w:t>Source</w:t>
      </w:r>
      <w:r w:rsidRPr="000E3F9F">
        <w:rPr>
          <w:sz w:val="18"/>
        </w:rPr>
        <w:t>:</w:t>
      </w:r>
      <w:r w:rsidR="002868F2">
        <w:rPr>
          <w:sz w:val="18"/>
        </w:rPr>
        <w:t xml:space="preserve"> </w:t>
      </w:r>
      <w:r w:rsidRPr="000E3F9F">
        <w:rPr>
          <w:sz w:val="18"/>
        </w:rPr>
        <w:t xml:space="preserve"> Original compilation drawing on Institute of Forensic Medicine data.</w:t>
      </w:r>
    </w:p>
    <w:p w:rsidR="00BA06AB" w:rsidRPr="000E3F9F" w:rsidRDefault="00BA06AB" w:rsidP="000E3F9F">
      <w:pPr>
        <w:spacing w:before="120"/>
        <w:ind w:left="1134" w:right="1134" w:firstLine="170"/>
        <w:rPr>
          <w:sz w:val="18"/>
        </w:rPr>
      </w:pPr>
      <w:r w:rsidRPr="000E3F9F">
        <w:rPr>
          <w:i/>
          <w:sz w:val="18"/>
        </w:rPr>
        <w:t>Note</w:t>
      </w:r>
      <w:r w:rsidRPr="000E3F9F">
        <w:rPr>
          <w:sz w:val="18"/>
        </w:rPr>
        <w:t>:</w:t>
      </w:r>
      <w:r w:rsidR="002868F2">
        <w:rPr>
          <w:sz w:val="18"/>
        </w:rPr>
        <w:t xml:space="preserve"> </w:t>
      </w:r>
      <w:r w:rsidRPr="000E3F9F">
        <w:rPr>
          <w:sz w:val="18"/>
        </w:rPr>
        <w:t xml:space="preserve"> 2013 includes men and women of 18 years of age. </w:t>
      </w:r>
    </w:p>
    <w:p w:rsidR="00BA06AB" w:rsidRPr="00445C95" w:rsidRDefault="000E3F9F" w:rsidP="000E3F9F">
      <w:pPr>
        <w:pStyle w:val="H23G"/>
      </w:pPr>
      <w:r>
        <w:tab/>
      </w:r>
      <w:r>
        <w:tab/>
      </w:r>
      <w:bookmarkStart w:id="35" w:name="_Toc486428537"/>
      <w:r w:rsidR="00BA06AB" w:rsidRPr="00445C95">
        <w:t>Frequency of homicides, by sex</w:t>
      </w:r>
      <w:bookmarkEnd w:id="3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89"/>
        <w:gridCol w:w="952"/>
        <w:gridCol w:w="930"/>
        <w:gridCol w:w="1015"/>
        <w:gridCol w:w="907"/>
        <w:gridCol w:w="1015"/>
        <w:gridCol w:w="1162"/>
      </w:tblGrid>
      <w:tr w:rsidR="00BA06AB" w:rsidRPr="000A304B" w:rsidTr="000A304B">
        <w:trPr>
          <w:trHeight w:val="240"/>
          <w:tblHeader/>
        </w:trPr>
        <w:tc>
          <w:tcPr>
            <w:tcW w:w="1389" w:type="dxa"/>
            <w:tcBorders>
              <w:top w:val="single" w:sz="4" w:space="0" w:color="auto"/>
              <w:bottom w:val="single" w:sz="12" w:space="0" w:color="auto"/>
            </w:tcBorders>
            <w:shd w:val="clear" w:color="auto" w:fill="auto"/>
            <w:vAlign w:val="bottom"/>
          </w:tcPr>
          <w:p w:rsidR="00BA06AB" w:rsidRPr="000A304B" w:rsidRDefault="00BA06AB" w:rsidP="000A304B">
            <w:pPr>
              <w:pStyle w:val="SingleTxtG"/>
              <w:suppressAutoHyphens w:val="0"/>
              <w:spacing w:before="80" w:after="80" w:line="200" w:lineRule="exact"/>
              <w:ind w:left="0" w:right="113"/>
              <w:jc w:val="left"/>
              <w:rPr>
                <w:i/>
                <w:sz w:val="16"/>
              </w:rPr>
            </w:pPr>
            <w:r w:rsidRPr="000A304B">
              <w:rPr>
                <w:i/>
                <w:sz w:val="16"/>
              </w:rPr>
              <w:t>Sex</w:t>
            </w:r>
          </w:p>
        </w:tc>
        <w:tc>
          <w:tcPr>
            <w:tcW w:w="952" w:type="dxa"/>
            <w:tcBorders>
              <w:top w:val="single" w:sz="4" w:space="0" w:color="auto"/>
              <w:bottom w:val="single" w:sz="12" w:space="0" w:color="auto"/>
            </w:tcBorders>
            <w:shd w:val="clear" w:color="auto" w:fill="auto"/>
            <w:vAlign w:val="bottom"/>
          </w:tcPr>
          <w:p w:rsidR="00BA06AB" w:rsidRPr="000A304B" w:rsidRDefault="00BA06AB" w:rsidP="000A304B">
            <w:pPr>
              <w:pStyle w:val="SingleTxtG"/>
              <w:suppressAutoHyphens w:val="0"/>
              <w:spacing w:before="80" w:after="80" w:line="200" w:lineRule="exact"/>
              <w:ind w:left="0" w:right="113"/>
              <w:jc w:val="right"/>
              <w:rPr>
                <w:i/>
                <w:sz w:val="16"/>
              </w:rPr>
            </w:pPr>
            <w:r w:rsidRPr="000A304B">
              <w:rPr>
                <w:i/>
                <w:sz w:val="16"/>
              </w:rPr>
              <w:t>2010</w:t>
            </w:r>
          </w:p>
        </w:tc>
        <w:tc>
          <w:tcPr>
            <w:tcW w:w="930" w:type="dxa"/>
            <w:tcBorders>
              <w:top w:val="single" w:sz="4" w:space="0" w:color="auto"/>
              <w:bottom w:val="single" w:sz="12" w:space="0" w:color="auto"/>
            </w:tcBorders>
            <w:shd w:val="clear" w:color="auto" w:fill="auto"/>
            <w:vAlign w:val="bottom"/>
          </w:tcPr>
          <w:p w:rsidR="00BA06AB" w:rsidRPr="000A304B" w:rsidRDefault="00BA06AB" w:rsidP="000A304B">
            <w:pPr>
              <w:pStyle w:val="SingleTxtG"/>
              <w:suppressAutoHyphens w:val="0"/>
              <w:spacing w:before="80" w:after="80" w:line="200" w:lineRule="exact"/>
              <w:ind w:left="0" w:right="113"/>
              <w:jc w:val="right"/>
              <w:rPr>
                <w:i/>
                <w:sz w:val="16"/>
              </w:rPr>
            </w:pPr>
            <w:r w:rsidRPr="000A304B">
              <w:rPr>
                <w:i/>
                <w:sz w:val="16"/>
              </w:rPr>
              <w:t>2011</w:t>
            </w:r>
          </w:p>
        </w:tc>
        <w:tc>
          <w:tcPr>
            <w:tcW w:w="1015" w:type="dxa"/>
            <w:tcBorders>
              <w:top w:val="single" w:sz="4" w:space="0" w:color="auto"/>
              <w:bottom w:val="single" w:sz="12" w:space="0" w:color="auto"/>
            </w:tcBorders>
            <w:shd w:val="clear" w:color="auto" w:fill="auto"/>
            <w:vAlign w:val="bottom"/>
          </w:tcPr>
          <w:p w:rsidR="00BA06AB" w:rsidRPr="000A304B" w:rsidRDefault="00BA06AB" w:rsidP="000A304B">
            <w:pPr>
              <w:pStyle w:val="SingleTxtG"/>
              <w:suppressAutoHyphens w:val="0"/>
              <w:spacing w:before="80" w:after="80" w:line="200" w:lineRule="exact"/>
              <w:ind w:left="0" w:right="113"/>
              <w:jc w:val="right"/>
              <w:rPr>
                <w:i/>
                <w:sz w:val="16"/>
              </w:rPr>
            </w:pPr>
            <w:r w:rsidRPr="000A304B">
              <w:rPr>
                <w:i/>
                <w:sz w:val="16"/>
              </w:rPr>
              <w:t>2012</w:t>
            </w:r>
          </w:p>
        </w:tc>
        <w:tc>
          <w:tcPr>
            <w:tcW w:w="907" w:type="dxa"/>
            <w:tcBorders>
              <w:top w:val="single" w:sz="4" w:space="0" w:color="auto"/>
              <w:bottom w:val="single" w:sz="12" w:space="0" w:color="auto"/>
            </w:tcBorders>
            <w:shd w:val="clear" w:color="auto" w:fill="auto"/>
            <w:vAlign w:val="bottom"/>
          </w:tcPr>
          <w:p w:rsidR="00BA06AB" w:rsidRPr="000A304B" w:rsidRDefault="00BA06AB" w:rsidP="000A304B">
            <w:pPr>
              <w:pStyle w:val="SingleTxtG"/>
              <w:suppressAutoHyphens w:val="0"/>
              <w:spacing w:before="80" w:after="80" w:line="200" w:lineRule="exact"/>
              <w:ind w:left="0" w:right="113"/>
              <w:jc w:val="right"/>
              <w:rPr>
                <w:i/>
                <w:sz w:val="16"/>
              </w:rPr>
            </w:pPr>
            <w:r w:rsidRPr="000A304B">
              <w:rPr>
                <w:i/>
                <w:sz w:val="16"/>
              </w:rPr>
              <w:t>2013</w:t>
            </w:r>
          </w:p>
        </w:tc>
        <w:tc>
          <w:tcPr>
            <w:tcW w:w="1015" w:type="dxa"/>
            <w:tcBorders>
              <w:top w:val="single" w:sz="4" w:space="0" w:color="auto"/>
              <w:bottom w:val="single" w:sz="12" w:space="0" w:color="auto"/>
            </w:tcBorders>
            <w:shd w:val="clear" w:color="auto" w:fill="auto"/>
            <w:vAlign w:val="bottom"/>
          </w:tcPr>
          <w:p w:rsidR="00BA06AB" w:rsidRPr="000A304B" w:rsidRDefault="00BA06AB" w:rsidP="000A304B">
            <w:pPr>
              <w:pStyle w:val="SingleTxtG"/>
              <w:suppressAutoHyphens w:val="0"/>
              <w:spacing w:before="80" w:after="80" w:line="200" w:lineRule="exact"/>
              <w:ind w:left="0" w:right="113"/>
              <w:jc w:val="right"/>
              <w:rPr>
                <w:i/>
                <w:sz w:val="16"/>
              </w:rPr>
            </w:pPr>
            <w:r w:rsidRPr="000A304B">
              <w:rPr>
                <w:i/>
                <w:sz w:val="16"/>
              </w:rPr>
              <w:t>2014</w:t>
            </w:r>
          </w:p>
        </w:tc>
        <w:tc>
          <w:tcPr>
            <w:tcW w:w="1162" w:type="dxa"/>
            <w:tcBorders>
              <w:top w:val="single" w:sz="4" w:space="0" w:color="auto"/>
              <w:bottom w:val="single" w:sz="12" w:space="0" w:color="auto"/>
            </w:tcBorders>
            <w:shd w:val="clear" w:color="auto" w:fill="auto"/>
            <w:vAlign w:val="bottom"/>
          </w:tcPr>
          <w:p w:rsidR="00BA06AB" w:rsidRPr="000A304B" w:rsidRDefault="00BA06AB" w:rsidP="000A304B">
            <w:pPr>
              <w:pStyle w:val="SingleTxtG"/>
              <w:suppressAutoHyphens w:val="0"/>
              <w:spacing w:before="80" w:after="80" w:line="200" w:lineRule="exact"/>
              <w:ind w:left="0" w:right="113"/>
              <w:jc w:val="right"/>
              <w:rPr>
                <w:i/>
                <w:sz w:val="16"/>
              </w:rPr>
            </w:pPr>
            <w:r w:rsidRPr="000A304B">
              <w:rPr>
                <w:i/>
                <w:sz w:val="16"/>
              </w:rPr>
              <w:t>2015</w:t>
            </w:r>
          </w:p>
        </w:tc>
      </w:tr>
      <w:tr w:rsidR="00BA06AB" w:rsidRPr="000A304B" w:rsidTr="000A304B">
        <w:trPr>
          <w:trHeight w:val="240"/>
        </w:trPr>
        <w:tc>
          <w:tcPr>
            <w:tcW w:w="1389" w:type="dxa"/>
            <w:tcBorders>
              <w:top w:val="single" w:sz="12" w:space="0" w:color="auto"/>
            </w:tcBorders>
            <w:shd w:val="clear" w:color="auto" w:fill="auto"/>
          </w:tcPr>
          <w:p w:rsidR="00BA06AB" w:rsidRPr="000A304B" w:rsidRDefault="00BA06AB" w:rsidP="000A304B">
            <w:pPr>
              <w:pStyle w:val="SingleTxtG"/>
              <w:suppressAutoHyphens w:val="0"/>
              <w:spacing w:before="40" w:after="40" w:line="220" w:lineRule="exact"/>
              <w:ind w:left="0" w:right="113"/>
              <w:jc w:val="left"/>
              <w:rPr>
                <w:sz w:val="18"/>
              </w:rPr>
            </w:pPr>
            <w:r w:rsidRPr="000A304B">
              <w:rPr>
                <w:sz w:val="18"/>
              </w:rPr>
              <w:t>Female</w:t>
            </w:r>
          </w:p>
        </w:tc>
        <w:tc>
          <w:tcPr>
            <w:tcW w:w="952" w:type="dxa"/>
            <w:tcBorders>
              <w:top w:val="single" w:sz="12" w:space="0" w:color="auto"/>
            </w:tcBorders>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568</w:t>
            </w:r>
          </w:p>
        </w:tc>
        <w:tc>
          <w:tcPr>
            <w:tcW w:w="930" w:type="dxa"/>
            <w:tcBorders>
              <w:top w:val="single" w:sz="12" w:space="0" w:color="auto"/>
            </w:tcBorders>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629</w:t>
            </w:r>
          </w:p>
        </w:tc>
        <w:tc>
          <w:tcPr>
            <w:tcW w:w="1015" w:type="dxa"/>
            <w:tcBorders>
              <w:top w:val="single" w:sz="12" w:space="0" w:color="auto"/>
            </w:tcBorders>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321</w:t>
            </w:r>
          </w:p>
        </w:tc>
        <w:tc>
          <w:tcPr>
            <w:tcW w:w="907" w:type="dxa"/>
            <w:tcBorders>
              <w:top w:val="single" w:sz="12" w:space="0" w:color="auto"/>
            </w:tcBorders>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218</w:t>
            </w:r>
          </w:p>
        </w:tc>
        <w:tc>
          <w:tcPr>
            <w:tcW w:w="1015" w:type="dxa"/>
            <w:tcBorders>
              <w:top w:val="single" w:sz="12" w:space="0" w:color="auto"/>
            </w:tcBorders>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294</w:t>
            </w:r>
          </w:p>
        </w:tc>
        <w:tc>
          <w:tcPr>
            <w:tcW w:w="1162" w:type="dxa"/>
            <w:tcBorders>
              <w:top w:val="single" w:sz="12" w:space="0" w:color="auto"/>
            </w:tcBorders>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573</w:t>
            </w:r>
          </w:p>
        </w:tc>
      </w:tr>
      <w:tr w:rsidR="00BA06AB" w:rsidRPr="000A304B" w:rsidTr="000A304B">
        <w:trPr>
          <w:trHeight w:val="240"/>
        </w:trPr>
        <w:tc>
          <w:tcPr>
            <w:tcW w:w="1389" w:type="dxa"/>
            <w:shd w:val="clear" w:color="auto" w:fill="auto"/>
          </w:tcPr>
          <w:p w:rsidR="00BA06AB" w:rsidRPr="000A304B" w:rsidRDefault="00BA06AB" w:rsidP="000A304B">
            <w:pPr>
              <w:pStyle w:val="SingleTxtG"/>
              <w:suppressAutoHyphens w:val="0"/>
              <w:spacing w:before="40" w:after="40" w:line="220" w:lineRule="exact"/>
              <w:ind w:left="0" w:right="113"/>
              <w:jc w:val="left"/>
              <w:rPr>
                <w:sz w:val="18"/>
              </w:rPr>
            </w:pPr>
            <w:r w:rsidRPr="000A304B">
              <w:rPr>
                <w:sz w:val="18"/>
              </w:rPr>
              <w:t>Male</w:t>
            </w:r>
          </w:p>
        </w:tc>
        <w:tc>
          <w:tcPr>
            <w:tcW w:w="952" w:type="dxa"/>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 xml:space="preserve">3 432 </w:t>
            </w:r>
          </w:p>
        </w:tc>
        <w:tc>
          <w:tcPr>
            <w:tcW w:w="930" w:type="dxa"/>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3 737</w:t>
            </w:r>
          </w:p>
        </w:tc>
        <w:tc>
          <w:tcPr>
            <w:tcW w:w="1015" w:type="dxa"/>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2 246</w:t>
            </w:r>
          </w:p>
        </w:tc>
        <w:tc>
          <w:tcPr>
            <w:tcW w:w="907" w:type="dxa"/>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2 287</w:t>
            </w:r>
          </w:p>
        </w:tc>
        <w:tc>
          <w:tcPr>
            <w:tcW w:w="1015" w:type="dxa"/>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3 615</w:t>
            </w:r>
          </w:p>
        </w:tc>
        <w:tc>
          <w:tcPr>
            <w:tcW w:w="1162" w:type="dxa"/>
            <w:shd w:val="clear" w:color="auto" w:fill="auto"/>
            <w:vAlign w:val="bottom"/>
          </w:tcPr>
          <w:p w:rsidR="00BA06AB" w:rsidRPr="000A304B" w:rsidRDefault="00BA06AB" w:rsidP="000A304B">
            <w:pPr>
              <w:pStyle w:val="SingleTxtG"/>
              <w:suppressAutoHyphens w:val="0"/>
              <w:spacing w:before="40" w:after="40" w:line="220" w:lineRule="exact"/>
              <w:ind w:left="0" w:right="113"/>
              <w:jc w:val="right"/>
              <w:rPr>
                <w:sz w:val="18"/>
              </w:rPr>
            </w:pPr>
            <w:r w:rsidRPr="000A304B">
              <w:rPr>
                <w:sz w:val="18"/>
              </w:rPr>
              <w:t>6 072</w:t>
            </w:r>
          </w:p>
        </w:tc>
      </w:tr>
    </w:tbl>
    <w:p w:rsidR="00BA06AB" w:rsidRPr="000A304B" w:rsidRDefault="00BA06AB" w:rsidP="000A304B">
      <w:pPr>
        <w:spacing w:before="120"/>
        <w:ind w:left="1134" w:right="1134" w:firstLine="170"/>
        <w:rPr>
          <w:sz w:val="18"/>
        </w:rPr>
      </w:pPr>
      <w:r w:rsidRPr="000A304B">
        <w:rPr>
          <w:i/>
          <w:sz w:val="18"/>
        </w:rPr>
        <w:t>Source</w:t>
      </w:r>
      <w:r w:rsidRPr="000A304B">
        <w:rPr>
          <w:sz w:val="18"/>
        </w:rPr>
        <w:t xml:space="preserve">: </w:t>
      </w:r>
      <w:r w:rsidR="00B52651">
        <w:rPr>
          <w:sz w:val="18"/>
        </w:rPr>
        <w:t xml:space="preserve"> </w:t>
      </w:r>
      <w:r w:rsidRPr="000A304B">
        <w:rPr>
          <w:sz w:val="18"/>
        </w:rPr>
        <w:t>Department of Forensic Medicine Statistics.</w:t>
      </w:r>
    </w:p>
    <w:p w:rsidR="00BA06AB" w:rsidRPr="00445C95" w:rsidRDefault="00BA06AB" w:rsidP="000A304B">
      <w:pPr>
        <w:pStyle w:val="Heading1"/>
        <w:spacing w:before="240"/>
      </w:pPr>
      <w:bookmarkStart w:id="36" w:name="_Toc486428538"/>
      <w:bookmarkStart w:id="37" w:name="_Toc490483655"/>
      <w:r w:rsidRPr="00445C95">
        <w:t>Table 8</w:t>
      </w:r>
      <w:bookmarkEnd w:id="36"/>
      <w:bookmarkEnd w:id="37"/>
    </w:p>
    <w:p w:rsidR="00BA06AB" w:rsidRPr="000A304B" w:rsidRDefault="00BA06AB" w:rsidP="00BA06AB">
      <w:pPr>
        <w:pStyle w:val="SingleTxtG"/>
        <w:rPr>
          <w:b/>
        </w:rPr>
      </w:pPr>
      <w:r w:rsidRPr="000A304B">
        <w:rPr>
          <w:b/>
        </w:rPr>
        <w:t>Correctional facilities (as of 31 December 2015)</w:t>
      </w:r>
    </w:p>
    <w:tbl>
      <w:tblPr>
        <w:tblW w:w="964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2126"/>
        <w:gridCol w:w="803"/>
        <w:gridCol w:w="803"/>
        <w:gridCol w:w="804"/>
        <w:gridCol w:w="803"/>
        <w:gridCol w:w="803"/>
        <w:gridCol w:w="804"/>
        <w:gridCol w:w="851"/>
      </w:tblGrid>
      <w:tr w:rsidR="00BC4D4F" w:rsidRPr="00047DD1" w:rsidTr="003E740E">
        <w:trPr>
          <w:trHeight w:val="240"/>
          <w:tblHeader/>
        </w:trPr>
        <w:tc>
          <w:tcPr>
            <w:tcW w:w="1843" w:type="dxa"/>
            <w:vMerge w:val="restart"/>
            <w:tcBorders>
              <w:top w:val="single" w:sz="4" w:space="0" w:color="auto"/>
              <w:bottom w:val="single" w:sz="12" w:space="0" w:color="auto"/>
            </w:tcBorders>
            <w:shd w:val="clear" w:color="auto" w:fill="auto"/>
            <w:vAlign w:val="bottom"/>
          </w:tcPr>
          <w:p w:rsidR="00BC4D4F" w:rsidRPr="00047DD1" w:rsidRDefault="00BC4D4F" w:rsidP="00047DD1">
            <w:pPr>
              <w:pStyle w:val="SingleTxtG"/>
              <w:suppressAutoHyphens w:val="0"/>
              <w:spacing w:before="80" w:after="80" w:line="200" w:lineRule="exact"/>
              <w:ind w:left="0" w:right="113"/>
              <w:jc w:val="left"/>
              <w:rPr>
                <w:i/>
                <w:sz w:val="16"/>
              </w:rPr>
            </w:pPr>
            <w:r w:rsidRPr="00047DD1">
              <w:rPr>
                <w:i/>
                <w:sz w:val="16"/>
              </w:rPr>
              <w:t>Geographical region</w:t>
            </w:r>
          </w:p>
        </w:tc>
        <w:tc>
          <w:tcPr>
            <w:tcW w:w="2126" w:type="dxa"/>
            <w:tcBorders>
              <w:top w:val="single" w:sz="4" w:space="0" w:color="auto"/>
              <w:bottom w:val="nil"/>
            </w:tcBorders>
            <w:shd w:val="clear" w:color="auto" w:fill="auto"/>
            <w:vAlign w:val="bottom"/>
          </w:tcPr>
          <w:p w:rsidR="00BC4D4F" w:rsidRPr="00047DD1" w:rsidRDefault="00BC4D4F" w:rsidP="00AD78B1">
            <w:pPr>
              <w:pStyle w:val="SingleTxtG"/>
              <w:suppressAutoHyphens w:val="0"/>
              <w:spacing w:before="80" w:after="80" w:line="200" w:lineRule="exact"/>
              <w:ind w:left="0" w:right="113"/>
              <w:jc w:val="left"/>
              <w:rPr>
                <w:i/>
                <w:sz w:val="16"/>
              </w:rPr>
            </w:pPr>
          </w:p>
        </w:tc>
        <w:tc>
          <w:tcPr>
            <w:tcW w:w="2410" w:type="dxa"/>
            <w:gridSpan w:val="3"/>
            <w:tcBorders>
              <w:top w:val="single" w:sz="4" w:space="0" w:color="auto"/>
              <w:bottom w:val="single" w:sz="4" w:space="0" w:color="auto"/>
              <w:right w:val="single" w:sz="24" w:space="0" w:color="FFFFFF" w:themeColor="background1"/>
            </w:tcBorders>
            <w:shd w:val="clear" w:color="auto" w:fill="auto"/>
            <w:vAlign w:val="bottom"/>
          </w:tcPr>
          <w:p w:rsidR="00BC4D4F" w:rsidRPr="00047DD1" w:rsidRDefault="00BC4D4F" w:rsidP="00047DD1">
            <w:pPr>
              <w:pStyle w:val="SingleTxtG"/>
              <w:suppressAutoHyphens w:val="0"/>
              <w:spacing w:before="80" w:after="80" w:line="200" w:lineRule="exact"/>
              <w:ind w:left="0" w:right="113"/>
              <w:jc w:val="center"/>
              <w:rPr>
                <w:i/>
                <w:sz w:val="16"/>
              </w:rPr>
            </w:pPr>
            <w:r w:rsidRPr="00047DD1">
              <w:rPr>
                <w:i/>
                <w:sz w:val="16"/>
              </w:rPr>
              <w:t>Prosecuted</w:t>
            </w:r>
          </w:p>
        </w:tc>
        <w:tc>
          <w:tcPr>
            <w:tcW w:w="2410" w:type="dxa"/>
            <w:gridSpan w:val="3"/>
            <w:tcBorders>
              <w:top w:val="single" w:sz="4" w:space="0" w:color="auto"/>
              <w:left w:val="single" w:sz="24" w:space="0" w:color="FFFFFF" w:themeColor="background1"/>
              <w:bottom w:val="single" w:sz="4" w:space="0" w:color="auto"/>
            </w:tcBorders>
            <w:shd w:val="clear" w:color="auto" w:fill="auto"/>
            <w:vAlign w:val="bottom"/>
          </w:tcPr>
          <w:p w:rsidR="00BC4D4F" w:rsidRPr="00047DD1" w:rsidRDefault="00BC4D4F" w:rsidP="00047DD1">
            <w:pPr>
              <w:pStyle w:val="SingleTxtG"/>
              <w:suppressAutoHyphens w:val="0"/>
              <w:spacing w:before="80" w:after="80" w:line="200" w:lineRule="exact"/>
              <w:ind w:left="0" w:right="113"/>
              <w:jc w:val="center"/>
              <w:rPr>
                <w:i/>
                <w:sz w:val="16"/>
              </w:rPr>
            </w:pPr>
            <w:r w:rsidRPr="00047DD1">
              <w:rPr>
                <w:i/>
                <w:sz w:val="16"/>
              </w:rPr>
              <w:t>Convicted</w:t>
            </w:r>
          </w:p>
        </w:tc>
        <w:tc>
          <w:tcPr>
            <w:tcW w:w="851" w:type="dxa"/>
            <w:vMerge w:val="restart"/>
            <w:tcBorders>
              <w:top w:val="single" w:sz="4" w:space="0" w:color="auto"/>
            </w:tcBorders>
            <w:shd w:val="clear" w:color="auto" w:fill="auto"/>
            <w:vAlign w:val="bottom"/>
          </w:tcPr>
          <w:p w:rsidR="00BC4D4F" w:rsidRPr="00047DD1" w:rsidRDefault="00BC4D4F" w:rsidP="00047DD1">
            <w:pPr>
              <w:pStyle w:val="SingleTxtG"/>
              <w:spacing w:before="40" w:after="40" w:line="220" w:lineRule="exact"/>
              <w:ind w:left="0" w:right="113"/>
              <w:jc w:val="right"/>
              <w:rPr>
                <w:i/>
                <w:sz w:val="16"/>
              </w:rPr>
            </w:pPr>
            <w:r w:rsidRPr="00047DD1">
              <w:rPr>
                <w:i/>
                <w:sz w:val="18"/>
              </w:rPr>
              <w:t>Total per prison</w:t>
            </w:r>
          </w:p>
        </w:tc>
      </w:tr>
      <w:tr w:rsidR="00BC4D4F" w:rsidRPr="00047DD1" w:rsidTr="003E740E">
        <w:trPr>
          <w:trHeight w:val="240"/>
          <w:tblHeader/>
        </w:trPr>
        <w:tc>
          <w:tcPr>
            <w:tcW w:w="1843" w:type="dxa"/>
            <w:vMerge/>
            <w:tcBorders>
              <w:top w:val="single" w:sz="12" w:space="0" w:color="auto"/>
              <w:bottom w:val="single" w:sz="12" w:space="0" w:color="auto"/>
            </w:tcBorders>
            <w:shd w:val="clear" w:color="auto" w:fill="auto"/>
            <w:vAlign w:val="bottom"/>
          </w:tcPr>
          <w:p w:rsidR="00BC4D4F" w:rsidRPr="00047DD1" w:rsidRDefault="00BC4D4F" w:rsidP="00047DD1">
            <w:pPr>
              <w:pStyle w:val="SingleTxtG"/>
              <w:suppressAutoHyphens w:val="0"/>
              <w:spacing w:before="40" w:after="40" w:line="220" w:lineRule="exact"/>
              <w:ind w:left="0" w:right="113"/>
              <w:jc w:val="left"/>
              <w:rPr>
                <w:i/>
                <w:sz w:val="18"/>
              </w:rPr>
            </w:pPr>
          </w:p>
        </w:tc>
        <w:tc>
          <w:tcPr>
            <w:tcW w:w="2126" w:type="dxa"/>
            <w:tcBorders>
              <w:top w:val="nil"/>
              <w:bottom w:val="single" w:sz="12" w:space="0" w:color="auto"/>
            </w:tcBorders>
            <w:shd w:val="clear" w:color="auto" w:fill="auto"/>
            <w:vAlign w:val="bottom"/>
            <w:hideMark/>
          </w:tcPr>
          <w:p w:rsidR="00BC4D4F" w:rsidRPr="00047DD1" w:rsidRDefault="00BC4D4F" w:rsidP="00AD78B1">
            <w:pPr>
              <w:pStyle w:val="SingleTxtG"/>
              <w:suppressAutoHyphens w:val="0"/>
              <w:spacing w:before="40" w:after="40" w:line="220" w:lineRule="exact"/>
              <w:ind w:left="0" w:right="113"/>
              <w:jc w:val="left"/>
              <w:rPr>
                <w:i/>
                <w:sz w:val="18"/>
              </w:rPr>
            </w:pPr>
            <w:r w:rsidRPr="00047DD1">
              <w:rPr>
                <w:i/>
                <w:sz w:val="18"/>
              </w:rPr>
              <w:t>Prison</w:t>
            </w:r>
          </w:p>
        </w:tc>
        <w:tc>
          <w:tcPr>
            <w:tcW w:w="803" w:type="dxa"/>
            <w:tcBorders>
              <w:top w:val="single" w:sz="4" w:space="0" w:color="auto"/>
              <w:bottom w:val="single" w:sz="12" w:space="0" w:color="auto"/>
            </w:tcBorders>
            <w:shd w:val="clear" w:color="auto" w:fill="auto"/>
            <w:noWrap/>
            <w:vAlign w:val="bottom"/>
            <w:hideMark/>
          </w:tcPr>
          <w:p w:rsidR="00BC4D4F" w:rsidRPr="00047DD1" w:rsidRDefault="00BC4D4F" w:rsidP="00047DD1">
            <w:pPr>
              <w:pStyle w:val="SingleTxtG"/>
              <w:suppressAutoHyphens w:val="0"/>
              <w:spacing w:before="40" w:after="40" w:line="220" w:lineRule="exact"/>
              <w:ind w:left="0" w:right="113"/>
              <w:jc w:val="right"/>
              <w:rPr>
                <w:i/>
                <w:sz w:val="18"/>
              </w:rPr>
            </w:pPr>
            <w:r w:rsidRPr="00047DD1">
              <w:rPr>
                <w:i/>
                <w:sz w:val="18"/>
              </w:rPr>
              <w:t>Men</w:t>
            </w:r>
          </w:p>
        </w:tc>
        <w:tc>
          <w:tcPr>
            <w:tcW w:w="803" w:type="dxa"/>
            <w:tcBorders>
              <w:top w:val="single" w:sz="4" w:space="0" w:color="auto"/>
              <w:bottom w:val="single" w:sz="12" w:space="0" w:color="auto"/>
            </w:tcBorders>
            <w:shd w:val="clear" w:color="auto" w:fill="auto"/>
            <w:noWrap/>
            <w:vAlign w:val="bottom"/>
            <w:hideMark/>
          </w:tcPr>
          <w:p w:rsidR="00BC4D4F" w:rsidRPr="00047DD1" w:rsidRDefault="00BC4D4F" w:rsidP="00047DD1">
            <w:pPr>
              <w:pStyle w:val="SingleTxtG"/>
              <w:suppressAutoHyphens w:val="0"/>
              <w:spacing w:before="40" w:after="40" w:line="220" w:lineRule="exact"/>
              <w:ind w:left="0" w:right="113"/>
              <w:jc w:val="right"/>
              <w:rPr>
                <w:i/>
                <w:sz w:val="18"/>
              </w:rPr>
            </w:pPr>
            <w:r w:rsidRPr="00047DD1">
              <w:rPr>
                <w:i/>
                <w:sz w:val="18"/>
              </w:rPr>
              <w:t>Women</w:t>
            </w:r>
          </w:p>
        </w:tc>
        <w:tc>
          <w:tcPr>
            <w:tcW w:w="804" w:type="dxa"/>
            <w:tcBorders>
              <w:top w:val="single" w:sz="4" w:space="0" w:color="auto"/>
              <w:bottom w:val="single" w:sz="12" w:space="0" w:color="auto"/>
              <w:right w:val="single" w:sz="24" w:space="0" w:color="FFFFFF" w:themeColor="background1"/>
            </w:tcBorders>
            <w:shd w:val="clear" w:color="auto" w:fill="auto"/>
            <w:noWrap/>
            <w:vAlign w:val="bottom"/>
            <w:hideMark/>
          </w:tcPr>
          <w:p w:rsidR="00BC4D4F" w:rsidRPr="00047DD1" w:rsidRDefault="00BC4D4F" w:rsidP="00047DD1">
            <w:pPr>
              <w:pStyle w:val="SingleTxtG"/>
              <w:suppressAutoHyphens w:val="0"/>
              <w:spacing w:before="40" w:after="40" w:line="220" w:lineRule="exact"/>
              <w:ind w:left="0" w:right="113"/>
              <w:jc w:val="right"/>
              <w:rPr>
                <w:i/>
                <w:sz w:val="18"/>
              </w:rPr>
            </w:pPr>
            <w:r w:rsidRPr="00047DD1">
              <w:rPr>
                <w:i/>
                <w:sz w:val="18"/>
              </w:rPr>
              <w:t>Total</w:t>
            </w:r>
          </w:p>
        </w:tc>
        <w:tc>
          <w:tcPr>
            <w:tcW w:w="803" w:type="dxa"/>
            <w:tcBorders>
              <w:top w:val="single" w:sz="4" w:space="0" w:color="auto"/>
              <w:left w:val="single" w:sz="24" w:space="0" w:color="FFFFFF" w:themeColor="background1"/>
              <w:bottom w:val="single" w:sz="12" w:space="0" w:color="auto"/>
            </w:tcBorders>
            <w:shd w:val="clear" w:color="auto" w:fill="auto"/>
            <w:noWrap/>
            <w:vAlign w:val="bottom"/>
            <w:hideMark/>
          </w:tcPr>
          <w:p w:rsidR="00BC4D4F" w:rsidRPr="00047DD1" w:rsidRDefault="00BC4D4F" w:rsidP="00047DD1">
            <w:pPr>
              <w:pStyle w:val="SingleTxtG"/>
              <w:suppressAutoHyphens w:val="0"/>
              <w:spacing w:before="40" w:after="40" w:line="220" w:lineRule="exact"/>
              <w:ind w:left="0" w:right="113"/>
              <w:jc w:val="right"/>
              <w:rPr>
                <w:i/>
                <w:sz w:val="18"/>
              </w:rPr>
            </w:pPr>
            <w:r w:rsidRPr="00047DD1">
              <w:rPr>
                <w:i/>
                <w:sz w:val="18"/>
              </w:rPr>
              <w:t>Men</w:t>
            </w:r>
          </w:p>
        </w:tc>
        <w:tc>
          <w:tcPr>
            <w:tcW w:w="803" w:type="dxa"/>
            <w:tcBorders>
              <w:top w:val="single" w:sz="4" w:space="0" w:color="auto"/>
              <w:bottom w:val="single" w:sz="12" w:space="0" w:color="auto"/>
            </w:tcBorders>
            <w:shd w:val="clear" w:color="auto" w:fill="auto"/>
            <w:noWrap/>
            <w:vAlign w:val="bottom"/>
            <w:hideMark/>
          </w:tcPr>
          <w:p w:rsidR="00BC4D4F" w:rsidRPr="00047DD1" w:rsidRDefault="00BC4D4F" w:rsidP="00047DD1">
            <w:pPr>
              <w:pStyle w:val="SingleTxtG"/>
              <w:suppressAutoHyphens w:val="0"/>
              <w:spacing w:before="40" w:after="40" w:line="220" w:lineRule="exact"/>
              <w:ind w:left="0" w:right="113"/>
              <w:jc w:val="right"/>
              <w:rPr>
                <w:i/>
                <w:sz w:val="18"/>
              </w:rPr>
            </w:pPr>
            <w:r w:rsidRPr="00047DD1">
              <w:rPr>
                <w:i/>
                <w:sz w:val="18"/>
              </w:rPr>
              <w:t>Women</w:t>
            </w:r>
          </w:p>
        </w:tc>
        <w:tc>
          <w:tcPr>
            <w:tcW w:w="804" w:type="dxa"/>
            <w:tcBorders>
              <w:top w:val="single" w:sz="4" w:space="0" w:color="auto"/>
              <w:bottom w:val="single" w:sz="12" w:space="0" w:color="auto"/>
            </w:tcBorders>
            <w:shd w:val="clear" w:color="auto" w:fill="auto"/>
            <w:noWrap/>
            <w:vAlign w:val="bottom"/>
            <w:hideMark/>
          </w:tcPr>
          <w:p w:rsidR="00BC4D4F" w:rsidRPr="00047DD1" w:rsidRDefault="00BC4D4F" w:rsidP="00047DD1">
            <w:pPr>
              <w:pStyle w:val="SingleTxtG"/>
              <w:suppressAutoHyphens w:val="0"/>
              <w:spacing w:before="40" w:after="40" w:line="220" w:lineRule="exact"/>
              <w:ind w:left="0" w:right="113"/>
              <w:jc w:val="right"/>
              <w:rPr>
                <w:i/>
                <w:sz w:val="18"/>
              </w:rPr>
            </w:pPr>
            <w:r w:rsidRPr="00047DD1">
              <w:rPr>
                <w:i/>
                <w:sz w:val="18"/>
              </w:rPr>
              <w:t>Total</w:t>
            </w:r>
          </w:p>
        </w:tc>
        <w:tc>
          <w:tcPr>
            <w:tcW w:w="851" w:type="dxa"/>
            <w:vMerge/>
            <w:tcBorders>
              <w:bottom w:val="single" w:sz="12" w:space="0" w:color="auto"/>
            </w:tcBorders>
            <w:shd w:val="clear" w:color="auto" w:fill="auto"/>
            <w:vAlign w:val="bottom"/>
            <w:hideMark/>
          </w:tcPr>
          <w:p w:rsidR="00BC4D4F" w:rsidRPr="00047DD1" w:rsidRDefault="00BC4D4F" w:rsidP="00047DD1">
            <w:pPr>
              <w:pStyle w:val="SingleTxtG"/>
              <w:suppressAutoHyphens w:val="0"/>
              <w:spacing w:before="40" w:after="40" w:line="220" w:lineRule="exact"/>
              <w:ind w:left="0" w:right="113"/>
              <w:jc w:val="right"/>
              <w:rPr>
                <w:i/>
                <w:sz w:val="18"/>
              </w:rPr>
            </w:pPr>
          </w:p>
        </w:tc>
      </w:tr>
      <w:tr w:rsidR="00047DD1" w:rsidRPr="00047DD1" w:rsidTr="003E740E">
        <w:trPr>
          <w:trHeight w:val="240"/>
        </w:trPr>
        <w:tc>
          <w:tcPr>
            <w:tcW w:w="1843" w:type="dxa"/>
            <w:vMerge w:val="restart"/>
            <w:tcBorders>
              <w:top w:val="single" w:sz="12" w:space="0" w:color="auto"/>
            </w:tcBorders>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r w:rsidRPr="00047DD1">
              <w:rPr>
                <w:sz w:val="18"/>
              </w:rPr>
              <w:t>Western region</w:t>
            </w:r>
          </w:p>
        </w:tc>
        <w:tc>
          <w:tcPr>
            <w:tcW w:w="2126" w:type="dxa"/>
            <w:tcBorders>
              <w:top w:val="single" w:sz="12" w:space="0" w:color="auto"/>
            </w:tcBorders>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Apanteos</w:t>
            </w:r>
            <w:proofErr w:type="spellEnd"/>
          </w:p>
        </w:tc>
        <w:tc>
          <w:tcPr>
            <w:tcW w:w="803" w:type="dxa"/>
            <w:tcBorders>
              <w:top w:val="single" w:sz="12"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1 052</w:t>
            </w:r>
          </w:p>
        </w:tc>
        <w:tc>
          <w:tcPr>
            <w:tcW w:w="803" w:type="dxa"/>
            <w:tcBorders>
              <w:top w:val="single" w:sz="12"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w:t>
            </w:r>
          </w:p>
        </w:tc>
        <w:tc>
          <w:tcPr>
            <w:tcW w:w="804" w:type="dxa"/>
            <w:tcBorders>
              <w:top w:val="single" w:sz="12"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1 054</w:t>
            </w:r>
          </w:p>
        </w:tc>
        <w:tc>
          <w:tcPr>
            <w:tcW w:w="803" w:type="dxa"/>
            <w:tcBorders>
              <w:top w:val="single" w:sz="12"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3 170</w:t>
            </w:r>
          </w:p>
        </w:tc>
        <w:tc>
          <w:tcPr>
            <w:tcW w:w="803" w:type="dxa"/>
            <w:tcBorders>
              <w:top w:val="single" w:sz="12"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tcBorders>
              <w:top w:val="single" w:sz="12"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3 170</w:t>
            </w:r>
          </w:p>
        </w:tc>
        <w:tc>
          <w:tcPr>
            <w:tcW w:w="851" w:type="dxa"/>
            <w:tcBorders>
              <w:top w:val="single" w:sz="12"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4 224</w:t>
            </w:r>
          </w:p>
        </w:tc>
      </w:tr>
      <w:tr w:rsidR="00047DD1" w:rsidRPr="00047DD1" w:rsidTr="003E740E">
        <w:trPr>
          <w:trHeight w:val="240"/>
        </w:trPr>
        <w:tc>
          <w:tcPr>
            <w:tcW w:w="1843" w:type="dxa"/>
            <w:vMerge/>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Santa Ana prison farm</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123</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123</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123</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Izalco</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1 000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1 000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1 773</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1 773</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2 773</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Metapán</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113</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113</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199</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199</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312</w:t>
            </w:r>
          </w:p>
        </w:tc>
      </w:tr>
      <w:tr w:rsidR="00047DD1" w:rsidRPr="00047DD1" w:rsidTr="003E740E">
        <w:trPr>
          <w:trHeight w:val="240"/>
        </w:trPr>
        <w:tc>
          <w:tcPr>
            <w:tcW w:w="1843" w:type="dxa"/>
            <w:tcBorders>
              <w:bottom w:val="nil"/>
            </w:tcBorders>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tcBorders>
              <w:bottom w:val="nil"/>
            </w:tcBorders>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Sonsonate</w:t>
            </w:r>
          </w:p>
        </w:tc>
        <w:tc>
          <w:tcPr>
            <w:tcW w:w="803" w:type="dxa"/>
            <w:tcBorders>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63</w:t>
            </w:r>
          </w:p>
        </w:tc>
        <w:tc>
          <w:tcPr>
            <w:tcW w:w="803" w:type="dxa"/>
            <w:tcBorders>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tcBorders>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63</w:t>
            </w:r>
          </w:p>
        </w:tc>
        <w:tc>
          <w:tcPr>
            <w:tcW w:w="803" w:type="dxa"/>
            <w:tcBorders>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854</w:t>
            </w:r>
          </w:p>
        </w:tc>
        <w:tc>
          <w:tcPr>
            <w:tcW w:w="803" w:type="dxa"/>
            <w:tcBorders>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tcBorders>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854</w:t>
            </w:r>
          </w:p>
        </w:tc>
        <w:tc>
          <w:tcPr>
            <w:tcW w:w="851" w:type="dxa"/>
            <w:tcBorders>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917</w:t>
            </w:r>
          </w:p>
        </w:tc>
      </w:tr>
      <w:tr w:rsidR="00047DD1" w:rsidRPr="00047DD1" w:rsidTr="003E740E">
        <w:trPr>
          <w:trHeight w:val="240"/>
        </w:trPr>
        <w:tc>
          <w:tcPr>
            <w:tcW w:w="1843" w:type="dxa"/>
            <w:tcBorders>
              <w:top w:val="nil"/>
              <w:bottom w:val="nil"/>
            </w:tcBorders>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tcBorders>
              <w:top w:val="nil"/>
              <w:bottom w:val="nil"/>
            </w:tcBorders>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Western region</w:t>
            </w:r>
          </w:p>
        </w:tc>
        <w:tc>
          <w:tcPr>
            <w:tcW w:w="803" w:type="dxa"/>
            <w:tcBorders>
              <w:top w:val="nil"/>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216</w:t>
            </w:r>
          </w:p>
        </w:tc>
        <w:tc>
          <w:tcPr>
            <w:tcW w:w="803" w:type="dxa"/>
            <w:tcBorders>
              <w:top w:val="nil"/>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tcBorders>
              <w:top w:val="nil"/>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216</w:t>
            </w:r>
          </w:p>
        </w:tc>
        <w:tc>
          <w:tcPr>
            <w:tcW w:w="803" w:type="dxa"/>
            <w:tcBorders>
              <w:top w:val="nil"/>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1 023</w:t>
            </w:r>
          </w:p>
        </w:tc>
        <w:tc>
          <w:tcPr>
            <w:tcW w:w="803" w:type="dxa"/>
            <w:tcBorders>
              <w:top w:val="nil"/>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tcBorders>
              <w:top w:val="nil"/>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1 023</w:t>
            </w:r>
          </w:p>
        </w:tc>
        <w:tc>
          <w:tcPr>
            <w:tcW w:w="851" w:type="dxa"/>
            <w:tcBorders>
              <w:top w:val="nil"/>
              <w:bottom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1 239</w:t>
            </w:r>
          </w:p>
        </w:tc>
      </w:tr>
      <w:tr w:rsidR="00047DD1" w:rsidRPr="00047DD1" w:rsidTr="003E740E">
        <w:trPr>
          <w:trHeight w:val="240"/>
        </w:trPr>
        <w:tc>
          <w:tcPr>
            <w:tcW w:w="1843" w:type="dxa"/>
            <w:tcBorders>
              <w:top w:val="nil"/>
            </w:tcBorders>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tcBorders>
              <w:top w:val="nil"/>
            </w:tcBorders>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Izalco prison farm</w:t>
            </w:r>
          </w:p>
        </w:tc>
        <w:tc>
          <w:tcPr>
            <w:tcW w:w="803" w:type="dxa"/>
            <w:tcBorders>
              <w:top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tcBorders>
              <w:top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58</w:t>
            </w:r>
          </w:p>
        </w:tc>
        <w:tc>
          <w:tcPr>
            <w:tcW w:w="804" w:type="dxa"/>
            <w:tcBorders>
              <w:top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58</w:t>
            </w:r>
          </w:p>
        </w:tc>
        <w:tc>
          <w:tcPr>
            <w:tcW w:w="803" w:type="dxa"/>
            <w:tcBorders>
              <w:top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tcBorders>
              <w:top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173</w:t>
            </w:r>
          </w:p>
        </w:tc>
        <w:tc>
          <w:tcPr>
            <w:tcW w:w="804" w:type="dxa"/>
            <w:tcBorders>
              <w:top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173</w:t>
            </w:r>
          </w:p>
        </w:tc>
        <w:tc>
          <w:tcPr>
            <w:tcW w:w="851" w:type="dxa"/>
            <w:tcBorders>
              <w:top w:val="nil"/>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231</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r w:rsidRPr="00047DD1">
              <w:rPr>
                <w:sz w:val="18"/>
              </w:rPr>
              <w:t>Central region</w:t>
            </w: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Ilopango</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759</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759</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1 376</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1 376</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2 135</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Quezaltepeque</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849</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189</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1 038</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681</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208</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889</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1 927</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La Esperanza (prison)</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975</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975</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4 133</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4 133</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5 108</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Chalatenango</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422</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422</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1 108</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1 108</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1 530</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Psychiatric ward</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32</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6</w:t>
            </w:r>
          </w:p>
        </w:tc>
        <w:tc>
          <w:tcPr>
            <w:tcW w:w="804"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38</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69</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10</w:t>
            </w:r>
          </w:p>
        </w:tc>
        <w:tc>
          <w:tcPr>
            <w:tcW w:w="804"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79</w:t>
            </w:r>
          </w:p>
        </w:tc>
        <w:tc>
          <w:tcPr>
            <w:tcW w:w="851"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117</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La Esperanza (open centre)</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89</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89</w:t>
            </w:r>
          </w:p>
        </w:tc>
        <w:tc>
          <w:tcPr>
            <w:tcW w:w="851"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89</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Santa Tecla open centre</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3"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10</w:t>
            </w:r>
          </w:p>
        </w:tc>
        <w:tc>
          <w:tcPr>
            <w:tcW w:w="804"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10</w:t>
            </w:r>
          </w:p>
        </w:tc>
        <w:tc>
          <w:tcPr>
            <w:tcW w:w="851" w:type="dxa"/>
            <w:shd w:val="clear" w:color="auto" w:fill="auto"/>
            <w:noWrap/>
            <w:vAlign w:val="bottom"/>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10</w:t>
            </w:r>
          </w:p>
        </w:tc>
      </w:tr>
      <w:tr w:rsidR="00047DD1" w:rsidRPr="00047DD1" w:rsidTr="003E740E">
        <w:trPr>
          <w:trHeight w:val="240"/>
        </w:trPr>
        <w:tc>
          <w:tcPr>
            <w:tcW w:w="1843" w:type="dxa"/>
            <w:vMerge w:val="restart"/>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r w:rsidRPr="00047DD1">
              <w:rPr>
                <w:sz w:val="18"/>
              </w:rPr>
              <w:t>Eastern-central region</w:t>
            </w: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San Vicente</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167</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167</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1 281</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1 281</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1 448</w:t>
            </w:r>
          </w:p>
        </w:tc>
      </w:tr>
      <w:tr w:rsidR="00047DD1" w:rsidRPr="00047DD1" w:rsidTr="003E740E">
        <w:trPr>
          <w:trHeight w:val="240"/>
        </w:trPr>
        <w:tc>
          <w:tcPr>
            <w:tcW w:w="1843" w:type="dxa"/>
            <w:vMerge/>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Cojutepeque</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284</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284</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871</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871</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1 155</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Sensuntepeque</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45</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65</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317</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51</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368</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433</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Ilobasco</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390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390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17</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17</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407</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Zacatecoluca</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50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50</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408</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408</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458</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r w:rsidRPr="00047DD1">
              <w:rPr>
                <w:sz w:val="18"/>
              </w:rPr>
              <w:t>Eastern region</w:t>
            </w: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proofErr w:type="spellStart"/>
            <w:r w:rsidRPr="00047DD1">
              <w:rPr>
                <w:sz w:val="18"/>
              </w:rPr>
              <w:t>Jucuapa</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286</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286</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48</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48</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334</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Usulután</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38</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38</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1 462</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1 462</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1 500</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San Miguel</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99</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70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169</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1 138</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245</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1 383</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1 552</w:t>
            </w:r>
          </w:p>
        </w:tc>
      </w:tr>
      <w:tr w:rsidR="00047DD1" w:rsidRPr="00047DD1" w:rsidTr="003E740E">
        <w:trPr>
          <w:trHeight w:val="240"/>
        </w:trPr>
        <w:tc>
          <w:tcPr>
            <w:tcW w:w="1843" w:type="dxa"/>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 xml:space="preserve">San Francisco </w:t>
            </w:r>
            <w:proofErr w:type="spellStart"/>
            <w:r w:rsidRPr="00047DD1">
              <w:rPr>
                <w:sz w:val="18"/>
              </w:rPr>
              <w:t>Gotera</w:t>
            </w:r>
            <w:proofErr w:type="spellEnd"/>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374</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374</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715</w:t>
            </w:r>
          </w:p>
        </w:tc>
        <w:tc>
          <w:tcPr>
            <w:tcW w:w="803"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715</w:t>
            </w:r>
          </w:p>
        </w:tc>
        <w:tc>
          <w:tcPr>
            <w:tcW w:w="851" w:type="dxa"/>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1 089</w:t>
            </w:r>
          </w:p>
        </w:tc>
      </w:tr>
      <w:tr w:rsidR="00047DD1" w:rsidRPr="00047DD1" w:rsidTr="003E740E">
        <w:trPr>
          <w:trHeight w:val="240"/>
        </w:trPr>
        <w:tc>
          <w:tcPr>
            <w:tcW w:w="1843" w:type="dxa"/>
            <w:tcBorders>
              <w:bottom w:val="single" w:sz="8" w:space="0" w:color="auto"/>
            </w:tcBorders>
            <w:shd w:val="clear" w:color="auto" w:fill="auto"/>
          </w:tcPr>
          <w:p w:rsidR="0048034D" w:rsidRPr="00047DD1" w:rsidRDefault="0048034D" w:rsidP="00047DD1">
            <w:pPr>
              <w:pStyle w:val="SingleTxtG"/>
              <w:suppressAutoHyphens w:val="0"/>
              <w:spacing w:before="40" w:after="40" w:line="220" w:lineRule="exact"/>
              <w:ind w:left="0" w:right="113"/>
              <w:jc w:val="left"/>
              <w:rPr>
                <w:sz w:val="18"/>
              </w:rPr>
            </w:pPr>
          </w:p>
        </w:tc>
        <w:tc>
          <w:tcPr>
            <w:tcW w:w="2126" w:type="dxa"/>
            <w:tcBorders>
              <w:bottom w:val="single" w:sz="8" w:space="0" w:color="auto"/>
            </w:tcBorders>
            <w:shd w:val="clear" w:color="auto" w:fill="auto"/>
            <w:noWrap/>
            <w:vAlign w:val="bottom"/>
            <w:hideMark/>
          </w:tcPr>
          <w:p w:rsidR="0048034D" w:rsidRPr="00047DD1" w:rsidRDefault="0048034D" w:rsidP="00AD78B1">
            <w:pPr>
              <w:pStyle w:val="SingleTxtG"/>
              <w:suppressAutoHyphens w:val="0"/>
              <w:spacing w:before="40" w:after="40" w:line="220" w:lineRule="exact"/>
              <w:ind w:left="0" w:right="113"/>
              <w:jc w:val="left"/>
              <w:rPr>
                <w:sz w:val="18"/>
              </w:rPr>
            </w:pPr>
            <w:r w:rsidRPr="00047DD1">
              <w:rPr>
                <w:sz w:val="18"/>
              </w:rPr>
              <w:t>La Unión</w:t>
            </w:r>
          </w:p>
        </w:tc>
        <w:tc>
          <w:tcPr>
            <w:tcW w:w="803" w:type="dxa"/>
            <w:tcBorders>
              <w:bottom w:val="single" w:sz="8"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376</w:t>
            </w:r>
          </w:p>
        </w:tc>
        <w:tc>
          <w:tcPr>
            <w:tcW w:w="803" w:type="dxa"/>
            <w:tcBorders>
              <w:bottom w:val="single" w:sz="8"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tcBorders>
              <w:bottom w:val="single" w:sz="8"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376</w:t>
            </w:r>
          </w:p>
        </w:tc>
        <w:tc>
          <w:tcPr>
            <w:tcW w:w="803" w:type="dxa"/>
            <w:tcBorders>
              <w:bottom w:val="single" w:sz="8"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53</w:t>
            </w:r>
          </w:p>
        </w:tc>
        <w:tc>
          <w:tcPr>
            <w:tcW w:w="803" w:type="dxa"/>
            <w:tcBorders>
              <w:bottom w:val="single" w:sz="8"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0</w:t>
            </w:r>
          </w:p>
        </w:tc>
        <w:tc>
          <w:tcPr>
            <w:tcW w:w="804" w:type="dxa"/>
            <w:tcBorders>
              <w:bottom w:val="single" w:sz="8"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53</w:t>
            </w:r>
          </w:p>
        </w:tc>
        <w:tc>
          <w:tcPr>
            <w:tcW w:w="851" w:type="dxa"/>
            <w:tcBorders>
              <w:bottom w:val="single" w:sz="8" w:space="0" w:color="auto"/>
            </w:tcBorders>
            <w:shd w:val="clear" w:color="auto" w:fill="auto"/>
            <w:noWrap/>
            <w:vAlign w:val="bottom"/>
            <w:hideMark/>
          </w:tcPr>
          <w:p w:rsidR="0048034D" w:rsidRPr="00047DD1" w:rsidRDefault="0048034D" w:rsidP="00047DD1">
            <w:pPr>
              <w:pStyle w:val="SingleTxtG"/>
              <w:suppressAutoHyphens w:val="0"/>
              <w:spacing w:before="40" w:after="40" w:line="220" w:lineRule="exact"/>
              <w:ind w:left="0" w:right="113"/>
              <w:jc w:val="right"/>
              <w:rPr>
                <w:sz w:val="18"/>
              </w:rPr>
            </w:pPr>
            <w:r w:rsidRPr="00047DD1">
              <w:rPr>
                <w:sz w:val="18"/>
              </w:rPr>
              <w:t>429</w:t>
            </w:r>
          </w:p>
        </w:tc>
      </w:tr>
      <w:tr w:rsidR="00047DD1" w:rsidRPr="00047DD1" w:rsidTr="003E740E">
        <w:trPr>
          <w:trHeight w:val="240"/>
        </w:trPr>
        <w:tc>
          <w:tcPr>
            <w:tcW w:w="1843" w:type="dxa"/>
            <w:tcBorders>
              <w:top w:val="single" w:sz="8" w:space="0" w:color="auto"/>
              <w:bottom w:val="single" w:sz="12" w:space="0" w:color="auto"/>
            </w:tcBorders>
            <w:shd w:val="clear" w:color="auto" w:fill="auto"/>
          </w:tcPr>
          <w:p w:rsidR="0048034D" w:rsidRPr="001D5A51" w:rsidRDefault="0048034D" w:rsidP="001D5A51">
            <w:pPr>
              <w:pStyle w:val="SingleTxtG"/>
              <w:suppressAutoHyphens w:val="0"/>
              <w:spacing w:before="80" w:after="80" w:line="220" w:lineRule="exact"/>
              <w:ind w:left="283" w:right="0"/>
              <w:jc w:val="left"/>
              <w:rPr>
                <w:b/>
                <w:sz w:val="18"/>
              </w:rPr>
            </w:pPr>
            <w:r w:rsidRPr="001D5A51">
              <w:rPr>
                <w:b/>
                <w:sz w:val="18"/>
              </w:rPr>
              <w:t>Total</w:t>
            </w:r>
          </w:p>
        </w:tc>
        <w:tc>
          <w:tcPr>
            <w:tcW w:w="2126" w:type="dxa"/>
            <w:tcBorders>
              <w:top w:val="single" w:sz="8" w:space="0" w:color="auto"/>
              <w:bottom w:val="single" w:sz="12" w:space="0" w:color="auto"/>
            </w:tcBorders>
            <w:shd w:val="clear" w:color="auto" w:fill="auto"/>
            <w:noWrap/>
            <w:vAlign w:val="bottom"/>
          </w:tcPr>
          <w:p w:rsidR="0048034D" w:rsidRPr="00047DD1" w:rsidRDefault="0048034D" w:rsidP="00AD78B1">
            <w:pPr>
              <w:pStyle w:val="SingleTxtG"/>
              <w:suppressAutoHyphens w:val="0"/>
              <w:spacing w:before="40" w:after="40" w:line="220" w:lineRule="exact"/>
              <w:ind w:left="0" w:right="113"/>
              <w:jc w:val="left"/>
              <w:rPr>
                <w:b/>
                <w:sz w:val="18"/>
              </w:rPr>
            </w:pPr>
          </w:p>
        </w:tc>
        <w:tc>
          <w:tcPr>
            <w:tcW w:w="803" w:type="dxa"/>
            <w:tcBorders>
              <w:top w:val="single" w:sz="8" w:space="0" w:color="auto"/>
              <w:bottom w:val="single" w:sz="12" w:space="0" w:color="auto"/>
            </w:tcBorders>
            <w:shd w:val="clear" w:color="auto" w:fill="auto"/>
            <w:noWrap/>
            <w:vAlign w:val="bottom"/>
          </w:tcPr>
          <w:p w:rsidR="0048034D" w:rsidRPr="003E740E" w:rsidRDefault="0048034D" w:rsidP="003E740E">
            <w:pPr>
              <w:pStyle w:val="SingleTxtG"/>
              <w:suppressAutoHyphens w:val="0"/>
              <w:spacing w:before="80" w:after="80" w:line="220" w:lineRule="exact"/>
              <w:ind w:left="0" w:right="113"/>
              <w:jc w:val="right"/>
              <w:rPr>
                <w:b/>
                <w:sz w:val="18"/>
              </w:rPr>
            </w:pPr>
            <w:r w:rsidRPr="003E740E">
              <w:rPr>
                <w:b/>
                <w:sz w:val="18"/>
              </w:rPr>
              <w:t>6 831</w:t>
            </w:r>
          </w:p>
        </w:tc>
        <w:tc>
          <w:tcPr>
            <w:tcW w:w="803" w:type="dxa"/>
            <w:tcBorders>
              <w:top w:val="single" w:sz="8" w:space="0" w:color="auto"/>
              <w:bottom w:val="single" w:sz="12" w:space="0" w:color="auto"/>
            </w:tcBorders>
            <w:shd w:val="clear" w:color="auto" w:fill="auto"/>
            <w:noWrap/>
            <w:vAlign w:val="bottom"/>
          </w:tcPr>
          <w:p w:rsidR="0048034D" w:rsidRPr="003E740E" w:rsidRDefault="0048034D" w:rsidP="003E740E">
            <w:pPr>
              <w:pStyle w:val="SingleTxtG"/>
              <w:suppressAutoHyphens w:val="0"/>
              <w:spacing w:before="80" w:after="80" w:line="220" w:lineRule="exact"/>
              <w:ind w:left="0" w:right="113"/>
              <w:jc w:val="right"/>
              <w:rPr>
                <w:b/>
                <w:sz w:val="18"/>
              </w:rPr>
            </w:pPr>
            <w:r w:rsidRPr="003E740E">
              <w:rPr>
                <w:b/>
                <w:sz w:val="18"/>
              </w:rPr>
              <w:t>1 104</w:t>
            </w:r>
          </w:p>
        </w:tc>
        <w:tc>
          <w:tcPr>
            <w:tcW w:w="804" w:type="dxa"/>
            <w:tcBorders>
              <w:top w:val="single" w:sz="8" w:space="0" w:color="auto"/>
              <w:bottom w:val="single" w:sz="12" w:space="0" w:color="auto"/>
            </w:tcBorders>
            <w:shd w:val="clear" w:color="auto" w:fill="auto"/>
            <w:noWrap/>
            <w:vAlign w:val="bottom"/>
          </w:tcPr>
          <w:p w:rsidR="0048034D" w:rsidRPr="003E740E" w:rsidRDefault="0048034D" w:rsidP="003E740E">
            <w:pPr>
              <w:pStyle w:val="SingleTxtG"/>
              <w:suppressAutoHyphens w:val="0"/>
              <w:spacing w:before="80" w:after="80" w:line="220" w:lineRule="exact"/>
              <w:ind w:left="0" w:right="113"/>
              <w:jc w:val="right"/>
              <w:rPr>
                <w:b/>
                <w:sz w:val="18"/>
              </w:rPr>
            </w:pPr>
            <w:r w:rsidRPr="003E740E">
              <w:rPr>
                <w:b/>
                <w:sz w:val="18"/>
              </w:rPr>
              <w:t>7 935</w:t>
            </w:r>
          </w:p>
        </w:tc>
        <w:tc>
          <w:tcPr>
            <w:tcW w:w="803" w:type="dxa"/>
            <w:tcBorders>
              <w:top w:val="single" w:sz="8" w:space="0" w:color="auto"/>
              <w:bottom w:val="single" w:sz="12" w:space="0" w:color="auto"/>
            </w:tcBorders>
            <w:shd w:val="clear" w:color="auto" w:fill="auto"/>
            <w:noWrap/>
            <w:vAlign w:val="bottom"/>
          </w:tcPr>
          <w:p w:rsidR="0048034D" w:rsidRPr="003E740E" w:rsidRDefault="0048034D" w:rsidP="003E740E">
            <w:pPr>
              <w:pStyle w:val="SingleTxtG"/>
              <w:suppressAutoHyphens w:val="0"/>
              <w:spacing w:before="80" w:after="80" w:line="220" w:lineRule="exact"/>
              <w:ind w:left="0" w:right="113"/>
              <w:jc w:val="right"/>
              <w:rPr>
                <w:b/>
                <w:sz w:val="18"/>
              </w:rPr>
            </w:pPr>
            <w:r w:rsidRPr="003E740E">
              <w:rPr>
                <w:b/>
                <w:sz w:val="18"/>
              </w:rPr>
              <w:t>19 532</w:t>
            </w:r>
          </w:p>
        </w:tc>
        <w:tc>
          <w:tcPr>
            <w:tcW w:w="803" w:type="dxa"/>
            <w:tcBorders>
              <w:top w:val="single" w:sz="8" w:space="0" w:color="auto"/>
              <w:bottom w:val="single" w:sz="12" w:space="0" w:color="auto"/>
            </w:tcBorders>
            <w:shd w:val="clear" w:color="auto" w:fill="auto"/>
            <w:noWrap/>
            <w:vAlign w:val="bottom"/>
          </w:tcPr>
          <w:p w:rsidR="0048034D" w:rsidRPr="003E740E" w:rsidRDefault="0048034D" w:rsidP="003E740E">
            <w:pPr>
              <w:pStyle w:val="SingleTxtG"/>
              <w:suppressAutoHyphens w:val="0"/>
              <w:spacing w:before="80" w:after="80" w:line="220" w:lineRule="exact"/>
              <w:ind w:left="0" w:right="113"/>
              <w:jc w:val="right"/>
              <w:rPr>
                <w:b/>
                <w:sz w:val="18"/>
              </w:rPr>
            </w:pPr>
            <w:r w:rsidRPr="003E740E">
              <w:rPr>
                <w:b/>
                <w:sz w:val="18"/>
              </w:rPr>
              <w:t>2 073</w:t>
            </w:r>
          </w:p>
        </w:tc>
        <w:tc>
          <w:tcPr>
            <w:tcW w:w="804" w:type="dxa"/>
            <w:tcBorders>
              <w:top w:val="single" w:sz="8" w:space="0" w:color="auto"/>
              <w:bottom w:val="single" w:sz="12" w:space="0" w:color="auto"/>
            </w:tcBorders>
            <w:shd w:val="clear" w:color="auto" w:fill="auto"/>
            <w:noWrap/>
            <w:vAlign w:val="bottom"/>
          </w:tcPr>
          <w:p w:rsidR="0048034D" w:rsidRPr="003E740E" w:rsidRDefault="0048034D" w:rsidP="003E740E">
            <w:pPr>
              <w:pStyle w:val="SingleTxtG"/>
              <w:suppressAutoHyphens w:val="0"/>
              <w:spacing w:before="80" w:after="80" w:line="220" w:lineRule="exact"/>
              <w:ind w:left="0" w:right="113"/>
              <w:jc w:val="right"/>
              <w:rPr>
                <w:b/>
                <w:sz w:val="18"/>
              </w:rPr>
            </w:pPr>
            <w:r w:rsidRPr="003E740E">
              <w:rPr>
                <w:b/>
                <w:sz w:val="18"/>
              </w:rPr>
              <w:t>21 605</w:t>
            </w:r>
          </w:p>
        </w:tc>
        <w:tc>
          <w:tcPr>
            <w:tcW w:w="851" w:type="dxa"/>
            <w:tcBorders>
              <w:top w:val="single" w:sz="8" w:space="0" w:color="auto"/>
              <w:bottom w:val="single" w:sz="12" w:space="0" w:color="auto"/>
            </w:tcBorders>
            <w:shd w:val="clear" w:color="auto" w:fill="auto"/>
            <w:noWrap/>
            <w:vAlign w:val="bottom"/>
          </w:tcPr>
          <w:p w:rsidR="0048034D" w:rsidRPr="003E740E" w:rsidRDefault="0048034D" w:rsidP="003E740E">
            <w:pPr>
              <w:pStyle w:val="SingleTxtG"/>
              <w:suppressAutoHyphens w:val="0"/>
              <w:spacing w:before="80" w:after="80" w:line="220" w:lineRule="exact"/>
              <w:ind w:left="0" w:right="113"/>
              <w:jc w:val="right"/>
              <w:rPr>
                <w:b/>
                <w:sz w:val="18"/>
              </w:rPr>
            </w:pPr>
            <w:r w:rsidRPr="003E740E">
              <w:rPr>
                <w:b/>
                <w:sz w:val="18"/>
              </w:rPr>
              <w:t>29 540</w:t>
            </w:r>
          </w:p>
        </w:tc>
      </w:tr>
    </w:tbl>
    <w:p w:rsidR="00BA06AB" w:rsidRPr="008E2DE9" w:rsidRDefault="00BA06AB" w:rsidP="008E2DE9">
      <w:pPr>
        <w:spacing w:before="120"/>
        <w:ind w:left="1134" w:right="1134" w:firstLine="170"/>
        <w:rPr>
          <w:sz w:val="18"/>
        </w:rPr>
      </w:pPr>
      <w:r w:rsidRPr="008E2DE9">
        <w:rPr>
          <w:i/>
          <w:sz w:val="18"/>
        </w:rPr>
        <w:t>Source</w:t>
      </w:r>
      <w:r w:rsidRPr="008E2DE9">
        <w:rPr>
          <w:sz w:val="18"/>
        </w:rPr>
        <w:t xml:space="preserve">: </w:t>
      </w:r>
      <w:r w:rsidR="00183738">
        <w:rPr>
          <w:sz w:val="18"/>
        </w:rPr>
        <w:t xml:space="preserve"> </w:t>
      </w:r>
      <w:r w:rsidRPr="008E2DE9">
        <w:rPr>
          <w:sz w:val="18"/>
        </w:rPr>
        <w:t>Directorate General of Prisons.</w:t>
      </w:r>
    </w:p>
    <w:p w:rsidR="00BA06AB" w:rsidRPr="00445C95" w:rsidRDefault="00BA06AB" w:rsidP="008E2DE9">
      <w:pPr>
        <w:pStyle w:val="Heading1"/>
        <w:spacing w:before="240"/>
      </w:pPr>
      <w:bookmarkStart w:id="38" w:name="_Toc486428539"/>
      <w:bookmarkStart w:id="39" w:name="_Toc490483656"/>
      <w:r w:rsidRPr="00445C95">
        <w:t>Table 9</w:t>
      </w:r>
      <w:bookmarkEnd w:id="38"/>
      <w:bookmarkEnd w:id="39"/>
    </w:p>
    <w:p w:rsidR="00BA06AB" w:rsidRPr="008E2DE9" w:rsidRDefault="00BA06AB" w:rsidP="00BA06AB">
      <w:pPr>
        <w:pStyle w:val="SingleTxtG"/>
        <w:rPr>
          <w:b/>
        </w:rPr>
      </w:pPr>
      <w:r w:rsidRPr="008E2DE9">
        <w:rPr>
          <w:b/>
        </w:rPr>
        <w:t>Legal assistance provided by the Public Defender</w:t>
      </w:r>
      <w:r w:rsidR="00726016" w:rsidRPr="008E2DE9">
        <w:rPr>
          <w:b/>
        </w:rPr>
        <w:t>’</w:t>
      </w:r>
      <w:r w:rsidRPr="008E2DE9">
        <w:rPr>
          <w:b/>
        </w:rPr>
        <w:t>s Unit (juvenile courts)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502"/>
        <w:gridCol w:w="1502"/>
        <w:gridCol w:w="1503"/>
        <w:gridCol w:w="1502"/>
        <w:gridCol w:w="1503"/>
      </w:tblGrid>
      <w:tr w:rsidR="00BA06AB" w:rsidRPr="008E2DE9" w:rsidTr="0086541B">
        <w:trPr>
          <w:trHeight w:val="300"/>
          <w:tblHeader/>
        </w:trPr>
        <w:tc>
          <w:tcPr>
            <w:tcW w:w="993" w:type="dxa"/>
            <w:tcBorders>
              <w:top w:val="single" w:sz="4" w:space="0" w:color="auto"/>
              <w:bottom w:val="single" w:sz="12" w:space="0" w:color="auto"/>
            </w:tcBorders>
            <w:shd w:val="clear" w:color="auto" w:fill="auto"/>
            <w:noWrap/>
            <w:vAlign w:val="bottom"/>
            <w:hideMark/>
          </w:tcPr>
          <w:p w:rsidR="00BA06AB" w:rsidRPr="008E2DE9" w:rsidRDefault="00BA06AB" w:rsidP="008E2DE9">
            <w:pPr>
              <w:pStyle w:val="SingleTxtG"/>
              <w:suppressAutoHyphens w:val="0"/>
              <w:spacing w:before="80" w:after="80" w:line="200" w:lineRule="exact"/>
              <w:ind w:left="0" w:right="113"/>
              <w:jc w:val="left"/>
              <w:rPr>
                <w:i/>
                <w:sz w:val="16"/>
              </w:rPr>
            </w:pPr>
          </w:p>
        </w:tc>
        <w:tc>
          <w:tcPr>
            <w:tcW w:w="1502" w:type="dxa"/>
            <w:tcBorders>
              <w:top w:val="single" w:sz="4" w:space="0" w:color="auto"/>
              <w:bottom w:val="single" w:sz="12" w:space="0" w:color="auto"/>
            </w:tcBorders>
            <w:shd w:val="clear" w:color="auto" w:fill="auto"/>
            <w:noWrap/>
            <w:vAlign w:val="bottom"/>
            <w:hideMark/>
          </w:tcPr>
          <w:p w:rsidR="00BA06AB" w:rsidRPr="008E2DE9" w:rsidRDefault="00BA06AB" w:rsidP="001126C6">
            <w:pPr>
              <w:pStyle w:val="SingleTxtG"/>
              <w:suppressAutoHyphens w:val="0"/>
              <w:spacing w:before="80" w:after="80" w:line="200" w:lineRule="exact"/>
              <w:ind w:left="0" w:right="113"/>
              <w:jc w:val="right"/>
              <w:rPr>
                <w:i/>
                <w:sz w:val="16"/>
              </w:rPr>
            </w:pPr>
            <w:r w:rsidRPr="008E2DE9">
              <w:rPr>
                <w:i/>
                <w:sz w:val="16"/>
              </w:rPr>
              <w:t>June 2010</w:t>
            </w:r>
            <w:r w:rsidR="00866581" w:rsidRPr="008E2DE9">
              <w:rPr>
                <w:i/>
                <w:sz w:val="16"/>
              </w:rPr>
              <w:t>-</w:t>
            </w:r>
            <w:r w:rsidRPr="008E2DE9">
              <w:rPr>
                <w:i/>
                <w:sz w:val="16"/>
              </w:rPr>
              <w:t>May 2011</w:t>
            </w:r>
          </w:p>
        </w:tc>
        <w:tc>
          <w:tcPr>
            <w:tcW w:w="1502" w:type="dxa"/>
            <w:tcBorders>
              <w:top w:val="single" w:sz="4" w:space="0" w:color="auto"/>
              <w:bottom w:val="single" w:sz="12" w:space="0" w:color="auto"/>
            </w:tcBorders>
            <w:shd w:val="clear" w:color="auto" w:fill="auto"/>
            <w:noWrap/>
            <w:vAlign w:val="bottom"/>
            <w:hideMark/>
          </w:tcPr>
          <w:p w:rsidR="00BA06AB" w:rsidRPr="008E2DE9" w:rsidRDefault="00BA06AB" w:rsidP="001126C6">
            <w:pPr>
              <w:pStyle w:val="SingleTxtG"/>
              <w:suppressAutoHyphens w:val="0"/>
              <w:spacing w:before="80" w:after="80" w:line="200" w:lineRule="exact"/>
              <w:ind w:left="0" w:right="113"/>
              <w:jc w:val="right"/>
              <w:rPr>
                <w:i/>
                <w:sz w:val="16"/>
              </w:rPr>
            </w:pPr>
            <w:r w:rsidRPr="008E2DE9">
              <w:rPr>
                <w:i/>
                <w:sz w:val="16"/>
              </w:rPr>
              <w:t>June 2011</w:t>
            </w:r>
            <w:r w:rsidR="00866581" w:rsidRPr="008E2DE9">
              <w:rPr>
                <w:i/>
                <w:sz w:val="16"/>
              </w:rPr>
              <w:t>-</w:t>
            </w:r>
            <w:r w:rsidRPr="008E2DE9">
              <w:rPr>
                <w:i/>
                <w:sz w:val="16"/>
              </w:rPr>
              <w:t>May 2012</w:t>
            </w:r>
          </w:p>
        </w:tc>
        <w:tc>
          <w:tcPr>
            <w:tcW w:w="1503" w:type="dxa"/>
            <w:tcBorders>
              <w:top w:val="single" w:sz="4" w:space="0" w:color="auto"/>
              <w:bottom w:val="single" w:sz="12" w:space="0" w:color="auto"/>
            </w:tcBorders>
            <w:shd w:val="clear" w:color="auto" w:fill="auto"/>
            <w:noWrap/>
            <w:vAlign w:val="bottom"/>
            <w:hideMark/>
          </w:tcPr>
          <w:p w:rsidR="00BA06AB" w:rsidRPr="008E2DE9" w:rsidRDefault="00BA06AB" w:rsidP="001126C6">
            <w:pPr>
              <w:pStyle w:val="SingleTxtG"/>
              <w:suppressAutoHyphens w:val="0"/>
              <w:spacing w:before="80" w:after="80" w:line="200" w:lineRule="exact"/>
              <w:ind w:left="0" w:right="113"/>
              <w:jc w:val="right"/>
              <w:rPr>
                <w:i/>
                <w:sz w:val="16"/>
              </w:rPr>
            </w:pPr>
            <w:r w:rsidRPr="008E2DE9">
              <w:rPr>
                <w:i/>
                <w:sz w:val="16"/>
              </w:rPr>
              <w:t>June 2012</w:t>
            </w:r>
            <w:r w:rsidR="00866581" w:rsidRPr="008E2DE9">
              <w:rPr>
                <w:i/>
                <w:sz w:val="16"/>
              </w:rPr>
              <w:t>-</w:t>
            </w:r>
            <w:r w:rsidRPr="008E2DE9">
              <w:rPr>
                <w:i/>
                <w:sz w:val="16"/>
              </w:rPr>
              <w:t>May 2013</w:t>
            </w:r>
          </w:p>
        </w:tc>
        <w:tc>
          <w:tcPr>
            <w:tcW w:w="1502" w:type="dxa"/>
            <w:tcBorders>
              <w:top w:val="single" w:sz="4" w:space="0" w:color="auto"/>
              <w:bottom w:val="single" w:sz="12" w:space="0" w:color="auto"/>
            </w:tcBorders>
            <w:shd w:val="clear" w:color="auto" w:fill="auto"/>
            <w:noWrap/>
            <w:vAlign w:val="bottom"/>
            <w:hideMark/>
          </w:tcPr>
          <w:p w:rsidR="00BA06AB" w:rsidRPr="008E2DE9" w:rsidRDefault="00BA06AB" w:rsidP="008E2DE9">
            <w:pPr>
              <w:pStyle w:val="SingleTxtG"/>
              <w:suppressAutoHyphens w:val="0"/>
              <w:spacing w:before="80" w:after="80" w:line="200" w:lineRule="exact"/>
              <w:ind w:left="0" w:right="113"/>
              <w:jc w:val="right"/>
              <w:rPr>
                <w:i/>
                <w:sz w:val="16"/>
              </w:rPr>
            </w:pPr>
            <w:r w:rsidRPr="008E2DE9">
              <w:rPr>
                <w:i/>
                <w:sz w:val="16"/>
              </w:rPr>
              <w:t>June 2013</w:t>
            </w:r>
            <w:r w:rsidR="00866581" w:rsidRPr="008E2DE9">
              <w:rPr>
                <w:i/>
                <w:sz w:val="16"/>
              </w:rPr>
              <w:t>-</w:t>
            </w:r>
            <w:r w:rsidRPr="008E2DE9">
              <w:rPr>
                <w:i/>
                <w:sz w:val="16"/>
              </w:rPr>
              <w:t>May 2014</w:t>
            </w:r>
          </w:p>
        </w:tc>
        <w:tc>
          <w:tcPr>
            <w:tcW w:w="1503" w:type="dxa"/>
            <w:tcBorders>
              <w:top w:val="single" w:sz="4" w:space="0" w:color="auto"/>
              <w:bottom w:val="single" w:sz="12" w:space="0" w:color="auto"/>
            </w:tcBorders>
            <w:shd w:val="clear" w:color="auto" w:fill="auto"/>
            <w:noWrap/>
            <w:vAlign w:val="bottom"/>
            <w:hideMark/>
          </w:tcPr>
          <w:p w:rsidR="00BA06AB" w:rsidRPr="008E2DE9" w:rsidRDefault="00BA06AB" w:rsidP="001126C6">
            <w:pPr>
              <w:pStyle w:val="SingleTxtG"/>
              <w:suppressAutoHyphens w:val="0"/>
              <w:spacing w:before="80" w:after="80" w:line="200" w:lineRule="exact"/>
              <w:ind w:left="0" w:right="113"/>
              <w:jc w:val="right"/>
              <w:rPr>
                <w:i/>
                <w:sz w:val="16"/>
              </w:rPr>
            </w:pPr>
            <w:r w:rsidRPr="008E2DE9">
              <w:rPr>
                <w:i/>
                <w:sz w:val="16"/>
              </w:rPr>
              <w:t>June 2014</w:t>
            </w:r>
            <w:r w:rsidR="00866581" w:rsidRPr="008E2DE9">
              <w:rPr>
                <w:i/>
                <w:sz w:val="16"/>
              </w:rPr>
              <w:t>-</w:t>
            </w:r>
            <w:r w:rsidRPr="008E2DE9">
              <w:rPr>
                <w:i/>
                <w:sz w:val="16"/>
              </w:rPr>
              <w:t>May 2015</w:t>
            </w:r>
          </w:p>
        </w:tc>
      </w:tr>
      <w:tr w:rsidR="00BA06AB" w:rsidRPr="008E2DE9" w:rsidTr="0086541B">
        <w:trPr>
          <w:trHeight w:val="300"/>
        </w:trPr>
        <w:tc>
          <w:tcPr>
            <w:tcW w:w="993" w:type="dxa"/>
            <w:tcBorders>
              <w:top w:val="single" w:sz="12" w:space="0" w:color="auto"/>
            </w:tcBorders>
            <w:shd w:val="clear" w:color="auto" w:fill="auto"/>
            <w:noWrap/>
            <w:hideMark/>
          </w:tcPr>
          <w:p w:rsidR="00BA06AB" w:rsidRPr="008E2DE9" w:rsidRDefault="00BA06AB" w:rsidP="008E2DE9">
            <w:pPr>
              <w:pStyle w:val="SingleTxtG"/>
              <w:suppressAutoHyphens w:val="0"/>
              <w:spacing w:before="40" w:after="40" w:line="220" w:lineRule="exact"/>
              <w:ind w:left="0" w:right="113"/>
              <w:jc w:val="left"/>
              <w:rPr>
                <w:sz w:val="18"/>
              </w:rPr>
            </w:pPr>
            <w:r w:rsidRPr="008E2DE9">
              <w:rPr>
                <w:sz w:val="18"/>
              </w:rPr>
              <w:t>Adolescents</w:t>
            </w:r>
          </w:p>
        </w:tc>
        <w:tc>
          <w:tcPr>
            <w:tcW w:w="1502" w:type="dxa"/>
            <w:tcBorders>
              <w:top w:val="single" w:sz="12" w:space="0" w:color="auto"/>
            </w:tcBorders>
            <w:shd w:val="clear" w:color="auto" w:fill="auto"/>
            <w:noWrap/>
            <w:vAlign w:val="bottom"/>
            <w:hideMark/>
          </w:tcPr>
          <w:p w:rsidR="00BA06AB" w:rsidRPr="008E2DE9" w:rsidRDefault="00BA06AB" w:rsidP="008E2DE9">
            <w:pPr>
              <w:pStyle w:val="SingleTxtG"/>
              <w:suppressAutoHyphens w:val="0"/>
              <w:spacing w:before="40" w:after="40" w:line="220" w:lineRule="exact"/>
              <w:ind w:left="0" w:right="113"/>
              <w:jc w:val="right"/>
              <w:rPr>
                <w:sz w:val="18"/>
              </w:rPr>
            </w:pPr>
            <w:r w:rsidRPr="008E2DE9">
              <w:rPr>
                <w:sz w:val="18"/>
              </w:rPr>
              <w:t>9 917</w:t>
            </w:r>
          </w:p>
        </w:tc>
        <w:tc>
          <w:tcPr>
            <w:tcW w:w="1502" w:type="dxa"/>
            <w:tcBorders>
              <w:top w:val="single" w:sz="12" w:space="0" w:color="auto"/>
            </w:tcBorders>
            <w:shd w:val="clear" w:color="auto" w:fill="auto"/>
            <w:noWrap/>
            <w:vAlign w:val="bottom"/>
            <w:hideMark/>
          </w:tcPr>
          <w:p w:rsidR="00BA06AB" w:rsidRPr="008E2DE9" w:rsidRDefault="00BA06AB" w:rsidP="008E2DE9">
            <w:pPr>
              <w:pStyle w:val="SingleTxtG"/>
              <w:suppressAutoHyphens w:val="0"/>
              <w:spacing w:before="40" w:after="40" w:line="220" w:lineRule="exact"/>
              <w:ind w:left="0" w:right="113"/>
              <w:jc w:val="right"/>
              <w:rPr>
                <w:sz w:val="18"/>
              </w:rPr>
            </w:pPr>
            <w:r w:rsidRPr="008E2DE9">
              <w:rPr>
                <w:sz w:val="18"/>
              </w:rPr>
              <w:t>7 758</w:t>
            </w:r>
          </w:p>
        </w:tc>
        <w:tc>
          <w:tcPr>
            <w:tcW w:w="1503" w:type="dxa"/>
            <w:tcBorders>
              <w:top w:val="single" w:sz="12" w:space="0" w:color="auto"/>
            </w:tcBorders>
            <w:shd w:val="clear" w:color="auto" w:fill="auto"/>
            <w:noWrap/>
            <w:vAlign w:val="bottom"/>
            <w:hideMark/>
          </w:tcPr>
          <w:p w:rsidR="00BA06AB" w:rsidRPr="008E2DE9" w:rsidRDefault="00BA06AB" w:rsidP="008E2DE9">
            <w:pPr>
              <w:pStyle w:val="SingleTxtG"/>
              <w:suppressAutoHyphens w:val="0"/>
              <w:spacing w:before="40" w:after="40" w:line="220" w:lineRule="exact"/>
              <w:ind w:left="0" w:right="113"/>
              <w:jc w:val="right"/>
              <w:rPr>
                <w:sz w:val="18"/>
              </w:rPr>
            </w:pPr>
            <w:r w:rsidRPr="008E2DE9">
              <w:rPr>
                <w:sz w:val="18"/>
              </w:rPr>
              <w:t>4 790</w:t>
            </w:r>
          </w:p>
        </w:tc>
        <w:tc>
          <w:tcPr>
            <w:tcW w:w="1502" w:type="dxa"/>
            <w:tcBorders>
              <w:top w:val="single" w:sz="12" w:space="0" w:color="auto"/>
            </w:tcBorders>
            <w:shd w:val="clear" w:color="auto" w:fill="auto"/>
            <w:noWrap/>
            <w:vAlign w:val="bottom"/>
            <w:hideMark/>
          </w:tcPr>
          <w:p w:rsidR="00BA06AB" w:rsidRPr="008E2DE9" w:rsidRDefault="00BA06AB" w:rsidP="008E2DE9">
            <w:pPr>
              <w:pStyle w:val="SingleTxtG"/>
              <w:suppressAutoHyphens w:val="0"/>
              <w:spacing w:before="40" w:after="40" w:line="220" w:lineRule="exact"/>
              <w:ind w:left="0" w:right="113"/>
              <w:jc w:val="right"/>
              <w:rPr>
                <w:sz w:val="18"/>
              </w:rPr>
            </w:pPr>
            <w:r w:rsidRPr="008E2DE9">
              <w:rPr>
                <w:sz w:val="18"/>
              </w:rPr>
              <w:t>5 521</w:t>
            </w:r>
          </w:p>
        </w:tc>
        <w:tc>
          <w:tcPr>
            <w:tcW w:w="1503" w:type="dxa"/>
            <w:tcBorders>
              <w:top w:val="single" w:sz="12" w:space="0" w:color="auto"/>
            </w:tcBorders>
            <w:shd w:val="clear" w:color="auto" w:fill="auto"/>
            <w:noWrap/>
            <w:vAlign w:val="bottom"/>
            <w:hideMark/>
          </w:tcPr>
          <w:p w:rsidR="00BA06AB" w:rsidRPr="008E2DE9" w:rsidRDefault="00BA06AB" w:rsidP="008E2DE9">
            <w:pPr>
              <w:pStyle w:val="SingleTxtG"/>
              <w:suppressAutoHyphens w:val="0"/>
              <w:spacing w:before="40" w:after="40" w:line="220" w:lineRule="exact"/>
              <w:ind w:left="0" w:right="113"/>
              <w:jc w:val="right"/>
              <w:rPr>
                <w:sz w:val="18"/>
              </w:rPr>
            </w:pPr>
            <w:r w:rsidRPr="008E2DE9">
              <w:rPr>
                <w:sz w:val="18"/>
              </w:rPr>
              <w:t>5 460</w:t>
            </w:r>
          </w:p>
        </w:tc>
      </w:tr>
    </w:tbl>
    <w:p w:rsidR="00BA06AB" w:rsidRPr="00445C95" w:rsidRDefault="00BA06AB" w:rsidP="00080166">
      <w:pPr>
        <w:pStyle w:val="Heading1"/>
        <w:spacing w:before="240"/>
      </w:pPr>
      <w:bookmarkStart w:id="40" w:name="_Toc486428540"/>
      <w:bookmarkStart w:id="41" w:name="_Toc490483657"/>
      <w:r w:rsidRPr="00445C95">
        <w:t>Table 10</w:t>
      </w:r>
      <w:bookmarkEnd w:id="40"/>
      <w:bookmarkEnd w:id="41"/>
    </w:p>
    <w:p w:rsidR="00BA06AB" w:rsidRPr="001126C6" w:rsidRDefault="00BA06AB" w:rsidP="00BA06AB">
      <w:pPr>
        <w:pStyle w:val="SingleTxtG"/>
        <w:rPr>
          <w:b/>
        </w:rPr>
      </w:pPr>
      <w:r w:rsidRPr="001126C6">
        <w:rPr>
          <w:b/>
        </w:rPr>
        <w:t>Children and adolescents receiving assistance from the Family, Child and Adolescent Protection Unit, administrative phase 2013</w:t>
      </w:r>
      <w:r w:rsidR="00866581" w:rsidRPr="001126C6">
        <w:rPr>
          <w:b/>
        </w:rPr>
        <w:t>-</w:t>
      </w:r>
      <w:r w:rsidRPr="001126C6">
        <w:rPr>
          <w:b/>
        </w:rPr>
        <w:t>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9"/>
        <w:gridCol w:w="921"/>
        <w:gridCol w:w="1171"/>
        <w:gridCol w:w="777"/>
        <w:gridCol w:w="791"/>
        <w:gridCol w:w="923"/>
        <w:gridCol w:w="949"/>
        <w:gridCol w:w="869"/>
      </w:tblGrid>
      <w:tr w:rsidR="00E13FD1" w:rsidRPr="001126C6" w:rsidTr="00E13FD1">
        <w:trPr>
          <w:trHeight w:val="300"/>
          <w:tblHeader/>
        </w:trPr>
        <w:tc>
          <w:tcPr>
            <w:tcW w:w="1119" w:type="dxa"/>
            <w:tcBorders>
              <w:top w:val="single" w:sz="4" w:space="0" w:color="auto"/>
              <w:bottom w:val="nil"/>
            </w:tcBorders>
            <w:shd w:val="clear" w:color="auto" w:fill="auto"/>
            <w:noWrap/>
            <w:vAlign w:val="bottom"/>
            <w:hideMark/>
          </w:tcPr>
          <w:p w:rsidR="00BA06AB" w:rsidRPr="001126C6" w:rsidRDefault="00BA06AB" w:rsidP="001126C6">
            <w:pPr>
              <w:pStyle w:val="SingleTxtG"/>
              <w:suppressAutoHyphens w:val="0"/>
              <w:spacing w:before="80" w:after="80" w:line="200" w:lineRule="exact"/>
              <w:ind w:left="0" w:right="113"/>
              <w:jc w:val="left"/>
              <w:rPr>
                <w:i/>
                <w:sz w:val="16"/>
              </w:rPr>
            </w:pPr>
          </w:p>
        </w:tc>
        <w:tc>
          <w:tcPr>
            <w:tcW w:w="1064" w:type="dxa"/>
            <w:tcBorders>
              <w:top w:val="single" w:sz="4" w:space="0" w:color="auto"/>
              <w:bottom w:val="nil"/>
            </w:tcBorders>
            <w:shd w:val="clear" w:color="auto" w:fill="auto"/>
            <w:noWrap/>
            <w:vAlign w:val="bottom"/>
            <w:hideMark/>
          </w:tcPr>
          <w:p w:rsidR="00BA06AB" w:rsidRPr="001126C6" w:rsidRDefault="00BA06AB" w:rsidP="001126C6">
            <w:pPr>
              <w:pStyle w:val="SingleTxtG"/>
              <w:suppressAutoHyphens w:val="0"/>
              <w:spacing w:before="80" w:after="80" w:line="200" w:lineRule="exact"/>
              <w:ind w:left="0" w:right="113"/>
              <w:jc w:val="right"/>
              <w:rPr>
                <w:i/>
                <w:sz w:val="16"/>
              </w:rPr>
            </w:pPr>
          </w:p>
        </w:tc>
        <w:tc>
          <w:tcPr>
            <w:tcW w:w="3159"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BA06AB" w:rsidRPr="001126C6" w:rsidRDefault="00BA06AB" w:rsidP="0086541B">
            <w:pPr>
              <w:pStyle w:val="SingleTxtG"/>
              <w:suppressAutoHyphens w:val="0"/>
              <w:spacing w:before="80" w:after="80" w:line="200" w:lineRule="exact"/>
              <w:ind w:left="0" w:right="113"/>
              <w:jc w:val="center"/>
              <w:rPr>
                <w:i/>
                <w:sz w:val="16"/>
              </w:rPr>
            </w:pPr>
            <w:r w:rsidRPr="001126C6">
              <w:rPr>
                <w:i/>
                <w:sz w:val="16"/>
              </w:rPr>
              <w:t>Children</w:t>
            </w:r>
          </w:p>
        </w:tc>
        <w:tc>
          <w:tcPr>
            <w:tcW w:w="3162"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BA06AB" w:rsidRPr="001126C6" w:rsidRDefault="00BA06AB" w:rsidP="0086541B">
            <w:pPr>
              <w:pStyle w:val="SingleTxtG"/>
              <w:suppressAutoHyphens w:val="0"/>
              <w:spacing w:before="80" w:after="80" w:line="200" w:lineRule="exact"/>
              <w:ind w:left="0" w:right="113"/>
              <w:jc w:val="center"/>
              <w:rPr>
                <w:i/>
                <w:sz w:val="16"/>
              </w:rPr>
            </w:pPr>
            <w:r w:rsidRPr="001126C6">
              <w:rPr>
                <w:i/>
                <w:sz w:val="16"/>
              </w:rPr>
              <w:t>Adolescents</w:t>
            </w:r>
          </w:p>
        </w:tc>
      </w:tr>
      <w:tr w:rsidR="00BA06AB" w:rsidRPr="00E13FD1" w:rsidTr="00E13FD1">
        <w:trPr>
          <w:trHeight w:val="300"/>
          <w:tblHeader/>
        </w:trPr>
        <w:tc>
          <w:tcPr>
            <w:tcW w:w="1119" w:type="dxa"/>
            <w:tcBorders>
              <w:top w:val="nil"/>
              <w:bottom w:val="single" w:sz="12" w:space="0" w:color="auto"/>
            </w:tcBorders>
            <w:shd w:val="clear" w:color="auto" w:fill="auto"/>
            <w:hideMark/>
          </w:tcPr>
          <w:p w:rsidR="00BA06AB" w:rsidRPr="00E13FD1" w:rsidRDefault="00BA06AB" w:rsidP="00E13FD1">
            <w:pPr>
              <w:pStyle w:val="SingleTxtG"/>
              <w:suppressAutoHyphens w:val="0"/>
              <w:spacing w:before="80" w:after="80" w:line="200" w:lineRule="exact"/>
              <w:ind w:left="0" w:right="113"/>
              <w:jc w:val="left"/>
              <w:rPr>
                <w:i/>
                <w:sz w:val="16"/>
              </w:rPr>
            </w:pPr>
            <w:r w:rsidRPr="00E13FD1">
              <w:rPr>
                <w:i/>
                <w:sz w:val="16"/>
              </w:rPr>
              <w:t>Year</w:t>
            </w:r>
          </w:p>
        </w:tc>
        <w:tc>
          <w:tcPr>
            <w:tcW w:w="1064" w:type="dxa"/>
            <w:tcBorders>
              <w:top w:val="nil"/>
              <w:bottom w:val="single" w:sz="12" w:space="0" w:color="auto"/>
            </w:tcBorders>
            <w:shd w:val="clear" w:color="auto" w:fill="auto"/>
            <w:vAlign w:val="bottom"/>
            <w:hideMark/>
          </w:tcPr>
          <w:p w:rsidR="00BA06AB" w:rsidRPr="00E13FD1" w:rsidRDefault="00BA06AB" w:rsidP="00E13FD1">
            <w:pPr>
              <w:pStyle w:val="SingleTxtG"/>
              <w:suppressAutoHyphens w:val="0"/>
              <w:spacing w:before="80" w:after="80" w:line="200" w:lineRule="exact"/>
              <w:ind w:left="0" w:right="113"/>
              <w:jc w:val="right"/>
              <w:rPr>
                <w:i/>
                <w:sz w:val="16"/>
              </w:rPr>
            </w:pPr>
            <w:r w:rsidRPr="00E13FD1">
              <w:rPr>
                <w:i/>
                <w:sz w:val="16"/>
              </w:rPr>
              <w:t>Total</w:t>
            </w:r>
          </w:p>
        </w:tc>
        <w:tc>
          <w:tcPr>
            <w:tcW w:w="1353" w:type="dxa"/>
            <w:tcBorders>
              <w:top w:val="single" w:sz="4" w:space="0" w:color="auto"/>
              <w:bottom w:val="single" w:sz="12" w:space="0" w:color="auto"/>
            </w:tcBorders>
            <w:shd w:val="clear" w:color="auto" w:fill="auto"/>
            <w:noWrap/>
            <w:vAlign w:val="bottom"/>
            <w:hideMark/>
          </w:tcPr>
          <w:p w:rsidR="00BA06AB" w:rsidRPr="00E13FD1" w:rsidRDefault="00BA06AB" w:rsidP="00E13FD1">
            <w:pPr>
              <w:pStyle w:val="SingleTxtG"/>
              <w:suppressAutoHyphens w:val="0"/>
              <w:spacing w:before="80" w:after="80" w:line="200" w:lineRule="exact"/>
              <w:ind w:left="0" w:right="113"/>
              <w:jc w:val="right"/>
              <w:rPr>
                <w:i/>
                <w:sz w:val="16"/>
              </w:rPr>
            </w:pPr>
            <w:r w:rsidRPr="00E13FD1">
              <w:rPr>
                <w:i/>
                <w:sz w:val="16"/>
              </w:rPr>
              <w:t>Subtotal</w:t>
            </w:r>
          </w:p>
        </w:tc>
        <w:tc>
          <w:tcPr>
            <w:tcW w:w="897" w:type="dxa"/>
            <w:tcBorders>
              <w:top w:val="single" w:sz="4" w:space="0" w:color="auto"/>
              <w:bottom w:val="single" w:sz="12" w:space="0" w:color="auto"/>
            </w:tcBorders>
            <w:shd w:val="clear" w:color="auto" w:fill="auto"/>
            <w:noWrap/>
            <w:vAlign w:val="bottom"/>
            <w:hideMark/>
          </w:tcPr>
          <w:p w:rsidR="00BA06AB" w:rsidRPr="00E13FD1" w:rsidRDefault="00BA06AB" w:rsidP="00E13FD1">
            <w:pPr>
              <w:pStyle w:val="SingleTxtG"/>
              <w:suppressAutoHyphens w:val="0"/>
              <w:spacing w:before="80" w:after="80" w:line="200" w:lineRule="exact"/>
              <w:ind w:left="0" w:right="113"/>
              <w:jc w:val="right"/>
              <w:rPr>
                <w:i/>
                <w:sz w:val="16"/>
              </w:rPr>
            </w:pPr>
            <w:r w:rsidRPr="00E13FD1">
              <w:rPr>
                <w:i/>
                <w:sz w:val="16"/>
              </w:rPr>
              <w:t>Girls</w:t>
            </w:r>
          </w:p>
        </w:tc>
        <w:tc>
          <w:tcPr>
            <w:tcW w:w="909" w:type="dxa"/>
            <w:tcBorders>
              <w:top w:val="single" w:sz="4" w:space="0" w:color="auto"/>
              <w:bottom w:val="single" w:sz="12" w:space="0" w:color="auto"/>
              <w:right w:val="single" w:sz="24" w:space="0" w:color="FFFFFF" w:themeColor="background1"/>
            </w:tcBorders>
            <w:shd w:val="clear" w:color="auto" w:fill="auto"/>
            <w:noWrap/>
            <w:vAlign w:val="bottom"/>
            <w:hideMark/>
          </w:tcPr>
          <w:p w:rsidR="00BA06AB" w:rsidRPr="00E13FD1" w:rsidRDefault="00BA06AB" w:rsidP="00E13FD1">
            <w:pPr>
              <w:pStyle w:val="SingleTxtG"/>
              <w:suppressAutoHyphens w:val="0"/>
              <w:spacing w:before="80" w:after="80" w:line="200" w:lineRule="exact"/>
              <w:ind w:left="0" w:right="113"/>
              <w:jc w:val="right"/>
              <w:rPr>
                <w:i/>
                <w:sz w:val="16"/>
              </w:rPr>
            </w:pPr>
            <w:r w:rsidRPr="00E13FD1">
              <w:rPr>
                <w:i/>
                <w:sz w:val="16"/>
              </w:rPr>
              <w:t>Boys</w:t>
            </w:r>
          </w:p>
        </w:tc>
        <w:tc>
          <w:tcPr>
            <w:tcW w:w="1062" w:type="dxa"/>
            <w:tcBorders>
              <w:top w:val="single" w:sz="4" w:space="0" w:color="auto"/>
              <w:left w:val="single" w:sz="24" w:space="0" w:color="FFFFFF" w:themeColor="background1"/>
              <w:bottom w:val="single" w:sz="12" w:space="0" w:color="auto"/>
            </w:tcBorders>
            <w:shd w:val="clear" w:color="auto" w:fill="auto"/>
            <w:noWrap/>
            <w:vAlign w:val="bottom"/>
            <w:hideMark/>
          </w:tcPr>
          <w:p w:rsidR="00BA06AB" w:rsidRPr="00E13FD1" w:rsidRDefault="00BA06AB" w:rsidP="00E13FD1">
            <w:pPr>
              <w:pStyle w:val="SingleTxtG"/>
              <w:suppressAutoHyphens w:val="0"/>
              <w:spacing w:before="80" w:after="80" w:line="200" w:lineRule="exact"/>
              <w:ind w:left="0" w:right="113"/>
              <w:jc w:val="right"/>
              <w:rPr>
                <w:i/>
                <w:sz w:val="16"/>
              </w:rPr>
            </w:pPr>
            <w:r w:rsidRPr="00E13FD1">
              <w:rPr>
                <w:i/>
                <w:sz w:val="16"/>
              </w:rPr>
              <w:t>Subtotal</w:t>
            </w:r>
          </w:p>
        </w:tc>
        <w:tc>
          <w:tcPr>
            <w:tcW w:w="1096" w:type="dxa"/>
            <w:tcBorders>
              <w:top w:val="single" w:sz="4" w:space="0" w:color="auto"/>
              <w:bottom w:val="single" w:sz="12" w:space="0" w:color="auto"/>
            </w:tcBorders>
            <w:shd w:val="clear" w:color="auto" w:fill="auto"/>
            <w:noWrap/>
            <w:vAlign w:val="bottom"/>
            <w:hideMark/>
          </w:tcPr>
          <w:p w:rsidR="00BA06AB" w:rsidRPr="00E13FD1" w:rsidRDefault="00BA06AB" w:rsidP="00E13FD1">
            <w:pPr>
              <w:pStyle w:val="SingleTxtG"/>
              <w:suppressAutoHyphens w:val="0"/>
              <w:spacing w:before="80" w:after="80" w:line="200" w:lineRule="exact"/>
              <w:ind w:left="0" w:right="113"/>
              <w:jc w:val="right"/>
              <w:rPr>
                <w:i/>
                <w:sz w:val="16"/>
              </w:rPr>
            </w:pPr>
            <w:r w:rsidRPr="00E13FD1">
              <w:rPr>
                <w:i/>
                <w:sz w:val="16"/>
              </w:rPr>
              <w:t>Boys</w:t>
            </w:r>
          </w:p>
        </w:tc>
        <w:tc>
          <w:tcPr>
            <w:tcW w:w="1004" w:type="dxa"/>
            <w:tcBorders>
              <w:top w:val="single" w:sz="4" w:space="0" w:color="auto"/>
              <w:bottom w:val="single" w:sz="12" w:space="0" w:color="auto"/>
            </w:tcBorders>
            <w:shd w:val="clear" w:color="auto" w:fill="auto"/>
            <w:noWrap/>
            <w:vAlign w:val="bottom"/>
            <w:hideMark/>
          </w:tcPr>
          <w:p w:rsidR="00BA06AB" w:rsidRPr="00E13FD1" w:rsidRDefault="00BA06AB" w:rsidP="00E13FD1">
            <w:pPr>
              <w:pStyle w:val="SingleTxtG"/>
              <w:suppressAutoHyphens w:val="0"/>
              <w:spacing w:before="80" w:after="80" w:line="200" w:lineRule="exact"/>
              <w:ind w:left="0" w:right="113"/>
              <w:jc w:val="right"/>
              <w:rPr>
                <w:i/>
                <w:sz w:val="16"/>
              </w:rPr>
            </w:pPr>
            <w:r w:rsidRPr="00E13FD1">
              <w:rPr>
                <w:i/>
                <w:sz w:val="16"/>
              </w:rPr>
              <w:t>Girls</w:t>
            </w:r>
          </w:p>
        </w:tc>
      </w:tr>
      <w:tr w:rsidR="00BA06AB" w:rsidRPr="001126C6" w:rsidTr="00E13FD1">
        <w:trPr>
          <w:trHeight w:val="300"/>
        </w:trPr>
        <w:tc>
          <w:tcPr>
            <w:tcW w:w="1119" w:type="dxa"/>
            <w:tcBorders>
              <w:top w:val="single" w:sz="12" w:space="0" w:color="auto"/>
            </w:tcBorders>
            <w:shd w:val="clear" w:color="auto" w:fill="auto"/>
            <w:noWrap/>
            <w:hideMark/>
          </w:tcPr>
          <w:p w:rsidR="00BA06AB" w:rsidRPr="001126C6" w:rsidRDefault="00BA06AB" w:rsidP="001126C6">
            <w:pPr>
              <w:pStyle w:val="SingleTxtG"/>
              <w:suppressAutoHyphens w:val="0"/>
              <w:spacing w:before="40" w:after="40" w:line="220" w:lineRule="exact"/>
              <w:ind w:left="0" w:right="113"/>
              <w:jc w:val="left"/>
              <w:rPr>
                <w:sz w:val="18"/>
              </w:rPr>
            </w:pPr>
            <w:r w:rsidRPr="001126C6">
              <w:rPr>
                <w:sz w:val="18"/>
              </w:rPr>
              <w:t>2013</w:t>
            </w:r>
          </w:p>
        </w:tc>
        <w:tc>
          <w:tcPr>
            <w:tcW w:w="1064" w:type="dxa"/>
            <w:tcBorders>
              <w:top w:val="single" w:sz="12" w:space="0" w:color="auto"/>
            </w:tcBorders>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24 324</w:t>
            </w:r>
          </w:p>
        </w:tc>
        <w:tc>
          <w:tcPr>
            <w:tcW w:w="1353" w:type="dxa"/>
            <w:tcBorders>
              <w:top w:val="single" w:sz="12" w:space="0" w:color="auto"/>
            </w:tcBorders>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17 825</w:t>
            </w:r>
          </w:p>
        </w:tc>
        <w:tc>
          <w:tcPr>
            <w:tcW w:w="897" w:type="dxa"/>
            <w:tcBorders>
              <w:top w:val="single" w:sz="12" w:space="0" w:color="auto"/>
            </w:tcBorders>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9 215</w:t>
            </w:r>
          </w:p>
        </w:tc>
        <w:tc>
          <w:tcPr>
            <w:tcW w:w="909" w:type="dxa"/>
            <w:tcBorders>
              <w:top w:val="single" w:sz="12" w:space="0" w:color="auto"/>
            </w:tcBorders>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8 610</w:t>
            </w:r>
          </w:p>
        </w:tc>
        <w:tc>
          <w:tcPr>
            <w:tcW w:w="1062" w:type="dxa"/>
            <w:tcBorders>
              <w:top w:val="single" w:sz="12" w:space="0" w:color="auto"/>
            </w:tcBorders>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6 499</w:t>
            </w:r>
          </w:p>
        </w:tc>
        <w:tc>
          <w:tcPr>
            <w:tcW w:w="1096" w:type="dxa"/>
            <w:tcBorders>
              <w:top w:val="single" w:sz="12" w:space="0" w:color="auto"/>
            </w:tcBorders>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3 940</w:t>
            </w:r>
          </w:p>
        </w:tc>
        <w:tc>
          <w:tcPr>
            <w:tcW w:w="1004" w:type="dxa"/>
            <w:tcBorders>
              <w:top w:val="single" w:sz="12" w:space="0" w:color="auto"/>
            </w:tcBorders>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2 559</w:t>
            </w:r>
          </w:p>
        </w:tc>
      </w:tr>
      <w:tr w:rsidR="00BA06AB" w:rsidRPr="001126C6" w:rsidTr="001126C6">
        <w:trPr>
          <w:trHeight w:val="300"/>
        </w:trPr>
        <w:tc>
          <w:tcPr>
            <w:tcW w:w="1119" w:type="dxa"/>
            <w:shd w:val="clear" w:color="auto" w:fill="auto"/>
            <w:noWrap/>
            <w:hideMark/>
          </w:tcPr>
          <w:p w:rsidR="00BA06AB" w:rsidRPr="001126C6" w:rsidRDefault="00BA06AB" w:rsidP="001126C6">
            <w:pPr>
              <w:pStyle w:val="SingleTxtG"/>
              <w:suppressAutoHyphens w:val="0"/>
              <w:spacing w:before="40" w:after="40" w:line="220" w:lineRule="exact"/>
              <w:ind w:left="0" w:right="113"/>
              <w:jc w:val="left"/>
              <w:rPr>
                <w:sz w:val="18"/>
              </w:rPr>
            </w:pPr>
            <w:r w:rsidRPr="001126C6">
              <w:rPr>
                <w:sz w:val="18"/>
              </w:rPr>
              <w:t>2014</w:t>
            </w:r>
          </w:p>
        </w:tc>
        <w:tc>
          <w:tcPr>
            <w:tcW w:w="1064"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15 776</w:t>
            </w:r>
          </w:p>
        </w:tc>
        <w:tc>
          <w:tcPr>
            <w:tcW w:w="1353"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10 513</w:t>
            </w:r>
          </w:p>
        </w:tc>
        <w:tc>
          <w:tcPr>
            <w:tcW w:w="897"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7 463</w:t>
            </w:r>
          </w:p>
        </w:tc>
        <w:tc>
          <w:tcPr>
            <w:tcW w:w="909"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3 050</w:t>
            </w:r>
          </w:p>
        </w:tc>
        <w:tc>
          <w:tcPr>
            <w:tcW w:w="1062"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5 263</w:t>
            </w:r>
          </w:p>
        </w:tc>
        <w:tc>
          <w:tcPr>
            <w:tcW w:w="1096"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3 050</w:t>
            </w:r>
          </w:p>
        </w:tc>
        <w:tc>
          <w:tcPr>
            <w:tcW w:w="1004"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2 213</w:t>
            </w:r>
          </w:p>
        </w:tc>
      </w:tr>
      <w:tr w:rsidR="00BA06AB" w:rsidRPr="001126C6" w:rsidTr="001126C6">
        <w:trPr>
          <w:trHeight w:val="300"/>
        </w:trPr>
        <w:tc>
          <w:tcPr>
            <w:tcW w:w="1119" w:type="dxa"/>
            <w:shd w:val="clear" w:color="auto" w:fill="auto"/>
            <w:noWrap/>
            <w:hideMark/>
          </w:tcPr>
          <w:p w:rsidR="00BA06AB" w:rsidRPr="001126C6" w:rsidRDefault="00BA06AB" w:rsidP="001126C6">
            <w:pPr>
              <w:pStyle w:val="SingleTxtG"/>
              <w:suppressAutoHyphens w:val="0"/>
              <w:spacing w:before="40" w:after="40" w:line="220" w:lineRule="exact"/>
              <w:ind w:left="0" w:right="113"/>
              <w:jc w:val="left"/>
              <w:rPr>
                <w:sz w:val="18"/>
              </w:rPr>
            </w:pPr>
            <w:r w:rsidRPr="001126C6">
              <w:rPr>
                <w:sz w:val="18"/>
              </w:rPr>
              <w:t>2015</w:t>
            </w:r>
          </w:p>
        </w:tc>
        <w:tc>
          <w:tcPr>
            <w:tcW w:w="1064"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12 813</w:t>
            </w:r>
          </w:p>
        </w:tc>
        <w:tc>
          <w:tcPr>
            <w:tcW w:w="1353"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9 164</w:t>
            </w:r>
          </w:p>
        </w:tc>
        <w:tc>
          <w:tcPr>
            <w:tcW w:w="897"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4 828</w:t>
            </w:r>
          </w:p>
        </w:tc>
        <w:tc>
          <w:tcPr>
            <w:tcW w:w="909"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4 336</w:t>
            </w:r>
          </w:p>
        </w:tc>
        <w:tc>
          <w:tcPr>
            <w:tcW w:w="1062"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3 649</w:t>
            </w:r>
          </w:p>
        </w:tc>
        <w:tc>
          <w:tcPr>
            <w:tcW w:w="1096"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1 977</w:t>
            </w:r>
          </w:p>
        </w:tc>
        <w:tc>
          <w:tcPr>
            <w:tcW w:w="1004" w:type="dxa"/>
            <w:shd w:val="clear" w:color="auto" w:fill="auto"/>
            <w:noWrap/>
            <w:vAlign w:val="bottom"/>
            <w:hideMark/>
          </w:tcPr>
          <w:p w:rsidR="00BA06AB" w:rsidRPr="001126C6" w:rsidRDefault="00BA06AB" w:rsidP="001126C6">
            <w:pPr>
              <w:pStyle w:val="SingleTxtG"/>
              <w:suppressAutoHyphens w:val="0"/>
              <w:spacing w:before="40" w:after="40" w:line="220" w:lineRule="exact"/>
              <w:ind w:left="0" w:right="113"/>
              <w:jc w:val="right"/>
              <w:rPr>
                <w:sz w:val="18"/>
              </w:rPr>
            </w:pPr>
            <w:r w:rsidRPr="001126C6">
              <w:rPr>
                <w:sz w:val="18"/>
              </w:rPr>
              <w:t>1 672</w:t>
            </w:r>
          </w:p>
        </w:tc>
      </w:tr>
    </w:tbl>
    <w:p w:rsidR="00BA06AB" w:rsidRPr="008D76E3" w:rsidRDefault="00BA06AB" w:rsidP="008D76E3">
      <w:pPr>
        <w:spacing w:before="120"/>
        <w:ind w:left="1134" w:right="1134" w:firstLine="170"/>
        <w:rPr>
          <w:sz w:val="18"/>
        </w:rPr>
      </w:pPr>
      <w:r w:rsidRPr="008D76E3">
        <w:rPr>
          <w:i/>
          <w:sz w:val="18"/>
        </w:rPr>
        <w:t>Source</w:t>
      </w:r>
      <w:r w:rsidRPr="008D76E3">
        <w:rPr>
          <w:sz w:val="18"/>
        </w:rPr>
        <w:t xml:space="preserve">: </w:t>
      </w:r>
      <w:r w:rsidR="00183738">
        <w:rPr>
          <w:sz w:val="18"/>
        </w:rPr>
        <w:t xml:space="preserve"> </w:t>
      </w:r>
      <w:r w:rsidRPr="008D76E3">
        <w:rPr>
          <w:sz w:val="18"/>
        </w:rPr>
        <w:t>Counsel General</w:t>
      </w:r>
      <w:r w:rsidR="00726016" w:rsidRPr="008D76E3">
        <w:rPr>
          <w:sz w:val="18"/>
        </w:rPr>
        <w:t>’</w:t>
      </w:r>
      <w:r w:rsidRPr="008D76E3">
        <w:rPr>
          <w:sz w:val="18"/>
        </w:rPr>
        <w:t>s Office.</w:t>
      </w:r>
    </w:p>
    <w:p w:rsidR="008D76E3" w:rsidRDefault="008D76E3">
      <w:pPr>
        <w:suppressAutoHyphens w:val="0"/>
        <w:spacing w:line="240" w:lineRule="auto"/>
      </w:pPr>
      <w:r>
        <w:br w:type="page"/>
      </w:r>
    </w:p>
    <w:p w:rsidR="00BA06AB" w:rsidRPr="00445C95" w:rsidRDefault="00BA06AB" w:rsidP="008D76E3">
      <w:pPr>
        <w:pStyle w:val="Heading1"/>
        <w:spacing w:before="240"/>
      </w:pPr>
      <w:bookmarkStart w:id="42" w:name="_Toc486428541"/>
      <w:bookmarkStart w:id="43" w:name="_Toc490483658"/>
      <w:r w:rsidRPr="00445C95">
        <w:t>Table 11</w:t>
      </w:r>
      <w:bookmarkEnd w:id="42"/>
      <w:bookmarkEnd w:id="43"/>
    </w:p>
    <w:p w:rsidR="00BA06AB" w:rsidRPr="008D76E3" w:rsidRDefault="00BA06AB" w:rsidP="00BA06AB">
      <w:pPr>
        <w:pStyle w:val="SingleTxtG"/>
        <w:rPr>
          <w:b/>
        </w:rPr>
      </w:pPr>
      <w:r w:rsidRPr="008D76E3">
        <w:rPr>
          <w:b/>
        </w:rPr>
        <w:t>Judges and magistrates, by type of court and by sex, at the national level, 2010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95"/>
        <w:gridCol w:w="992"/>
        <w:gridCol w:w="992"/>
        <w:gridCol w:w="991"/>
      </w:tblGrid>
      <w:tr w:rsidR="00BA06AB" w:rsidRPr="008D76E3" w:rsidTr="00E06648">
        <w:trPr>
          <w:trHeight w:val="240"/>
          <w:tblHeader/>
        </w:trPr>
        <w:tc>
          <w:tcPr>
            <w:tcW w:w="4395" w:type="dxa"/>
            <w:tcBorders>
              <w:top w:val="single" w:sz="4" w:space="0" w:color="auto"/>
              <w:bottom w:val="nil"/>
            </w:tcBorders>
            <w:shd w:val="clear" w:color="auto" w:fill="auto"/>
            <w:vAlign w:val="bottom"/>
          </w:tcPr>
          <w:p w:rsidR="00BA06AB" w:rsidRPr="008D76E3" w:rsidRDefault="00BA06AB" w:rsidP="008D76E3">
            <w:pPr>
              <w:pStyle w:val="SingleTxtG"/>
              <w:suppressAutoHyphens w:val="0"/>
              <w:spacing w:before="80" w:after="80" w:line="200" w:lineRule="exact"/>
              <w:ind w:left="0" w:right="113"/>
              <w:jc w:val="left"/>
              <w:rPr>
                <w:i/>
                <w:sz w:val="16"/>
              </w:rPr>
            </w:pPr>
          </w:p>
        </w:tc>
        <w:tc>
          <w:tcPr>
            <w:tcW w:w="1984" w:type="dxa"/>
            <w:gridSpan w:val="2"/>
            <w:tcBorders>
              <w:top w:val="single" w:sz="4" w:space="0" w:color="auto"/>
              <w:bottom w:val="single" w:sz="4" w:space="0" w:color="auto"/>
            </w:tcBorders>
            <w:shd w:val="clear" w:color="auto" w:fill="auto"/>
            <w:vAlign w:val="bottom"/>
          </w:tcPr>
          <w:p w:rsidR="00BA06AB" w:rsidRPr="008D76E3" w:rsidRDefault="00BA06AB" w:rsidP="009737A2">
            <w:pPr>
              <w:pStyle w:val="SingleTxtG"/>
              <w:suppressAutoHyphens w:val="0"/>
              <w:spacing w:before="80" w:after="80" w:line="200" w:lineRule="exact"/>
              <w:ind w:left="0" w:right="113"/>
              <w:jc w:val="center"/>
              <w:rPr>
                <w:i/>
                <w:sz w:val="16"/>
              </w:rPr>
            </w:pPr>
            <w:r w:rsidRPr="008D76E3">
              <w:rPr>
                <w:i/>
                <w:sz w:val="16"/>
              </w:rPr>
              <w:t>Sex</w:t>
            </w:r>
          </w:p>
        </w:tc>
        <w:tc>
          <w:tcPr>
            <w:tcW w:w="991" w:type="dxa"/>
            <w:tcBorders>
              <w:top w:val="single" w:sz="4" w:space="0" w:color="auto"/>
              <w:bottom w:val="nil"/>
            </w:tcBorders>
            <w:shd w:val="clear" w:color="auto" w:fill="auto"/>
            <w:vAlign w:val="bottom"/>
          </w:tcPr>
          <w:p w:rsidR="00BA06AB" w:rsidRPr="008D76E3" w:rsidRDefault="00BA06AB" w:rsidP="008D76E3">
            <w:pPr>
              <w:pStyle w:val="SingleTxtG"/>
              <w:suppressAutoHyphens w:val="0"/>
              <w:spacing w:before="80" w:after="80" w:line="200" w:lineRule="exact"/>
              <w:ind w:left="0" w:right="113"/>
              <w:jc w:val="right"/>
              <w:rPr>
                <w:i/>
                <w:sz w:val="16"/>
              </w:rPr>
            </w:pPr>
          </w:p>
        </w:tc>
      </w:tr>
      <w:tr w:rsidR="00BA06AB" w:rsidRPr="009737A2" w:rsidTr="00E06648">
        <w:trPr>
          <w:trHeight w:val="240"/>
          <w:tblHeader/>
        </w:trPr>
        <w:tc>
          <w:tcPr>
            <w:tcW w:w="4395" w:type="dxa"/>
            <w:tcBorders>
              <w:top w:val="nil"/>
              <w:bottom w:val="single" w:sz="12" w:space="0" w:color="auto"/>
            </w:tcBorders>
            <w:shd w:val="clear" w:color="auto" w:fill="auto"/>
          </w:tcPr>
          <w:p w:rsidR="00BA06AB" w:rsidRPr="009737A2" w:rsidRDefault="00BA06AB" w:rsidP="009737A2">
            <w:pPr>
              <w:pStyle w:val="SingleTxtG"/>
              <w:suppressAutoHyphens w:val="0"/>
              <w:spacing w:before="80" w:after="80" w:line="200" w:lineRule="exact"/>
              <w:ind w:left="0" w:right="113"/>
              <w:jc w:val="left"/>
              <w:rPr>
                <w:i/>
                <w:sz w:val="16"/>
              </w:rPr>
            </w:pPr>
            <w:r w:rsidRPr="009737A2">
              <w:rPr>
                <w:i/>
                <w:sz w:val="16"/>
              </w:rPr>
              <w:t>Post and type of court</w:t>
            </w:r>
          </w:p>
        </w:tc>
        <w:tc>
          <w:tcPr>
            <w:tcW w:w="992" w:type="dxa"/>
            <w:tcBorders>
              <w:top w:val="single" w:sz="4" w:space="0" w:color="auto"/>
              <w:bottom w:val="single" w:sz="12" w:space="0" w:color="auto"/>
            </w:tcBorders>
            <w:shd w:val="clear" w:color="auto" w:fill="auto"/>
            <w:vAlign w:val="bottom"/>
          </w:tcPr>
          <w:p w:rsidR="00BA06AB" w:rsidRPr="009737A2" w:rsidRDefault="00BA06AB" w:rsidP="009737A2">
            <w:pPr>
              <w:pStyle w:val="SingleTxtG"/>
              <w:suppressAutoHyphens w:val="0"/>
              <w:spacing w:before="80" w:after="80" w:line="200" w:lineRule="exact"/>
              <w:ind w:left="0" w:right="113"/>
              <w:jc w:val="right"/>
              <w:rPr>
                <w:i/>
                <w:sz w:val="16"/>
              </w:rPr>
            </w:pPr>
            <w:r w:rsidRPr="009737A2">
              <w:rPr>
                <w:i/>
                <w:sz w:val="16"/>
              </w:rPr>
              <w:t>Male</w:t>
            </w:r>
          </w:p>
        </w:tc>
        <w:tc>
          <w:tcPr>
            <w:tcW w:w="992" w:type="dxa"/>
            <w:tcBorders>
              <w:top w:val="single" w:sz="4" w:space="0" w:color="auto"/>
              <w:bottom w:val="single" w:sz="12" w:space="0" w:color="auto"/>
            </w:tcBorders>
            <w:shd w:val="clear" w:color="auto" w:fill="auto"/>
            <w:vAlign w:val="bottom"/>
          </w:tcPr>
          <w:p w:rsidR="00BA06AB" w:rsidRPr="009737A2" w:rsidRDefault="00BA06AB" w:rsidP="009737A2">
            <w:pPr>
              <w:pStyle w:val="SingleTxtG"/>
              <w:suppressAutoHyphens w:val="0"/>
              <w:spacing w:before="80" w:after="80" w:line="200" w:lineRule="exact"/>
              <w:ind w:left="0" w:right="113"/>
              <w:jc w:val="right"/>
              <w:rPr>
                <w:i/>
                <w:sz w:val="16"/>
              </w:rPr>
            </w:pPr>
            <w:r w:rsidRPr="009737A2">
              <w:rPr>
                <w:i/>
                <w:sz w:val="16"/>
              </w:rPr>
              <w:t>Female</w:t>
            </w:r>
          </w:p>
        </w:tc>
        <w:tc>
          <w:tcPr>
            <w:tcW w:w="991" w:type="dxa"/>
            <w:tcBorders>
              <w:top w:val="nil"/>
              <w:bottom w:val="single" w:sz="12" w:space="0" w:color="auto"/>
            </w:tcBorders>
            <w:shd w:val="clear" w:color="auto" w:fill="auto"/>
            <w:vAlign w:val="bottom"/>
          </w:tcPr>
          <w:p w:rsidR="00BA06AB" w:rsidRPr="009737A2" w:rsidRDefault="00BA06AB" w:rsidP="009737A2">
            <w:pPr>
              <w:pStyle w:val="SingleTxtG"/>
              <w:suppressAutoHyphens w:val="0"/>
              <w:spacing w:before="80" w:after="80" w:line="200" w:lineRule="exact"/>
              <w:ind w:left="0" w:right="113"/>
              <w:jc w:val="right"/>
              <w:rPr>
                <w:i/>
                <w:sz w:val="16"/>
              </w:rPr>
            </w:pPr>
            <w:r w:rsidRPr="009737A2">
              <w:rPr>
                <w:i/>
                <w:sz w:val="16"/>
              </w:rPr>
              <w:t>Total</w:t>
            </w:r>
          </w:p>
        </w:tc>
      </w:tr>
      <w:tr w:rsidR="00BA06AB" w:rsidRPr="008D76E3" w:rsidTr="009737A2">
        <w:trPr>
          <w:trHeight w:val="240"/>
        </w:trPr>
        <w:tc>
          <w:tcPr>
            <w:tcW w:w="4395" w:type="dxa"/>
            <w:tcBorders>
              <w:top w:val="single" w:sz="12" w:space="0" w:color="auto"/>
            </w:tcBorders>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Divisional judges</w:t>
            </w:r>
          </w:p>
        </w:tc>
        <w:tc>
          <w:tcPr>
            <w:tcW w:w="992" w:type="dxa"/>
            <w:tcBorders>
              <w:top w:val="single" w:sz="12" w:space="0" w:color="auto"/>
            </w:tcBorders>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10</w:t>
            </w:r>
          </w:p>
        </w:tc>
        <w:tc>
          <w:tcPr>
            <w:tcW w:w="992" w:type="dxa"/>
            <w:tcBorders>
              <w:top w:val="single" w:sz="12" w:space="0" w:color="auto"/>
            </w:tcBorders>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5</w:t>
            </w:r>
          </w:p>
        </w:tc>
        <w:tc>
          <w:tcPr>
            <w:tcW w:w="991" w:type="dxa"/>
            <w:tcBorders>
              <w:top w:val="single" w:sz="12" w:space="0" w:color="auto"/>
            </w:tcBorders>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15</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 xml:space="preserve">Appellate court judges </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34</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14</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48</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Specialized appellate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0</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Specialized juvenile appellate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Municipal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146</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170</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316</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Examining magistrates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23</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21</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44</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 xml:space="preserve">Specialized examining magistrates </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4</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Trial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43</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19</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62</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Specialized trial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4</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0</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4</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Civil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20</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6</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26</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Commercial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3</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5</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Civil and commercial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8</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8</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16</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Labour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6</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3</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9</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Traffic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5</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4</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9</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Small claims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6</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8</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Military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0</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Family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13</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15</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28</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Judges specialized in children and adolescents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5</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6</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Juvenile court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5</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12</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17</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Sentence enforcement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3</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4</w:t>
            </w:r>
          </w:p>
        </w:tc>
      </w:tr>
      <w:tr w:rsidR="00BA06AB" w:rsidRPr="008D76E3" w:rsidTr="008D76E3">
        <w:trPr>
          <w:trHeight w:val="240"/>
        </w:trPr>
        <w:tc>
          <w:tcPr>
            <w:tcW w:w="4395" w:type="dxa"/>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Sentence supervision judges</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3</w:t>
            </w:r>
          </w:p>
        </w:tc>
        <w:tc>
          <w:tcPr>
            <w:tcW w:w="992"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7</w:t>
            </w:r>
          </w:p>
        </w:tc>
        <w:tc>
          <w:tcPr>
            <w:tcW w:w="991" w:type="dxa"/>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10</w:t>
            </w:r>
          </w:p>
        </w:tc>
      </w:tr>
      <w:tr w:rsidR="00BA06AB" w:rsidRPr="008D76E3" w:rsidTr="009737A2">
        <w:trPr>
          <w:trHeight w:val="240"/>
        </w:trPr>
        <w:tc>
          <w:tcPr>
            <w:tcW w:w="4395" w:type="dxa"/>
            <w:tcBorders>
              <w:bottom w:val="single" w:sz="4" w:space="0" w:color="auto"/>
            </w:tcBorders>
            <w:shd w:val="clear" w:color="auto" w:fill="auto"/>
          </w:tcPr>
          <w:p w:rsidR="00BA06AB" w:rsidRPr="008D76E3" w:rsidRDefault="00BA06AB" w:rsidP="008D76E3">
            <w:pPr>
              <w:pStyle w:val="SingleTxtG"/>
              <w:suppressAutoHyphens w:val="0"/>
              <w:spacing w:before="40" w:after="40" w:line="220" w:lineRule="exact"/>
              <w:ind w:left="0" w:right="113"/>
              <w:jc w:val="left"/>
              <w:rPr>
                <w:sz w:val="18"/>
              </w:rPr>
            </w:pPr>
            <w:r w:rsidRPr="008D76E3">
              <w:rPr>
                <w:sz w:val="18"/>
              </w:rPr>
              <w:t>Judges at first instance</w:t>
            </w:r>
          </w:p>
        </w:tc>
        <w:tc>
          <w:tcPr>
            <w:tcW w:w="992" w:type="dxa"/>
            <w:tcBorders>
              <w:bottom w:val="single" w:sz="4" w:space="0" w:color="auto"/>
            </w:tcBorders>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13</w:t>
            </w:r>
          </w:p>
        </w:tc>
        <w:tc>
          <w:tcPr>
            <w:tcW w:w="992" w:type="dxa"/>
            <w:tcBorders>
              <w:bottom w:val="single" w:sz="4" w:space="0" w:color="auto"/>
            </w:tcBorders>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9</w:t>
            </w:r>
          </w:p>
        </w:tc>
        <w:tc>
          <w:tcPr>
            <w:tcW w:w="991" w:type="dxa"/>
            <w:tcBorders>
              <w:bottom w:val="single" w:sz="4" w:space="0" w:color="auto"/>
            </w:tcBorders>
            <w:shd w:val="clear" w:color="auto" w:fill="auto"/>
            <w:vAlign w:val="bottom"/>
          </w:tcPr>
          <w:p w:rsidR="00BA06AB" w:rsidRPr="008D76E3" w:rsidRDefault="00BA06AB" w:rsidP="008D76E3">
            <w:pPr>
              <w:pStyle w:val="SingleTxtG"/>
              <w:suppressAutoHyphens w:val="0"/>
              <w:spacing w:before="40" w:after="40" w:line="220" w:lineRule="exact"/>
              <w:ind w:left="0" w:right="113"/>
              <w:jc w:val="right"/>
              <w:rPr>
                <w:sz w:val="18"/>
              </w:rPr>
            </w:pPr>
            <w:r w:rsidRPr="008D76E3">
              <w:rPr>
                <w:sz w:val="18"/>
              </w:rPr>
              <w:t>22</w:t>
            </w:r>
          </w:p>
        </w:tc>
      </w:tr>
      <w:tr w:rsidR="00BA06AB" w:rsidRPr="009737A2" w:rsidTr="009737A2">
        <w:trPr>
          <w:trHeight w:val="240"/>
        </w:trPr>
        <w:tc>
          <w:tcPr>
            <w:tcW w:w="4395" w:type="dxa"/>
            <w:tcBorders>
              <w:top w:val="single" w:sz="4" w:space="0" w:color="auto"/>
              <w:bottom w:val="single" w:sz="12" w:space="0" w:color="auto"/>
            </w:tcBorders>
            <w:shd w:val="clear" w:color="auto" w:fill="auto"/>
          </w:tcPr>
          <w:p w:rsidR="00BA06AB" w:rsidRPr="009737A2" w:rsidRDefault="00BA06AB" w:rsidP="009737A2">
            <w:pPr>
              <w:pStyle w:val="SingleTxtG"/>
              <w:suppressAutoHyphens w:val="0"/>
              <w:spacing w:before="80" w:after="80" w:line="220" w:lineRule="exact"/>
              <w:ind w:left="283" w:right="0"/>
              <w:jc w:val="left"/>
              <w:rPr>
                <w:b/>
                <w:sz w:val="18"/>
              </w:rPr>
            </w:pPr>
            <w:r w:rsidRPr="009737A2">
              <w:rPr>
                <w:b/>
                <w:sz w:val="18"/>
              </w:rPr>
              <w:t>Total</w:t>
            </w:r>
          </w:p>
        </w:tc>
        <w:tc>
          <w:tcPr>
            <w:tcW w:w="992" w:type="dxa"/>
            <w:tcBorders>
              <w:top w:val="single" w:sz="4" w:space="0" w:color="auto"/>
              <w:bottom w:val="single" w:sz="12" w:space="0" w:color="auto"/>
            </w:tcBorders>
            <w:shd w:val="clear" w:color="auto" w:fill="auto"/>
            <w:vAlign w:val="bottom"/>
          </w:tcPr>
          <w:p w:rsidR="00BA06AB" w:rsidRPr="009737A2" w:rsidRDefault="00BA06AB" w:rsidP="009737A2">
            <w:pPr>
              <w:pStyle w:val="SingleTxtG"/>
              <w:suppressAutoHyphens w:val="0"/>
              <w:spacing w:before="80" w:after="80" w:line="220" w:lineRule="exact"/>
              <w:ind w:left="0" w:right="113"/>
              <w:jc w:val="right"/>
              <w:rPr>
                <w:b/>
                <w:sz w:val="18"/>
              </w:rPr>
            </w:pPr>
            <w:r w:rsidRPr="009737A2">
              <w:rPr>
                <w:b/>
                <w:sz w:val="18"/>
              </w:rPr>
              <w:t>346</w:t>
            </w:r>
          </w:p>
        </w:tc>
        <w:tc>
          <w:tcPr>
            <w:tcW w:w="992" w:type="dxa"/>
            <w:tcBorders>
              <w:top w:val="single" w:sz="4" w:space="0" w:color="auto"/>
              <w:bottom w:val="single" w:sz="12" w:space="0" w:color="auto"/>
            </w:tcBorders>
            <w:shd w:val="clear" w:color="auto" w:fill="auto"/>
            <w:vAlign w:val="bottom"/>
          </w:tcPr>
          <w:p w:rsidR="00BA06AB" w:rsidRPr="009737A2" w:rsidRDefault="00BA06AB" w:rsidP="009737A2">
            <w:pPr>
              <w:pStyle w:val="SingleTxtG"/>
              <w:suppressAutoHyphens w:val="0"/>
              <w:spacing w:before="80" w:after="80" w:line="220" w:lineRule="exact"/>
              <w:ind w:left="0" w:right="113"/>
              <w:jc w:val="right"/>
              <w:rPr>
                <w:b/>
                <w:sz w:val="18"/>
              </w:rPr>
            </w:pPr>
            <w:r w:rsidRPr="009737A2">
              <w:rPr>
                <w:b/>
                <w:sz w:val="18"/>
              </w:rPr>
              <w:t>312</w:t>
            </w:r>
          </w:p>
        </w:tc>
        <w:tc>
          <w:tcPr>
            <w:tcW w:w="991" w:type="dxa"/>
            <w:tcBorders>
              <w:top w:val="single" w:sz="4" w:space="0" w:color="auto"/>
              <w:bottom w:val="single" w:sz="12" w:space="0" w:color="auto"/>
            </w:tcBorders>
            <w:shd w:val="clear" w:color="auto" w:fill="auto"/>
            <w:vAlign w:val="bottom"/>
          </w:tcPr>
          <w:p w:rsidR="00BA06AB" w:rsidRPr="009737A2" w:rsidRDefault="00BA06AB" w:rsidP="009737A2">
            <w:pPr>
              <w:pStyle w:val="SingleTxtG"/>
              <w:suppressAutoHyphens w:val="0"/>
              <w:spacing w:before="80" w:after="80" w:line="220" w:lineRule="exact"/>
              <w:ind w:left="0" w:right="113"/>
              <w:jc w:val="right"/>
              <w:rPr>
                <w:b/>
                <w:sz w:val="18"/>
              </w:rPr>
            </w:pPr>
            <w:r w:rsidRPr="009737A2">
              <w:rPr>
                <w:b/>
                <w:sz w:val="18"/>
              </w:rPr>
              <w:t>658</w:t>
            </w:r>
          </w:p>
        </w:tc>
      </w:tr>
    </w:tbl>
    <w:p w:rsidR="00BA06AB" w:rsidRPr="009737A2" w:rsidRDefault="00BA06AB" w:rsidP="009737A2">
      <w:pPr>
        <w:spacing w:before="120"/>
        <w:ind w:left="1134" w:right="1134" w:firstLine="170"/>
        <w:rPr>
          <w:sz w:val="18"/>
        </w:rPr>
      </w:pPr>
      <w:r w:rsidRPr="009737A2">
        <w:rPr>
          <w:i/>
          <w:sz w:val="18"/>
        </w:rPr>
        <w:t>Source</w:t>
      </w:r>
      <w:r w:rsidRPr="009737A2">
        <w:rPr>
          <w:sz w:val="18"/>
        </w:rPr>
        <w:t>: Attorney General</w:t>
      </w:r>
      <w:r w:rsidR="00726016" w:rsidRPr="009737A2">
        <w:rPr>
          <w:sz w:val="18"/>
        </w:rPr>
        <w:t>’</w:t>
      </w:r>
      <w:r w:rsidRPr="009737A2">
        <w:rPr>
          <w:sz w:val="18"/>
        </w:rPr>
        <w:t>s Office.</w:t>
      </w:r>
    </w:p>
    <w:p w:rsidR="00BA06AB" w:rsidRPr="00445C95" w:rsidRDefault="008C203B" w:rsidP="008C203B">
      <w:pPr>
        <w:pStyle w:val="HChG"/>
      </w:pPr>
      <w:r>
        <w:tab/>
      </w:r>
      <w:bookmarkStart w:id="44" w:name="_Toc486428542"/>
      <w:bookmarkStart w:id="45" w:name="_Toc490483659"/>
      <w:r w:rsidR="00BA06AB" w:rsidRPr="00445C95">
        <w:t>II.</w:t>
      </w:r>
      <w:r w:rsidR="00BA06AB" w:rsidRPr="00445C95">
        <w:tab/>
        <w:t>General framework for the protection and promotion of human rights</w:t>
      </w:r>
      <w:bookmarkEnd w:id="44"/>
      <w:bookmarkEnd w:id="45"/>
    </w:p>
    <w:p w:rsidR="00BA06AB" w:rsidRPr="00445C95" w:rsidRDefault="008C203B" w:rsidP="008C203B">
      <w:pPr>
        <w:pStyle w:val="H1G"/>
      </w:pPr>
      <w:r>
        <w:tab/>
      </w:r>
      <w:bookmarkStart w:id="46" w:name="_Toc486428543"/>
      <w:bookmarkStart w:id="47" w:name="_Toc490483660"/>
      <w:r w:rsidR="00BA06AB" w:rsidRPr="00445C95">
        <w:t>A.</w:t>
      </w:r>
      <w:r w:rsidR="00BA06AB" w:rsidRPr="00445C95">
        <w:tab/>
        <w:t>Acceptance of international human rights norms</w:t>
      </w:r>
      <w:bookmarkEnd w:id="46"/>
      <w:bookmarkEnd w:id="47"/>
    </w:p>
    <w:p w:rsidR="00BA06AB" w:rsidRPr="00445C95" w:rsidRDefault="008C203B" w:rsidP="008C203B">
      <w:pPr>
        <w:pStyle w:val="H4G"/>
      </w:pPr>
      <w:r>
        <w:tab/>
      </w:r>
      <w:r>
        <w:tab/>
      </w:r>
      <w:r w:rsidR="00BA06AB" w:rsidRPr="00445C95">
        <w:t>Paragraph 40 of the harmonized guidelines: status of the main international human rights treaties</w:t>
      </w:r>
    </w:p>
    <w:p w:rsidR="00BA06AB" w:rsidRPr="00445C95" w:rsidRDefault="00BA06AB" w:rsidP="00BA06AB">
      <w:pPr>
        <w:pStyle w:val="SingleTxtG"/>
      </w:pPr>
      <w:r w:rsidRPr="00445C95">
        <w:t>87.</w:t>
      </w:r>
      <w:r w:rsidRPr="00445C95">
        <w:tab/>
        <w:t>In its combined third to fifth periodic reports under the International Covenant on Economic, Social and Cultural Rights, El Salvador listed some of the international instruments that it has ratified in the universal and inter-American systems and in the area of international humanitarian law. These instruments constitute national laws, and the principles and precepts that they establish are to be observed and respected throughout the country.</w:t>
      </w:r>
    </w:p>
    <w:p w:rsidR="00BA06AB" w:rsidRPr="00445C95" w:rsidRDefault="00BA06AB" w:rsidP="00BA06AB">
      <w:pPr>
        <w:pStyle w:val="SingleTxtG"/>
      </w:pPr>
      <w:r w:rsidRPr="00445C95">
        <w:t>88.</w:t>
      </w:r>
      <w:r w:rsidRPr="00445C95">
        <w:tab/>
        <w:t>Mention should be made of the recent ratification of the Optional Protocol to the International Covenant on Economic, Social and Cultural Rights, under Decree No. 721 of 18 May 2011, published in the Official Gazette (No. 108, vol. 391) of 10 June 2011.</w:t>
      </w:r>
    </w:p>
    <w:p w:rsidR="00BA06AB" w:rsidRPr="00445C95" w:rsidRDefault="00BA06AB" w:rsidP="00BA06AB">
      <w:pPr>
        <w:pStyle w:val="SingleTxtG"/>
      </w:pPr>
      <w:r w:rsidRPr="00445C95">
        <w:t>89.</w:t>
      </w:r>
      <w:r w:rsidRPr="00445C95">
        <w:tab/>
        <w:t>The Second Optional Protocol to the International Covenant on Civil and Political Rights, aiming at the abolition of the death penalty, was ratified by Legislative Decree No. 601, published in the Official Gazette (No. 25, vol. 402) of 7 February 2014.</w:t>
      </w:r>
    </w:p>
    <w:p w:rsidR="00BA06AB" w:rsidRPr="00445C95" w:rsidRDefault="00BA06AB" w:rsidP="00BA06AB">
      <w:pPr>
        <w:pStyle w:val="SingleTxtG"/>
      </w:pPr>
      <w:r w:rsidRPr="00445C95">
        <w:t>90.</w:t>
      </w:r>
      <w:r w:rsidRPr="00445C95">
        <w:tab/>
        <w:t>By Decree No. 197, the Legislative Assembly ratified (a) the Rome Statute of the International Criminal Court and the amendment to article 8 thereof; and (b) the amendments to the Statute</w:t>
      </w:r>
      <w:r w:rsidR="00726016">
        <w:t>’</w:t>
      </w:r>
      <w:r w:rsidRPr="00445C95">
        <w:t>s provisions on the crime of aggression, published in the Official Gazette (No. 236, vol. 409) of 22 December 2015.</w:t>
      </w:r>
    </w:p>
    <w:p w:rsidR="00BA06AB" w:rsidRPr="00445C95" w:rsidRDefault="00BA06AB" w:rsidP="00BA06AB">
      <w:pPr>
        <w:pStyle w:val="SingleTxtG"/>
      </w:pPr>
      <w:r w:rsidRPr="00445C95">
        <w:t>91.</w:t>
      </w:r>
      <w:r w:rsidRPr="00445C95">
        <w:tab/>
        <w:t>Ratification of the Optional Protocol to the Convention against Torture and Other Cruel, Inhuman or Degrading Treatment or Punishment and recognition of its Committee</w:t>
      </w:r>
      <w:r w:rsidR="00726016">
        <w:t>’</w:t>
      </w:r>
      <w:r w:rsidRPr="00445C95">
        <w:t>s competence, in accordance with articles 21 and 22, are currently the subject of analysis and appraisal with regard to content and scope.</w:t>
      </w:r>
    </w:p>
    <w:p w:rsidR="00BA06AB" w:rsidRPr="00445C95" w:rsidRDefault="00BA06AB" w:rsidP="00A106E7">
      <w:pPr>
        <w:pStyle w:val="Heading1"/>
      </w:pPr>
      <w:bookmarkStart w:id="48" w:name="_Toc486428544"/>
      <w:bookmarkStart w:id="49" w:name="_Toc490483661"/>
      <w:r w:rsidRPr="00445C95">
        <w:t>Table 12</w:t>
      </w:r>
      <w:bookmarkEnd w:id="48"/>
      <w:bookmarkEnd w:id="49"/>
      <w:r w:rsidRPr="00445C95">
        <w:t xml:space="preserve"> </w:t>
      </w:r>
    </w:p>
    <w:p w:rsidR="00BA06AB" w:rsidRPr="00A106E7" w:rsidRDefault="00BA06AB" w:rsidP="00BA06AB">
      <w:pPr>
        <w:pStyle w:val="SingleTxtG"/>
        <w:rPr>
          <w:b/>
        </w:rPr>
      </w:pPr>
      <w:r w:rsidRPr="00A106E7">
        <w:rPr>
          <w:b/>
        </w:rPr>
        <w:t>Recently signed international instruments</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2127"/>
        <w:gridCol w:w="4251"/>
      </w:tblGrid>
      <w:tr w:rsidR="00BA06AB" w:rsidRPr="00A106E7" w:rsidTr="00894F70">
        <w:trPr>
          <w:tblHeader/>
        </w:trPr>
        <w:tc>
          <w:tcPr>
            <w:tcW w:w="1843" w:type="dxa"/>
            <w:tcBorders>
              <w:top w:val="single" w:sz="4" w:space="0" w:color="auto"/>
              <w:bottom w:val="single" w:sz="12" w:space="0" w:color="auto"/>
            </w:tcBorders>
            <w:shd w:val="clear" w:color="auto" w:fill="auto"/>
            <w:vAlign w:val="bottom"/>
          </w:tcPr>
          <w:p w:rsidR="00BA06AB" w:rsidRPr="00A106E7" w:rsidRDefault="00BA06AB" w:rsidP="00A106E7">
            <w:pPr>
              <w:pStyle w:val="SingleTxtG"/>
              <w:suppressAutoHyphens w:val="0"/>
              <w:spacing w:before="80" w:after="80" w:line="200" w:lineRule="exact"/>
              <w:ind w:left="0" w:right="113"/>
              <w:jc w:val="left"/>
              <w:rPr>
                <w:rFonts w:eastAsiaTheme="minorHAnsi"/>
                <w:i/>
                <w:sz w:val="16"/>
              </w:rPr>
            </w:pPr>
            <w:r w:rsidRPr="00A106E7">
              <w:rPr>
                <w:i/>
                <w:sz w:val="16"/>
              </w:rPr>
              <w:t>International instrument</w:t>
            </w:r>
          </w:p>
        </w:tc>
        <w:tc>
          <w:tcPr>
            <w:tcW w:w="5527" w:type="dxa"/>
            <w:gridSpan w:val="2"/>
            <w:tcBorders>
              <w:top w:val="single" w:sz="4" w:space="0" w:color="auto"/>
              <w:bottom w:val="single" w:sz="12" w:space="0" w:color="auto"/>
            </w:tcBorders>
            <w:shd w:val="clear" w:color="auto" w:fill="auto"/>
            <w:vAlign w:val="bottom"/>
          </w:tcPr>
          <w:p w:rsidR="00BA06AB" w:rsidRPr="00A106E7" w:rsidRDefault="00BA06AB" w:rsidP="00A106E7">
            <w:pPr>
              <w:pStyle w:val="SingleTxtG"/>
              <w:suppressAutoHyphens w:val="0"/>
              <w:spacing w:before="80" w:after="80" w:line="200" w:lineRule="exact"/>
              <w:ind w:left="0" w:right="113"/>
              <w:jc w:val="left"/>
              <w:rPr>
                <w:rFonts w:eastAsiaTheme="minorHAnsi"/>
                <w:i/>
                <w:sz w:val="16"/>
              </w:rPr>
            </w:pPr>
            <w:r w:rsidRPr="00A106E7">
              <w:rPr>
                <w:i/>
                <w:sz w:val="16"/>
              </w:rPr>
              <w:t>Convention on the Rights of Persons with Disabilities and the Optional Protocol thereto</w:t>
            </w:r>
          </w:p>
        </w:tc>
      </w:tr>
      <w:tr w:rsidR="00BA06AB" w:rsidRPr="00A106E7" w:rsidTr="00894F70">
        <w:tc>
          <w:tcPr>
            <w:tcW w:w="1843" w:type="dxa"/>
            <w:tcBorders>
              <w:top w:val="single" w:sz="12" w:space="0" w:color="auto"/>
            </w:tcBorders>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Date of ratification</w:t>
            </w:r>
          </w:p>
        </w:tc>
        <w:tc>
          <w:tcPr>
            <w:tcW w:w="5527" w:type="dxa"/>
            <w:gridSpan w:val="2"/>
            <w:tcBorders>
              <w:top w:val="single" w:sz="12" w:space="0" w:color="auto"/>
            </w:tcBorders>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Legislative Decree No. 432 of 11 October 2007, published in the Official Gazette (No. 205, vol. 377) of 5 November 2007</w:t>
            </w:r>
          </w:p>
        </w:tc>
      </w:tr>
      <w:tr w:rsidR="00BA06AB" w:rsidRPr="00A106E7" w:rsidTr="00894F70">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Date of ratification (United Nations)</w:t>
            </w:r>
          </w:p>
        </w:tc>
        <w:tc>
          <w:tcPr>
            <w:tcW w:w="5527" w:type="dxa"/>
            <w:gridSpan w:val="2"/>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14 December 2007</w:t>
            </w:r>
          </w:p>
        </w:tc>
      </w:tr>
      <w:tr w:rsidR="00BA06AB" w:rsidRPr="00A106E7" w:rsidTr="00894F70">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Reservation</w:t>
            </w:r>
          </w:p>
        </w:tc>
        <w:tc>
          <w:tcPr>
            <w:tcW w:w="5527" w:type="dxa"/>
            <w:gridSpan w:val="2"/>
            <w:shd w:val="clear" w:color="auto" w:fill="auto"/>
          </w:tcPr>
          <w:p w:rsidR="00BA06AB" w:rsidRPr="00A106E7" w:rsidRDefault="00726016" w:rsidP="00A106E7">
            <w:pPr>
              <w:pStyle w:val="SingleTxtG"/>
              <w:suppressAutoHyphens w:val="0"/>
              <w:spacing w:before="40" w:line="220" w:lineRule="exact"/>
              <w:ind w:left="0" w:right="113"/>
              <w:jc w:val="left"/>
              <w:rPr>
                <w:rFonts w:eastAsiaTheme="minorHAnsi"/>
              </w:rPr>
            </w:pPr>
            <w:r w:rsidRPr="00A106E7">
              <w:t>“</w:t>
            </w:r>
            <w:r w:rsidR="00BA06AB" w:rsidRPr="00A106E7">
              <w:t>The Government of the Republic of El Salvador signs the present Convention on the Rights of Persons with Disabilities and the Optional Protocol thereto, adopted by the United Nations General Assembly on 13 December 2006, to the extent that its provisions do not prejudice or violate the provisions of any of the precepts, principles and norms enshrined in the Constitution of the Republic of El Salvador, particularly in its enumeration of principles.</w:t>
            </w:r>
            <w:r w:rsidRPr="00A106E7">
              <w:t>”</w:t>
            </w:r>
          </w:p>
        </w:tc>
      </w:tr>
      <w:tr w:rsidR="00BA06AB" w:rsidRPr="00A106E7" w:rsidTr="00894F70">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p>
        </w:tc>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Nature and extent</w:t>
            </w:r>
          </w:p>
        </w:tc>
        <w:tc>
          <w:tcPr>
            <w:tcW w:w="3684"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General</w:t>
            </w:r>
          </w:p>
        </w:tc>
      </w:tr>
      <w:tr w:rsidR="00BA06AB" w:rsidRPr="00A106E7" w:rsidTr="00894F70">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p>
        </w:tc>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Reason and status</w:t>
            </w:r>
          </w:p>
        </w:tc>
        <w:tc>
          <w:tcPr>
            <w:tcW w:w="3684"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Reason: articles 144 and 246 of the Constitution of the Republic. Status: In force</w:t>
            </w:r>
          </w:p>
        </w:tc>
      </w:tr>
      <w:tr w:rsidR="00BA06AB" w:rsidRPr="00A106E7" w:rsidTr="00894F70">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p>
        </w:tc>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Effect</w:t>
            </w:r>
          </w:p>
        </w:tc>
        <w:tc>
          <w:tcPr>
            <w:tcW w:w="3684"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Unilateral</w:t>
            </w:r>
          </w:p>
        </w:tc>
      </w:tr>
      <w:tr w:rsidR="00BA06AB" w:rsidRPr="00A106E7" w:rsidTr="00894F70">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p>
        </w:tc>
        <w:tc>
          <w:tcPr>
            <w:tcW w:w="1843"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Withdrawal of the reservation</w:t>
            </w:r>
          </w:p>
        </w:tc>
        <w:tc>
          <w:tcPr>
            <w:tcW w:w="3684" w:type="dxa"/>
            <w:shd w:val="clear" w:color="auto" w:fill="auto"/>
          </w:tcPr>
          <w:p w:rsidR="00BA06AB" w:rsidRPr="00A106E7" w:rsidRDefault="00BA06AB" w:rsidP="00A106E7">
            <w:pPr>
              <w:pStyle w:val="SingleTxtG"/>
              <w:suppressAutoHyphens w:val="0"/>
              <w:spacing w:before="40" w:line="220" w:lineRule="exact"/>
              <w:ind w:left="0" w:right="113"/>
              <w:jc w:val="left"/>
              <w:rPr>
                <w:rFonts w:eastAsiaTheme="minorHAnsi"/>
              </w:rPr>
            </w:pPr>
            <w:r w:rsidRPr="00A106E7">
              <w:t>The Legislative Assembly adopted legislative Decision No. 23, favourable to the withdrawal of the reservation, by Decree No. 920 of 8 January 2015, published in the Official Gazette (No. 24, vol. 406) of 5 February 2015.</w:t>
            </w:r>
          </w:p>
        </w:tc>
      </w:tr>
    </w:tbl>
    <w:p w:rsidR="00BA06AB" w:rsidRPr="00A106E7" w:rsidRDefault="00BA06AB" w:rsidP="00A106E7">
      <w:pPr>
        <w:spacing w:before="120"/>
        <w:ind w:left="1134" w:right="1134" w:firstLine="170"/>
        <w:rPr>
          <w:sz w:val="18"/>
        </w:rPr>
      </w:pPr>
      <w:r w:rsidRPr="00A106E7">
        <w:rPr>
          <w:i/>
          <w:sz w:val="18"/>
        </w:rPr>
        <w:t>Source</w:t>
      </w:r>
      <w:r w:rsidRPr="00A106E7">
        <w:rPr>
          <w:sz w:val="18"/>
        </w:rPr>
        <w:t xml:space="preserve">: </w:t>
      </w:r>
      <w:r w:rsidR="00894F70">
        <w:rPr>
          <w:sz w:val="18"/>
        </w:rPr>
        <w:t xml:space="preserve"> </w:t>
      </w:r>
      <w:r w:rsidRPr="00A106E7">
        <w:rPr>
          <w:sz w:val="18"/>
        </w:rPr>
        <w:t>Directorate-General of Legal Affairs, Ministry of Foreign Affairs.</w:t>
      </w:r>
    </w:p>
    <w:p w:rsidR="00BA06AB" w:rsidRPr="00445C95" w:rsidRDefault="00A106E7" w:rsidP="00A106E7">
      <w:pPr>
        <w:pStyle w:val="H1G"/>
      </w:pPr>
      <w:r>
        <w:tab/>
      </w:r>
      <w:bookmarkStart w:id="50" w:name="_Toc486428545"/>
      <w:bookmarkStart w:id="51" w:name="_Toc490483662"/>
      <w:r w:rsidR="00BA06AB" w:rsidRPr="00445C95">
        <w:t>B.</w:t>
      </w:r>
      <w:r w:rsidR="00BA06AB" w:rsidRPr="00445C95">
        <w:tab/>
        <w:t>Legal framework for the protection of human rights at the national level</w:t>
      </w:r>
      <w:bookmarkEnd w:id="50"/>
      <w:bookmarkEnd w:id="51"/>
    </w:p>
    <w:p w:rsidR="00BA06AB" w:rsidRPr="00445C95" w:rsidRDefault="00BA06AB" w:rsidP="00BA06AB">
      <w:pPr>
        <w:pStyle w:val="SingleTxtG"/>
      </w:pPr>
      <w:r w:rsidRPr="00445C95">
        <w:t>92.</w:t>
      </w:r>
      <w:r w:rsidRPr="00445C95">
        <w:tab/>
        <w:t xml:space="preserve">Currently, human rights treaties do not have constitutional status under the 1983 Constitution; however, under article 144 of the Constitution, international treaties take precedence over secondary legislation in the event of a conflict between a law and a treaty. </w:t>
      </w:r>
    </w:p>
    <w:p w:rsidR="00BA06AB" w:rsidRPr="00445C95" w:rsidRDefault="00BA06AB" w:rsidP="00BA06AB">
      <w:pPr>
        <w:pStyle w:val="SingleTxtG"/>
      </w:pPr>
      <w:r w:rsidRPr="00445C95">
        <w:t>93.</w:t>
      </w:r>
      <w:r w:rsidRPr="00445C95">
        <w:tab/>
        <w:t>As a State party to the American Convention on Human Rights, El Salvador accepted and recognized the competence of the inter-American system for the protection of human rights — namely, the Inter-American Commission on Human Rights and the Inter-American Court of Human Rights — on 23 June 1978. The Court</w:t>
      </w:r>
      <w:r w:rsidR="00726016">
        <w:t>’</w:t>
      </w:r>
      <w:r w:rsidRPr="00445C95">
        <w:t xml:space="preserve">s contentious jurisdiction, however, was recognized as from 6 June 1995. </w:t>
      </w:r>
    </w:p>
    <w:p w:rsidR="00BA06AB" w:rsidRPr="00445C95" w:rsidRDefault="00BA06AB" w:rsidP="00BA06AB">
      <w:pPr>
        <w:pStyle w:val="SingleTxtG"/>
      </w:pPr>
      <w:r w:rsidRPr="00445C95">
        <w:t>94.</w:t>
      </w:r>
      <w:r w:rsidRPr="00445C95">
        <w:tab/>
        <w:t xml:space="preserve">The Salvadoran State, under the current administration of President Salvador Sánchez </w:t>
      </w:r>
      <w:proofErr w:type="spellStart"/>
      <w:r w:rsidRPr="00445C95">
        <w:t>Cerén</w:t>
      </w:r>
      <w:proofErr w:type="spellEnd"/>
      <w:r w:rsidRPr="00445C95">
        <w:t xml:space="preserve">, has recognized the binding legal character of the reports of the Inter-American Commission on Human Rights and of the judgments of the Inter-American Court of Human Rights. It has also accepted the recommendations that the Human Rights Council of the United Nations made during the recent universal periodic review and the recommendations made by various treaty bodies. </w:t>
      </w:r>
    </w:p>
    <w:p w:rsidR="00BA06AB" w:rsidRPr="00445C95" w:rsidRDefault="00BA06AB" w:rsidP="00BA06AB">
      <w:pPr>
        <w:pStyle w:val="SingleTxtG"/>
      </w:pPr>
      <w:r w:rsidRPr="00445C95">
        <w:t>95.</w:t>
      </w:r>
      <w:r w:rsidRPr="00445C95">
        <w:tab/>
        <w:t xml:space="preserve">The Government has entered into a dialogue with victims of human rights violations and complainants in the various cases brought against El Salvador before the inter-American system for the protection of human rights. </w:t>
      </w:r>
    </w:p>
    <w:p w:rsidR="00BA06AB" w:rsidRPr="00445C95" w:rsidRDefault="00BA06AB" w:rsidP="00BA06AB">
      <w:pPr>
        <w:pStyle w:val="SingleTxtG"/>
      </w:pPr>
      <w:r w:rsidRPr="00445C95">
        <w:t>96.</w:t>
      </w:r>
      <w:r w:rsidRPr="00445C95">
        <w:tab/>
        <w:t>In 2009, the National Commission on Reparations for Victims of Serious Human Rights Violations Committed during the Internal Armed Conflict was set up and mandated to propose a comprehensive programme of reparations for victims of human rights violations to the country</w:t>
      </w:r>
      <w:r w:rsidR="00726016">
        <w:t>’</w:t>
      </w:r>
      <w:r w:rsidRPr="00445C95">
        <w:t>s President. That programme, which was set out in Executive Decree No. 204/2013 of October 2013, led to the creation of the Reparations Programme, the Victim Register, the Governing Council of the Victim Register and the Monitoring Bureau.</w:t>
      </w:r>
    </w:p>
    <w:p w:rsidR="00BA06AB" w:rsidRPr="00445C95" w:rsidRDefault="00BA06AB" w:rsidP="00BA06AB">
      <w:pPr>
        <w:pStyle w:val="SingleTxtG"/>
      </w:pPr>
      <w:r w:rsidRPr="00445C95">
        <w:t>97.</w:t>
      </w:r>
      <w:r w:rsidRPr="00445C95">
        <w:tab/>
        <w:t xml:space="preserve">At the time of this writing, the Governing Council was updating the Victim Register in preparation for the launch of the 31 August 2016 compensation initiative that is part of the Reparations Programme. Through this initiative, victims will be given compensation in the form of a pension. </w:t>
      </w:r>
    </w:p>
    <w:p w:rsidR="00BA06AB" w:rsidRPr="00445C95" w:rsidRDefault="00BA06AB" w:rsidP="00BA06AB">
      <w:pPr>
        <w:pStyle w:val="SingleTxtG"/>
      </w:pPr>
      <w:r w:rsidRPr="00445C95">
        <w:t>98.</w:t>
      </w:r>
      <w:r w:rsidRPr="00445C95">
        <w:tab/>
        <w:t xml:space="preserve">In an effort to fulfil its obligations deriving from the judgment in the case </w:t>
      </w:r>
      <w:r w:rsidRPr="00894F70">
        <w:rPr>
          <w:i/>
        </w:rPr>
        <w:t>Serrano Cruz Sisters v. El Salvador</w:t>
      </w:r>
      <w:r w:rsidRPr="00445C95">
        <w:t xml:space="preserve">, the State, by Executive Decree No. 5, published in the Official Gazette (No. 11, vol. 386) of 18 January 2010, authorized the establishment of a national commission to search for children who had disappeared during the internal armed conflict. That decree was amended by Executive Decree No. 45, published in the Official Gazette (No. 75, vol. 387) of 26 April 2010. The status of the new Commission is consistent with the international standards established by the Inter-American Court of Human Rights, which are designed to ensure the independence of State institutions in the exercise of their functions and their collaboration in the task of searching for children who have disappeared. </w:t>
      </w:r>
    </w:p>
    <w:p w:rsidR="00BA06AB" w:rsidRPr="00445C95" w:rsidRDefault="00BA06AB" w:rsidP="00BA06AB">
      <w:pPr>
        <w:pStyle w:val="SingleTxtG"/>
      </w:pPr>
      <w:r w:rsidRPr="00445C95">
        <w:t>99.</w:t>
      </w:r>
      <w:r w:rsidRPr="00445C95">
        <w:tab/>
        <w:t>The Supreme Court of Justice and the Attorney General</w:t>
      </w:r>
      <w:r w:rsidR="00726016">
        <w:t>’</w:t>
      </w:r>
      <w:r w:rsidRPr="00445C95">
        <w:t>s Office are the institutions charged with providing guarantees for the effective exercise of human rights and fundamental freedoms, as stated in the combined third to fifth periodic reports on the country</w:t>
      </w:r>
      <w:r w:rsidR="00726016">
        <w:t>’</w:t>
      </w:r>
      <w:r w:rsidRPr="00445C95">
        <w:t>s implementation of the International Covenant on Economic, Social and Cultural Rights.</w:t>
      </w:r>
    </w:p>
    <w:p w:rsidR="00BA06AB" w:rsidRPr="00445C95" w:rsidRDefault="00BA06AB" w:rsidP="00BA06AB">
      <w:pPr>
        <w:pStyle w:val="SingleTxtG"/>
      </w:pPr>
      <w:r w:rsidRPr="00445C95">
        <w:t>100.</w:t>
      </w:r>
      <w:r w:rsidRPr="00445C95">
        <w:tab/>
        <w:t>The post of Deputy Attorney General for Human Rights has been established in the Attorney General</w:t>
      </w:r>
      <w:r w:rsidR="00726016">
        <w:t>’</w:t>
      </w:r>
      <w:r w:rsidRPr="00445C95">
        <w:t>s Office.</w:t>
      </w:r>
    </w:p>
    <w:p w:rsidR="00BA06AB" w:rsidRPr="00445C95" w:rsidRDefault="00BA06AB" w:rsidP="00BA06AB">
      <w:pPr>
        <w:pStyle w:val="SingleTxtG"/>
      </w:pPr>
      <w:r w:rsidRPr="00445C95">
        <w:t>101.</w:t>
      </w:r>
      <w:r w:rsidRPr="00445C95">
        <w:tab/>
        <w:t>Under article 194, section II, of the Constitution, the Counsel General</w:t>
      </w:r>
      <w:r w:rsidR="00726016">
        <w:t>’</w:t>
      </w:r>
      <w:r w:rsidRPr="00445C95">
        <w:t xml:space="preserve">s Office is responsible for the defence of the family and of minors and their interests, those lacking legal capacity and older persons. It is also responsible for providing legal aid to persons of limited financial means and legal representation in the defence of their individual freedoms and their labour rights. It is a permanent and independent body, with legal personality and administrative independence, headquartered in the city of San Salvador. The Office has 17 </w:t>
      </w:r>
      <w:proofErr w:type="gramStart"/>
      <w:r w:rsidRPr="00445C95">
        <w:t>deputy</w:t>
      </w:r>
      <w:proofErr w:type="gramEnd"/>
      <w:r w:rsidRPr="00445C95">
        <w:t xml:space="preserve"> counsels general who are posted throughout the country.</w:t>
      </w:r>
    </w:p>
    <w:p w:rsidR="00BA06AB" w:rsidRPr="00445C95" w:rsidRDefault="00BA06AB" w:rsidP="00BA06AB">
      <w:pPr>
        <w:pStyle w:val="SingleTxtG"/>
      </w:pPr>
      <w:r w:rsidRPr="00445C95">
        <w:t>102.</w:t>
      </w:r>
      <w:r w:rsidRPr="00445C95">
        <w:tab/>
        <w:t>The function of the Office is to provide human rights protection services in the areas of law governing family matters</w:t>
      </w:r>
      <w:r w:rsidR="00726016">
        <w:t xml:space="preserve"> </w:t>
      </w:r>
      <w:r w:rsidRPr="00445C95">
        <w:t>and real and personal rights, criminal law and labour law. These services include any necessary administrative, legal and notarial assistance as well as mediation and psychosocial prevention services. The Office has four units offering user assistance and victim care:</w:t>
      </w:r>
    </w:p>
    <w:p w:rsidR="00BA06AB" w:rsidRPr="00445C95" w:rsidRDefault="00BA06AB" w:rsidP="00EB5F7C">
      <w:pPr>
        <w:pStyle w:val="Bullet1G"/>
      </w:pPr>
      <w:r w:rsidRPr="00445C95">
        <w:t>Family, Children and Adolescents Protection Unit</w:t>
      </w:r>
    </w:p>
    <w:p w:rsidR="00BA06AB" w:rsidRPr="00445C95" w:rsidRDefault="00BA06AB" w:rsidP="00EB5F7C">
      <w:pPr>
        <w:pStyle w:val="Bullet1G"/>
      </w:pPr>
      <w:r w:rsidRPr="00445C95">
        <w:t>Real and Personal Rights Unit</w:t>
      </w:r>
    </w:p>
    <w:p w:rsidR="00BA06AB" w:rsidRPr="00445C95" w:rsidRDefault="00BA06AB" w:rsidP="00EB5F7C">
      <w:pPr>
        <w:pStyle w:val="Bullet1G"/>
      </w:pPr>
      <w:r w:rsidRPr="00445C95">
        <w:t>Public Defender Unit</w:t>
      </w:r>
    </w:p>
    <w:p w:rsidR="00BA06AB" w:rsidRPr="00445C95" w:rsidRDefault="00BA06AB" w:rsidP="00EB5F7C">
      <w:pPr>
        <w:pStyle w:val="Bullet1G"/>
      </w:pPr>
      <w:r w:rsidRPr="00445C95">
        <w:t>Psychosocial Prevention Unit</w:t>
      </w:r>
    </w:p>
    <w:p w:rsidR="00BA06AB" w:rsidRPr="00445C95" w:rsidRDefault="00BA06AB" w:rsidP="00BA06AB">
      <w:pPr>
        <w:pStyle w:val="SingleTxtG"/>
      </w:pPr>
      <w:r w:rsidRPr="00445C95">
        <w:t>103.</w:t>
      </w:r>
      <w:r w:rsidRPr="00445C95">
        <w:tab/>
        <w:t>The main functions of the Office of the Human Rights Advocate include ensuring respect for and the enjoyment of human rights; investigating, at its own initiative or on the basis of complaints received, cases of human rights violations; supervising the civil service</w:t>
      </w:r>
      <w:r w:rsidR="00726016">
        <w:t>’</w:t>
      </w:r>
      <w:r w:rsidRPr="00445C95">
        <w:t xml:space="preserve">s administrative dealings with individuals; issuing opinions and preparing and publishing reports; and promoting human rights. </w:t>
      </w:r>
    </w:p>
    <w:p w:rsidR="00BA06AB" w:rsidRPr="00445C95" w:rsidRDefault="00BA06AB" w:rsidP="00BA06AB">
      <w:pPr>
        <w:pStyle w:val="SingleTxtG"/>
      </w:pPr>
      <w:r w:rsidRPr="00445C95">
        <w:t>104.</w:t>
      </w:r>
      <w:r w:rsidRPr="00445C95">
        <w:tab/>
        <w:t>The Justice and Human Rights Commission is now part of the Legislative Assembly. In addition, the National Civil Police have the Office of the Inspector General and a human rights division. The Ministry of Defence also has a human rights division.</w:t>
      </w:r>
    </w:p>
    <w:p w:rsidR="00BA06AB" w:rsidRPr="00445C95" w:rsidRDefault="00BA06AB" w:rsidP="00BA06AB">
      <w:pPr>
        <w:pStyle w:val="SingleTxtG"/>
      </w:pPr>
      <w:r w:rsidRPr="00445C95">
        <w:t>105.</w:t>
      </w:r>
      <w:r w:rsidRPr="00445C95">
        <w:tab/>
        <w:t>The Directorate General for Human Rights of the Ministry of Foreign Affairs protects the human rights of migrant Salvadorans and those living abroad and is in charge of providing moral and material compensation for victims of the internal armed conflict and ensuring the fulfilment of the State</w:t>
      </w:r>
      <w:r w:rsidR="00726016">
        <w:t>’</w:t>
      </w:r>
      <w:r w:rsidRPr="00445C95">
        <w:t>s human rights commitments under international instruments and its obligations to their respective treaty bodies.</w:t>
      </w:r>
    </w:p>
    <w:p w:rsidR="00BA06AB" w:rsidRPr="00445C95" w:rsidRDefault="00931035" w:rsidP="00931035">
      <w:pPr>
        <w:pStyle w:val="H23G"/>
      </w:pPr>
      <w:r>
        <w:tab/>
      </w:r>
      <w:bookmarkStart w:id="52" w:name="_Toc486428546"/>
      <w:r w:rsidR="00BA06AB" w:rsidRPr="00445C95">
        <w:t>1.</w:t>
      </w:r>
      <w:r w:rsidR="00BA06AB" w:rsidRPr="00445C95">
        <w:tab/>
        <w:t>Judicial authority in El Salvador</w:t>
      </w:r>
      <w:bookmarkEnd w:id="52"/>
      <w:r w:rsidR="00BA06AB" w:rsidRPr="00445C95">
        <w:t xml:space="preserve"> </w:t>
      </w:r>
    </w:p>
    <w:p w:rsidR="00BA06AB" w:rsidRPr="00445C95" w:rsidRDefault="00BA06AB" w:rsidP="00BA06AB">
      <w:pPr>
        <w:pStyle w:val="SingleTxtG"/>
      </w:pPr>
      <w:r w:rsidRPr="00445C95">
        <w:t>106.</w:t>
      </w:r>
      <w:r w:rsidRPr="00445C95">
        <w:tab/>
        <w:t>Judicial authority lies with the judiciary, which consists of the Supreme Court of Justice and its divisions, the appellate courts, courts of first instance and municipal courts. This branch of government has exclusive powers to adjudicate and to execute judgments in constitutional, civil, criminal, commercial, labour and agrarian matters, as well as in administrative disputes and in such other matters as may be determined by law.</w:t>
      </w:r>
    </w:p>
    <w:p w:rsidR="00BA06AB" w:rsidRPr="00445C95" w:rsidRDefault="00BA06AB" w:rsidP="00BA06AB">
      <w:pPr>
        <w:pStyle w:val="SingleTxtG"/>
      </w:pPr>
      <w:r w:rsidRPr="00445C95">
        <w:t>107.</w:t>
      </w:r>
      <w:r w:rsidRPr="00445C95">
        <w:tab/>
        <w:t>The jurisdiction of the courts in El Salvador tends to be specialized by subject matter. Accordingly, there are courts of first instance for civil, family, criminal, military and labour matters and for cases involving housing, traffic violations, commerce, minors and public finance.</w:t>
      </w:r>
    </w:p>
    <w:p w:rsidR="00BA06AB" w:rsidRPr="00445C95" w:rsidRDefault="00BA06AB" w:rsidP="00BA06AB">
      <w:pPr>
        <w:pStyle w:val="SingleTxtG"/>
      </w:pPr>
      <w:r w:rsidRPr="00445C95">
        <w:t>108.</w:t>
      </w:r>
      <w:r w:rsidRPr="00445C95">
        <w:tab/>
        <w:t>Since the entry into force of the Child and Adolescent Protection Act, the judiciary has been an integral part of the National Child and Adolescent Protection System. Specialized courts and a specialized appellate court for matters involving children and adolescents have been established. These courts are competent to issue judicial protection orders in the event of threats to or violations of the rights or legitimate interests of children or adolescents. The Special Children</w:t>
      </w:r>
      <w:r w:rsidR="00726016">
        <w:t>’</w:t>
      </w:r>
      <w:r w:rsidRPr="00445C95">
        <w:t>s Appeals Court, which has nationwide jurisdiction and is based in San Salvador, and three collegiate courts of first instance (the specialized children</w:t>
      </w:r>
      <w:r w:rsidR="00726016">
        <w:t>’</w:t>
      </w:r>
      <w:r w:rsidRPr="00445C95">
        <w:t>s courts), which are based in San Salvador, Santa Ana and San Miguel, were established under Legislative Decree No. 306 of 18 March 2010.</w:t>
      </w:r>
    </w:p>
    <w:p w:rsidR="00BA06AB" w:rsidRPr="00445C95" w:rsidRDefault="00BA06AB" w:rsidP="00BA06AB">
      <w:pPr>
        <w:pStyle w:val="SingleTxtG"/>
      </w:pPr>
      <w:r w:rsidRPr="00445C95">
        <w:t>109.</w:t>
      </w:r>
      <w:r w:rsidRPr="00445C95">
        <w:tab/>
        <w:t>In the administrative sphere, the Counsel General</w:t>
      </w:r>
      <w:r w:rsidR="00726016">
        <w:t>’</w:t>
      </w:r>
      <w:r w:rsidRPr="00445C95">
        <w:t>s Office is responsible for protecting the human rights of all the country</w:t>
      </w:r>
      <w:r w:rsidR="00726016">
        <w:t>’</w:t>
      </w:r>
      <w:r w:rsidRPr="00445C95">
        <w:t>s inhabitants. Other institutions that work to ensure respect for human rights and to further their development include the Ministry of Health and Social Welfare, the Ministry of Labour and Social Security, the National Minimum Wage Council, the Ministry of Economic Affairs, the Salvadoran Institute for the Advancement of Women, the National Council for Children and Adolescents, the Child and Adolescent Protection Boards, the Salvadoran Institute for Comprehensive Child and Adolescent Development, the Consumer Protection Authority and the National Council for Persons with Disabilities.</w:t>
      </w:r>
    </w:p>
    <w:p w:rsidR="00BA06AB" w:rsidRPr="00445C95" w:rsidRDefault="00BA06AB" w:rsidP="00BA06AB">
      <w:pPr>
        <w:pStyle w:val="SingleTxtG"/>
      </w:pPr>
      <w:r w:rsidRPr="00445C95">
        <w:t>110.</w:t>
      </w:r>
      <w:r w:rsidRPr="00445C95">
        <w:tab/>
        <w:t>The Office of the Human Rights Advocate was established under the 1992 Peace Accords pursuant to the provisions of articles 191, 192 and 194 of the Constitution. This institution is part of the Public Legal Service and is a permanent, independent body with legal personality and administrative autonomy. Its function is to ensure the promotion of human rights, the provision of human rights education</w:t>
      </w:r>
      <w:r w:rsidR="00726016">
        <w:t xml:space="preserve"> </w:t>
      </w:r>
      <w:r w:rsidRPr="00445C95">
        <w:t>and the unrestricted enjoyment of human rights.</w:t>
      </w:r>
    </w:p>
    <w:p w:rsidR="00BA06AB" w:rsidRPr="00445C95" w:rsidRDefault="00BA06AB" w:rsidP="00BA06AB">
      <w:pPr>
        <w:pStyle w:val="SingleTxtG"/>
      </w:pPr>
      <w:r w:rsidRPr="00445C95">
        <w:t>111.</w:t>
      </w:r>
      <w:r w:rsidRPr="00445C95">
        <w:tab/>
        <w:t>The Human Rights Advocate is elected by the Legislative Assembly by a two-thirds majority for a three-year term and may be re-elected. The Office includes the Deputy Human Rights Advocate and five Offices of Deputy Advocates that provide assistance in the area of human rights.</w:t>
      </w:r>
    </w:p>
    <w:p w:rsidR="00BA06AB" w:rsidRPr="00445C95" w:rsidRDefault="00931035" w:rsidP="00931035">
      <w:pPr>
        <w:pStyle w:val="H1G"/>
      </w:pPr>
      <w:r>
        <w:tab/>
      </w:r>
      <w:bookmarkStart w:id="53" w:name="_Toc486428547"/>
      <w:bookmarkStart w:id="54" w:name="_Toc490483663"/>
      <w:r w:rsidR="00BA06AB" w:rsidRPr="00445C95">
        <w:t>C.</w:t>
      </w:r>
      <w:r w:rsidR="00BA06AB" w:rsidRPr="00445C95">
        <w:tab/>
        <w:t>Framework for the promotion of human rights at the national level</w:t>
      </w:r>
      <w:bookmarkEnd w:id="53"/>
      <w:bookmarkEnd w:id="54"/>
    </w:p>
    <w:p w:rsidR="00BA06AB" w:rsidRPr="00445C95" w:rsidRDefault="00931035" w:rsidP="00931035">
      <w:pPr>
        <w:pStyle w:val="H23G"/>
      </w:pPr>
      <w:r>
        <w:tab/>
      </w:r>
      <w:bookmarkStart w:id="55" w:name="_Toc486428548"/>
      <w:r w:rsidR="00BA06AB" w:rsidRPr="00445C95">
        <w:t>1.</w:t>
      </w:r>
      <w:r w:rsidR="00BA06AB" w:rsidRPr="00445C95">
        <w:tab/>
        <w:t>National legal framework for the protection of human rights</w:t>
      </w:r>
      <w:bookmarkEnd w:id="55"/>
      <w:r w:rsidR="00BA06AB" w:rsidRPr="00445C95">
        <w:t xml:space="preserve"> </w:t>
      </w:r>
    </w:p>
    <w:p w:rsidR="00BA06AB" w:rsidRPr="00445C95" w:rsidRDefault="00BA06AB" w:rsidP="00BA06AB">
      <w:pPr>
        <w:pStyle w:val="SingleTxtG"/>
      </w:pPr>
      <w:r w:rsidRPr="00445C95">
        <w:t>112.</w:t>
      </w:r>
      <w:r w:rsidRPr="00445C95">
        <w:tab/>
        <w:t>The mandate of the Office of the Human Rights Advocate is extremely broad and authorizes it to monitor the performance of all State agencies, without exception, in matters relating to human rights. The section on this subject has been updated in the country</w:t>
      </w:r>
      <w:r w:rsidR="00726016">
        <w:t>’</w:t>
      </w:r>
      <w:r w:rsidRPr="00445C95">
        <w:t xml:space="preserve">s seventh periodic report under the International Covenant on Civil and Political Rights, submitted in November 2016, and in its combined fifth and sixth periodic reports under the Convention on the Rights of the Child. </w:t>
      </w:r>
    </w:p>
    <w:p w:rsidR="00BA06AB" w:rsidRPr="00445C95" w:rsidRDefault="00931035" w:rsidP="00931035">
      <w:pPr>
        <w:pStyle w:val="H23G"/>
      </w:pPr>
      <w:r>
        <w:tab/>
      </w:r>
      <w:bookmarkStart w:id="56" w:name="_Toc486428549"/>
      <w:r w:rsidR="00BA06AB" w:rsidRPr="00445C95">
        <w:t>2.</w:t>
      </w:r>
      <w:r w:rsidR="00BA06AB" w:rsidRPr="00445C95">
        <w:tab/>
        <w:t>Incorporation of international human rights treaties into domestic law</w:t>
      </w:r>
      <w:bookmarkEnd w:id="56"/>
      <w:r w:rsidR="00BA06AB" w:rsidRPr="00445C95">
        <w:t xml:space="preserve"> </w:t>
      </w:r>
    </w:p>
    <w:p w:rsidR="00BA06AB" w:rsidRPr="00445C95" w:rsidRDefault="00BA06AB" w:rsidP="00BA06AB">
      <w:pPr>
        <w:pStyle w:val="SingleTxtG"/>
      </w:pPr>
      <w:r w:rsidRPr="00445C95">
        <w:t>113.</w:t>
      </w:r>
      <w:r w:rsidRPr="00445C95">
        <w:tab/>
        <w:t>The Constitution establishes the country</w:t>
      </w:r>
      <w:r w:rsidR="00726016">
        <w:t>’</w:t>
      </w:r>
      <w:r w:rsidRPr="00445C95">
        <w:t xml:space="preserve">s basic legal provisions relating to civil and political rights, economic, social and cultural rights, guarantees of due process of law and the duties of individuals. These provisions are compatible with those of the International Covenant on Civil and Political Rights, the International Covenant on Economic, Social and Cultural Rights, the American Convention on Human Rights, the Universal Declaration of Human Rights and the American Declaration on the Rights and Duties of Man. </w:t>
      </w:r>
    </w:p>
    <w:p w:rsidR="00BA06AB" w:rsidRPr="00445C95" w:rsidRDefault="00BA06AB" w:rsidP="00BA06AB">
      <w:pPr>
        <w:pStyle w:val="SingleTxtG"/>
      </w:pPr>
      <w:r w:rsidRPr="00445C95">
        <w:t>114.</w:t>
      </w:r>
      <w:r w:rsidRPr="00445C95">
        <w:tab/>
        <w:t>It establishes that, once international treaties enter into force in accordance with their own provisions and the Constitution, they become the law of the land. Thus, treaties that have been legally concluded and ratified form part of Salvadoran legislation.</w:t>
      </w:r>
    </w:p>
    <w:p w:rsidR="00BA06AB" w:rsidRPr="00445C95" w:rsidRDefault="00931035" w:rsidP="00931035">
      <w:pPr>
        <w:pStyle w:val="H23G"/>
      </w:pPr>
      <w:r>
        <w:tab/>
      </w:r>
      <w:bookmarkStart w:id="57" w:name="_Toc486428550"/>
      <w:r w:rsidR="00BA06AB" w:rsidRPr="00445C95">
        <w:t>3.</w:t>
      </w:r>
      <w:r w:rsidR="00BA06AB" w:rsidRPr="00445C95">
        <w:tab/>
        <w:t>National protection of the human rights established in international instruments</w:t>
      </w:r>
      <w:bookmarkEnd w:id="57"/>
    </w:p>
    <w:p w:rsidR="00BA06AB" w:rsidRPr="00445C95" w:rsidRDefault="00BA06AB" w:rsidP="00BA06AB">
      <w:pPr>
        <w:pStyle w:val="SingleTxtG"/>
      </w:pPr>
      <w:r w:rsidRPr="00445C95">
        <w:t>115.</w:t>
      </w:r>
      <w:r w:rsidRPr="00445C95">
        <w:tab/>
        <w:t>Under the Constitution, the rights and freedoms enshrined in the human rights instruments ratified by El Salvador form part of the nation</w:t>
      </w:r>
      <w:r w:rsidR="00726016">
        <w:t>’</w:t>
      </w:r>
      <w:r w:rsidRPr="00445C95">
        <w:t>s laws. Individuals are then entitled to initiate actions before the relevant body in order to avail themselves of the protection afforded by those treaties for their enjoyment of the rights and freedoms provided for therein.</w:t>
      </w:r>
    </w:p>
    <w:p w:rsidR="00BA06AB" w:rsidRPr="00445C95" w:rsidRDefault="00BA06AB" w:rsidP="00BA06AB">
      <w:pPr>
        <w:pStyle w:val="SingleTxtG"/>
      </w:pPr>
      <w:r w:rsidRPr="00445C95">
        <w:t>116.</w:t>
      </w:r>
      <w:r w:rsidRPr="00445C95">
        <w:tab/>
        <w:t>As recently noted in the country</w:t>
      </w:r>
      <w:r w:rsidR="00726016">
        <w:t>’</w:t>
      </w:r>
      <w:r w:rsidRPr="00445C95">
        <w:t>s seventh periodic report under the International Covenant on Civil and Political Rights, submitted in November 2016, domestic courts, including the Constitutional Division of the Supreme Court of Justice, have referred to the human rights standards set out in international human rights instruments and in decisions of the inter-American human right</w:t>
      </w:r>
      <w:r w:rsidR="00EF0AF4">
        <w:t>s system and the United Nations</w:t>
      </w:r>
      <w:r w:rsidRPr="00445C95">
        <w:t xml:space="preserve">. </w:t>
      </w:r>
    </w:p>
    <w:p w:rsidR="00BA06AB" w:rsidRPr="00445C95" w:rsidRDefault="00BA06AB" w:rsidP="00BA06AB">
      <w:pPr>
        <w:pStyle w:val="SingleTxtG"/>
      </w:pPr>
      <w:r w:rsidRPr="00445C95">
        <w:t>117.</w:t>
      </w:r>
      <w:r w:rsidRPr="00445C95">
        <w:tab/>
        <w:t>The Ministry of Foreign Affairs refers matters to the competent national bodies and prepares the necessary replies to complaints or communications concerning possible human rights violations.</w:t>
      </w:r>
    </w:p>
    <w:p w:rsidR="00BA06AB" w:rsidRPr="00445C95" w:rsidRDefault="00931035" w:rsidP="00931035">
      <w:pPr>
        <w:pStyle w:val="H23G"/>
      </w:pPr>
      <w:r>
        <w:tab/>
      </w:r>
      <w:bookmarkStart w:id="58" w:name="_Toc486428551"/>
      <w:r w:rsidR="00BA06AB" w:rsidRPr="00445C95">
        <w:t>4.</w:t>
      </w:r>
      <w:r w:rsidR="00BA06AB" w:rsidRPr="00445C95">
        <w:tab/>
        <w:t>Raising awareness in the country of the rights enshrined in international human rights instruments</w:t>
      </w:r>
      <w:bookmarkEnd w:id="58"/>
    </w:p>
    <w:p w:rsidR="00BA06AB" w:rsidRPr="00445C95" w:rsidRDefault="00BA06AB" w:rsidP="00BA06AB">
      <w:pPr>
        <w:pStyle w:val="SingleTxtG"/>
      </w:pPr>
      <w:r w:rsidRPr="00445C95">
        <w:t>118.</w:t>
      </w:r>
      <w:r w:rsidRPr="00445C95">
        <w:tab/>
        <w:t>State institutions helping to disseminate information, promote awareness and provide training in the area of human rights include the Judicial College, the Secretariat for Social Inclusion, the Salvadoran Institute for the Advancement of Women, the National Council for Children and Adolescents, the Salvadoran Institute for Comprehensive Child and Adolescent Development and the National Council for Persons with Disabilities. The Police Human Rights School, which comes under the Office of the Inspector General of the National Civil Police, also provides human rights training to the police corps. The National Public Security Academy includes such training in its curriculum, as does the Prison Service School.</w:t>
      </w:r>
    </w:p>
    <w:p w:rsidR="00BA06AB" w:rsidRPr="00445C95" w:rsidRDefault="00BA06AB" w:rsidP="00BA06AB">
      <w:pPr>
        <w:pStyle w:val="SingleTxtG"/>
      </w:pPr>
      <w:r w:rsidRPr="00445C95">
        <w:t>119.</w:t>
      </w:r>
      <w:r w:rsidRPr="00445C95">
        <w:tab/>
        <w:t xml:space="preserve">The National Council for Children and Adolescents, as the lead agency for the protection of the rights of children and adolescents, has made development of the doctrine of comprehensive protection embodied in the Convention on the Rights of the Child a part of its information, advocacy and technical assistance activities. This doctrine serves as a point of departure for the development of a better understanding of the letter and spirit of the Child and Adolescent Protection Act and the National Policy on Comprehensive Protection for Children and Adolescents. </w:t>
      </w:r>
    </w:p>
    <w:p w:rsidR="00BA06AB" w:rsidRPr="00445C95" w:rsidRDefault="00BA06AB" w:rsidP="00BA06AB">
      <w:pPr>
        <w:pStyle w:val="SingleTxtG"/>
      </w:pPr>
      <w:r w:rsidRPr="00445C95">
        <w:t>120.</w:t>
      </w:r>
      <w:r w:rsidRPr="00445C95">
        <w:tab/>
        <w:t xml:space="preserve">The Salvadoran State recognizes that international cooperation has been of great importance for the development of programmes concerned with the administration of justice, public security, the human rights of vulnerable groups and human rights education and promotion. </w:t>
      </w:r>
    </w:p>
    <w:p w:rsidR="00BA06AB" w:rsidRPr="00445C95" w:rsidRDefault="00BA06AB" w:rsidP="00BA06AB">
      <w:pPr>
        <w:pStyle w:val="SingleTxtG"/>
      </w:pPr>
      <w:r w:rsidRPr="00445C95">
        <w:t>121.</w:t>
      </w:r>
      <w:r w:rsidRPr="00445C95">
        <w:tab/>
        <w:t>In 2013, in the framework of a joint programme on reducing violence and building social capital sponsored by the Spanish Government</w:t>
      </w:r>
      <w:r w:rsidR="00726016">
        <w:t>’</w:t>
      </w:r>
      <w:r w:rsidRPr="00445C95">
        <w:t>s Fund for the Achievement of the Millennium Development Goals, UNICEF and the National Council for Children and Adolescents printed 17,000 copies of a compendium of national and international standards concerning children and adolescents in El Salvador. It included the Universal Declaration of Human Rights, the Declaration of the Rights of the Child, the Convention on the Rights of the Child and the Optional Protocols thereto, as well as the Child and Adolescent Protection Act and its respective regulations. The aim of this effort was to disseminate information about the legal framework and facilitate the operational work of the main offices and agencies responsible for the enforcement of the Child and Adolescent Protection Act.</w:t>
      </w:r>
    </w:p>
    <w:p w:rsidR="00BA06AB" w:rsidRPr="00445C95" w:rsidRDefault="00BA06AB" w:rsidP="00BA06AB">
      <w:pPr>
        <w:pStyle w:val="SingleTxtG"/>
      </w:pPr>
      <w:r w:rsidRPr="00445C95">
        <w:t>122.</w:t>
      </w:r>
      <w:r w:rsidRPr="00445C95">
        <w:tab/>
        <w:t>In 2015, with technical support from UNICEF, the Technical and Planning Secretariat of the Office of the President and the National Council for Persons with Disabilities, the first national survey regarding persons with disabilities was taken.</w:t>
      </w:r>
    </w:p>
    <w:p w:rsidR="00BA06AB" w:rsidRPr="00445C95" w:rsidRDefault="00BA06AB" w:rsidP="00BA06AB">
      <w:pPr>
        <w:pStyle w:val="SingleTxtG"/>
      </w:pPr>
      <w:r w:rsidRPr="00445C95">
        <w:t>123.</w:t>
      </w:r>
      <w:r w:rsidRPr="00445C95">
        <w:tab/>
        <w:t xml:space="preserve">Periodically, messages are broadcast in the mass media (press, radio and television), with support from the Government, the private sector and non-governmental organizations, concerning the protection of the human rights of vulnerable sectors of the population (children, women, persons with disabilities and older persons). </w:t>
      </w:r>
    </w:p>
    <w:p w:rsidR="00BA06AB" w:rsidRPr="00445C95" w:rsidRDefault="00931035" w:rsidP="00931035">
      <w:pPr>
        <w:pStyle w:val="H23G"/>
      </w:pPr>
      <w:r>
        <w:tab/>
      </w:r>
      <w:bookmarkStart w:id="59" w:name="_Toc486428552"/>
      <w:r w:rsidR="00BA06AB" w:rsidRPr="00445C95">
        <w:t>5.</w:t>
      </w:r>
      <w:r w:rsidR="00BA06AB" w:rsidRPr="00445C95">
        <w:tab/>
        <w:t>Translation of international human rights instruments into local languages</w:t>
      </w:r>
      <w:bookmarkEnd w:id="59"/>
    </w:p>
    <w:p w:rsidR="00BA06AB" w:rsidRPr="00445C95" w:rsidRDefault="00BA06AB" w:rsidP="00BA06AB">
      <w:pPr>
        <w:pStyle w:val="SingleTxtG"/>
      </w:pPr>
      <w:r w:rsidRPr="00445C95">
        <w:t>124.</w:t>
      </w:r>
      <w:r w:rsidRPr="00445C95">
        <w:tab/>
        <w:t>As part of the technical cooperation project carried out by the Office of the United Nations High Commissioner for Human Rights (OHCHR), the Universal Declaration of Human Rights has been translated into Pipil, the language used by some indigenous minorities, in order to familiarize speakers of that language with the principles set out in that document. The Pipil-language version can be found on the OHCHR website.</w:t>
      </w:r>
    </w:p>
    <w:p w:rsidR="00BA06AB" w:rsidRPr="00445C95" w:rsidRDefault="00BA06AB" w:rsidP="00BA06AB">
      <w:pPr>
        <w:pStyle w:val="SingleTxtG"/>
      </w:pPr>
      <w:r w:rsidRPr="00445C95">
        <w:t>125.</w:t>
      </w:r>
      <w:r w:rsidRPr="00445C95">
        <w:tab/>
        <w:t>A Spanish translation of the Universal Declaration has been printed in Braille, and a video has been made that presents the Universal Declaration in sign language. The aim of both initiatives is to enable persons with sight or hearing impairments to familiarize themselves with the Universal Declaration and its application. Similarly, the Legislative Assembly has been equipped with a Braille printer so that it can furnish blind persons with a Braille copy of any document issued by the Assembly on request.</w:t>
      </w:r>
    </w:p>
    <w:p w:rsidR="00BA06AB" w:rsidRPr="00445C95" w:rsidRDefault="00BA06AB" w:rsidP="00BA06AB">
      <w:pPr>
        <w:pStyle w:val="SingleTxtG"/>
      </w:pPr>
      <w:r w:rsidRPr="00445C95">
        <w:t>126.</w:t>
      </w:r>
      <w:r w:rsidRPr="00445C95">
        <w:tab/>
        <w:t xml:space="preserve">These materials have been distributed to cultural centres throughout the country in order to make them readily available. </w:t>
      </w:r>
    </w:p>
    <w:p w:rsidR="00BA06AB" w:rsidRPr="00445C95" w:rsidRDefault="00931035" w:rsidP="00931035">
      <w:pPr>
        <w:pStyle w:val="H1G"/>
      </w:pPr>
      <w:r>
        <w:tab/>
      </w:r>
      <w:bookmarkStart w:id="60" w:name="_Toc486428553"/>
      <w:bookmarkStart w:id="61" w:name="_Toc490483664"/>
      <w:r w:rsidR="00BA06AB" w:rsidRPr="00445C95">
        <w:t>D.</w:t>
      </w:r>
      <w:r w:rsidR="00BA06AB" w:rsidRPr="00445C95">
        <w:tab/>
        <w:t>The reporting process at the national level</w:t>
      </w:r>
      <w:bookmarkEnd w:id="60"/>
      <w:bookmarkEnd w:id="61"/>
    </w:p>
    <w:p w:rsidR="00BA06AB" w:rsidRPr="00445C95" w:rsidRDefault="00931035" w:rsidP="00931035">
      <w:pPr>
        <w:pStyle w:val="H23G"/>
      </w:pPr>
      <w:r>
        <w:tab/>
      </w:r>
      <w:bookmarkStart w:id="62" w:name="_Toc486428554"/>
      <w:r w:rsidR="00BA06AB" w:rsidRPr="00445C95">
        <w:t>1.</w:t>
      </w:r>
      <w:r w:rsidR="00BA06AB" w:rsidRPr="00445C95">
        <w:tab/>
        <w:t>National coordination structure</w:t>
      </w:r>
      <w:bookmarkEnd w:id="62"/>
      <w:r w:rsidR="00BA06AB" w:rsidRPr="00445C95">
        <w:t xml:space="preserve"> </w:t>
      </w:r>
    </w:p>
    <w:p w:rsidR="00BA06AB" w:rsidRPr="00445C95" w:rsidRDefault="00BA06AB" w:rsidP="00BA06AB">
      <w:pPr>
        <w:pStyle w:val="SingleTxtG"/>
      </w:pPr>
      <w:r w:rsidRPr="00445C95">
        <w:t>127.</w:t>
      </w:r>
      <w:r w:rsidRPr="00445C95">
        <w:tab/>
        <w:t>The preparation of the reports that El Salvador submits to the United Nations human rights treaty bodies is an inter-agency effort, coordinated by the Ministry of Foreign Affairs.</w:t>
      </w:r>
    </w:p>
    <w:p w:rsidR="00BA06AB" w:rsidRPr="00445C95" w:rsidRDefault="00EC659A" w:rsidP="00EC659A">
      <w:pPr>
        <w:pStyle w:val="H23G"/>
      </w:pPr>
      <w:r>
        <w:tab/>
      </w:r>
      <w:bookmarkStart w:id="63" w:name="_Toc486428555"/>
      <w:r w:rsidR="00BA06AB" w:rsidRPr="00445C95">
        <w:t>2.</w:t>
      </w:r>
      <w:r w:rsidR="00BA06AB" w:rsidRPr="00445C95">
        <w:tab/>
        <w:t>Participation of departments, institutions and officials at the national, regional and local levels and, where appropriate, at the federal and provincial levels</w:t>
      </w:r>
      <w:bookmarkEnd w:id="63"/>
    </w:p>
    <w:p w:rsidR="00BA06AB" w:rsidRPr="00445C95" w:rsidRDefault="00BA06AB" w:rsidP="00BA06AB">
      <w:pPr>
        <w:pStyle w:val="SingleTxtG"/>
      </w:pPr>
      <w:r w:rsidRPr="00445C95">
        <w:t>128.</w:t>
      </w:r>
      <w:r w:rsidRPr="00445C95">
        <w:tab/>
        <w:t>Experts from the Government as well as from autonomous and State agencies, particularly those concerned with the promotion of the rights covered by the various international human rights covenants and treaties, participate in the preparation of these reports.</w:t>
      </w:r>
    </w:p>
    <w:p w:rsidR="00BA06AB" w:rsidRPr="00445C95" w:rsidRDefault="00BA06AB" w:rsidP="00BA06AB">
      <w:pPr>
        <w:pStyle w:val="SingleTxtG"/>
      </w:pPr>
      <w:r w:rsidRPr="00445C95">
        <w:t>129.</w:t>
      </w:r>
      <w:r w:rsidRPr="00445C95">
        <w:tab/>
        <w:t>The methodology used for the preparation of the combined fifth and sixth periodic reports under the Convention on the Rights of the Child provided for the participation of representatives of governmental institutions and members of the civil society organizations that run programmes for children and adolescents, as well as the direct involvement of child and adolescent members of organizations. This process is described in the introductory section of the combined reports.</w:t>
      </w:r>
    </w:p>
    <w:p w:rsidR="00BA06AB" w:rsidRPr="00445C95" w:rsidRDefault="00EC659A" w:rsidP="00EC659A">
      <w:pPr>
        <w:pStyle w:val="H23G"/>
      </w:pPr>
      <w:r>
        <w:tab/>
      </w:r>
      <w:bookmarkStart w:id="64" w:name="_Toc486428556"/>
      <w:r w:rsidR="00BA06AB" w:rsidRPr="00445C95">
        <w:t>3.</w:t>
      </w:r>
      <w:r w:rsidR="00BA06AB" w:rsidRPr="00445C95">
        <w:tab/>
        <w:t>Whether reports are made available to or examined by the national legislature prior to their submission to the treaty bodies</w:t>
      </w:r>
      <w:bookmarkEnd w:id="64"/>
    </w:p>
    <w:p w:rsidR="00BA06AB" w:rsidRPr="00445C95" w:rsidRDefault="00BA06AB" w:rsidP="00BA06AB">
      <w:pPr>
        <w:pStyle w:val="SingleTxtG"/>
      </w:pPr>
      <w:r w:rsidRPr="00445C95">
        <w:t>130.</w:t>
      </w:r>
      <w:r w:rsidRPr="00445C95">
        <w:tab/>
        <w:t>The preparation of the country</w:t>
      </w:r>
      <w:r w:rsidR="00726016">
        <w:t>’</w:t>
      </w:r>
      <w:r w:rsidRPr="00445C95">
        <w:t xml:space="preserve">s reports requires the Legislative Assembly to provide information on progress made in the analysis and adoption of national legislation relating to the specific topics covered by the report. </w:t>
      </w:r>
    </w:p>
    <w:p w:rsidR="00BA06AB" w:rsidRPr="00445C95" w:rsidRDefault="00BA06AB" w:rsidP="00BA06AB">
      <w:pPr>
        <w:pStyle w:val="SingleTxtG"/>
      </w:pPr>
      <w:r w:rsidRPr="00445C95">
        <w:t>131.</w:t>
      </w:r>
      <w:r w:rsidRPr="00445C95">
        <w:tab/>
        <w:t>As a result of the current Administration</w:t>
      </w:r>
      <w:r w:rsidR="00726016">
        <w:t>’</w:t>
      </w:r>
      <w:r w:rsidRPr="00445C95">
        <w:t xml:space="preserve">s closer relationship with the treaty bodies, the various country reports submitted to Committees are being given wider distribution and publicity. An example is the distribution of the initial report under the Convention on the Rights of Persons with Disabilities to organizations of persons with disabilities, which also participate in follow-up through the working groups of the National Council for Persons with Disabilities. </w:t>
      </w:r>
    </w:p>
    <w:p w:rsidR="00BA06AB" w:rsidRPr="00445C95" w:rsidRDefault="00EC659A" w:rsidP="00EC659A">
      <w:pPr>
        <w:pStyle w:val="H23G"/>
      </w:pPr>
      <w:r>
        <w:tab/>
      </w:r>
      <w:bookmarkStart w:id="65" w:name="_Toc486428557"/>
      <w:r w:rsidR="00BA06AB" w:rsidRPr="00445C95">
        <w:t>4.</w:t>
      </w:r>
      <w:r w:rsidR="00BA06AB" w:rsidRPr="00445C95">
        <w:tab/>
        <w:t>Participation of non-governmental entities</w:t>
      </w:r>
      <w:bookmarkEnd w:id="65"/>
      <w:r w:rsidR="00BA06AB" w:rsidRPr="00445C95">
        <w:t xml:space="preserve"> </w:t>
      </w:r>
    </w:p>
    <w:p w:rsidR="00BA06AB" w:rsidRPr="00445C95" w:rsidRDefault="00BA06AB" w:rsidP="00BA06AB">
      <w:pPr>
        <w:pStyle w:val="SingleTxtG"/>
      </w:pPr>
      <w:r w:rsidRPr="00445C95">
        <w:t>132.</w:t>
      </w:r>
      <w:r w:rsidRPr="00445C95">
        <w:tab/>
        <w:t xml:space="preserve">In the preparation of country reports, the Ministry of Foreign Affairs has involved the Office of the Human Rights Advocate in the compilation of information and the organization of inter-agency drafting groups. It also welcomes the supplementary reports submitted by civil society organizations. In 2013, the Committee on the Rights of Persons with Disabilities received two alternative reports from representatives of civil society, one submitted through the Office of the Human Rights Advocate and the other by the association Manos </w:t>
      </w:r>
      <w:proofErr w:type="spellStart"/>
      <w:r w:rsidRPr="00445C95">
        <w:t>Mágicas</w:t>
      </w:r>
      <w:proofErr w:type="spellEnd"/>
      <w:r w:rsidRPr="00445C95">
        <w:t>.</w:t>
      </w:r>
    </w:p>
    <w:p w:rsidR="00BA06AB" w:rsidRPr="00445C95" w:rsidRDefault="00EC659A" w:rsidP="00EC659A">
      <w:pPr>
        <w:pStyle w:val="H23G"/>
      </w:pPr>
      <w:r>
        <w:tab/>
      </w:r>
      <w:bookmarkStart w:id="66" w:name="_Toc486428558"/>
      <w:r w:rsidR="00BA06AB" w:rsidRPr="00445C95">
        <w:t>5.</w:t>
      </w:r>
      <w:r w:rsidR="00BA06AB" w:rsidRPr="00445C95">
        <w:tab/>
        <w:t>Follow-up to concluding observations of human rights treaty bodies</w:t>
      </w:r>
      <w:bookmarkEnd w:id="66"/>
    </w:p>
    <w:p w:rsidR="00BA06AB" w:rsidRPr="00445C95" w:rsidRDefault="00BA06AB" w:rsidP="00BA06AB">
      <w:pPr>
        <w:pStyle w:val="SingleTxtG"/>
      </w:pPr>
      <w:r w:rsidRPr="00445C95">
        <w:t>133.</w:t>
      </w:r>
      <w:r w:rsidRPr="00445C95">
        <w:tab/>
        <w:t xml:space="preserve">The Ministry of Foreign Affairs of the Government of El Salvador has provided for the use as from 2010 of a procedure for coordinating the contributions of State institutions to the submission of reports and implementation of recommendations related to the activities of the various United Nations human rights treaty bodies. Plans to adopt a procedure for the effective participation of civil society in those areas have also been made. </w:t>
      </w:r>
    </w:p>
    <w:p w:rsidR="00BA06AB" w:rsidRPr="00445C95" w:rsidRDefault="00BA06AB" w:rsidP="00BA06AB">
      <w:pPr>
        <w:pStyle w:val="SingleTxtG"/>
      </w:pPr>
      <w:r w:rsidRPr="00445C95">
        <w:t>134.</w:t>
      </w:r>
      <w:r w:rsidRPr="00445C95">
        <w:tab/>
        <w:t>El Salvador hopes that these new arrangements will result in significant changes in the dissemination and follow-up of the Committees</w:t>
      </w:r>
      <w:r w:rsidR="00726016">
        <w:t>’</w:t>
      </w:r>
      <w:r w:rsidRPr="00445C95">
        <w:t xml:space="preserve"> recommendations as well as in report preparation procedures, thereby ensuring the more effective fulfilment of the State</w:t>
      </w:r>
      <w:r w:rsidR="00726016">
        <w:t>’</w:t>
      </w:r>
      <w:r w:rsidRPr="00445C95">
        <w:t>s duty to safeguard the human rights recognized in the Convention on the Rights of the Child.</w:t>
      </w:r>
    </w:p>
    <w:p w:rsidR="00BA06AB" w:rsidRPr="00445C95" w:rsidRDefault="000D2706" w:rsidP="000D2706">
      <w:pPr>
        <w:pStyle w:val="H23G"/>
      </w:pPr>
      <w:r>
        <w:tab/>
      </w:r>
      <w:bookmarkStart w:id="67" w:name="_Toc486428559"/>
      <w:r w:rsidR="00BA06AB" w:rsidRPr="00445C95">
        <w:t>6.</w:t>
      </w:r>
      <w:r w:rsidR="00BA06AB" w:rsidRPr="00445C95">
        <w:tab/>
        <w:t>Information on non-discrimination, equality and effective remedies</w:t>
      </w:r>
      <w:bookmarkEnd w:id="67"/>
    </w:p>
    <w:p w:rsidR="00BA06AB" w:rsidRDefault="00BA06AB" w:rsidP="00BA06AB">
      <w:pPr>
        <w:pStyle w:val="SingleTxtG"/>
      </w:pPr>
      <w:r w:rsidRPr="00445C95">
        <w:t>135.</w:t>
      </w:r>
      <w:r w:rsidRPr="00445C95">
        <w:tab/>
        <w:t>More detailed information on measures related to non-discrimination, equality and effective remedies can be found in the combined fifth and sixth periodic reports of El Salvador under the Convention on the Rights of the Child and in its seventh periodic report under the International Covenant on Civil and Political Rights, submitted in November 2016.</w:t>
      </w:r>
    </w:p>
    <w:p w:rsidR="002702DF" w:rsidRPr="00106A43" w:rsidRDefault="002702DF">
      <w:pPr>
        <w:spacing w:before="240"/>
        <w:jc w:val="center"/>
        <w:rPr>
          <w:u w:val="single"/>
        </w:rPr>
      </w:pPr>
      <w:r>
        <w:rPr>
          <w:u w:val="single"/>
        </w:rPr>
        <w:tab/>
      </w:r>
      <w:r>
        <w:rPr>
          <w:u w:val="single"/>
        </w:rPr>
        <w:tab/>
      </w:r>
      <w:r>
        <w:rPr>
          <w:u w:val="single"/>
        </w:rPr>
        <w:tab/>
      </w:r>
    </w:p>
    <w:sectPr w:rsidR="002702DF" w:rsidRPr="00106A43" w:rsidSect="00F969A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2F" w:rsidRDefault="00AD5A2F"/>
  </w:endnote>
  <w:endnote w:type="continuationSeparator" w:id="0">
    <w:p w:rsidR="00AD5A2F" w:rsidRDefault="00AD5A2F"/>
  </w:endnote>
  <w:endnote w:type="continuationNotice" w:id="1">
    <w:p w:rsidR="00AD5A2F" w:rsidRDefault="00AD5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F" w:rsidRPr="00F969A1" w:rsidRDefault="00AD5A2F" w:rsidP="00F969A1">
    <w:pPr>
      <w:pStyle w:val="Footer"/>
      <w:tabs>
        <w:tab w:val="right" w:pos="9598"/>
      </w:tabs>
    </w:pPr>
    <w:r w:rsidRPr="00F969A1">
      <w:rPr>
        <w:b/>
        <w:sz w:val="18"/>
      </w:rPr>
      <w:fldChar w:fldCharType="begin"/>
    </w:r>
    <w:r w:rsidRPr="00F969A1">
      <w:rPr>
        <w:b/>
        <w:sz w:val="18"/>
      </w:rPr>
      <w:instrText xml:space="preserve"> PAGE  \* MERGEFORMAT </w:instrText>
    </w:r>
    <w:r w:rsidRPr="00F969A1">
      <w:rPr>
        <w:b/>
        <w:sz w:val="18"/>
      </w:rPr>
      <w:fldChar w:fldCharType="separate"/>
    </w:r>
    <w:r w:rsidR="006105E4">
      <w:rPr>
        <w:b/>
        <w:noProof/>
        <w:sz w:val="18"/>
      </w:rPr>
      <w:t>20</w:t>
    </w:r>
    <w:r w:rsidRPr="00F969A1">
      <w:rPr>
        <w:b/>
        <w:sz w:val="18"/>
      </w:rPr>
      <w:fldChar w:fldCharType="end"/>
    </w:r>
    <w:r>
      <w:rPr>
        <w:sz w:val="18"/>
      </w:rPr>
      <w:tab/>
    </w:r>
    <w:r>
      <w:t>GE.17-05266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F" w:rsidRPr="00F969A1" w:rsidRDefault="00AD5A2F" w:rsidP="00F969A1">
    <w:pPr>
      <w:pStyle w:val="Footer"/>
      <w:tabs>
        <w:tab w:val="right" w:pos="9598"/>
      </w:tabs>
      <w:rPr>
        <w:b/>
        <w:sz w:val="18"/>
      </w:rPr>
    </w:pPr>
    <w:r>
      <w:t>GE.17-05266</w:t>
    </w:r>
    <w:r>
      <w:tab/>
    </w:r>
    <w:r w:rsidRPr="00F969A1">
      <w:rPr>
        <w:b/>
        <w:sz w:val="18"/>
      </w:rPr>
      <w:fldChar w:fldCharType="begin"/>
    </w:r>
    <w:r w:rsidRPr="00F969A1">
      <w:rPr>
        <w:b/>
        <w:sz w:val="18"/>
      </w:rPr>
      <w:instrText xml:space="preserve"> PAGE  \* MERGEFORMAT </w:instrText>
    </w:r>
    <w:r w:rsidRPr="00F969A1">
      <w:rPr>
        <w:b/>
        <w:sz w:val="18"/>
      </w:rPr>
      <w:fldChar w:fldCharType="separate"/>
    </w:r>
    <w:r w:rsidR="006105E4">
      <w:rPr>
        <w:b/>
        <w:noProof/>
        <w:sz w:val="18"/>
      </w:rPr>
      <w:t>21</w:t>
    </w:r>
    <w:r w:rsidRPr="00F969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F" w:rsidRDefault="00AD5A2F" w:rsidP="0069577F">
    <w:pPr>
      <w:pStyle w:val="FootnoteText"/>
      <w:tabs>
        <w:tab w:val="clear" w:pos="1021"/>
        <w:tab w:val="right" w:pos="1020"/>
      </w:tabs>
      <w:rPr>
        <w:sz w:val="20"/>
      </w:rPr>
    </w:pPr>
    <w:r>
      <w:rPr>
        <w:noProof/>
        <w:lang w:eastAsia="en-GB"/>
      </w:rPr>
      <w:drawing>
        <wp:anchor distT="0" distB="0" distL="114300" distR="114300" simplePos="0" relativeHeight="251657216" behindDoc="0" locked="1" layoutInCell="1" allowOverlap="1" wp14:anchorId="50A5B6CB" wp14:editId="006257C0">
          <wp:simplePos x="0" y="0"/>
          <wp:positionH relativeFrom="margin">
            <wp:posOffset>4319905</wp:posOffset>
          </wp:positionH>
          <wp:positionV relativeFrom="margin">
            <wp:posOffset>9114790</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A2F" w:rsidRDefault="00AD5A2F" w:rsidP="00F969A1">
    <w:pPr>
      <w:pStyle w:val="FootnoteText"/>
      <w:tabs>
        <w:tab w:val="clear" w:pos="1021"/>
        <w:tab w:val="right" w:pos="1020"/>
      </w:tabs>
      <w:rPr>
        <w:sz w:val="20"/>
      </w:rPr>
    </w:pPr>
    <w:r>
      <w:rPr>
        <w:sz w:val="20"/>
      </w:rPr>
      <w:t>GE.17-</w:t>
    </w:r>
    <w:proofErr w:type="gramStart"/>
    <w:r>
      <w:rPr>
        <w:sz w:val="20"/>
      </w:rPr>
      <w:t>05266  (</w:t>
    </w:r>
    <w:proofErr w:type="gramEnd"/>
    <w:r>
      <w:rPr>
        <w:sz w:val="20"/>
      </w:rPr>
      <w:t xml:space="preserve">E)    220617    </w:t>
    </w:r>
    <w:r w:rsidR="00EF0AF4">
      <w:rPr>
        <w:sz w:val="20"/>
      </w:rPr>
      <w:t>1408</w:t>
    </w:r>
    <w:r>
      <w:rPr>
        <w:sz w:val="20"/>
      </w:rPr>
      <w:t>17</w:t>
    </w:r>
  </w:p>
  <w:p w:rsidR="00AD5A2F" w:rsidRPr="00F969A1" w:rsidRDefault="00AD5A2F" w:rsidP="00F969A1">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CORE/SLV/20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SLV/20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2F" w:rsidRPr="000B175B" w:rsidRDefault="00AD5A2F" w:rsidP="000B175B">
      <w:pPr>
        <w:tabs>
          <w:tab w:val="right" w:pos="2155"/>
        </w:tabs>
        <w:spacing w:after="80"/>
        <w:ind w:left="680"/>
        <w:rPr>
          <w:u w:val="single"/>
        </w:rPr>
      </w:pPr>
      <w:r>
        <w:rPr>
          <w:u w:val="single"/>
        </w:rPr>
        <w:tab/>
      </w:r>
    </w:p>
  </w:footnote>
  <w:footnote w:type="continuationSeparator" w:id="0">
    <w:p w:rsidR="00AD5A2F" w:rsidRPr="00FC68B7" w:rsidRDefault="00AD5A2F" w:rsidP="00FC68B7">
      <w:pPr>
        <w:tabs>
          <w:tab w:val="left" w:pos="2155"/>
        </w:tabs>
        <w:spacing w:after="80"/>
        <w:ind w:left="680"/>
        <w:rPr>
          <w:u w:val="single"/>
        </w:rPr>
      </w:pPr>
      <w:r>
        <w:rPr>
          <w:u w:val="single"/>
        </w:rPr>
        <w:tab/>
      </w:r>
    </w:p>
  </w:footnote>
  <w:footnote w:type="continuationNotice" w:id="1">
    <w:p w:rsidR="00AD5A2F" w:rsidRDefault="00AD5A2F"/>
  </w:footnote>
  <w:footnote w:id="2">
    <w:p w:rsidR="00AD5A2F" w:rsidRPr="00E7156F" w:rsidRDefault="00AD5A2F" w:rsidP="001B1EC4">
      <w:pPr>
        <w:pStyle w:val="FootnoteText"/>
        <w:rPr>
          <w:lang w:val="en-CA"/>
        </w:rPr>
      </w:pPr>
      <w:r w:rsidRPr="00E7156F">
        <w:rPr>
          <w:lang w:val="en-CA"/>
        </w:rPr>
        <w:tab/>
      </w:r>
      <w:r w:rsidRPr="001B1EC4">
        <w:rPr>
          <w:sz w:val="20"/>
          <w:lang w:val="en-CA"/>
        </w:rPr>
        <w:t>*</w:t>
      </w:r>
      <w:r w:rsidRPr="00E7156F">
        <w:rPr>
          <w:lang w:val="en-CA"/>
        </w:rPr>
        <w:tab/>
        <w:t xml:space="preserve">The present document is being issued </w:t>
      </w:r>
      <w:r w:rsidRPr="001B1EC4">
        <w:t>without</w:t>
      </w:r>
      <w:r w:rsidRPr="00E7156F">
        <w:rPr>
          <w:lang w:val="en-CA"/>
        </w:rPr>
        <w:t xml:space="preserve"> formal editing.</w:t>
      </w:r>
    </w:p>
  </w:footnote>
  <w:footnote w:id="3">
    <w:p w:rsidR="00AD5A2F" w:rsidRDefault="00AD5A2F" w:rsidP="008B1093">
      <w:pPr>
        <w:pStyle w:val="FootnoteText"/>
        <w:widowControl w:val="0"/>
        <w:tabs>
          <w:tab w:val="clear" w:pos="1021"/>
          <w:tab w:val="right" w:pos="1020"/>
        </w:tabs>
      </w:pPr>
      <w:r>
        <w:tab/>
      </w:r>
      <w:r>
        <w:rPr>
          <w:rStyle w:val="FootnoteReference"/>
        </w:rPr>
        <w:footnoteRef/>
      </w:r>
      <w:r>
        <w:tab/>
      </w:r>
      <w:r w:rsidRPr="008B1093">
        <w:t>Quarterly review of the Central Reserve Bank of El Salvador, 2014.</w:t>
      </w:r>
      <w:r>
        <w:t xml:space="preserve"> </w:t>
      </w:r>
    </w:p>
  </w:footnote>
  <w:footnote w:id="4">
    <w:p w:rsidR="00AD5A2F" w:rsidRPr="00E7156F" w:rsidRDefault="00AD5A2F" w:rsidP="00BA06AB">
      <w:pPr>
        <w:pStyle w:val="FootnoteText"/>
        <w:rPr>
          <w:lang w:val="en-CA"/>
        </w:rPr>
      </w:pPr>
      <w:r>
        <w:rPr>
          <w:lang w:val="en-CA"/>
        </w:rPr>
        <w:tab/>
      </w:r>
      <w:r w:rsidRPr="00E7156F">
        <w:rPr>
          <w:rStyle w:val="FootnoteReference"/>
          <w:lang w:val="en-CA"/>
        </w:rPr>
        <w:footnoteRef/>
      </w:r>
      <w:r>
        <w:rPr>
          <w:lang w:val="en-CA"/>
        </w:rPr>
        <w:tab/>
      </w:r>
      <w:r w:rsidRPr="00E7156F">
        <w:rPr>
          <w:lang w:val="en-CA"/>
        </w:rPr>
        <w:t>M</w:t>
      </w:r>
      <w:r w:rsidRPr="00E7156F">
        <w:rPr>
          <w:bCs/>
          <w:lang w:val="en-CA"/>
        </w:rPr>
        <w:t xml:space="preserve">ultipurpose household survey, 2015, </w:t>
      </w:r>
      <w:r w:rsidRPr="00E7156F">
        <w:rPr>
          <w:rFonts w:asciiTheme="majorBidi" w:hAnsiTheme="majorBidi" w:cstheme="majorBidi"/>
          <w:lang w:val="en-CA"/>
        </w:rPr>
        <w:t>Directorate General of Statistics and Censuses (DIGESTYC).</w:t>
      </w:r>
    </w:p>
  </w:footnote>
  <w:footnote w:id="5">
    <w:p w:rsidR="00AD5A2F" w:rsidRPr="00E7156F" w:rsidRDefault="00AD5A2F" w:rsidP="00BA06AB">
      <w:pPr>
        <w:pStyle w:val="FootnoteText"/>
        <w:rPr>
          <w:lang w:val="en-CA"/>
        </w:rPr>
      </w:pPr>
      <w:r>
        <w:rPr>
          <w:lang w:val="en-CA"/>
        </w:rPr>
        <w:tab/>
      </w:r>
      <w:r w:rsidRPr="00E7156F">
        <w:rPr>
          <w:rStyle w:val="FootnoteReference"/>
          <w:lang w:val="en-CA"/>
        </w:rPr>
        <w:footnoteRef/>
      </w:r>
      <w:r>
        <w:rPr>
          <w:lang w:val="en-CA"/>
        </w:rPr>
        <w:tab/>
      </w:r>
      <w:r w:rsidRPr="00E7156F">
        <w:rPr>
          <w:lang w:val="en-CA"/>
        </w:rPr>
        <w:t>Quarterly review of the Central Reserve Bank.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F" w:rsidRPr="00F969A1" w:rsidRDefault="00AD5A2F" w:rsidP="00F969A1">
    <w:pPr>
      <w:pStyle w:val="Header"/>
    </w:pPr>
    <w:r w:rsidRPr="00F969A1">
      <w:t>HRI/CORE/SLV/2017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F" w:rsidRPr="00F969A1" w:rsidRDefault="00AD5A2F" w:rsidP="00F969A1">
    <w:pPr>
      <w:pStyle w:val="Header"/>
      <w:jc w:val="right"/>
    </w:pPr>
    <w:r w:rsidRPr="00F969A1">
      <w:t>HRI/CORE/SLV/2017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CA" w:vendorID="64" w:dllVersion="131078" w:nlCheck="1" w:checkStyle="0"/>
  <w:activeWritingStyle w:appName="MSWord" w:lang="es-SV"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D9"/>
    <w:rsid w:val="000116BA"/>
    <w:rsid w:val="00047DD1"/>
    <w:rsid w:val="00050F6B"/>
    <w:rsid w:val="000513FB"/>
    <w:rsid w:val="00057E97"/>
    <w:rsid w:val="00060C3A"/>
    <w:rsid w:val="000726BE"/>
    <w:rsid w:val="00072B94"/>
    <w:rsid w:val="00072C8C"/>
    <w:rsid w:val="000733B5"/>
    <w:rsid w:val="00080166"/>
    <w:rsid w:val="00081815"/>
    <w:rsid w:val="0008312D"/>
    <w:rsid w:val="000931C0"/>
    <w:rsid w:val="000A304B"/>
    <w:rsid w:val="000B13D5"/>
    <w:rsid w:val="000B175B"/>
    <w:rsid w:val="000B3A0F"/>
    <w:rsid w:val="000B4EF7"/>
    <w:rsid w:val="000C2C03"/>
    <w:rsid w:val="000C2D2E"/>
    <w:rsid w:val="000D2706"/>
    <w:rsid w:val="000E0415"/>
    <w:rsid w:val="000E3F9F"/>
    <w:rsid w:val="000E6430"/>
    <w:rsid w:val="000F1023"/>
    <w:rsid w:val="000F1B09"/>
    <w:rsid w:val="000F3530"/>
    <w:rsid w:val="001103AA"/>
    <w:rsid w:val="001126C6"/>
    <w:rsid w:val="00115F79"/>
    <w:rsid w:val="001228CA"/>
    <w:rsid w:val="001275E4"/>
    <w:rsid w:val="00150D7C"/>
    <w:rsid w:val="001523BE"/>
    <w:rsid w:val="001578E1"/>
    <w:rsid w:val="001657D0"/>
    <w:rsid w:val="00165F3A"/>
    <w:rsid w:val="001706BE"/>
    <w:rsid w:val="00173035"/>
    <w:rsid w:val="00183738"/>
    <w:rsid w:val="00183968"/>
    <w:rsid w:val="00197E2B"/>
    <w:rsid w:val="001A11B7"/>
    <w:rsid w:val="001A6686"/>
    <w:rsid w:val="001B1EC4"/>
    <w:rsid w:val="001B4B04"/>
    <w:rsid w:val="001B4E45"/>
    <w:rsid w:val="001C00DE"/>
    <w:rsid w:val="001C6663"/>
    <w:rsid w:val="001C7895"/>
    <w:rsid w:val="001D0C8C"/>
    <w:rsid w:val="001D12AE"/>
    <w:rsid w:val="001D26DF"/>
    <w:rsid w:val="001D3A03"/>
    <w:rsid w:val="001D5A51"/>
    <w:rsid w:val="001F20C3"/>
    <w:rsid w:val="00202DA8"/>
    <w:rsid w:val="00211E0B"/>
    <w:rsid w:val="0023210C"/>
    <w:rsid w:val="00234142"/>
    <w:rsid w:val="00240B25"/>
    <w:rsid w:val="002437C2"/>
    <w:rsid w:val="0026247C"/>
    <w:rsid w:val="00267F5F"/>
    <w:rsid w:val="002702DF"/>
    <w:rsid w:val="00275EF1"/>
    <w:rsid w:val="00281BD6"/>
    <w:rsid w:val="002868F2"/>
    <w:rsid w:val="00286B4D"/>
    <w:rsid w:val="002937F7"/>
    <w:rsid w:val="002A5C3C"/>
    <w:rsid w:val="002D5C93"/>
    <w:rsid w:val="002F175C"/>
    <w:rsid w:val="002F3BD8"/>
    <w:rsid w:val="00313077"/>
    <w:rsid w:val="00314242"/>
    <w:rsid w:val="0031542C"/>
    <w:rsid w:val="00320B09"/>
    <w:rsid w:val="003229D8"/>
    <w:rsid w:val="00326C92"/>
    <w:rsid w:val="0032769E"/>
    <w:rsid w:val="00343228"/>
    <w:rsid w:val="00352709"/>
    <w:rsid w:val="0036120A"/>
    <w:rsid w:val="003660AC"/>
    <w:rsid w:val="00367567"/>
    <w:rsid w:val="00371178"/>
    <w:rsid w:val="00374B41"/>
    <w:rsid w:val="003750DE"/>
    <w:rsid w:val="003A6810"/>
    <w:rsid w:val="003A7439"/>
    <w:rsid w:val="003B0FC2"/>
    <w:rsid w:val="003B3677"/>
    <w:rsid w:val="003C2CC4"/>
    <w:rsid w:val="003C4F1C"/>
    <w:rsid w:val="003D3599"/>
    <w:rsid w:val="003D37EB"/>
    <w:rsid w:val="003D4B23"/>
    <w:rsid w:val="003E13D0"/>
    <w:rsid w:val="003E740E"/>
    <w:rsid w:val="003F5C11"/>
    <w:rsid w:val="0040720F"/>
    <w:rsid w:val="00410C89"/>
    <w:rsid w:val="00426B9B"/>
    <w:rsid w:val="004325CB"/>
    <w:rsid w:val="00436B33"/>
    <w:rsid w:val="00442A83"/>
    <w:rsid w:val="0045495B"/>
    <w:rsid w:val="00466370"/>
    <w:rsid w:val="00474936"/>
    <w:rsid w:val="0048034D"/>
    <w:rsid w:val="00481905"/>
    <w:rsid w:val="00487488"/>
    <w:rsid w:val="004B2FD4"/>
    <w:rsid w:val="004C318E"/>
    <w:rsid w:val="0052136D"/>
    <w:rsid w:val="0052775E"/>
    <w:rsid w:val="00536EFB"/>
    <w:rsid w:val="00540E3D"/>
    <w:rsid w:val="005420F2"/>
    <w:rsid w:val="005628B6"/>
    <w:rsid w:val="005670D2"/>
    <w:rsid w:val="00570155"/>
    <w:rsid w:val="00584036"/>
    <w:rsid w:val="005848B3"/>
    <w:rsid w:val="00584DAE"/>
    <w:rsid w:val="00597051"/>
    <w:rsid w:val="00597462"/>
    <w:rsid w:val="005B3DB3"/>
    <w:rsid w:val="005B71B4"/>
    <w:rsid w:val="005C40EB"/>
    <w:rsid w:val="005E3500"/>
    <w:rsid w:val="005F7717"/>
    <w:rsid w:val="005F7B75"/>
    <w:rsid w:val="006001EE"/>
    <w:rsid w:val="00605042"/>
    <w:rsid w:val="006105E4"/>
    <w:rsid w:val="00611FC4"/>
    <w:rsid w:val="006176FB"/>
    <w:rsid w:val="00631E35"/>
    <w:rsid w:val="0063430B"/>
    <w:rsid w:val="00635B58"/>
    <w:rsid w:val="00640B26"/>
    <w:rsid w:val="00652D0A"/>
    <w:rsid w:val="00662BB6"/>
    <w:rsid w:val="00684C21"/>
    <w:rsid w:val="0069577F"/>
    <w:rsid w:val="006B40AC"/>
    <w:rsid w:val="006C5DD3"/>
    <w:rsid w:val="006C6652"/>
    <w:rsid w:val="006D37AF"/>
    <w:rsid w:val="006D51D0"/>
    <w:rsid w:val="006E564B"/>
    <w:rsid w:val="006E7191"/>
    <w:rsid w:val="00703577"/>
    <w:rsid w:val="00726016"/>
    <w:rsid w:val="0072632A"/>
    <w:rsid w:val="007278FB"/>
    <w:rsid w:val="007301B3"/>
    <w:rsid w:val="007327D5"/>
    <w:rsid w:val="00733176"/>
    <w:rsid w:val="00733979"/>
    <w:rsid w:val="0074636F"/>
    <w:rsid w:val="0074788B"/>
    <w:rsid w:val="00754AE5"/>
    <w:rsid w:val="00755659"/>
    <w:rsid w:val="007629C8"/>
    <w:rsid w:val="00782B1B"/>
    <w:rsid w:val="00782CBA"/>
    <w:rsid w:val="0078758F"/>
    <w:rsid w:val="007A51B0"/>
    <w:rsid w:val="007B6BA5"/>
    <w:rsid w:val="007C3390"/>
    <w:rsid w:val="007C4F4B"/>
    <w:rsid w:val="007C7099"/>
    <w:rsid w:val="007C784F"/>
    <w:rsid w:val="007D1B89"/>
    <w:rsid w:val="007E01B9"/>
    <w:rsid w:val="007E0B2D"/>
    <w:rsid w:val="007F6611"/>
    <w:rsid w:val="007F6D33"/>
    <w:rsid w:val="00805437"/>
    <w:rsid w:val="00816674"/>
    <w:rsid w:val="008242D7"/>
    <w:rsid w:val="008257B1"/>
    <w:rsid w:val="00830A0D"/>
    <w:rsid w:val="00834E14"/>
    <w:rsid w:val="00843767"/>
    <w:rsid w:val="008639F2"/>
    <w:rsid w:val="00863D5E"/>
    <w:rsid w:val="00863E9C"/>
    <w:rsid w:val="0086541B"/>
    <w:rsid w:val="00866581"/>
    <w:rsid w:val="008679D9"/>
    <w:rsid w:val="0087353A"/>
    <w:rsid w:val="00894F70"/>
    <w:rsid w:val="008979B1"/>
    <w:rsid w:val="008A1DB2"/>
    <w:rsid w:val="008A6042"/>
    <w:rsid w:val="008A69DD"/>
    <w:rsid w:val="008A6B25"/>
    <w:rsid w:val="008A6C4F"/>
    <w:rsid w:val="008B1093"/>
    <w:rsid w:val="008B2335"/>
    <w:rsid w:val="008B74F6"/>
    <w:rsid w:val="008B795F"/>
    <w:rsid w:val="008C203B"/>
    <w:rsid w:val="008C5808"/>
    <w:rsid w:val="008C6284"/>
    <w:rsid w:val="008D76E3"/>
    <w:rsid w:val="008E0678"/>
    <w:rsid w:val="008E2DE9"/>
    <w:rsid w:val="008F0122"/>
    <w:rsid w:val="00904B03"/>
    <w:rsid w:val="00910F40"/>
    <w:rsid w:val="0091168A"/>
    <w:rsid w:val="00912C08"/>
    <w:rsid w:val="009223CA"/>
    <w:rsid w:val="00931035"/>
    <w:rsid w:val="00940F93"/>
    <w:rsid w:val="0094743A"/>
    <w:rsid w:val="0095347F"/>
    <w:rsid w:val="00966CC9"/>
    <w:rsid w:val="00967D17"/>
    <w:rsid w:val="009737A2"/>
    <w:rsid w:val="0097588F"/>
    <w:rsid w:val="009760F3"/>
    <w:rsid w:val="009909F5"/>
    <w:rsid w:val="009A0E8D"/>
    <w:rsid w:val="009A4916"/>
    <w:rsid w:val="009B26E7"/>
    <w:rsid w:val="009C0F71"/>
    <w:rsid w:val="009D30AE"/>
    <w:rsid w:val="009E1C20"/>
    <w:rsid w:val="009E7463"/>
    <w:rsid w:val="00A00A3F"/>
    <w:rsid w:val="00A00E5E"/>
    <w:rsid w:val="00A01489"/>
    <w:rsid w:val="00A07983"/>
    <w:rsid w:val="00A106E7"/>
    <w:rsid w:val="00A2046E"/>
    <w:rsid w:val="00A21100"/>
    <w:rsid w:val="00A23EF7"/>
    <w:rsid w:val="00A31B6F"/>
    <w:rsid w:val="00A338F1"/>
    <w:rsid w:val="00A404FE"/>
    <w:rsid w:val="00A576D2"/>
    <w:rsid w:val="00A609B0"/>
    <w:rsid w:val="00A64FD8"/>
    <w:rsid w:val="00A72F22"/>
    <w:rsid w:val="00A7360F"/>
    <w:rsid w:val="00A73FB4"/>
    <w:rsid w:val="00A748A6"/>
    <w:rsid w:val="00A769F4"/>
    <w:rsid w:val="00A776B4"/>
    <w:rsid w:val="00A81C10"/>
    <w:rsid w:val="00A864AC"/>
    <w:rsid w:val="00A87DEC"/>
    <w:rsid w:val="00A94068"/>
    <w:rsid w:val="00A94361"/>
    <w:rsid w:val="00AA293C"/>
    <w:rsid w:val="00AA41C9"/>
    <w:rsid w:val="00AB0EBF"/>
    <w:rsid w:val="00AB2827"/>
    <w:rsid w:val="00AC182E"/>
    <w:rsid w:val="00AC50C6"/>
    <w:rsid w:val="00AD1C92"/>
    <w:rsid w:val="00AD3BE4"/>
    <w:rsid w:val="00AD5A2F"/>
    <w:rsid w:val="00AD75B8"/>
    <w:rsid w:val="00AD78B1"/>
    <w:rsid w:val="00AF555B"/>
    <w:rsid w:val="00B13E9B"/>
    <w:rsid w:val="00B163ED"/>
    <w:rsid w:val="00B176C3"/>
    <w:rsid w:val="00B30179"/>
    <w:rsid w:val="00B30325"/>
    <w:rsid w:val="00B339A7"/>
    <w:rsid w:val="00B52651"/>
    <w:rsid w:val="00B56E4A"/>
    <w:rsid w:val="00B56E9C"/>
    <w:rsid w:val="00B64B1F"/>
    <w:rsid w:val="00B6553F"/>
    <w:rsid w:val="00B66E5E"/>
    <w:rsid w:val="00B77D05"/>
    <w:rsid w:val="00B81206"/>
    <w:rsid w:val="00B81E12"/>
    <w:rsid w:val="00B9067B"/>
    <w:rsid w:val="00B90C5C"/>
    <w:rsid w:val="00B958CC"/>
    <w:rsid w:val="00BA06AB"/>
    <w:rsid w:val="00BA5EB6"/>
    <w:rsid w:val="00BC197C"/>
    <w:rsid w:val="00BC2C23"/>
    <w:rsid w:val="00BC4D4F"/>
    <w:rsid w:val="00BC74E9"/>
    <w:rsid w:val="00BD24FE"/>
    <w:rsid w:val="00BE0C8E"/>
    <w:rsid w:val="00BF5011"/>
    <w:rsid w:val="00BF68A8"/>
    <w:rsid w:val="00C11A03"/>
    <w:rsid w:val="00C164BD"/>
    <w:rsid w:val="00C22C8D"/>
    <w:rsid w:val="00C31678"/>
    <w:rsid w:val="00C319B5"/>
    <w:rsid w:val="00C4129F"/>
    <w:rsid w:val="00C429C5"/>
    <w:rsid w:val="00C43D97"/>
    <w:rsid w:val="00C463DD"/>
    <w:rsid w:val="00C4724C"/>
    <w:rsid w:val="00C5642C"/>
    <w:rsid w:val="00C629A0"/>
    <w:rsid w:val="00C6358F"/>
    <w:rsid w:val="00C72EF2"/>
    <w:rsid w:val="00C745C3"/>
    <w:rsid w:val="00C77CBD"/>
    <w:rsid w:val="00C90600"/>
    <w:rsid w:val="00CA514B"/>
    <w:rsid w:val="00CB06D9"/>
    <w:rsid w:val="00CB6B87"/>
    <w:rsid w:val="00CC2CA8"/>
    <w:rsid w:val="00CD6004"/>
    <w:rsid w:val="00CE1EFC"/>
    <w:rsid w:val="00CE4A8F"/>
    <w:rsid w:val="00CF39F3"/>
    <w:rsid w:val="00D00828"/>
    <w:rsid w:val="00D06E17"/>
    <w:rsid w:val="00D2031B"/>
    <w:rsid w:val="00D25FE2"/>
    <w:rsid w:val="00D32E57"/>
    <w:rsid w:val="00D35EEF"/>
    <w:rsid w:val="00D374E4"/>
    <w:rsid w:val="00D41E8D"/>
    <w:rsid w:val="00D43252"/>
    <w:rsid w:val="00D47EEA"/>
    <w:rsid w:val="00D655B6"/>
    <w:rsid w:val="00D75B0D"/>
    <w:rsid w:val="00D87F85"/>
    <w:rsid w:val="00D9455C"/>
    <w:rsid w:val="00D94868"/>
    <w:rsid w:val="00D95303"/>
    <w:rsid w:val="00D978C6"/>
    <w:rsid w:val="00DA3111"/>
    <w:rsid w:val="00DA3C1C"/>
    <w:rsid w:val="00DA5827"/>
    <w:rsid w:val="00DB0C79"/>
    <w:rsid w:val="00DB717A"/>
    <w:rsid w:val="00DB7C2C"/>
    <w:rsid w:val="00DC1590"/>
    <w:rsid w:val="00DF02B3"/>
    <w:rsid w:val="00E06648"/>
    <w:rsid w:val="00E13FD1"/>
    <w:rsid w:val="00E23BAC"/>
    <w:rsid w:val="00E24AAB"/>
    <w:rsid w:val="00E27346"/>
    <w:rsid w:val="00E6466D"/>
    <w:rsid w:val="00E71BC8"/>
    <w:rsid w:val="00E7260F"/>
    <w:rsid w:val="00E779FC"/>
    <w:rsid w:val="00E84B55"/>
    <w:rsid w:val="00E94278"/>
    <w:rsid w:val="00E96630"/>
    <w:rsid w:val="00EA4C9B"/>
    <w:rsid w:val="00EA6FE2"/>
    <w:rsid w:val="00EB2581"/>
    <w:rsid w:val="00EB5F7C"/>
    <w:rsid w:val="00EC659A"/>
    <w:rsid w:val="00ED7A2A"/>
    <w:rsid w:val="00EE686A"/>
    <w:rsid w:val="00EF0AF4"/>
    <w:rsid w:val="00EF1D7F"/>
    <w:rsid w:val="00F12F20"/>
    <w:rsid w:val="00F15537"/>
    <w:rsid w:val="00F20C3D"/>
    <w:rsid w:val="00F376DE"/>
    <w:rsid w:val="00F43E9E"/>
    <w:rsid w:val="00F46BF2"/>
    <w:rsid w:val="00F66AE0"/>
    <w:rsid w:val="00F7110B"/>
    <w:rsid w:val="00F8455B"/>
    <w:rsid w:val="00F9057C"/>
    <w:rsid w:val="00F906D7"/>
    <w:rsid w:val="00F93781"/>
    <w:rsid w:val="00F969A1"/>
    <w:rsid w:val="00FB2D7B"/>
    <w:rsid w:val="00FB2DAE"/>
    <w:rsid w:val="00FB613B"/>
    <w:rsid w:val="00FC292D"/>
    <w:rsid w:val="00FC68B7"/>
    <w:rsid w:val="00FE106A"/>
    <w:rsid w:val="00FE7B4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6928D"/>
  <w15:docId w15:val="{ECDADA29-10B4-4A9A-88E8-2D04EACE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rsid w:val="000513FB"/>
    <w:pPr>
      <w:suppressAutoHyphens w:val="0"/>
      <w:spacing w:after="0"/>
      <w:ind w:right="0"/>
      <w:jc w:val="left"/>
      <w:outlineLvl w:val="0"/>
    </w:pPr>
    <w:rPr>
      <w:rFonts w:eastAsiaTheme="minorHAnsi"/>
    </w:r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basedOn w:val="DefaultParagraphFont"/>
    <w:qFormat/>
    <w:rsid w:val="008979B1"/>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emiHidden/>
  </w:style>
  <w:style w:type="character" w:styleId="LineNumber">
    <w:name w:val="line number"/>
    <w:basedOn w:val="DefaultParagraphFont"/>
    <w:semiHidden/>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95347F"/>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969A1"/>
    <w:rPr>
      <w:sz w:val="18"/>
      <w:lang w:eastAsia="en-US"/>
    </w:rPr>
  </w:style>
  <w:style w:type="character" w:customStyle="1" w:styleId="Heading1Char">
    <w:name w:val="Heading 1 Char"/>
    <w:aliases w:val="Table_G Char"/>
    <w:basedOn w:val="DefaultParagraphFont"/>
    <w:link w:val="Heading1"/>
    <w:rsid w:val="000513FB"/>
    <w:rPr>
      <w:rFonts w:eastAsiaTheme="minorHAnsi"/>
      <w:lang w:eastAsia="en-US"/>
    </w:rPr>
  </w:style>
  <w:style w:type="character" w:customStyle="1" w:styleId="HeaderChar">
    <w:name w:val="Header Char"/>
    <w:aliases w:val="6_G Char"/>
    <w:basedOn w:val="DefaultParagraphFont"/>
    <w:link w:val="Header"/>
    <w:rsid w:val="00BA06AB"/>
    <w:rPr>
      <w:b/>
      <w:sz w:val="18"/>
      <w:lang w:eastAsia="en-US"/>
    </w:rPr>
  </w:style>
  <w:style w:type="character" w:customStyle="1" w:styleId="FooterChar">
    <w:name w:val="Footer Char"/>
    <w:aliases w:val="3_G Char"/>
    <w:basedOn w:val="DefaultParagraphFont"/>
    <w:link w:val="Footer"/>
    <w:rsid w:val="00BA06AB"/>
    <w:rPr>
      <w:sz w:val="16"/>
      <w:lang w:eastAsia="en-US"/>
    </w:rPr>
  </w:style>
  <w:style w:type="character" w:customStyle="1" w:styleId="EndnoteTextChar">
    <w:name w:val="Endnote Text Char"/>
    <w:aliases w:val="2_G Char"/>
    <w:basedOn w:val="DefaultParagraphFont"/>
    <w:link w:val="EndnoteText"/>
    <w:rsid w:val="00BA06AB"/>
    <w:rPr>
      <w:sz w:val="18"/>
      <w:lang w:eastAsia="en-US"/>
    </w:rPr>
  </w:style>
  <w:style w:type="character" w:customStyle="1" w:styleId="Heading2Char">
    <w:name w:val="Heading 2 Char"/>
    <w:basedOn w:val="DefaultParagraphFont"/>
    <w:link w:val="Heading2"/>
    <w:rsid w:val="00BA06AB"/>
    <w:rPr>
      <w:lang w:eastAsia="en-US"/>
    </w:rPr>
  </w:style>
  <w:style w:type="character" w:customStyle="1" w:styleId="Heading3Char">
    <w:name w:val="Heading 3 Char"/>
    <w:basedOn w:val="DefaultParagraphFont"/>
    <w:link w:val="Heading3"/>
    <w:rsid w:val="00BA06AB"/>
    <w:rPr>
      <w:lang w:eastAsia="en-US"/>
    </w:rPr>
  </w:style>
  <w:style w:type="character" w:customStyle="1" w:styleId="Heading4Char">
    <w:name w:val="Heading 4 Char"/>
    <w:basedOn w:val="DefaultParagraphFont"/>
    <w:link w:val="Heading4"/>
    <w:rsid w:val="00BA06AB"/>
    <w:rPr>
      <w:lang w:eastAsia="en-US"/>
    </w:rPr>
  </w:style>
  <w:style w:type="character" w:customStyle="1" w:styleId="Heading5Char">
    <w:name w:val="Heading 5 Char"/>
    <w:basedOn w:val="DefaultParagraphFont"/>
    <w:link w:val="Heading5"/>
    <w:rsid w:val="00BA06AB"/>
    <w:rPr>
      <w:lang w:eastAsia="en-US"/>
    </w:rPr>
  </w:style>
  <w:style w:type="character" w:customStyle="1" w:styleId="Heading6Char">
    <w:name w:val="Heading 6 Char"/>
    <w:basedOn w:val="DefaultParagraphFont"/>
    <w:link w:val="Heading6"/>
    <w:rsid w:val="00BA06AB"/>
    <w:rPr>
      <w:lang w:eastAsia="en-US"/>
    </w:rPr>
  </w:style>
  <w:style w:type="character" w:customStyle="1" w:styleId="Heading7Char">
    <w:name w:val="Heading 7 Char"/>
    <w:basedOn w:val="DefaultParagraphFont"/>
    <w:link w:val="Heading7"/>
    <w:rsid w:val="00BA06AB"/>
    <w:rPr>
      <w:lang w:eastAsia="en-US"/>
    </w:rPr>
  </w:style>
  <w:style w:type="character" w:customStyle="1" w:styleId="Heading8Char">
    <w:name w:val="Heading 8 Char"/>
    <w:basedOn w:val="DefaultParagraphFont"/>
    <w:link w:val="Heading8"/>
    <w:rsid w:val="00BA06AB"/>
    <w:rPr>
      <w:lang w:eastAsia="en-US"/>
    </w:rPr>
  </w:style>
  <w:style w:type="character" w:customStyle="1" w:styleId="Heading9Char">
    <w:name w:val="Heading 9 Char"/>
    <w:basedOn w:val="DefaultParagraphFont"/>
    <w:link w:val="Heading9"/>
    <w:rsid w:val="00BA06AB"/>
    <w:rPr>
      <w:lang w:eastAsia="en-US"/>
    </w:rPr>
  </w:style>
  <w:style w:type="paragraph" w:styleId="IntenseQuote">
    <w:name w:val="Intense Quote"/>
    <w:basedOn w:val="Normal"/>
    <w:next w:val="Normal"/>
    <w:link w:val="IntenseQuoteChar"/>
    <w:uiPriority w:val="30"/>
    <w:rsid w:val="00BA06AB"/>
    <w:pPr>
      <w:pBdr>
        <w:bottom w:val="single" w:sz="4" w:space="4" w:color="4F81BD"/>
      </w:pBdr>
      <w:suppressAutoHyphens w:val="0"/>
      <w:spacing w:before="200" w:after="280"/>
      <w:ind w:left="936" w:right="936"/>
    </w:pPr>
    <w:rPr>
      <w:b/>
      <w:bCs/>
      <w:i/>
      <w:iCs/>
      <w:color w:val="4F81BD"/>
      <w:lang w:val="es-ES" w:eastAsia="es-ES"/>
    </w:rPr>
  </w:style>
  <w:style w:type="character" w:customStyle="1" w:styleId="IntenseQuoteChar">
    <w:name w:val="Intense Quote Char"/>
    <w:basedOn w:val="DefaultParagraphFont"/>
    <w:link w:val="IntenseQuote"/>
    <w:uiPriority w:val="30"/>
    <w:rsid w:val="00BA06AB"/>
    <w:rPr>
      <w:b/>
      <w:bCs/>
      <w:i/>
      <w:iCs/>
      <w:color w:val="4F81BD"/>
      <w:lang w:val="es-ES" w:eastAsia="es-ES"/>
    </w:rPr>
  </w:style>
  <w:style w:type="character" w:customStyle="1" w:styleId="ClosingChar">
    <w:name w:val="Closing Char"/>
    <w:basedOn w:val="DefaultParagraphFont"/>
    <w:link w:val="Closing"/>
    <w:semiHidden/>
    <w:rsid w:val="00BA06AB"/>
    <w:rPr>
      <w:lang w:eastAsia="en-US"/>
    </w:rPr>
  </w:style>
  <w:style w:type="character" w:customStyle="1" w:styleId="HTMLAddressChar">
    <w:name w:val="HTML Address Char"/>
    <w:basedOn w:val="DefaultParagraphFont"/>
    <w:link w:val="HTMLAddress"/>
    <w:semiHidden/>
    <w:rsid w:val="00BA06AB"/>
    <w:rPr>
      <w:i/>
      <w:iCs/>
      <w:lang w:eastAsia="en-US"/>
    </w:rPr>
  </w:style>
  <w:style w:type="character" w:customStyle="1" w:styleId="MessageHeaderChar">
    <w:name w:val="Message Header Char"/>
    <w:basedOn w:val="DefaultParagraphFont"/>
    <w:link w:val="MessageHeader"/>
    <w:semiHidden/>
    <w:rsid w:val="00BA06AB"/>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A06AB"/>
    <w:rPr>
      <w:lang w:eastAsia="en-US"/>
    </w:rPr>
  </w:style>
  <w:style w:type="character" w:styleId="IntenseEmphasis">
    <w:name w:val="Intense Emphasis"/>
    <w:uiPriority w:val="21"/>
    <w:rsid w:val="00BA06AB"/>
    <w:rPr>
      <w:b/>
      <w:bCs/>
      <w:i/>
      <w:iCs/>
      <w:color w:val="4F81BD"/>
    </w:rPr>
  </w:style>
  <w:style w:type="character" w:customStyle="1" w:styleId="DateChar">
    <w:name w:val="Date Char"/>
    <w:basedOn w:val="DefaultParagraphFont"/>
    <w:link w:val="Date"/>
    <w:rsid w:val="00BA06AB"/>
    <w:rPr>
      <w:lang w:eastAsia="en-US"/>
    </w:rPr>
  </w:style>
  <w:style w:type="character" w:customStyle="1" w:styleId="SignatureChar">
    <w:name w:val="Signature Char"/>
    <w:basedOn w:val="DefaultParagraphFont"/>
    <w:link w:val="Signature"/>
    <w:semiHidden/>
    <w:rsid w:val="00BA06AB"/>
    <w:rPr>
      <w:lang w:eastAsia="en-US"/>
    </w:rPr>
  </w:style>
  <w:style w:type="character" w:customStyle="1" w:styleId="E-mailSignatureChar">
    <w:name w:val="E-mail Signature Char"/>
    <w:basedOn w:val="DefaultParagraphFont"/>
    <w:link w:val="E-mailSignature"/>
    <w:semiHidden/>
    <w:rsid w:val="00BA06AB"/>
    <w:rPr>
      <w:lang w:eastAsia="en-US"/>
    </w:rPr>
  </w:style>
  <w:style w:type="character" w:customStyle="1" w:styleId="HTMLPreformattedChar">
    <w:name w:val="HTML Preformatted Char"/>
    <w:basedOn w:val="DefaultParagraphFont"/>
    <w:link w:val="HTMLPreformatted"/>
    <w:semiHidden/>
    <w:rsid w:val="00BA06AB"/>
    <w:rPr>
      <w:rFonts w:ascii="Courier New" w:hAnsi="Courier New" w:cs="Courier New"/>
      <w:lang w:eastAsia="en-US"/>
    </w:rPr>
  </w:style>
  <w:style w:type="character" w:customStyle="1" w:styleId="SalutationChar">
    <w:name w:val="Salutation Char"/>
    <w:basedOn w:val="DefaultParagraphFont"/>
    <w:link w:val="Salutation"/>
    <w:rsid w:val="00BA06AB"/>
    <w:rPr>
      <w:lang w:eastAsia="en-US"/>
    </w:rPr>
  </w:style>
  <w:style w:type="character" w:customStyle="1" w:styleId="BodyTextIndent2Char">
    <w:name w:val="Body Text Indent 2 Char"/>
    <w:basedOn w:val="DefaultParagraphFont"/>
    <w:link w:val="BodyTextIndent2"/>
    <w:semiHidden/>
    <w:rsid w:val="00BA06AB"/>
    <w:rPr>
      <w:lang w:eastAsia="en-US"/>
    </w:rPr>
  </w:style>
  <w:style w:type="character" w:customStyle="1" w:styleId="BodyTextIndent3Char">
    <w:name w:val="Body Text Indent 3 Char"/>
    <w:basedOn w:val="DefaultParagraphFont"/>
    <w:link w:val="BodyTextIndent3"/>
    <w:semiHidden/>
    <w:rsid w:val="00BA06AB"/>
    <w:rPr>
      <w:sz w:val="16"/>
      <w:szCs w:val="16"/>
      <w:lang w:eastAsia="en-US"/>
    </w:rPr>
  </w:style>
  <w:style w:type="character" w:customStyle="1" w:styleId="BodyTextIndentChar">
    <w:name w:val="Body Text Indent Char"/>
    <w:basedOn w:val="DefaultParagraphFont"/>
    <w:link w:val="BodyTextIndent"/>
    <w:semiHidden/>
    <w:rsid w:val="00BA06AB"/>
    <w:rPr>
      <w:lang w:eastAsia="en-US"/>
    </w:rPr>
  </w:style>
  <w:style w:type="character" w:customStyle="1" w:styleId="SubtitleChar">
    <w:name w:val="Subtitle Char"/>
    <w:basedOn w:val="DefaultParagraphFont"/>
    <w:link w:val="Subtitle"/>
    <w:rsid w:val="00BA06AB"/>
    <w:rPr>
      <w:rFonts w:ascii="Arial" w:hAnsi="Arial" w:cs="Arial"/>
      <w:sz w:val="24"/>
      <w:szCs w:val="24"/>
      <w:lang w:eastAsia="en-US"/>
    </w:rPr>
  </w:style>
  <w:style w:type="character" w:customStyle="1" w:styleId="BodyTextChar">
    <w:name w:val="Body Text Char"/>
    <w:basedOn w:val="DefaultParagraphFont"/>
    <w:link w:val="BodyText"/>
    <w:semiHidden/>
    <w:rsid w:val="00BA06AB"/>
    <w:rPr>
      <w:lang w:eastAsia="en-US"/>
    </w:rPr>
  </w:style>
  <w:style w:type="character" w:customStyle="1" w:styleId="BodyText2Char">
    <w:name w:val="Body Text 2 Char"/>
    <w:basedOn w:val="DefaultParagraphFont"/>
    <w:link w:val="BodyText2"/>
    <w:semiHidden/>
    <w:rsid w:val="00BA06AB"/>
    <w:rPr>
      <w:lang w:eastAsia="en-US"/>
    </w:rPr>
  </w:style>
  <w:style w:type="character" w:customStyle="1" w:styleId="BodyText3Char">
    <w:name w:val="Body Text 3 Char"/>
    <w:basedOn w:val="DefaultParagraphFont"/>
    <w:link w:val="BodyText3"/>
    <w:semiHidden/>
    <w:rsid w:val="00BA06AB"/>
    <w:rPr>
      <w:sz w:val="16"/>
      <w:szCs w:val="16"/>
      <w:lang w:eastAsia="en-US"/>
    </w:rPr>
  </w:style>
  <w:style w:type="character" w:customStyle="1" w:styleId="BodyTextFirstIndentChar">
    <w:name w:val="Body Text First Indent Char"/>
    <w:basedOn w:val="BodyTextChar"/>
    <w:link w:val="BodyTextFirstIndent"/>
    <w:rsid w:val="00BA06AB"/>
    <w:rPr>
      <w:lang w:eastAsia="en-US"/>
    </w:rPr>
  </w:style>
  <w:style w:type="character" w:customStyle="1" w:styleId="BodyTextFirstIndent2Char">
    <w:name w:val="Body Text First Indent 2 Char"/>
    <w:basedOn w:val="BodyTextIndentChar"/>
    <w:link w:val="BodyTextFirstIndent2"/>
    <w:semiHidden/>
    <w:rsid w:val="00BA06AB"/>
    <w:rPr>
      <w:lang w:eastAsia="en-US"/>
    </w:rPr>
  </w:style>
  <w:style w:type="character" w:customStyle="1" w:styleId="PlainTextChar">
    <w:name w:val="Plain Text Char"/>
    <w:basedOn w:val="DefaultParagraphFont"/>
    <w:link w:val="PlainText"/>
    <w:semiHidden/>
    <w:rsid w:val="00BA06AB"/>
    <w:rPr>
      <w:rFonts w:cs="Courier New"/>
      <w:lang w:eastAsia="en-US"/>
    </w:rPr>
  </w:style>
  <w:style w:type="character" w:customStyle="1" w:styleId="TitleChar">
    <w:name w:val="Title Char"/>
    <w:basedOn w:val="DefaultParagraphFont"/>
    <w:link w:val="Title"/>
    <w:rsid w:val="00BA06AB"/>
    <w:rPr>
      <w:rFonts w:ascii="Arial" w:hAnsi="Arial" w:cs="Arial"/>
      <w:b/>
      <w:bCs/>
      <w:kern w:val="28"/>
      <w:sz w:val="32"/>
      <w:szCs w:val="32"/>
      <w:lang w:eastAsia="en-US"/>
    </w:rPr>
  </w:style>
  <w:style w:type="character" w:customStyle="1" w:styleId="SingleTxtGChar">
    <w:name w:val="_ Single Txt_G Char"/>
    <w:link w:val="SingleTxtG"/>
    <w:rsid w:val="00BA06AB"/>
    <w:rPr>
      <w:lang w:eastAsia="en-US"/>
    </w:rPr>
  </w:style>
  <w:style w:type="character" w:customStyle="1" w:styleId="apple-converted-space">
    <w:name w:val="apple-converted-space"/>
    <w:basedOn w:val="DefaultParagraphFont"/>
    <w:rsid w:val="00BA06AB"/>
  </w:style>
  <w:style w:type="character" w:customStyle="1" w:styleId="CommentTextChar">
    <w:name w:val="Comment Text Char"/>
    <w:basedOn w:val="DefaultParagraphFont"/>
    <w:uiPriority w:val="99"/>
    <w:semiHidden/>
    <w:rsid w:val="00BA06AB"/>
  </w:style>
  <w:style w:type="paragraph" w:styleId="CommentSubject">
    <w:name w:val="annotation subject"/>
    <w:basedOn w:val="Normal"/>
    <w:link w:val="CommentSubjectChar"/>
    <w:unhideWhenUsed/>
    <w:rsid w:val="00BA06AB"/>
    <w:pPr>
      <w:tabs>
        <w:tab w:val="right" w:pos="567"/>
        <w:tab w:val="left" w:pos="850"/>
        <w:tab w:val="left" w:pos="1304"/>
        <w:tab w:val="left" w:pos="1701"/>
        <w:tab w:val="right" w:leader="dot" w:pos="7285"/>
        <w:tab w:val="right" w:pos="7835"/>
        <w:tab w:val="center" w:pos="8034"/>
        <w:tab w:val="right" w:pos="8357"/>
        <w:tab w:val="right" w:pos="9099"/>
      </w:tabs>
      <w:suppressAutoHyphens w:val="0"/>
      <w:spacing w:after="240" w:line="240" w:lineRule="auto"/>
    </w:pPr>
    <w:rPr>
      <w:b/>
      <w:bCs/>
      <w:lang w:val="es-ES" w:eastAsia="es-ES"/>
    </w:rPr>
  </w:style>
  <w:style w:type="character" w:customStyle="1" w:styleId="CommentTextChar1">
    <w:name w:val="Comment Text Char1"/>
    <w:basedOn w:val="DefaultParagraphFont"/>
    <w:link w:val="CommentText"/>
    <w:uiPriority w:val="99"/>
    <w:semiHidden/>
    <w:rsid w:val="00BA06AB"/>
    <w:rPr>
      <w:lang w:eastAsia="en-US"/>
    </w:rPr>
  </w:style>
  <w:style w:type="character" w:customStyle="1" w:styleId="CommentSubjectChar">
    <w:name w:val="Comment Subject Char"/>
    <w:basedOn w:val="CommentTextChar1"/>
    <w:link w:val="CommentSubject"/>
    <w:rsid w:val="00BA06AB"/>
    <w:rPr>
      <w:b/>
      <w:bCs/>
      <w:lang w:val="es-ES" w:eastAsia="es-ES"/>
    </w:rPr>
  </w:style>
  <w:style w:type="paragraph" w:styleId="ListParagraph">
    <w:name w:val="List Paragraph"/>
    <w:basedOn w:val="Normal"/>
    <w:uiPriority w:val="34"/>
    <w:qFormat/>
    <w:rsid w:val="00BA06AB"/>
    <w:pPr>
      <w:suppressAutoHyphens w:val="0"/>
      <w:spacing w:after="200" w:line="276" w:lineRule="auto"/>
      <w:ind w:left="720"/>
      <w:contextualSpacing/>
    </w:pPr>
    <w:rPr>
      <w:rFonts w:asciiTheme="minorHAnsi" w:eastAsiaTheme="minorEastAsia" w:hAnsiTheme="minorHAnsi" w:cstheme="minorBidi"/>
      <w:sz w:val="22"/>
      <w:szCs w:val="22"/>
      <w:lang w:val="en-US" w:eastAsia="zh-CN"/>
    </w:rPr>
  </w:style>
  <w:style w:type="paragraph" w:styleId="TOC1">
    <w:name w:val="toc 1"/>
    <w:basedOn w:val="Normal"/>
    <w:next w:val="Normal"/>
    <w:autoRedefine/>
    <w:uiPriority w:val="39"/>
    <w:unhideWhenUsed/>
    <w:rsid w:val="002D5C93"/>
    <w:pPr>
      <w:spacing w:after="100"/>
    </w:pPr>
  </w:style>
  <w:style w:type="paragraph" w:styleId="TOC2">
    <w:name w:val="toc 2"/>
    <w:basedOn w:val="Normal"/>
    <w:next w:val="Normal"/>
    <w:autoRedefine/>
    <w:uiPriority w:val="39"/>
    <w:unhideWhenUsed/>
    <w:rsid w:val="002D5C93"/>
    <w:pPr>
      <w:spacing w:after="100"/>
      <w:ind w:left="200"/>
    </w:pPr>
  </w:style>
  <w:style w:type="paragraph" w:styleId="TOC3">
    <w:name w:val="toc 3"/>
    <w:basedOn w:val="Normal"/>
    <w:next w:val="Normal"/>
    <w:autoRedefine/>
    <w:uiPriority w:val="39"/>
    <w:unhideWhenUsed/>
    <w:rsid w:val="002D5C9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6120-808C-4602-82F8-6593B3F6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25</Pages>
  <Words>12134</Words>
  <Characters>62483</Characters>
  <Application>Microsoft Office Word</Application>
  <DocSecurity>0</DocSecurity>
  <Lines>2525</Lines>
  <Paragraphs>1609</Paragraphs>
  <ScaleCrop>false</ScaleCrop>
  <HeadingPairs>
    <vt:vector size="2" baseType="variant">
      <vt:variant>
        <vt:lpstr>Title</vt:lpstr>
      </vt:variant>
      <vt:variant>
        <vt:i4>1</vt:i4>
      </vt:variant>
    </vt:vector>
  </HeadingPairs>
  <TitlesOfParts>
    <vt:vector size="1" baseType="lpstr">
      <vt:lpstr>1705266</vt:lpstr>
    </vt:vector>
  </TitlesOfParts>
  <Company>CSD</Company>
  <LinksUpToDate>false</LinksUpToDate>
  <CharactersWithSpaces>73240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1705266</dc:title>
  <dc:subject>HRI/CORE/SLV/2017</dc:subject>
  <dc:creator>ESCALANTE</dc:creator>
  <cp:keywords/>
  <dc:description>final</dc:description>
  <cp:lastModifiedBy>Maria Rosario GATMAYTAN</cp:lastModifiedBy>
  <cp:revision>2</cp:revision>
  <cp:lastPrinted>2017-08-14T12:22:00Z</cp:lastPrinted>
  <dcterms:created xsi:type="dcterms:W3CDTF">2017-08-14T12:28:00Z</dcterms:created>
  <dcterms:modified xsi:type="dcterms:W3CDTF">2017-08-14T12:28:00Z</dcterms:modified>
</cp:coreProperties>
</file>