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207B9" w:rsidRPr="005F28B2" w:rsidTr="008B10D1">
        <w:trPr>
          <w:trHeight w:val="851"/>
        </w:trPr>
        <w:tc>
          <w:tcPr>
            <w:tcW w:w="1259" w:type="dxa"/>
            <w:tcBorders>
              <w:top w:val="nil"/>
              <w:left w:val="nil"/>
              <w:bottom w:val="single" w:sz="4" w:space="0" w:color="auto"/>
              <w:right w:val="nil"/>
            </w:tcBorders>
            <w:shd w:val="clear" w:color="auto" w:fill="auto"/>
          </w:tcPr>
          <w:p w:rsidR="00B84559" w:rsidRPr="005F28B2" w:rsidRDefault="00B84559" w:rsidP="008B10D1">
            <w:pPr>
              <w:spacing w:after="80" w:line="360" w:lineRule="auto"/>
              <w:rPr>
                <w:sz w:val="28"/>
                <w:szCs w:val="28"/>
                <w:lang w:val="fr-FR"/>
              </w:rPr>
            </w:pPr>
          </w:p>
        </w:tc>
        <w:tc>
          <w:tcPr>
            <w:tcW w:w="2236" w:type="dxa"/>
            <w:tcBorders>
              <w:top w:val="nil"/>
              <w:left w:val="nil"/>
              <w:bottom w:val="single" w:sz="4" w:space="0" w:color="auto"/>
              <w:right w:val="nil"/>
            </w:tcBorders>
            <w:shd w:val="clear" w:color="auto" w:fill="auto"/>
            <w:vAlign w:val="bottom"/>
          </w:tcPr>
          <w:p w:rsidR="00C207B9" w:rsidRPr="005F28B2" w:rsidRDefault="00C207B9" w:rsidP="008B10D1">
            <w:pPr>
              <w:spacing w:after="80" w:line="300" w:lineRule="exact"/>
              <w:rPr>
                <w:sz w:val="28"/>
                <w:szCs w:val="28"/>
                <w:lang w:val="fr-FR"/>
              </w:rPr>
            </w:pPr>
            <w:r w:rsidRPr="005F28B2">
              <w:rPr>
                <w:sz w:val="28"/>
                <w:lang w:val="fr-FR" w:eastAsia="es-ES"/>
              </w:rPr>
              <w:t>Nations Unies</w:t>
            </w:r>
          </w:p>
        </w:tc>
        <w:tc>
          <w:tcPr>
            <w:tcW w:w="6144" w:type="dxa"/>
            <w:gridSpan w:val="2"/>
            <w:tcBorders>
              <w:top w:val="nil"/>
              <w:left w:val="nil"/>
              <w:bottom w:val="single" w:sz="4" w:space="0" w:color="auto"/>
              <w:right w:val="nil"/>
            </w:tcBorders>
            <w:shd w:val="clear" w:color="auto" w:fill="auto"/>
            <w:vAlign w:val="bottom"/>
          </w:tcPr>
          <w:p w:rsidR="00CD4EC3" w:rsidRPr="005F28B2" w:rsidRDefault="00C207B9">
            <w:pPr>
              <w:jc w:val="right"/>
              <w:rPr>
                <w:lang w:val="fr-FR"/>
              </w:rPr>
            </w:pPr>
            <w:r w:rsidRPr="002732E6">
              <w:rPr>
                <w:sz w:val="40"/>
                <w:szCs w:val="40"/>
                <w:lang w:val="fr-FR"/>
              </w:rPr>
              <w:t>HRI</w:t>
            </w:r>
            <w:r w:rsidRPr="005F28B2">
              <w:rPr>
                <w:lang w:val="fr-FR"/>
              </w:rPr>
              <w:t>/CORE/TUN/2016</w:t>
            </w:r>
          </w:p>
        </w:tc>
      </w:tr>
      <w:tr w:rsidR="00C207B9" w:rsidRPr="005F28B2" w:rsidTr="008B10D1">
        <w:trPr>
          <w:trHeight w:val="2835"/>
        </w:trPr>
        <w:tc>
          <w:tcPr>
            <w:tcW w:w="1259" w:type="dxa"/>
            <w:tcBorders>
              <w:top w:val="single" w:sz="4" w:space="0" w:color="auto"/>
              <w:left w:val="nil"/>
              <w:bottom w:val="single" w:sz="12" w:space="0" w:color="auto"/>
              <w:right w:val="nil"/>
            </w:tcBorders>
            <w:shd w:val="clear" w:color="auto" w:fill="auto"/>
          </w:tcPr>
          <w:p w:rsidR="00C207B9" w:rsidRPr="005F28B2" w:rsidRDefault="00CD4EC3" w:rsidP="008B10D1">
            <w:pPr>
              <w:spacing w:before="120" w:line="360" w:lineRule="auto"/>
              <w:jc w:val="center"/>
              <w:rPr>
                <w:sz w:val="28"/>
                <w:szCs w:val="28"/>
                <w:lang w:val="fr-FR"/>
              </w:rPr>
            </w:pPr>
            <w:r w:rsidRPr="005F28B2">
              <w:rPr>
                <w:noProof/>
                <w:sz w:val="28"/>
                <w:szCs w:val="28"/>
                <w:lang w:val="fr-FR" w:eastAsia="fr-CH"/>
              </w:rPr>
              <w:drawing>
                <wp:inline distT="0" distB="0" distL="0" distR="0" wp14:anchorId="58F9ACBA" wp14:editId="7D644631">
                  <wp:extent cx="713105" cy="59309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207B9" w:rsidRPr="005F28B2" w:rsidRDefault="00C207B9" w:rsidP="008B10D1">
            <w:pPr>
              <w:spacing w:before="120" w:line="380" w:lineRule="exact"/>
              <w:rPr>
                <w:rFonts w:ascii="Times New Roman Bold" w:hAnsi="Times New Roman Bold"/>
                <w:b/>
                <w:sz w:val="28"/>
                <w:szCs w:val="28"/>
                <w:lang w:val="fr-FR"/>
              </w:rPr>
            </w:pPr>
            <w:r w:rsidRPr="005F28B2">
              <w:rPr>
                <w:rFonts w:ascii="Times New Roman Bold" w:hAnsi="Times New Roman Bold"/>
                <w:b/>
                <w:sz w:val="34"/>
                <w:szCs w:val="40"/>
                <w:lang w:val="fr-FR"/>
              </w:rPr>
              <w:t xml:space="preserve">Instruments internationaux </w:t>
            </w:r>
            <w:r w:rsidRPr="005F28B2">
              <w:rPr>
                <w:rFonts w:ascii="Times New Roman Bold" w:hAnsi="Times New Roman Bold"/>
                <w:b/>
                <w:sz w:val="34"/>
                <w:szCs w:val="40"/>
                <w:lang w:val="fr-FR"/>
              </w:rPr>
              <w:br/>
              <w:t>relatifs aux droits de l</w:t>
            </w:r>
            <w:r w:rsidR="00E16237" w:rsidRPr="005F28B2">
              <w:rPr>
                <w:rFonts w:ascii="Times New Roman Bold" w:hAnsi="Times New Roman Bold"/>
                <w:b/>
                <w:sz w:val="34"/>
                <w:szCs w:val="40"/>
                <w:lang w:val="fr-FR"/>
              </w:rPr>
              <w:t>’</w:t>
            </w:r>
            <w:r w:rsidRPr="005F28B2">
              <w:rPr>
                <w:rFonts w:ascii="Times New Roman Bold" w:hAnsi="Times New Roman Bold"/>
                <w:b/>
                <w:sz w:val="34"/>
                <w:szCs w:val="40"/>
                <w:lang w:val="fr-FR"/>
              </w:rPr>
              <w:t>homme</w:t>
            </w:r>
          </w:p>
        </w:tc>
        <w:tc>
          <w:tcPr>
            <w:tcW w:w="2930" w:type="dxa"/>
            <w:tcBorders>
              <w:top w:val="single" w:sz="4" w:space="0" w:color="auto"/>
              <w:left w:val="nil"/>
              <w:bottom w:val="single" w:sz="12" w:space="0" w:color="auto"/>
              <w:right w:val="nil"/>
            </w:tcBorders>
            <w:shd w:val="clear" w:color="auto" w:fill="auto"/>
          </w:tcPr>
          <w:p w:rsidR="00CD4EC3" w:rsidRPr="005F28B2" w:rsidRDefault="00C207B9">
            <w:pPr>
              <w:spacing w:before="240" w:line="240" w:lineRule="exact"/>
              <w:rPr>
                <w:sz w:val="28"/>
                <w:szCs w:val="28"/>
                <w:lang w:val="fr-FR"/>
              </w:rPr>
            </w:pPr>
            <w:r w:rsidRPr="005F28B2">
              <w:rPr>
                <w:lang w:val="fr-FR" w:eastAsia="es-ES"/>
              </w:rPr>
              <w:t>Distr. générale</w:t>
            </w:r>
            <w:r w:rsidRPr="005F28B2">
              <w:rPr>
                <w:lang w:val="fr-FR" w:eastAsia="es-ES"/>
              </w:rPr>
              <w:br/>
              <w:t>17 janvier 2017</w:t>
            </w:r>
            <w:r w:rsidRPr="005F28B2">
              <w:rPr>
                <w:lang w:val="fr-FR" w:eastAsia="es-ES"/>
              </w:rPr>
              <w:br/>
              <w:t>Français</w:t>
            </w:r>
            <w:r w:rsidRPr="005F28B2">
              <w:rPr>
                <w:lang w:val="fr-FR" w:eastAsia="es-ES"/>
              </w:rPr>
              <w:br/>
              <w:t xml:space="preserve">Original : </w:t>
            </w:r>
            <w:r w:rsidR="001A7739" w:rsidRPr="005F28B2">
              <w:rPr>
                <w:lang w:val="fr-FR" w:eastAsia="es-ES"/>
              </w:rPr>
              <w:t>arabe</w:t>
            </w:r>
          </w:p>
        </w:tc>
      </w:tr>
    </w:tbl>
    <w:p w:rsidR="00C31FCD" w:rsidRPr="005F28B2" w:rsidRDefault="007414D3" w:rsidP="00C31FCD">
      <w:pPr>
        <w:pStyle w:val="HMG"/>
        <w:rPr>
          <w:lang w:val="fr-FR"/>
        </w:rPr>
      </w:pPr>
      <w:r>
        <w:rPr>
          <w:lang w:val="fr-FR"/>
        </w:rPr>
        <w:tab/>
      </w:r>
      <w:r>
        <w:rPr>
          <w:lang w:val="fr-FR"/>
        </w:rPr>
        <w:tab/>
        <w:t>Document</w:t>
      </w:r>
      <w:r w:rsidR="00C31FCD" w:rsidRPr="005F28B2">
        <w:rPr>
          <w:lang w:val="fr-FR"/>
        </w:rPr>
        <w:t xml:space="preserve"> de base faisant partie </w:t>
      </w:r>
      <w:r>
        <w:rPr>
          <w:lang w:val="fr-FR"/>
        </w:rPr>
        <w:t>intégrante</w:t>
      </w:r>
      <w:r>
        <w:rPr>
          <w:lang w:val="fr-FR"/>
        </w:rPr>
        <w:br/>
      </w:r>
      <w:r w:rsidR="00C31FCD" w:rsidRPr="005F28B2">
        <w:rPr>
          <w:lang w:val="fr-FR"/>
        </w:rPr>
        <w:t>des rapports présentés par les États parties</w:t>
      </w:r>
    </w:p>
    <w:p w:rsidR="00C31FCD" w:rsidRPr="005F28B2" w:rsidRDefault="00C31FCD" w:rsidP="00911703">
      <w:pPr>
        <w:pStyle w:val="HMG"/>
        <w:rPr>
          <w:lang w:val="fr-FR"/>
        </w:rPr>
      </w:pPr>
      <w:r w:rsidRPr="005F28B2">
        <w:rPr>
          <w:lang w:val="fr-FR"/>
        </w:rPr>
        <w:tab/>
      </w:r>
      <w:r w:rsidRPr="005F28B2">
        <w:rPr>
          <w:lang w:val="fr-FR"/>
        </w:rPr>
        <w:tab/>
        <w:t>Tunisie</w:t>
      </w:r>
      <w:r w:rsidR="006305D4" w:rsidRPr="005F28B2">
        <w:rPr>
          <w:rStyle w:val="Appelnotedebasdep"/>
          <w:b w:val="0"/>
          <w:sz w:val="20"/>
          <w:vertAlign w:val="baseline"/>
          <w:lang w:val="fr-FR"/>
        </w:rPr>
        <w:footnoteReference w:customMarkFollows="1" w:id="1"/>
        <w:t>*</w:t>
      </w:r>
    </w:p>
    <w:p w:rsidR="00C31FCD" w:rsidRPr="005F28B2" w:rsidRDefault="00C31FCD" w:rsidP="00C31FCD">
      <w:pPr>
        <w:pStyle w:val="SingleTxtG"/>
        <w:jc w:val="right"/>
        <w:rPr>
          <w:lang w:val="fr-FR"/>
        </w:rPr>
      </w:pPr>
      <w:r w:rsidRPr="005F28B2">
        <w:rPr>
          <w:lang w:val="fr-FR"/>
        </w:rPr>
        <w:t>[Date de réception : 5 décembre 2016]</w:t>
      </w:r>
    </w:p>
    <w:p w:rsidR="009052AE" w:rsidRPr="005F28B2" w:rsidRDefault="009052AE" w:rsidP="000573C6">
      <w:pPr>
        <w:pStyle w:val="HChG"/>
        <w:keepNext w:val="0"/>
        <w:keepLines w:val="0"/>
        <w:rPr>
          <w:rtl/>
          <w:lang w:val="fr-FR" w:bidi="fr-FR"/>
        </w:rPr>
      </w:pPr>
      <w:r w:rsidRPr="005F28B2">
        <w:rPr>
          <w:rFonts w:eastAsia="Traditional Arabic"/>
          <w:sz w:val="44"/>
          <w:lang w:val="fr-FR"/>
        </w:rPr>
        <w:br w:type="page"/>
      </w:r>
      <w:r w:rsidRPr="005F28B2">
        <w:rPr>
          <w:rFonts w:eastAsia="Traditional Arabic"/>
          <w:sz w:val="44"/>
          <w:lang w:val="fr-FR"/>
        </w:rPr>
        <w:lastRenderedPageBreak/>
        <w:tab/>
      </w:r>
      <w:r w:rsidRPr="005F28B2">
        <w:rPr>
          <w:rFonts w:eastAsia="Traditional Arabic"/>
          <w:sz w:val="44"/>
          <w:lang w:val="fr-FR"/>
        </w:rPr>
        <w:tab/>
      </w:r>
      <w:r w:rsidR="00163041" w:rsidRPr="005F28B2">
        <w:rPr>
          <w:rFonts w:eastAsia="Traditional Arabic"/>
          <w:lang w:val="fr-FR"/>
        </w:rPr>
        <w:t>Document de base commun</w:t>
      </w:r>
    </w:p>
    <w:p w:rsidR="009052AE" w:rsidRPr="005F28B2" w:rsidRDefault="00163041" w:rsidP="000D1F54">
      <w:pPr>
        <w:pStyle w:val="HChG"/>
        <w:rPr>
          <w:rtl/>
          <w:lang w:val="fr-FR" w:bidi="fr-FR"/>
        </w:rPr>
      </w:pPr>
      <w:r w:rsidRPr="005F28B2">
        <w:rPr>
          <w:rFonts w:eastAsia="Traditional Arabic"/>
          <w:lang w:val="fr-FR"/>
        </w:rPr>
        <w:tab/>
      </w:r>
      <w:r w:rsidRPr="005F28B2">
        <w:rPr>
          <w:rFonts w:eastAsia="Traditional Arabic"/>
          <w:lang w:val="fr-FR"/>
        </w:rPr>
        <w:tab/>
        <w:t>République tunisienne</w:t>
      </w:r>
    </w:p>
    <w:p w:rsidR="009052AE" w:rsidRPr="005F28B2" w:rsidRDefault="00163041" w:rsidP="00C24D3E">
      <w:pPr>
        <w:pStyle w:val="HChG"/>
        <w:rPr>
          <w:lang w:val="fr-FR"/>
        </w:rPr>
      </w:pPr>
      <w:r w:rsidRPr="005F28B2">
        <w:rPr>
          <w:rFonts w:eastAsia="Traditional Arabic"/>
          <w:lang w:val="fr-FR"/>
        </w:rPr>
        <w:tab/>
      </w:r>
      <w:r w:rsidRPr="005F28B2">
        <w:rPr>
          <w:rFonts w:eastAsia="Traditional Arabic"/>
          <w:lang w:val="fr-FR"/>
        </w:rPr>
        <w:tab/>
        <w:t>Août 2016</w:t>
      </w:r>
    </w:p>
    <w:p w:rsidR="00F06941" w:rsidRPr="005F28B2" w:rsidRDefault="00F06941" w:rsidP="00F06941">
      <w:pPr>
        <w:spacing w:after="120"/>
        <w:rPr>
          <w:rFonts w:eastAsia="Dotum"/>
          <w:sz w:val="28"/>
          <w:lang w:val="fr-FR"/>
        </w:rPr>
      </w:pPr>
      <w:r w:rsidRPr="005F28B2">
        <w:rPr>
          <w:sz w:val="28"/>
          <w:lang w:val="fr-FR"/>
        </w:rPr>
        <w:t>Table des matières</w:t>
      </w:r>
    </w:p>
    <w:p w:rsidR="00F06941" w:rsidRPr="005F28B2" w:rsidRDefault="00F06941" w:rsidP="00F06941">
      <w:pPr>
        <w:tabs>
          <w:tab w:val="right" w:pos="9638"/>
        </w:tabs>
        <w:spacing w:after="120"/>
        <w:ind w:left="283"/>
        <w:rPr>
          <w:rFonts w:eastAsia="Dotum"/>
          <w:sz w:val="18"/>
          <w:lang w:val="fr-FR"/>
        </w:rPr>
      </w:pPr>
      <w:r w:rsidRPr="005F28B2">
        <w:rPr>
          <w:lang w:val="fr-FR"/>
        </w:rPr>
        <w:tab/>
      </w:r>
      <w:r w:rsidRPr="005F28B2">
        <w:rPr>
          <w:i/>
          <w:sz w:val="18"/>
          <w:lang w:val="fr-FR"/>
        </w:rPr>
        <w:t>Page</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00163041" w:rsidRPr="005F28B2">
        <w:rPr>
          <w:rFonts w:eastAsiaTheme="minorHAnsi"/>
          <w:lang w:val="fr-FR"/>
        </w:rPr>
        <w:t>I.</w:t>
      </w:r>
      <w:r w:rsidR="00163041" w:rsidRPr="005F28B2">
        <w:rPr>
          <w:rFonts w:eastAsiaTheme="minorHAnsi"/>
          <w:rtl/>
          <w:lang w:val="fr-FR"/>
        </w:rPr>
        <w:tab/>
      </w:r>
      <w:r w:rsidR="00163041" w:rsidRPr="005F28B2">
        <w:rPr>
          <w:rFonts w:eastAsiaTheme="minorHAnsi"/>
          <w:lang w:val="fr-FR"/>
        </w:rPr>
        <w:t>Renseignements d</w:t>
      </w:r>
      <w:r w:rsidR="00E16237" w:rsidRPr="005F28B2">
        <w:rPr>
          <w:rFonts w:eastAsiaTheme="minorHAnsi"/>
          <w:lang w:val="fr-FR"/>
        </w:rPr>
        <w:t>’</w:t>
      </w:r>
      <w:r w:rsidR="00163041" w:rsidRPr="005F28B2">
        <w:rPr>
          <w:rFonts w:eastAsiaTheme="minorHAnsi"/>
          <w:lang w:val="fr-FR"/>
        </w:rPr>
        <w:t>ordre général</w:t>
      </w:r>
      <w:r w:rsidR="00163041" w:rsidRPr="005F28B2">
        <w:rPr>
          <w:rFonts w:eastAsiaTheme="minorHAnsi"/>
          <w:webHidden/>
          <w:rtl/>
          <w:lang w:val="fr-FR"/>
        </w:rPr>
        <w:tab/>
      </w:r>
      <w:r w:rsidRPr="005F28B2">
        <w:rPr>
          <w:rFonts w:eastAsiaTheme="minorHAnsi"/>
          <w:webHidden/>
          <w:rtl/>
          <w:lang w:val="fr-FR"/>
        </w:rPr>
        <w:tab/>
      </w:r>
      <w:r w:rsidR="00163041" w:rsidRPr="005F28B2">
        <w:rPr>
          <w:rFonts w:eastAsiaTheme="minorHAnsi"/>
          <w:webHidden/>
          <w:lang w:val="fr-FR"/>
        </w:rPr>
        <w:t>4</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00163041" w:rsidRPr="005F28B2">
        <w:rPr>
          <w:rFonts w:eastAsiaTheme="minorHAnsi"/>
          <w:lang w:val="fr-FR"/>
        </w:rPr>
        <w:t>1.</w:t>
      </w:r>
      <w:r w:rsidR="00163041" w:rsidRPr="005F28B2">
        <w:rPr>
          <w:rFonts w:eastAsiaTheme="minorHAnsi"/>
          <w:rtl/>
          <w:lang w:val="fr-FR"/>
        </w:rPr>
        <w:tab/>
      </w:r>
      <w:r w:rsidR="00163041" w:rsidRPr="005F28B2">
        <w:rPr>
          <w:rFonts w:eastAsiaTheme="minorHAnsi"/>
          <w:lang w:val="fr-FR"/>
        </w:rPr>
        <w:t>Rappel historique</w:t>
      </w:r>
      <w:r w:rsidR="00163041" w:rsidRPr="005F28B2">
        <w:rPr>
          <w:rFonts w:eastAsiaTheme="minorHAnsi"/>
          <w:webHidden/>
          <w:rtl/>
          <w:lang w:val="fr-FR"/>
        </w:rPr>
        <w:tab/>
      </w:r>
      <w:r w:rsidR="00163041" w:rsidRPr="005F28B2">
        <w:rPr>
          <w:rFonts w:eastAsiaTheme="minorHAnsi"/>
          <w:webHidden/>
          <w:lang w:val="fr-FR"/>
        </w:rPr>
        <w:tab/>
        <w:t>4</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00163041" w:rsidRPr="005F28B2">
        <w:rPr>
          <w:rFonts w:eastAsiaTheme="minorHAnsi"/>
          <w:lang w:val="fr-FR"/>
        </w:rPr>
        <w:t>2.</w:t>
      </w:r>
      <w:r w:rsidR="00163041" w:rsidRPr="005F28B2">
        <w:rPr>
          <w:rFonts w:eastAsiaTheme="minorHAnsi"/>
          <w:rtl/>
          <w:lang w:val="fr-FR"/>
        </w:rPr>
        <w:tab/>
      </w:r>
      <w:r w:rsidR="00163041" w:rsidRPr="005F28B2">
        <w:rPr>
          <w:rFonts w:eastAsiaTheme="minorHAnsi"/>
          <w:lang w:val="fr-FR"/>
        </w:rPr>
        <w:t>Caractéristiques démographiques</w:t>
      </w:r>
      <w:r w:rsidR="00E16237" w:rsidRPr="005F28B2">
        <w:rPr>
          <w:rFonts w:eastAsiaTheme="minorHAnsi"/>
          <w:lang w:val="fr-FR"/>
        </w:rPr>
        <w:t>,</w:t>
      </w:r>
      <w:r w:rsidR="00163041" w:rsidRPr="005F28B2">
        <w:rPr>
          <w:rFonts w:eastAsiaTheme="minorHAnsi"/>
          <w:lang w:val="fr-FR"/>
        </w:rPr>
        <w:t xml:space="preserve"> économiques</w:t>
      </w:r>
      <w:r w:rsidR="00E16237" w:rsidRPr="005F28B2">
        <w:rPr>
          <w:rFonts w:eastAsiaTheme="minorHAnsi"/>
          <w:lang w:val="fr-FR"/>
        </w:rPr>
        <w:t>,</w:t>
      </w:r>
      <w:r w:rsidR="00163041" w:rsidRPr="005F28B2">
        <w:rPr>
          <w:rFonts w:eastAsiaTheme="minorHAnsi"/>
          <w:lang w:val="fr-FR"/>
        </w:rPr>
        <w:t xml:space="preserve"> sociales et culturelles</w:t>
      </w:r>
      <w:r w:rsidR="00163041" w:rsidRPr="005F28B2">
        <w:rPr>
          <w:rFonts w:eastAsiaTheme="minorHAnsi"/>
          <w:webHidden/>
          <w:rtl/>
          <w:lang w:val="fr-FR"/>
        </w:rPr>
        <w:tab/>
      </w:r>
      <w:r w:rsidR="00163041" w:rsidRPr="005F28B2">
        <w:rPr>
          <w:rFonts w:eastAsiaTheme="minorHAnsi"/>
          <w:webHidden/>
          <w:lang w:val="fr-FR"/>
        </w:rPr>
        <w:tab/>
      </w:r>
      <w:r w:rsidR="00686BD4" w:rsidRPr="005F28B2">
        <w:rPr>
          <w:rFonts w:eastAsiaTheme="minorHAnsi"/>
          <w:webHidden/>
          <w:lang w:val="fr-FR"/>
        </w:rPr>
        <w:t>5</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tl/>
          <w:lang w:val="fr-FR" w:eastAsia="fr-FR"/>
        </w:rPr>
      </w:pPr>
      <w:r w:rsidRPr="005F28B2">
        <w:rPr>
          <w:rFonts w:eastAsiaTheme="minorHAnsi"/>
          <w:lang w:val="fr-FR"/>
        </w:rPr>
        <w:tab/>
      </w:r>
      <w:r w:rsidRPr="005F28B2">
        <w:rPr>
          <w:rFonts w:eastAsiaTheme="minorHAnsi"/>
          <w:lang w:val="fr-FR"/>
        </w:rPr>
        <w:tab/>
      </w:r>
      <w:r w:rsidR="00163041" w:rsidRPr="005F28B2">
        <w:rPr>
          <w:rFonts w:eastAsiaTheme="minorHAnsi"/>
          <w:lang w:val="fr-FR"/>
        </w:rPr>
        <w:t>3.</w:t>
      </w:r>
      <w:r w:rsidR="00163041" w:rsidRPr="005F28B2">
        <w:rPr>
          <w:rFonts w:eastAsiaTheme="minorHAnsi"/>
          <w:rtl/>
          <w:lang w:val="fr-FR"/>
        </w:rPr>
        <w:tab/>
      </w:r>
      <w:r w:rsidR="00163041" w:rsidRPr="005F28B2">
        <w:rPr>
          <w:rFonts w:eastAsiaTheme="minorHAnsi"/>
          <w:lang w:val="fr-FR"/>
        </w:rPr>
        <w:t>Structure constitutionnelle</w:t>
      </w:r>
      <w:r w:rsidR="00E16237" w:rsidRPr="005F28B2">
        <w:rPr>
          <w:rFonts w:eastAsiaTheme="minorHAnsi"/>
          <w:lang w:val="fr-FR"/>
        </w:rPr>
        <w:t>,</w:t>
      </w:r>
      <w:r w:rsidR="00163041" w:rsidRPr="005F28B2">
        <w:rPr>
          <w:rFonts w:eastAsiaTheme="minorHAnsi"/>
          <w:lang w:val="fr-FR"/>
        </w:rPr>
        <w:t xml:space="preserve"> politique et juridique</w:t>
      </w:r>
      <w:r w:rsidR="00163041" w:rsidRPr="005F28B2">
        <w:rPr>
          <w:webHidden/>
          <w:rtl/>
          <w:lang w:val="fr-FR"/>
        </w:rPr>
        <w:tab/>
      </w:r>
      <w:r w:rsidR="00163041" w:rsidRPr="005F28B2">
        <w:rPr>
          <w:webHidden/>
          <w:lang w:val="fr-FR"/>
        </w:rPr>
        <w:tab/>
      </w:r>
      <w:r w:rsidR="00686BD4" w:rsidRPr="005F28B2">
        <w:rPr>
          <w:webHidden/>
          <w:lang w:val="fr-FR"/>
        </w:rPr>
        <w:t>5</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00163041" w:rsidRPr="005F28B2">
        <w:rPr>
          <w:rFonts w:eastAsiaTheme="minorHAnsi"/>
          <w:lang w:val="fr-FR"/>
        </w:rPr>
        <w:t>II.</w:t>
      </w:r>
      <w:r w:rsidR="00A14A1A" w:rsidRPr="005F28B2">
        <w:rPr>
          <w:rFonts w:eastAsiaTheme="minorHAnsi"/>
          <w:lang w:val="fr-FR"/>
        </w:rPr>
        <w:tab/>
      </w:r>
      <w:r w:rsidR="00163041" w:rsidRPr="005F28B2">
        <w:rPr>
          <w:rFonts w:eastAsiaTheme="minorHAnsi"/>
          <w:lang w:val="fr-FR"/>
        </w:rPr>
        <w:t>Cadre général de la protection et de la promotion des droits de l</w:t>
      </w:r>
      <w:r w:rsidR="00E16237" w:rsidRPr="005F28B2">
        <w:rPr>
          <w:rFonts w:eastAsiaTheme="minorHAnsi"/>
          <w:lang w:val="fr-FR"/>
        </w:rPr>
        <w:t>’</w:t>
      </w:r>
      <w:r w:rsidR="00163041" w:rsidRPr="005F28B2">
        <w:rPr>
          <w:rFonts w:eastAsiaTheme="minorHAnsi"/>
          <w:lang w:val="fr-FR"/>
        </w:rPr>
        <w:t>homme</w:t>
      </w:r>
      <w:r w:rsidR="00163041" w:rsidRPr="005F28B2">
        <w:rPr>
          <w:rFonts w:eastAsiaTheme="minorHAnsi"/>
          <w:webHidden/>
          <w:rtl/>
          <w:lang w:val="fr-FR"/>
        </w:rPr>
        <w:tab/>
      </w:r>
      <w:r w:rsidRPr="005F28B2">
        <w:rPr>
          <w:rFonts w:eastAsiaTheme="minorHAnsi"/>
          <w:webHidden/>
          <w:rtl/>
          <w:lang w:val="fr-FR"/>
        </w:rPr>
        <w:tab/>
      </w:r>
      <w:r w:rsidR="00686BD4" w:rsidRPr="005F28B2">
        <w:rPr>
          <w:rFonts w:eastAsiaTheme="minorHAnsi"/>
          <w:webHidden/>
          <w:lang w:val="fr-FR"/>
        </w:rPr>
        <w:t>8</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00163041" w:rsidRPr="005F28B2">
        <w:rPr>
          <w:rFonts w:eastAsiaTheme="minorHAnsi"/>
          <w:lang w:val="fr-FR"/>
        </w:rPr>
        <w:t>1.</w:t>
      </w:r>
      <w:r w:rsidR="00163041" w:rsidRPr="005F28B2">
        <w:rPr>
          <w:rFonts w:eastAsiaTheme="minorHAnsi"/>
          <w:rtl/>
          <w:lang w:val="fr-FR"/>
        </w:rPr>
        <w:tab/>
      </w:r>
      <w:r w:rsidR="00163041" w:rsidRPr="005F28B2">
        <w:rPr>
          <w:rFonts w:eastAsiaTheme="minorHAnsi"/>
          <w:lang w:val="fr-FR"/>
        </w:rPr>
        <w:t>Cadre général de la protection des droits de l</w:t>
      </w:r>
      <w:r w:rsidR="00E16237" w:rsidRPr="005F28B2">
        <w:rPr>
          <w:rFonts w:eastAsiaTheme="minorHAnsi"/>
          <w:lang w:val="fr-FR"/>
        </w:rPr>
        <w:t>’</w:t>
      </w:r>
      <w:r w:rsidR="00163041" w:rsidRPr="005F28B2">
        <w:rPr>
          <w:rFonts w:eastAsiaTheme="minorHAnsi"/>
          <w:lang w:val="fr-FR"/>
        </w:rPr>
        <w:t>homme</w:t>
      </w:r>
      <w:r w:rsidR="00163041" w:rsidRPr="005F28B2">
        <w:rPr>
          <w:rFonts w:eastAsiaTheme="minorHAnsi"/>
          <w:webHidden/>
          <w:rtl/>
          <w:lang w:val="fr-FR"/>
        </w:rPr>
        <w:tab/>
      </w:r>
      <w:r w:rsidR="00163041" w:rsidRPr="005F28B2">
        <w:rPr>
          <w:rFonts w:eastAsiaTheme="minorHAnsi"/>
          <w:webHidden/>
          <w:lang w:val="fr-FR"/>
        </w:rPr>
        <w:tab/>
      </w:r>
      <w:r w:rsidR="00686BD4" w:rsidRPr="005F28B2">
        <w:rPr>
          <w:rFonts w:eastAsiaTheme="minorHAnsi"/>
          <w:webHidden/>
          <w:lang w:val="fr-FR"/>
        </w:rPr>
        <w:t>8</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00163041" w:rsidRPr="005F28B2">
        <w:rPr>
          <w:rFonts w:eastAsiaTheme="minorHAnsi"/>
          <w:lang w:val="fr-FR"/>
        </w:rPr>
        <w:t>A</w:t>
      </w:r>
      <w:r w:rsidR="00A678DC" w:rsidRPr="005F28B2">
        <w:rPr>
          <w:rFonts w:eastAsiaTheme="minorHAnsi"/>
          <w:lang w:val="fr-FR"/>
        </w:rPr>
        <w:t>.</w:t>
      </w:r>
      <w:r w:rsidR="00163041" w:rsidRPr="005F28B2">
        <w:rPr>
          <w:rFonts w:eastAsiaTheme="minorHAnsi"/>
          <w:rtl/>
          <w:lang w:val="fr-FR"/>
        </w:rPr>
        <w:tab/>
      </w:r>
      <w:r w:rsidR="00163041" w:rsidRPr="005F28B2">
        <w:rPr>
          <w:rFonts w:eastAsiaTheme="minorHAnsi"/>
          <w:lang w:val="fr-FR"/>
        </w:rPr>
        <w:t>Adhésion de la Tunisie au système onusien de protection des droits de l</w:t>
      </w:r>
      <w:r w:rsidR="00E16237" w:rsidRPr="005F28B2">
        <w:rPr>
          <w:rFonts w:eastAsiaTheme="minorHAnsi"/>
          <w:lang w:val="fr-FR"/>
        </w:rPr>
        <w:t>’</w:t>
      </w:r>
      <w:r w:rsidR="00163041" w:rsidRPr="005F28B2">
        <w:rPr>
          <w:rFonts w:eastAsiaTheme="minorHAnsi"/>
          <w:lang w:val="fr-FR"/>
        </w:rPr>
        <w:t>homme</w:t>
      </w:r>
      <w:r w:rsidR="00163041" w:rsidRPr="005F28B2">
        <w:rPr>
          <w:rFonts w:eastAsiaTheme="minorHAnsi"/>
          <w:webHidden/>
          <w:rtl/>
          <w:lang w:val="fr-FR"/>
        </w:rPr>
        <w:tab/>
      </w:r>
      <w:r w:rsidR="00163041" w:rsidRPr="005F28B2">
        <w:rPr>
          <w:rFonts w:eastAsiaTheme="minorHAnsi"/>
          <w:webHidden/>
          <w:lang w:val="fr-FR"/>
        </w:rPr>
        <w:tab/>
      </w:r>
      <w:r w:rsidR="00686BD4" w:rsidRPr="005F28B2">
        <w:rPr>
          <w:rFonts w:eastAsiaTheme="minorHAnsi"/>
          <w:webHidden/>
          <w:lang w:val="fr-FR"/>
        </w:rPr>
        <w:t>8</w:t>
      </w:r>
    </w:p>
    <w:p w:rsidR="007A27BA" w:rsidRPr="005F28B2" w:rsidRDefault="00163041" w:rsidP="00A46C2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ind w:left="1984" w:hanging="1984"/>
        <w:rPr>
          <w:rFonts w:eastAsiaTheme="minorHAnsi"/>
          <w:rtl/>
          <w:lang w:val="fr-FR"/>
        </w:rPr>
      </w:pPr>
      <w:r w:rsidRPr="005F28B2">
        <w:rPr>
          <w:rFonts w:eastAsiaTheme="minorHAnsi"/>
          <w:rtl/>
          <w:lang w:val="fr-FR"/>
        </w:rPr>
        <w:tab/>
      </w:r>
      <w:r w:rsidR="00F06941" w:rsidRPr="005F28B2">
        <w:rPr>
          <w:rFonts w:eastAsiaTheme="minorHAnsi"/>
          <w:rtl/>
          <w:lang w:val="fr-FR"/>
        </w:rPr>
        <w:tab/>
      </w:r>
      <w:r w:rsidR="00F06941" w:rsidRPr="005F28B2">
        <w:rPr>
          <w:rFonts w:eastAsiaTheme="minorHAnsi"/>
          <w:rtl/>
          <w:lang w:val="fr-FR"/>
        </w:rPr>
        <w:tab/>
      </w:r>
      <w:r w:rsidR="00F06941" w:rsidRPr="005F28B2">
        <w:rPr>
          <w:rFonts w:eastAsiaTheme="minorHAnsi"/>
          <w:rtl/>
          <w:lang w:val="fr-FR"/>
        </w:rPr>
        <w:tab/>
      </w:r>
      <w:r w:rsidRPr="005F28B2">
        <w:rPr>
          <w:rFonts w:eastAsiaTheme="minorHAnsi"/>
          <w:lang w:val="fr-FR"/>
        </w:rPr>
        <w:t xml:space="preserve">Ratification des principaux instruments internationaux relatifs aux droits </w:t>
      </w:r>
      <w:r w:rsidR="00A46C27" w:rsidRPr="005F28B2">
        <w:rPr>
          <w:rFonts w:eastAsiaTheme="minorHAnsi"/>
          <w:lang w:val="fr-FR"/>
        </w:rPr>
        <w:br/>
      </w:r>
      <w:r w:rsidRPr="005F28B2">
        <w:rPr>
          <w:rFonts w:eastAsiaTheme="minorHAnsi"/>
          <w:lang w:val="fr-FR"/>
        </w:rPr>
        <w:t>de l</w:t>
      </w:r>
      <w:r w:rsidR="00E16237" w:rsidRPr="005F28B2">
        <w:rPr>
          <w:rFonts w:eastAsiaTheme="minorHAnsi"/>
          <w:lang w:val="fr-FR"/>
        </w:rPr>
        <w:t>’</w:t>
      </w:r>
      <w:r w:rsidRPr="005F28B2">
        <w:rPr>
          <w:rFonts w:eastAsiaTheme="minorHAnsi"/>
          <w:lang w:val="fr-FR"/>
        </w:rPr>
        <w:t>homme</w:t>
      </w:r>
      <w:r w:rsidRPr="005F28B2">
        <w:rPr>
          <w:rFonts w:eastAsiaTheme="minorHAnsi"/>
          <w:lang w:val="fr-FR"/>
        </w:rPr>
        <w:tab/>
      </w:r>
      <w:r w:rsidRPr="005F28B2">
        <w:rPr>
          <w:rFonts w:eastAsiaTheme="minorHAnsi"/>
          <w:webHidden/>
          <w:rtl/>
          <w:lang w:val="fr-FR"/>
        </w:rPr>
        <w:tab/>
      </w:r>
      <w:r w:rsidR="00686BD4" w:rsidRPr="005F28B2">
        <w:rPr>
          <w:rFonts w:eastAsiaTheme="minorHAnsi"/>
          <w:webHidden/>
          <w:lang w:val="fr-FR"/>
        </w:rPr>
        <w:t>8</w:t>
      </w:r>
    </w:p>
    <w:p w:rsidR="007A27BA" w:rsidRPr="005F28B2" w:rsidRDefault="00F06941" w:rsidP="00F06941">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00163041" w:rsidRPr="005F28B2">
        <w:rPr>
          <w:rFonts w:eastAsiaTheme="minorHAnsi"/>
          <w:rtl/>
          <w:lang w:val="fr-FR"/>
        </w:rPr>
        <w:tab/>
      </w:r>
      <w:r w:rsidR="00163041" w:rsidRPr="005F28B2">
        <w:rPr>
          <w:rFonts w:eastAsiaTheme="minorHAnsi"/>
          <w:lang w:val="fr-FR"/>
        </w:rPr>
        <w:t>Place des instruments internationaux dans le système juridique tunisien</w:t>
      </w:r>
      <w:r w:rsidR="00163041" w:rsidRPr="005F28B2">
        <w:rPr>
          <w:rFonts w:eastAsiaTheme="minorHAnsi"/>
          <w:webHidden/>
          <w:rtl/>
          <w:lang w:val="fr-FR"/>
        </w:rPr>
        <w:tab/>
      </w:r>
      <w:r w:rsidR="00163041" w:rsidRPr="005F28B2">
        <w:rPr>
          <w:rFonts w:eastAsiaTheme="minorHAnsi"/>
          <w:webHidden/>
          <w:lang w:val="fr-FR"/>
        </w:rPr>
        <w:tab/>
      </w:r>
      <w:r w:rsidR="00686BD4" w:rsidRPr="005F28B2">
        <w:rPr>
          <w:rFonts w:eastAsiaTheme="minorHAnsi"/>
          <w:webHidden/>
          <w:lang w:val="fr-FR"/>
        </w:rPr>
        <w:t>11</w:t>
      </w:r>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00163041" w:rsidRPr="005F28B2">
        <w:rPr>
          <w:rFonts w:eastAsiaTheme="minorHAnsi"/>
          <w:lang w:val="fr-FR"/>
        </w:rPr>
        <w:t>B.</w:t>
      </w:r>
      <w:r w:rsidR="00163041" w:rsidRPr="005F28B2">
        <w:rPr>
          <w:rFonts w:eastAsiaTheme="minorHAnsi"/>
          <w:rtl/>
          <w:lang w:val="fr-FR"/>
        </w:rPr>
        <w:tab/>
      </w:r>
      <w:r w:rsidR="00163041" w:rsidRPr="005F28B2">
        <w:rPr>
          <w:rFonts w:eastAsiaTheme="minorHAnsi"/>
          <w:lang w:val="fr-FR"/>
        </w:rPr>
        <w:t>Cadre juridique de la protection des droits de l</w:t>
      </w:r>
      <w:r w:rsidR="00E16237" w:rsidRPr="005F28B2">
        <w:rPr>
          <w:rFonts w:eastAsiaTheme="minorHAnsi"/>
          <w:lang w:val="fr-FR"/>
        </w:rPr>
        <w:t>’</w:t>
      </w:r>
      <w:r w:rsidR="00163041" w:rsidRPr="005F28B2">
        <w:rPr>
          <w:rFonts w:eastAsiaTheme="minorHAnsi"/>
          <w:lang w:val="fr-FR"/>
        </w:rPr>
        <w:t>homme au niveau national</w:t>
      </w:r>
      <w:r w:rsidR="00163041" w:rsidRPr="005F28B2">
        <w:rPr>
          <w:rFonts w:eastAsiaTheme="minorHAnsi"/>
          <w:webHidden/>
          <w:rtl/>
          <w:lang w:val="fr-FR"/>
        </w:rPr>
        <w:tab/>
      </w:r>
      <w:r w:rsidR="00163041" w:rsidRPr="005F28B2">
        <w:rPr>
          <w:rFonts w:eastAsiaTheme="minorHAnsi"/>
          <w:webHidden/>
          <w:lang w:val="fr-FR"/>
        </w:rPr>
        <w:tab/>
      </w:r>
      <w:r w:rsidR="00686BD4" w:rsidRPr="005F28B2">
        <w:rPr>
          <w:rFonts w:eastAsiaTheme="minorHAnsi"/>
          <w:webHidden/>
          <w:lang w:val="fr-FR"/>
        </w:rPr>
        <w:t>12</w:t>
      </w:r>
    </w:p>
    <w:p w:rsidR="007A27BA" w:rsidRPr="005F28B2" w:rsidRDefault="00163041" w:rsidP="00F06941">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rtl/>
          <w:lang w:val="fr-FR"/>
        </w:rPr>
        <w:tab/>
      </w:r>
      <w:r w:rsidR="00F06941" w:rsidRPr="005F28B2">
        <w:rPr>
          <w:rFonts w:eastAsiaTheme="minorHAnsi"/>
          <w:rtl/>
          <w:lang w:val="fr-FR"/>
        </w:rPr>
        <w:tab/>
      </w:r>
      <w:r w:rsidR="00F06941" w:rsidRPr="005F28B2">
        <w:rPr>
          <w:rFonts w:eastAsiaTheme="minorHAnsi"/>
          <w:rtl/>
          <w:lang w:val="fr-FR"/>
        </w:rPr>
        <w:tab/>
      </w:r>
      <w:r w:rsidR="00F06941" w:rsidRPr="005F28B2">
        <w:rPr>
          <w:rFonts w:eastAsiaTheme="minorHAnsi"/>
          <w:rtl/>
          <w:lang w:val="fr-FR"/>
        </w:rPr>
        <w:tab/>
      </w:r>
      <w:r w:rsidRPr="005F28B2">
        <w:rPr>
          <w:rFonts w:eastAsiaTheme="minorHAnsi"/>
          <w:lang w:val="fr-FR"/>
        </w:rPr>
        <w:t>Protection constitutionnelle des droits de l</w:t>
      </w:r>
      <w:r w:rsidR="00E16237" w:rsidRPr="005F28B2">
        <w:rPr>
          <w:rFonts w:eastAsiaTheme="minorHAnsi"/>
          <w:lang w:val="fr-FR"/>
        </w:rPr>
        <w:t>’</w:t>
      </w:r>
      <w:r w:rsidRPr="005F28B2">
        <w:rPr>
          <w:rFonts w:eastAsiaTheme="minorHAnsi"/>
          <w:lang w:val="fr-FR"/>
        </w:rPr>
        <w:t>homme</w:t>
      </w:r>
      <w:r w:rsidRPr="005F28B2">
        <w:rPr>
          <w:rFonts w:eastAsiaTheme="minorHAnsi"/>
          <w:webHidden/>
          <w:rtl/>
          <w:lang w:val="fr-FR"/>
        </w:rPr>
        <w:tab/>
      </w:r>
      <w:r w:rsidRPr="005F28B2">
        <w:rPr>
          <w:rFonts w:eastAsiaTheme="minorHAnsi"/>
          <w:webHidden/>
          <w:lang w:val="fr-FR"/>
        </w:rPr>
        <w:tab/>
      </w:r>
      <w:r w:rsidR="00686BD4" w:rsidRPr="005F28B2">
        <w:rPr>
          <w:rFonts w:eastAsiaTheme="minorHAnsi"/>
          <w:webHidden/>
          <w:lang w:val="fr-FR"/>
        </w:rPr>
        <w:t>12</w:t>
      </w:r>
    </w:p>
    <w:p w:rsidR="007A27BA" w:rsidRPr="005F28B2" w:rsidRDefault="00163041" w:rsidP="00F06941">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rtl/>
          <w:lang w:val="fr-FR"/>
        </w:rPr>
        <w:tab/>
      </w:r>
      <w:r w:rsidR="00F06941" w:rsidRPr="005F28B2">
        <w:rPr>
          <w:rFonts w:eastAsiaTheme="minorHAnsi"/>
          <w:rtl/>
          <w:lang w:val="fr-FR"/>
        </w:rPr>
        <w:tab/>
      </w:r>
      <w:r w:rsidR="00F06941" w:rsidRPr="005F28B2">
        <w:rPr>
          <w:rFonts w:eastAsiaTheme="minorHAnsi"/>
          <w:rtl/>
          <w:lang w:val="fr-FR"/>
        </w:rPr>
        <w:tab/>
      </w:r>
      <w:r w:rsidR="00F06941" w:rsidRPr="005F28B2">
        <w:rPr>
          <w:rFonts w:eastAsiaTheme="minorHAnsi"/>
          <w:rtl/>
          <w:lang w:val="fr-FR"/>
        </w:rPr>
        <w:tab/>
      </w:r>
      <w:r w:rsidRPr="005F28B2">
        <w:rPr>
          <w:rFonts w:eastAsiaTheme="minorHAnsi"/>
          <w:lang w:val="fr-FR"/>
        </w:rPr>
        <w:t>Protection législative des droits de l</w:t>
      </w:r>
      <w:r w:rsidR="00E16237" w:rsidRPr="005F28B2">
        <w:rPr>
          <w:rFonts w:eastAsiaTheme="minorHAnsi"/>
          <w:lang w:val="fr-FR"/>
        </w:rPr>
        <w:t>’</w:t>
      </w:r>
      <w:r w:rsidRPr="005F28B2">
        <w:rPr>
          <w:rFonts w:eastAsiaTheme="minorHAnsi"/>
          <w:lang w:val="fr-FR"/>
        </w:rPr>
        <w:t>homme</w:t>
      </w:r>
      <w:r w:rsidRPr="005F28B2">
        <w:rPr>
          <w:rFonts w:eastAsiaTheme="minorHAnsi"/>
          <w:webHidden/>
          <w:rtl/>
          <w:lang w:val="fr-FR"/>
        </w:rPr>
        <w:tab/>
      </w:r>
      <w:r w:rsidRPr="005F28B2">
        <w:rPr>
          <w:rFonts w:eastAsiaTheme="minorHAnsi"/>
          <w:webHidden/>
          <w:lang w:val="fr-FR"/>
        </w:rPr>
        <w:tab/>
      </w:r>
      <w:r w:rsidR="00686BD4" w:rsidRPr="005F28B2">
        <w:rPr>
          <w:rFonts w:eastAsiaTheme="minorHAnsi"/>
          <w:webHidden/>
          <w:lang w:val="fr-FR"/>
        </w:rPr>
        <w:t>14</w:t>
      </w:r>
    </w:p>
    <w:p w:rsidR="007A27BA" w:rsidRPr="005F28B2" w:rsidRDefault="00F06941" w:rsidP="00F06941">
      <w:pPr>
        <w:tabs>
          <w:tab w:val="right" w:pos="850"/>
          <w:tab w:val="left" w:pos="1134"/>
          <w:tab w:val="left" w:pos="1559"/>
          <w:tab w:val="left" w:pos="1984"/>
          <w:tab w:val="left" w:pos="2410"/>
          <w:tab w:val="left" w:pos="2835"/>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00163041" w:rsidRPr="005F28B2">
        <w:rPr>
          <w:rFonts w:eastAsiaTheme="minorHAnsi"/>
          <w:lang w:val="fr-FR"/>
        </w:rPr>
        <w:t>1.</w:t>
      </w:r>
      <w:r w:rsidR="00163041" w:rsidRPr="005F28B2">
        <w:rPr>
          <w:rFonts w:eastAsiaTheme="minorHAnsi"/>
          <w:rtl/>
          <w:lang w:val="fr-FR"/>
        </w:rPr>
        <w:tab/>
      </w:r>
      <w:r w:rsidR="00163041" w:rsidRPr="005F28B2">
        <w:rPr>
          <w:rFonts w:eastAsiaTheme="minorHAnsi"/>
          <w:lang w:val="fr-FR"/>
        </w:rPr>
        <w:t>Protection légale des droits civils et politiques</w:t>
      </w:r>
      <w:r w:rsidR="00163041" w:rsidRPr="005F28B2">
        <w:rPr>
          <w:rFonts w:eastAsiaTheme="minorHAnsi"/>
          <w:webHidden/>
          <w:rtl/>
          <w:lang w:val="fr-FR"/>
        </w:rPr>
        <w:tab/>
      </w:r>
      <w:r w:rsidR="00163041" w:rsidRPr="005F28B2">
        <w:rPr>
          <w:rFonts w:eastAsiaTheme="minorHAnsi"/>
          <w:webHidden/>
          <w:lang w:val="fr-FR"/>
        </w:rPr>
        <w:tab/>
      </w:r>
      <w:r w:rsidR="00686BD4" w:rsidRPr="005F28B2">
        <w:rPr>
          <w:rFonts w:eastAsiaTheme="minorHAnsi"/>
          <w:webHidden/>
          <w:lang w:val="fr-FR"/>
        </w:rPr>
        <w:t>14</w:t>
      </w:r>
    </w:p>
    <w:p w:rsidR="007A27BA" w:rsidRPr="005F28B2" w:rsidRDefault="00F06941" w:rsidP="00F06941">
      <w:pPr>
        <w:tabs>
          <w:tab w:val="right" w:pos="850"/>
          <w:tab w:val="left" w:pos="1134"/>
          <w:tab w:val="left" w:pos="1559"/>
          <w:tab w:val="left" w:pos="1984"/>
          <w:tab w:val="left" w:pos="2410"/>
          <w:tab w:val="left" w:pos="2835"/>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88" w:history="1">
        <w:r w:rsidR="00163041" w:rsidRPr="005F28B2">
          <w:rPr>
            <w:rFonts w:eastAsiaTheme="minorHAnsi"/>
            <w:lang w:val="fr-FR"/>
          </w:rPr>
          <w:t>2.</w:t>
        </w:r>
        <w:r w:rsidR="00163041" w:rsidRPr="005F28B2">
          <w:rPr>
            <w:rFonts w:eastAsiaTheme="minorHAnsi"/>
            <w:rtl/>
            <w:lang w:val="fr-FR"/>
          </w:rPr>
          <w:tab/>
        </w:r>
        <w:r w:rsidR="00163041" w:rsidRPr="005F28B2">
          <w:rPr>
            <w:rFonts w:eastAsiaTheme="minorHAnsi"/>
            <w:lang w:val="fr-FR"/>
          </w:rPr>
          <w:t>Protection légale des droits économiques</w:t>
        </w:r>
        <w:r w:rsidR="00E16237" w:rsidRPr="005F28B2">
          <w:rPr>
            <w:rFonts w:eastAsiaTheme="minorHAnsi"/>
            <w:lang w:val="fr-FR"/>
          </w:rPr>
          <w:t>,</w:t>
        </w:r>
        <w:r w:rsidR="00163041" w:rsidRPr="005F28B2">
          <w:rPr>
            <w:rFonts w:eastAsiaTheme="minorHAnsi"/>
            <w:lang w:val="fr-FR"/>
          </w:rPr>
          <w:t xml:space="preserve"> sociaux et culturels</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Toc478218488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16</w:t>
        </w:r>
        <w:r w:rsidR="00623DFB" w:rsidRPr="005F28B2">
          <w:rPr>
            <w:rFonts w:eastAsiaTheme="minorHAnsi"/>
            <w:webHidden/>
            <w:rtl/>
            <w:lang w:val="fr-FR"/>
          </w:rPr>
          <w:fldChar w:fldCharType="end"/>
        </w:r>
      </w:hyperlink>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00E16237" w:rsidRPr="005F28B2">
        <w:rPr>
          <w:rFonts w:eastAsiaTheme="minorHAnsi"/>
          <w:lang w:val="fr-FR"/>
        </w:rPr>
        <w:tab/>
      </w:r>
      <w:r w:rsidR="00E16237" w:rsidRPr="005F28B2">
        <w:rPr>
          <w:rFonts w:eastAsiaTheme="minorHAnsi"/>
          <w:lang w:val="fr-FR"/>
        </w:rPr>
        <w:tab/>
      </w:r>
      <w:hyperlink w:anchor="_Toc478218489" w:history="1">
        <w:r w:rsidR="00163041" w:rsidRPr="005F28B2">
          <w:rPr>
            <w:rFonts w:eastAsiaTheme="minorHAnsi"/>
            <w:lang w:val="fr-FR"/>
          </w:rPr>
          <w:t>C.</w:t>
        </w:r>
        <w:r w:rsidR="00163041" w:rsidRPr="005F28B2">
          <w:rPr>
            <w:rFonts w:eastAsiaTheme="minorHAnsi"/>
            <w:rtl/>
            <w:lang w:val="fr-FR"/>
          </w:rPr>
          <w:tab/>
        </w:r>
        <w:r w:rsidR="00163041" w:rsidRPr="005F28B2">
          <w:rPr>
            <w:rFonts w:eastAsiaTheme="minorHAnsi"/>
            <w:lang w:val="fr-FR"/>
          </w:rPr>
          <w:t>Cadre institutionnel de la protection des droits de l</w:t>
        </w:r>
        <w:r w:rsidR="00E16237" w:rsidRPr="005F28B2">
          <w:rPr>
            <w:rFonts w:eastAsiaTheme="minorHAnsi"/>
            <w:lang w:val="fr-FR"/>
          </w:rPr>
          <w:t>’</w:t>
        </w:r>
        <w:r w:rsidR="00163041" w:rsidRPr="005F28B2">
          <w:rPr>
            <w:rFonts w:eastAsiaTheme="minorHAnsi"/>
            <w:lang w:val="fr-FR"/>
          </w:rPr>
          <w:t>homme</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Toc478218489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17</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tl/>
          <w:lang w:val="fr-FR" w:eastAsia="fr-FR"/>
        </w:rPr>
      </w:pPr>
      <w:hyperlink w:anchor="_Toc478218490" w:history="1">
        <w:r w:rsidR="00E16237" w:rsidRPr="005F28B2">
          <w:rPr>
            <w:rFonts w:eastAsiaTheme="minorHAnsi"/>
            <w:lang w:val="fr-FR"/>
          </w:rPr>
          <w:tab/>
        </w:r>
        <w:r w:rsidR="00E16237" w:rsidRPr="005F28B2">
          <w:rPr>
            <w:rFonts w:eastAsiaTheme="minorHAnsi"/>
            <w:lang w:val="fr-FR"/>
          </w:rPr>
          <w:tab/>
        </w:r>
        <w:r w:rsidR="00E16237" w:rsidRPr="005F28B2">
          <w:rPr>
            <w:rFonts w:eastAsiaTheme="minorHAnsi"/>
            <w:lang w:val="fr-FR"/>
          </w:rPr>
          <w:tab/>
        </w:r>
        <w:r w:rsidR="00163041" w:rsidRPr="005F28B2">
          <w:rPr>
            <w:rtl/>
            <w:lang w:val="fr-FR" w:eastAsia="fr-FR"/>
          </w:rPr>
          <w:tab/>
        </w:r>
        <w:r w:rsidR="00163041" w:rsidRPr="005F28B2">
          <w:rPr>
            <w:rFonts w:eastAsia="Times New Roman Bold"/>
            <w:lang w:val="fr-FR" w:bidi="ar-TN"/>
          </w:rPr>
          <w:t xml:space="preserve">Les </w:t>
        </w:r>
        <w:r w:rsidR="00163041" w:rsidRPr="005F28B2">
          <w:rPr>
            <w:lang w:val="fr-FR" w:bidi="ar-TN"/>
          </w:rPr>
          <w:t>In</w:t>
        </w:r>
        <w:r w:rsidR="00163041" w:rsidRPr="005F28B2">
          <w:rPr>
            <w:lang w:val="fr-FR" w:bidi="ar-TN"/>
          </w:rPr>
          <w:t>s</w:t>
        </w:r>
        <w:r w:rsidR="00163041" w:rsidRPr="005F28B2">
          <w:rPr>
            <w:lang w:val="fr-FR" w:bidi="ar-TN"/>
          </w:rPr>
          <w:t>tances constitutionnelles indépendantes</w:t>
        </w:r>
        <w:r w:rsidR="00163041" w:rsidRPr="005F28B2">
          <w:rPr>
            <w:webHidden/>
            <w:rtl/>
            <w:lang w:val="fr-FR"/>
          </w:rPr>
          <w:tab/>
        </w:r>
        <w:r w:rsidR="00163041" w:rsidRPr="005F28B2">
          <w:rPr>
            <w:webHidden/>
            <w:lang w:val="fr-FR"/>
          </w:rPr>
          <w:tab/>
        </w:r>
        <w:r w:rsidR="00623DFB" w:rsidRPr="005F28B2">
          <w:rPr>
            <w:webHidden/>
            <w:rtl/>
            <w:lang w:val="fr-FR"/>
          </w:rPr>
          <w:fldChar w:fldCharType="begin"/>
        </w:r>
        <w:r w:rsidR="00163041" w:rsidRPr="005F28B2">
          <w:rPr>
            <w:webHidden/>
            <w:rtl/>
            <w:lang w:val="fr-FR"/>
          </w:rPr>
          <w:instrText xml:space="preserve"> </w:instrText>
        </w:r>
        <w:r w:rsidR="00163041" w:rsidRPr="005F28B2">
          <w:rPr>
            <w:webHidden/>
            <w:lang w:val="fr-FR"/>
          </w:rPr>
          <w:instrText>PAGEREF</w:instrText>
        </w:r>
        <w:r w:rsidR="00163041" w:rsidRPr="005F28B2">
          <w:rPr>
            <w:webHidden/>
            <w:rtl/>
            <w:lang w:val="fr-FR"/>
          </w:rPr>
          <w:instrText xml:space="preserve"> _</w:instrText>
        </w:r>
        <w:r w:rsidR="00163041" w:rsidRPr="005F28B2">
          <w:rPr>
            <w:webHidden/>
            <w:lang w:val="fr-FR"/>
          </w:rPr>
          <w:instrText>Toc478218490 \h</w:instrText>
        </w:r>
        <w:r w:rsidR="00163041" w:rsidRPr="005F28B2">
          <w:rPr>
            <w:webHidden/>
            <w:rtl/>
            <w:lang w:val="fr-FR"/>
          </w:rPr>
          <w:instrText xml:space="preserve"> </w:instrText>
        </w:r>
        <w:r w:rsidR="00623DFB" w:rsidRPr="005F28B2">
          <w:rPr>
            <w:webHidden/>
            <w:rtl/>
            <w:lang w:val="fr-FR"/>
          </w:rPr>
        </w:r>
        <w:r w:rsidR="00623DFB" w:rsidRPr="005F28B2">
          <w:rPr>
            <w:webHidden/>
            <w:rtl/>
            <w:lang w:val="fr-FR"/>
          </w:rPr>
          <w:fldChar w:fldCharType="separate"/>
        </w:r>
        <w:r w:rsidR="00C11212">
          <w:rPr>
            <w:noProof/>
            <w:webHidden/>
            <w:lang w:val="fr-FR"/>
          </w:rPr>
          <w:t>17</w:t>
        </w:r>
        <w:r w:rsidR="00623DFB" w:rsidRPr="005F28B2">
          <w:rPr>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1" w:history="1">
        <w:r w:rsidR="00163041" w:rsidRPr="005F28B2">
          <w:rPr>
            <w:rFonts w:eastAsiaTheme="minorHAnsi"/>
            <w:lang w:val="fr-FR"/>
          </w:rPr>
          <w:t>L</w:t>
        </w:r>
        <w:r w:rsidRPr="005F28B2">
          <w:rPr>
            <w:rFonts w:eastAsiaTheme="minorHAnsi"/>
            <w:lang w:val="fr-FR"/>
          </w:rPr>
          <w:t>’</w:t>
        </w:r>
        <w:r w:rsidR="00163041" w:rsidRPr="005F28B2">
          <w:rPr>
            <w:rFonts w:eastAsiaTheme="minorHAnsi"/>
            <w:lang w:val="fr-FR"/>
          </w:rPr>
          <w:t>Instance supérieure indépendante pour les élections</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Toc478218491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17</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2" w:history="1">
        <w:r w:rsidR="00163041" w:rsidRPr="005F28B2">
          <w:rPr>
            <w:rFonts w:eastAsiaTheme="minorHAnsi"/>
            <w:lang w:val="fr-FR"/>
          </w:rPr>
          <w:t>L</w:t>
        </w:r>
        <w:r w:rsidRPr="005F28B2">
          <w:rPr>
            <w:rFonts w:eastAsiaTheme="minorHAnsi"/>
            <w:lang w:val="fr-FR"/>
          </w:rPr>
          <w:t>’</w:t>
        </w:r>
        <w:r w:rsidR="00163041" w:rsidRPr="005F28B2">
          <w:rPr>
            <w:rFonts w:eastAsiaTheme="minorHAnsi"/>
            <w:lang w:val="fr-FR"/>
          </w:rPr>
          <w:t>Instance de la communication audiovisuelle</w:t>
        </w:r>
        <w:r w:rsidR="00163041" w:rsidRPr="005F28B2">
          <w:rPr>
            <w:rFonts w:eastAsiaTheme="minorHAnsi"/>
            <w:webHidden/>
            <w:rtl/>
            <w:lang w:val="fr-FR"/>
          </w:rPr>
          <w:tab/>
        </w:r>
        <w:r w:rsidR="00446841" w:rsidRPr="005F28B2">
          <w:rPr>
            <w:rFonts w:eastAsiaTheme="minorHAnsi"/>
            <w:webHidden/>
            <w:rtl/>
            <w:lang w:val="fr-FR"/>
          </w:rPr>
          <w:tab/>
        </w:r>
        <w:r w:rsidR="00D14DB4" w:rsidRPr="005F28B2">
          <w:rPr>
            <w:rFonts w:eastAsiaTheme="minorHAnsi"/>
            <w:webHidden/>
            <w:rtl/>
            <w:lang w:val="fr-FR"/>
          </w:rPr>
          <w:t>17</w:t>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3" w:history="1">
        <w:r w:rsidR="00163041" w:rsidRPr="005F28B2">
          <w:rPr>
            <w:rFonts w:eastAsiaTheme="minorHAnsi"/>
            <w:lang w:val="fr-FR"/>
          </w:rPr>
          <w:t>La Commission de la bonne gouvernance et de la lutte contre la corruption</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Toc478218493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18</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4" w:history="1">
        <w:r w:rsidR="00163041" w:rsidRPr="005F28B2">
          <w:rPr>
            <w:rFonts w:eastAsiaTheme="minorHAnsi"/>
            <w:lang w:val="fr-FR"/>
          </w:rPr>
          <w:t>L</w:t>
        </w:r>
        <w:r w:rsidRPr="005F28B2">
          <w:rPr>
            <w:rFonts w:eastAsiaTheme="minorHAnsi"/>
            <w:lang w:val="fr-FR"/>
          </w:rPr>
          <w:t>’</w:t>
        </w:r>
        <w:r w:rsidR="00163041" w:rsidRPr="005F28B2">
          <w:rPr>
            <w:rFonts w:eastAsiaTheme="minorHAnsi"/>
            <w:lang w:val="fr-FR"/>
          </w:rPr>
          <w:t>Instance du développement durable et des droits des générations futures</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Toc478218494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18</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5" w:history="1">
        <w:r w:rsidR="00163041" w:rsidRPr="005F28B2">
          <w:rPr>
            <w:rFonts w:eastAsiaTheme="minorHAnsi"/>
            <w:lang w:val="fr-FR"/>
          </w:rPr>
          <w:t>L</w:t>
        </w:r>
        <w:r w:rsidRPr="005F28B2">
          <w:rPr>
            <w:rFonts w:eastAsiaTheme="minorHAnsi"/>
            <w:lang w:val="fr-FR"/>
          </w:rPr>
          <w:t>’</w:t>
        </w:r>
        <w:r w:rsidR="00163041" w:rsidRPr="005F28B2">
          <w:rPr>
            <w:rFonts w:eastAsiaTheme="minorHAnsi"/>
            <w:lang w:val="fr-FR"/>
          </w:rPr>
          <w:t>Instance des droits de l</w:t>
        </w:r>
        <w:r w:rsidRPr="005F28B2">
          <w:rPr>
            <w:rFonts w:eastAsiaTheme="minorHAnsi"/>
            <w:lang w:val="fr-FR"/>
          </w:rPr>
          <w:t>’</w:t>
        </w:r>
        <w:r w:rsidR="00163041" w:rsidRPr="005F28B2">
          <w:rPr>
            <w:rFonts w:eastAsiaTheme="minorHAnsi"/>
            <w:lang w:val="fr-FR"/>
          </w:rPr>
          <w:t>Homme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Toc478218495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18</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496" w:history="1">
        <w:r w:rsidR="00E16237" w:rsidRPr="005F28B2">
          <w:rPr>
            <w:rFonts w:eastAsiaTheme="minorHAnsi"/>
            <w:lang w:val="fr-FR"/>
          </w:rPr>
          <w:tab/>
        </w:r>
        <w:r w:rsidR="00E16237" w:rsidRPr="005F28B2">
          <w:rPr>
            <w:rFonts w:eastAsiaTheme="minorHAnsi"/>
            <w:lang w:val="fr-FR"/>
          </w:rPr>
          <w:tab/>
        </w:r>
        <w:r w:rsidR="00E16237" w:rsidRPr="005F28B2">
          <w:rPr>
            <w:rFonts w:eastAsiaTheme="minorHAnsi"/>
            <w:lang w:val="fr-FR"/>
          </w:rPr>
          <w:tab/>
        </w:r>
        <w:r w:rsidR="00163041" w:rsidRPr="005F28B2">
          <w:rPr>
            <w:rFonts w:eastAsiaTheme="minorHAnsi"/>
            <w:rtl/>
            <w:lang w:val="fr-FR"/>
          </w:rPr>
          <w:tab/>
        </w:r>
        <w:r w:rsidR="00163041" w:rsidRPr="005F28B2">
          <w:rPr>
            <w:rFonts w:eastAsiaTheme="minorHAnsi"/>
            <w:lang w:val="fr-FR"/>
          </w:rPr>
          <w:t>Autres instances indépendantes</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Toc478218496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18</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7" w:history="1">
        <w:r w:rsidR="00163041" w:rsidRPr="005F28B2">
          <w:rPr>
            <w:rFonts w:eastAsiaTheme="minorHAnsi"/>
            <w:lang w:val="fr-FR"/>
          </w:rPr>
          <w:t>L</w:t>
        </w:r>
        <w:r w:rsidRPr="005F28B2">
          <w:rPr>
            <w:rFonts w:eastAsiaTheme="minorHAnsi"/>
            <w:lang w:val="fr-FR"/>
          </w:rPr>
          <w:t>’</w:t>
        </w:r>
        <w:r w:rsidR="00163041" w:rsidRPr="005F28B2">
          <w:rPr>
            <w:rFonts w:eastAsiaTheme="minorHAnsi"/>
            <w:lang w:val="fr-FR"/>
          </w:rPr>
          <w:t>Instance nationale pour la prévention de la torture</w:t>
        </w:r>
        <w:r w:rsidR="00163041" w:rsidRPr="005F28B2">
          <w:rPr>
            <w:rFonts w:eastAsiaTheme="minorHAnsi"/>
            <w:webHidden/>
            <w:rtl/>
            <w:lang w:val="fr-FR"/>
          </w:rPr>
          <w:tab/>
        </w:r>
        <w:r w:rsidR="00446841" w:rsidRPr="005F28B2">
          <w:rPr>
            <w:rFonts w:eastAsiaTheme="minorHAnsi"/>
            <w:webHidden/>
            <w:rtl/>
            <w:lang w:val="fr-FR"/>
          </w:rPr>
          <w:tab/>
        </w:r>
        <w:r w:rsidR="00E710BA" w:rsidRPr="005F28B2">
          <w:rPr>
            <w:rFonts w:eastAsiaTheme="minorHAnsi"/>
            <w:webHidden/>
            <w:rtl/>
            <w:lang w:val="fr-FR"/>
          </w:rPr>
          <w:t>18</w:t>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498" w:history="1">
        <w:r w:rsidR="00163041" w:rsidRPr="005F28B2">
          <w:rPr>
            <w:rFonts w:eastAsiaTheme="minorHAnsi"/>
            <w:lang w:val="fr-FR"/>
          </w:rPr>
          <w:t>L</w:t>
        </w:r>
        <w:r w:rsidRPr="005F28B2">
          <w:rPr>
            <w:rFonts w:eastAsiaTheme="minorHAnsi"/>
            <w:lang w:val="fr-FR"/>
          </w:rPr>
          <w:t>’</w:t>
        </w:r>
        <w:r w:rsidR="00163041" w:rsidRPr="005F28B2">
          <w:rPr>
            <w:rFonts w:eastAsiaTheme="minorHAnsi"/>
            <w:lang w:val="fr-FR"/>
          </w:rPr>
          <w:t>Instance Vérité et Dignité</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Toc478218498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19</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499"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Les voies de recours disponibles</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Toc478218499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20</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0" w:history="1">
        <w:r w:rsidR="00163041" w:rsidRPr="005F28B2">
          <w:rPr>
            <w:rFonts w:eastAsiaTheme="minorHAnsi"/>
            <w:lang w:val="fr-FR"/>
          </w:rPr>
          <w:t>La Cour constitutionnelle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Toc478218500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21</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1" w:history="1">
        <w:r w:rsidR="00163041" w:rsidRPr="005F28B2">
          <w:rPr>
            <w:rFonts w:eastAsiaTheme="minorHAnsi"/>
            <w:lang w:val="fr-FR"/>
          </w:rPr>
          <w:t>Les tribunaux judiciaires</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Toc478218501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21</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02"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La justice judiciaire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Toc478218502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21</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3" w:history="1">
        <w:r w:rsidR="00163041" w:rsidRPr="005F28B2">
          <w:rPr>
            <w:rFonts w:eastAsiaTheme="minorHAnsi"/>
            <w:lang w:val="fr-FR"/>
          </w:rPr>
          <w:t>La Cour de cassation</w:t>
        </w:r>
        <w:r w:rsidR="00163041" w:rsidRPr="005F28B2">
          <w:rPr>
            <w:rFonts w:eastAsiaTheme="minorHAnsi"/>
            <w:webHidden/>
            <w:rtl/>
            <w:lang w:val="fr-FR"/>
          </w:rPr>
          <w:tab/>
        </w:r>
        <w:r w:rsidR="00446841" w:rsidRPr="005F28B2">
          <w:rPr>
            <w:rFonts w:eastAsiaTheme="minorHAnsi"/>
            <w:webHidden/>
            <w:rtl/>
            <w:lang w:val="fr-FR"/>
          </w:rPr>
          <w:tab/>
        </w:r>
        <w:r w:rsidR="00E710BA" w:rsidRPr="005F28B2">
          <w:rPr>
            <w:rFonts w:eastAsiaTheme="minorHAnsi"/>
            <w:webHidden/>
            <w:rtl/>
            <w:lang w:val="fr-FR"/>
          </w:rPr>
          <w:t>21</w:t>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4" w:history="1">
        <w:r w:rsidR="00163041" w:rsidRPr="005F28B2">
          <w:rPr>
            <w:rFonts w:eastAsiaTheme="minorHAnsi"/>
            <w:lang w:val="fr-FR"/>
          </w:rPr>
          <w:t>Les cours d</w:t>
        </w:r>
        <w:r w:rsidRPr="005F28B2">
          <w:rPr>
            <w:rFonts w:eastAsiaTheme="minorHAnsi"/>
            <w:lang w:val="fr-FR"/>
          </w:rPr>
          <w:t>’</w:t>
        </w:r>
        <w:r w:rsidR="00163041" w:rsidRPr="005F28B2">
          <w:rPr>
            <w:rFonts w:eastAsiaTheme="minorHAnsi"/>
            <w:lang w:val="fr-FR"/>
          </w:rPr>
          <w:t>appel</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Toc478218504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22</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5" w:history="1">
        <w:r w:rsidR="00163041" w:rsidRPr="005F28B2">
          <w:rPr>
            <w:rFonts w:eastAsiaTheme="minorHAnsi"/>
            <w:lang w:val="fr-FR"/>
          </w:rPr>
          <w:t>Les tribunaux de première instance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Toc478218505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22</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6" w:history="1">
        <w:r w:rsidR="00163041" w:rsidRPr="005F28B2">
          <w:rPr>
            <w:rFonts w:eastAsiaTheme="minorHAnsi"/>
            <w:lang w:val="fr-FR"/>
          </w:rPr>
          <w:t>Les tribunaux cantonaux</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Toc478218506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23</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07" w:history="1">
        <w:r w:rsidR="00163041" w:rsidRPr="005F28B2">
          <w:rPr>
            <w:rFonts w:eastAsiaTheme="minorHAnsi"/>
            <w:lang w:val="fr-FR"/>
          </w:rPr>
          <w:t>Le tribunal immobilier</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Toc478218507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23</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08"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La justice administrative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Toc478218508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23</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09" w:history="1">
        <w:r w:rsidR="00E16237" w:rsidRPr="005F28B2">
          <w:rPr>
            <w:rFonts w:eastAsiaTheme="minorHAnsi"/>
            <w:lang w:val="fr-FR"/>
          </w:rPr>
          <w:tab/>
        </w:r>
        <w:r w:rsidR="00E16237" w:rsidRPr="005F28B2">
          <w:rPr>
            <w:rFonts w:eastAsiaTheme="minorHAnsi"/>
            <w:lang w:val="fr-FR"/>
          </w:rPr>
          <w:tab/>
        </w:r>
        <w:r w:rsidR="00E16237" w:rsidRPr="005F28B2">
          <w:rPr>
            <w:rFonts w:eastAsiaTheme="minorHAnsi"/>
            <w:lang w:val="fr-FR"/>
          </w:rPr>
          <w:tab/>
        </w:r>
        <w:r w:rsidR="00163041" w:rsidRPr="005F28B2">
          <w:rPr>
            <w:rFonts w:eastAsiaTheme="minorHAnsi"/>
            <w:rtl/>
            <w:lang w:val="fr-FR"/>
          </w:rPr>
          <w:tab/>
        </w:r>
        <w:r w:rsidR="00163041" w:rsidRPr="005F28B2">
          <w:rPr>
            <w:rFonts w:eastAsiaTheme="minorHAnsi"/>
            <w:lang w:val="fr-FR"/>
          </w:rPr>
          <w:t>Le Conseil des conflits de compétences</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Toc478218509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24</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10"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La justice financière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Toc478218510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24</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11" w:history="1">
        <w:r w:rsidR="00E16237" w:rsidRPr="005F28B2">
          <w:rPr>
            <w:rFonts w:eastAsiaTheme="minorHAnsi"/>
            <w:lang w:val="fr-FR"/>
          </w:rPr>
          <w:tab/>
        </w:r>
        <w:r w:rsidR="00E16237" w:rsidRPr="005F28B2">
          <w:rPr>
            <w:rFonts w:eastAsiaTheme="minorHAnsi"/>
            <w:lang w:val="fr-FR"/>
          </w:rPr>
          <w:tab/>
        </w:r>
        <w:r w:rsidR="00E16237" w:rsidRPr="005F28B2">
          <w:rPr>
            <w:rFonts w:eastAsiaTheme="minorHAnsi"/>
            <w:lang w:val="fr-FR"/>
          </w:rPr>
          <w:tab/>
        </w:r>
        <w:r w:rsidR="00163041" w:rsidRPr="005F28B2">
          <w:rPr>
            <w:rFonts w:eastAsiaTheme="minorHAnsi"/>
            <w:rtl/>
            <w:lang w:val="fr-FR"/>
          </w:rPr>
          <w:tab/>
        </w:r>
        <w:r w:rsidR="00163041" w:rsidRPr="005F28B2">
          <w:rPr>
            <w:rFonts w:eastAsiaTheme="minorHAnsi"/>
            <w:lang w:val="fr-FR"/>
          </w:rPr>
          <w:t>La justice militaire</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Toc478218511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24</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12" w:history="1">
        <w:r w:rsidR="00163041" w:rsidRPr="005F28B2">
          <w:rPr>
            <w:rFonts w:eastAsiaTheme="minorHAnsi"/>
            <w:lang w:val="fr-FR"/>
          </w:rPr>
          <w:t>Les instances non juridictionnelles</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Toc478218512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25</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r w:rsidRPr="005F28B2">
        <w:rPr>
          <w:rFonts w:eastAsiaTheme="minorHAnsi"/>
          <w:lang w:val="fr-FR"/>
        </w:rPr>
        <w:tab/>
      </w:r>
      <w:hyperlink w:anchor="_Toc478218513" w:history="1">
        <w:r w:rsidR="00163041" w:rsidRPr="005F28B2">
          <w:rPr>
            <w:rFonts w:eastAsiaTheme="minorHAnsi"/>
            <w:lang w:val="fr-FR"/>
          </w:rPr>
          <w:t>Le médiateur administratif</w:t>
        </w:r>
        <w:r w:rsidR="00163041" w:rsidRPr="005F28B2">
          <w:rPr>
            <w:rFonts w:eastAsiaTheme="minorHAnsi"/>
            <w:webHidden/>
            <w:rtl/>
            <w:lang w:val="fr-FR"/>
          </w:rPr>
          <w:tab/>
        </w:r>
        <w:r w:rsidR="004468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Toc478218513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26</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hyperlink w:anchor="_Toc478218514" w:history="1">
        <w:r w:rsidR="00163041" w:rsidRPr="005F28B2">
          <w:rPr>
            <w:rFonts w:eastAsiaTheme="minorHAnsi"/>
            <w:lang w:val="fr-FR"/>
          </w:rPr>
          <w:t>2.</w:t>
        </w:r>
        <w:r w:rsidR="00163041" w:rsidRPr="005F28B2">
          <w:rPr>
            <w:rFonts w:eastAsiaTheme="minorHAnsi"/>
            <w:rtl/>
            <w:lang w:val="fr-FR"/>
          </w:rPr>
          <w:tab/>
        </w:r>
        <w:r w:rsidR="00163041" w:rsidRPr="005F28B2">
          <w:rPr>
            <w:rFonts w:eastAsiaTheme="minorHAnsi"/>
            <w:lang w:val="fr-FR"/>
          </w:rPr>
          <w:t>Cadre général de la promotion des droits de l</w:t>
        </w:r>
        <w:r w:rsidRPr="005F28B2">
          <w:rPr>
            <w:rFonts w:eastAsiaTheme="minorHAnsi"/>
            <w:lang w:val="fr-FR"/>
          </w:rPr>
          <w:t>’</w:t>
        </w:r>
        <w:r w:rsidR="00163041" w:rsidRPr="005F28B2">
          <w:rPr>
            <w:rFonts w:eastAsiaTheme="minorHAnsi"/>
            <w:lang w:val="fr-FR"/>
          </w:rPr>
          <w:t>homme</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Toc478218514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26</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15"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Le rôle de l</w:t>
        </w:r>
        <w:r w:rsidR="00E16237" w:rsidRPr="005F28B2">
          <w:rPr>
            <w:rFonts w:eastAsiaTheme="minorHAnsi"/>
            <w:lang w:val="fr-FR"/>
          </w:rPr>
          <w:t>’</w:t>
        </w:r>
        <w:r w:rsidR="00163041" w:rsidRPr="005F28B2">
          <w:rPr>
            <w:rFonts w:eastAsiaTheme="minorHAnsi"/>
            <w:lang w:val="fr-FR"/>
          </w:rPr>
          <w:t>Assemblée des représentants du peuple</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Toc478218515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26</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16"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w:t>
        </w:r>
        <w:r w:rsidR="00E16237" w:rsidRPr="005F28B2">
          <w:rPr>
            <w:rFonts w:eastAsiaTheme="minorHAnsi"/>
            <w:lang w:val="fr-FR"/>
          </w:rPr>
          <w:t>’</w:t>
        </w:r>
        <w:r w:rsidR="00163041" w:rsidRPr="005F28B2">
          <w:rPr>
            <w:rFonts w:eastAsiaTheme="minorHAnsi"/>
            <w:lang w:val="fr-FR"/>
          </w:rPr>
          <w:t>instance nationale des droits de l</w:t>
        </w:r>
        <w:r w:rsidR="00E16237" w:rsidRPr="005F28B2">
          <w:rPr>
            <w:rFonts w:eastAsiaTheme="minorHAnsi"/>
            <w:lang w:val="fr-FR"/>
          </w:rPr>
          <w:t>’</w:t>
        </w:r>
        <w:r w:rsidR="00163041" w:rsidRPr="005F28B2">
          <w:rPr>
            <w:rFonts w:eastAsiaTheme="minorHAnsi"/>
            <w:lang w:val="fr-FR"/>
          </w:rPr>
          <w:t xml:space="preserve">homme : le Comité des droits de </w:t>
        </w:r>
        <w:r w:rsidR="00D14DB4" w:rsidRPr="005F28B2">
          <w:rPr>
            <w:rFonts w:eastAsiaTheme="minorHAnsi"/>
            <w:lang w:val="fr-FR"/>
          </w:rPr>
          <w:t>l’</w:t>
        </w:r>
        <w:r w:rsidR="005F28B2" w:rsidRPr="005F28B2">
          <w:rPr>
            <w:rFonts w:eastAsiaTheme="minorHAnsi"/>
            <w:lang w:val="fr-FR"/>
          </w:rPr>
          <w:t>H</w:t>
        </w:r>
        <w:r w:rsidR="00D14DB4" w:rsidRPr="005F28B2">
          <w:rPr>
            <w:rFonts w:eastAsiaTheme="minorHAnsi"/>
            <w:lang w:val="fr-FR"/>
          </w:rPr>
          <w:t>omme</w:t>
        </w:r>
        <w:r w:rsidR="00163041" w:rsidRPr="005F28B2">
          <w:rPr>
            <w:rFonts w:eastAsiaTheme="minorHAnsi"/>
            <w:lang w:val="fr-FR"/>
          </w:rPr>
          <w:t>.</w:t>
        </w:r>
        <w:r w:rsidR="00163041" w:rsidRPr="005F28B2">
          <w:rPr>
            <w:rFonts w:eastAsiaTheme="minorHAnsi"/>
            <w:lang w:val="fr-FR"/>
          </w:rPr>
          <w:tab/>
        </w:r>
        <w:r w:rsidR="00163041"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Toc478218516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27</w:t>
        </w:r>
        <w:r w:rsidR="00623DFB" w:rsidRPr="005F28B2">
          <w:rPr>
            <w:rFonts w:eastAsiaTheme="minorHAnsi"/>
            <w:webHidden/>
            <w:rtl/>
            <w:lang w:val="fr-FR"/>
          </w:rPr>
          <w:fldChar w:fldCharType="end"/>
        </w:r>
      </w:hyperlink>
    </w:p>
    <w:p w:rsidR="007A27BA" w:rsidRPr="005F28B2" w:rsidRDefault="00911703" w:rsidP="000D1F54">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ind w:left="1559" w:hanging="1559"/>
        <w:rPr>
          <w:rFonts w:eastAsiaTheme="minorHAnsi"/>
          <w:rtl/>
          <w:lang w:val="fr-FR"/>
        </w:rPr>
      </w:pPr>
      <w:hyperlink w:anchor="_Toc478218517"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La diffusion de la culture des droits de l</w:t>
        </w:r>
        <w:r w:rsidR="00E16237" w:rsidRPr="005F28B2">
          <w:rPr>
            <w:rFonts w:eastAsiaTheme="minorHAnsi"/>
            <w:lang w:val="fr-FR"/>
          </w:rPr>
          <w:t>’</w:t>
        </w:r>
        <w:r w:rsidR="00163041" w:rsidRPr="005F28B2">
          <w:rPr>
            <w:rFonts w:eastAsiaTheme="minorHAnsi"/>
            <w:lang w:val="fr-FR"/>
          </w:rPr>
          <w:t xml:space="preserve">homme et des instruments internationaux </w:t>
        </w:r>
        <w:r w:rsidR="00446841" w:rsidRPr="005F28B2">
          <w:rPr>
            <w:rFonts w:eastAsiaTheme="minorHAnsi"/>
            <w:lang w:val="fr-FR"/>
          </w:rPr>
          <w:br/>
        </w:r>
        <w:r w:rsidR="00163041" w:rsidRPr="005F28B2">
          <w:rPr>
            <w:rFonts w:eastAsiaTheme="minorHAnsi"/>
            <w:lang w:val="fr-FR"/>
          </w:rPr>
          <w:t>pertinents</w:t>
        </w:r>
        <w:r w:rsidR="00163041" w:rsidRPr="005F28B2">
          <w:rPr>
            <w:rFonts w:eastAsiaTheme="minorHAnsi"/>
            <w:webHidden/>
            <w:rtl/>
            <w:lang w:val="fr-FR"/>
          </w:rPr>
          <w:tab/>
        </w:r>
        <w:r w:rsidR="00A46C27"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Toc478218517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27</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18" w:history="1">
        <w:r w:rsidR="00E16237" w:rsidRPr="005F28B2">
          <w:rPr>
            <w:rFonts w:eastAsiaTheme="minorHAnsi"/>
            <w:lang w:val="fr-FR"/>
          </w:rPr>
          <w:tab/>
        </w:r>
        <w:r w:rsidR="00E16237" w:rsidRPr="005F28B2">
          <w:rPr>
            <w:rFonts w:eastAsiaTheme="minorHAnsi"/>
            <w:lang w:val="fr-FR"/>
          </w:rPr>
          <w:tab/>
        </w:r>
        <w:r w:rsidR="00163041" w:rsidRPr="005F28B2">
          <w:rPr>
            <w:rFonts w:eastAsiaTheme="minorHAnsi"/>
            <w:rtl/>
            <w:lang w:val="fr-FR"/>
          </w:rPr>
          <w:tab/>
        </w:r>
        <w:r w:rsidR="00163041" w:rsidRPr="005F28B2">
          <w:rPr>
            <w:rFonts w:eastAsiaTheme="minorHAnsi"/>
            <w:lang w:val="fr-FR"/>
          </w:rPr>
          <w:t>Le processus d</w:t>
        </w:r>
        <w:r w:rsidR="00E16237" w:rsidRPr="005F28B2">
          <w:rPr>
            <w:rFonts w:eastAsiaTheme="minorHAnsi"/>
            <w:lang w:val="fr-FR"/>
          </w:rPr>
          <w:t>’</w:t>
        </w:r>
        <w:r w:rsidR="00163041" w:rsidRPr="005F28B2">
          <w:rPr>
            <w:rFonts w:eastAsiaTheme="minorHAnsi"/>
            <w:lang w:val="fr-FR"/>
          </w:rPr>
          <w:t>établissement des rapports</w:t>
        </w:r>
        <w:r w:rsidR="00163041" w:rsidRPr="005F28B2">
          <w:rPr>
            <w:rFonts w:eastAsiaTheme="minorHAnsi"/>
            <w:webHidden/>
            <w:rtl/>
            <w:lang w:val="fr-FR"/>
          </w:rPr>
          <w:tab/>
        </w:r>
        <w:r w:rsidR="00163041" w:rsidRPr="005F28B2">
          <w:rPr>
            <w:rFonts w:eastAsiaTheme="minorHAnsi"/>
            <w:webHidden/>
            <w:lang w:val="fr-FR"/>
          </w:rPr>
          <w:tab/>
        </w:r>
        <w:r w:rsidR="00E710BA" w:rsidRPr="005F28B2">
          <w:rPr>
            <w:rFonts w:eastAsiaTheme="minorHAnsi"/>
            <w:webHidden/>
            <w:rtl/>
            <w:lang w:val="fr-FR"/>
          </w:rPr>
          <w:t>29</w:t>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19"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Autres informations</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Toc478218519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31</w:t>
        </w:r>
        <w:r w:rsidR="00623DFB" w:rsidRPr="005F28B2">
          <w:rPr>
            <w:rFonts w:eastAsiaTheme="minorHAnsi"/>
            <w:webHidden/>
            <w:rtl/>
            <w:lang w:val="fr-FR"/>
          </w:rPr>
          <w:fldChar w:fldCharType="end"/>
        </w:r>
      </w:hyperlink>
    </w:p>
    <w:p w:rsidR="007A27BA" w:rsidRPr="005F28B2" w:rsidRDefault="00F06941" w:rsidP="00F06941">
      <w:pPr>
        <w:tabs>
          <w:tab w:val="right" w:pos="850"/>
          <w:tab w:val="left" w:pos="1134"/>
          <w:tab w:val="left" w:pos="1559"/>
          <w:tab w:val="left" w:pos="1984"/>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hyperlink w:anchor="_Toc478218520" w:history="1">
        <w:r w:rsidR="00163041" w:rsidRPr="005F28B2">
          <w:rPr>
            <w:rFonts w:eastAsiaTheme="minorHAnsi"/>
            <w:lang w:val="fr-FR"/>
          </w:rPr>
          <w:t>III.</w:t>
        </w:r>
        <w:r w:rsidR="00163041" w:rsidRPr="005F28B2">
          <w:rPr>
            <w:rFonts w:eastAsiaTheme="minorHAnsi"/>
            <w:rtl/>
            <w:lang w:val="fr-FR"/>
          </w:rPr>
          <w:tab/>
        </w:r>
        <w:r w:rsidR="00163041" w:rsidRPr="005F28B2">
          <w:rPr>
            <w:rFonts w:eastAsiaTheme="minorHAnsi"/>
            <w:lang w:val="fr-FR"/>
          </w:rPr>
          <w:t>Égalité et non-discrimination</w:t>
        </w:r>
        <w:r w:rsidR="00163041" w:rsidRPr="005F28B2">
          <w:rPr>
            <w:rFonts w:eastAsiaTheme="minorHAnsi"/>
            <w:webHidden/>
            <w:rtl/>
            <w:lang w:val="fr-FR"/>
          </w:rPr>
          <w:tab/>
        </w:r>
        <w:r w:rsidRPr="005F28B2">
          <w:rPr>
            <w:rFonts w:eastAsiaTheme="minorHAnsi"/>
            <w:webHidden/>
            <w:rtl/>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Toc478218520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31</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hyperlink w:anchor="_Toc478218521" w:history="1">
        <w:r w:rsidR="00163041" w:rsidRPr="005F28B2">
          <w:rPr>
            <w:rFonts w:eastAsiaTheme="minorHAnsi"/>
            <w:lang w:val="fr-FR"/>
          </w:rPr>
          <w:t>1.</w:t>
        </w:r>
        <w:r w:rsidR="00163041" w:rsidRPr="005F28B2">
          <w:rPr>
            <w:rFonts w:eastAsiaTheme="minorHAnsi"/>
            <w:rtl/>
            <w:lang w:val="fr-FR"/>
          </w:rPr>
          <w:tab/>
        </w:r>
        <w:r w:rsidR="00163041" w:rsidRPr="005F28B2">
          <w:rPr>
            <w:rFonts w:eastAsiaTheme="minorHAnsi"/>
            <w:lang w:val="fr-FR"/>
          </w:rPr>
          <w:t>Égalité et non-discrimination dans la Constitution de 2014</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Toc478218521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31</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hyperlink w:anchor="_Toc478218522" w:history="1">
        <w:r w:rsidR="00163041" w:rsidRPr="005F28B2">
          <w:rPr>
            <w:rFonts w:eastAsiaTheme="minorHAnsi"/>
            <w:lang w:val="fr-FR"/>
          </w:rPr>
          <w:t>2.</w:t>
        </w:r>
        <w:r w:rsidR="00163041" w:rsidRPr="005F28B2">
          <w:rPr>
            <w:rFonts w:eastAsiaTheme="minorHAnsi"/>
            <w:rtl/>
            <w:lang w:val="fr-FR"/>
          </w:rPr>
          <w:tab/>
        </w:r>
        <w:r w:rsidR="00163041" w:rsidRPr="005F28B2">
          <w:rPr>
            <w:rFonts w:eastAsiaTheme="minorHAnsi"/>
            <w:lang w:val="fr-FR"/>
          </w:rPr>
          <w:t>Instruments internationaux adoptés en matière d</w:t>
        </w:r>
        <w:r w:rsidRPr="005F28B2">
          <w:rPr>
            <w:rFonts w:eastAsiaTheme="minorHAnsi"/>
            <w:lang w:val="fr-FR"/>
          </w:rPr>
          <w:t>’</w:t>
        </w:r>
        <w:r w:rsidR="00163041" w:rsidRPr="005F28B2">
          <w:rPr>
            <w:rFonts w:eastAsiaTheme="minorHAnsi"/>
            <w:lang w:val="fr-FR"/>
          </w:rPr>
          <w:t>égalité des sexes</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Toc478218522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32</w:t>
        </w:r>
        <w:r w:rsidR="00623DFB" w:rsidRPr="005F28B2">
          <w:rPr>
            <w:rFonts w:eastAsiaTheme="minorHAnsi"/>
            <w:webHidden/>
            <w:rtl/>
            <w:lang w:val="fr-FR"/>
          </w:rPr>
          <w:fldChar w:fldCharType="end"/>
        </w:r>
      </w:hyperlink>
    </w:p>
    <w:p w:rsidR="007A27BA" w:rsidRPr="005F28B2" w:rsidRDefault="00E16237"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r w:rsidRPr="005F28B2">
        <w:rPr>
          <w:rFonts w:eastAsiaTheme="minorHAnsi"/>
          <w:lang w:val="fr-FR"/>
        </w:rPr>
        <w:tab/>
      </w:r>
      <w:r w:rsidRPr="005F28B2">
        <w:rPr>
          <w:rFonts w:eastAsiaTheme="minorHAnsi"/>
          <w:lang w:val="fr-FR"/>
        </w:rPr>
        <w:tab/>
      </w:r>
      <w:hyperlink w:anchor="_Toc478218523" w:history="1">
        <w:r w:rsidR="00163041" w:rsidRPr="005F28B2">
          <w:rPr>
            <w:rFonts w:eastAsiaTheme="minorHAnsi"/>
            <w:lang w:val="fr-FR"/>
          </w:rPr>
          <w:t>3.</w:t>
        </w:r>
        <w:r w:rsidR="00163041" w:rsidRPr="005F28B2">
          <w:rPr>
            <w:rFonts w:eastAsiaTheme="minorHAnsi"/>
            <w:rtl/>
            <w:lang w:val="fr-FR"/>
          </w:rPr>
          <w:tab/>
        </w:r>
        <w:r w:rsidR="00163041" w:rsidRPr="005F28B2">
          <w:rPr>
            <w:rFonts w:eastAsiaTheme="minorHAnsi"/>
            <w:lang w:val="fr-FR"/>
          </w:rPr>
          <w:t>Législation nationale relative à l</w:t>
        </w:r>
        <w:r w:rsidRPr="005F28B2">
          <w:rPr>
            <w:rFonts w:eastAsiaTheme="minorHAnsi"/>
            <w:lang w:val="fr-FR"/>
          </w:rPr>
          <w:t>’</w:t>
        </w:r>
        <w:r w:rsidR="00163041" w:rsidRPr="005F28B2">
          <w:rPr>
            <w:rFonts w:eastAsiaTheme="minorHAnsi"/>
            <w:lang w:val="fr-FR"/>
          </w:rPr>
          <w:t>égalité des sexes</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Toc478218523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32</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24"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Participation des femmes au pouvoir exécutif</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Toc478218524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35</w:t>
        </w:r>
        <w:r w:rsidR="00623DFB" w:rsidRPr="005F28B2">
          <w:rPr>
            <w:rFonts w:eastAsiaTheme="minorHAnsi"/>
            <w:webHidden/>
            <w:rtl/>
            <w:lang w:val="fr-FR"/>
          </w:rPr>
          <w:fldChar w:fldCharType="end"/>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25" w:history="1">
        <w:r w:rsidR="00163041" w:rsidRPr="005F28B2">
          <w:rPr>
            <w:rFonts w:eastAsiaTheme="minorHAnsi"/>
            <w:rtl/>
            <w:lang w:val="fr-FR"/>
          </w:rPr>
          <w:tab/>
        </w:r>
        <w:r w:rsidR="00E16237" w:rsidRPr="005F28B2">
          <w:rPr>
            <w:rFonts w:eastAsiaTheme="minorHAnsi"/>
            <w:rtl/>
            <w:lang w:val="fr-FR"/>
          </w:rPr>
          <w:tab/>
        </w:r>
        <w:r w:rsidR="00E16237" w:rsidRPr="005F28B2">
          <w:rPr>
            <w:rFonts w:eastAsiaTheme="minorHAnsi"/>
            <w:rtl/>
            <w:lang w:val="fr-FR"/>
          </w:rPr>
          <w:tab/>
        </w:r>
        <w:r w:rsidR="00163041" w:rsidRPr="005F28B2">
          <w:rPr>
            <w:rFonts w:eastAsiaTheme="minorHAnsi"/>
            <w:lang w:val="fr-FR"/>
          </w:rPr>
          <w:t>Participation des femmes au pouvoir législatif</w:t>
        </w:r>
        <w:r w:rsidR="00163041" w:rsidRPr="005F28B2">
          <w:rPr>
            <w:rFonts w:eastAsiaTheme="minorHAnsi"/>
            <w:webHidden/>
            <w:rtl/>
            <w:lang w:val="fr-FR"/>
          </w:rPr>
          <w:tab/>
        </w:r>
        <w:r w:rsidR="00163041" w:rsidRPr="005F28B2">
          <w:rPr>
            <w:rFonts w:eastAsiaTheme="minorHAnsi"/>
            <w:webHidden/>
            <w:lang w:val="fr-FR"/>
          </w:rPr>
          <w:tab/>
        </w:r>
        <w:r w:rsidR="00E710BA" w:rsidRPr="005F28B2">
          <w:rPr>
            <w:rFonts w:eastAsiaTheme="minorHAnsi"/>
            <w:webHidden/>
            <w:rtl/>
            <w:lang w:val="fr-FR"/>
          </w:rPr>
          <w:t>35</w:t>
        </w:r>
      </w:hyperlink>
    </w:p>
    <w:p w:rsidR="007A27BA" w:rsidRPr="005F28B2" w:rsidRDefault="00911703" w:rsidP="00E16237">
      <w:pPr>
        <w:tabs>
          <w:tab w:val="right" w:pos="850"/>
          <w:tab w:val="left" w:pos="1134"/>
          <w:tab w:val="left" w:pos="1559"/>
          <w:tab w:val="left" w:pos="1984"/>
          <w:tab w:val="left" w:pos="2410"/>
          <w:tab w:val="left" w:leader="dot" w:pos="8929"/>
          <w:tab w:val="right" w:pos="9638"/>
        </w:tabs>
        <w:kinsoku w:val="0"/>
        <w:overflowPunct w:val="0"/>
        <w:autoSpaceDE w:val="0"/>
        <w:autoSpaceDN w:val="0"/>
        <w:adjustRightInd w:val="0"/>
        <w:snapToGrid w:val="0"/>
        <w:spacing w:after="120"/>
        <w:rPr>
          <w:rFonts w:eastAsiaTheme="minorHAnsi"/>
          <w:rtl/>
          <w:lang w:val="fr-FR"/>
        </w:rPr>
      </w:pPr>
      <w:hyperlink w:anchor="_Toc478218526" w:history="1">
        <w:r w:rsidR="00E16237" w:rsidRPr="005F28B2">
          <w:rPr>
            <w:rFonts w:eastAsiaTheme="minorHAnsi"/>
            <w:lang w:val="fr-FR"/>
          </w:rPr>
          <w:tab/>
        </w:r>
        <w:r w:rsidR="00E16237" w:rsidRPr="005F28B2">
          <w:rPr>
            <w:rFonts w:eastAsiaTheme="minorHAnsi"/>
            <w:lang w:val="fr-FR"/>
          </w:rPr>
          <w:tab/>
        </w:r>
        <w:r w:rsidR="00163041" w:rsidRPr="005F28B2">
          <w:rPr>
            <w:rFonts w:eastAsiaTheme="minorHAnsi"/>
            <w:rtl/>
            <w:lang w:val="fr-FR"/>
          </w:rPr>
          <w:tab/>
        </w:r>
        <w:r w:rsidR="00163041" w:rsidRPr="005F28B2">
          <w:rPr>
            <w:rFonts w:eastAsiaTheme="minorHAnsi"/>
            <w:lang w:val="fr-FR"/>
          </w:rPr>
          <w:t>Participation des femmes au pouvoir judiciaire</w:t>
        </w:r>
        <w:r w:rsidR="00163041" w:rsidRPr="005F28B2">
          <w:rPr>
            <w:rFonts w:eastAsiaTheme="minorHAnsi"/>
            <w:webHidden/>
            <w:rtl/>
            <w:lang w:val="fr-FR"/>
          </w:rPr>
          <w:tab/>
        </w:r>
        <w:r w:rsidR="00163041" w:rsidRPr="005F28B2">
          <w:rPr>
            <w:rFonts w:eastAsiaTheme="minorHAnsi"/>
            <w:webHidden/>
            <w:lang w:val="fr-FR"/>
          </w:rPr>
          <w:tab/>
        </w:r>
        <w:r w:rsidR="00623DFB" w:rsidRPr="005F28B2">
          <w:rPr>
            <w:rFonts w:eastAsiaTheme="minorHAnsi"/>
            <w:webHidden/>
            <w:rtl/>
            <w:lang w:val="fr-FR"/>
          </w:rPr>
          <w:fldChar w:fldCharType="begin"/>
        </w:r>
        <w:r w:rsidR="00163041" w:rsidRPr="005F28B2">
          <w:rPr>
            <w:rFonts w:eastAsiaTheme="minorHAnsi"/>
            <w:webHidden/>
            <w:rtl/>
            <w:lang w:val="fr-FR"/>
          </w:rPr>
          <w:instrText xml:space="preserve"> </w:instrText>
        </w:r>
        <w:r w:rsidR="00163041" w:rsidRPr="005F28B2">
          <w:rPr>
            <w:rFonts w:eastAsiaTheme="minorHAnsi"/>
            <w:webHidden/>
            <w:lang w:val="fr-FR"/>
          </w:rPr>
          <w:instrText>PAGEREF</w:instrText>
        </w:r>
        <w:r w:rsidR="00163041" w:rsidRPr="005F28B2">
          <w:rPr>
            <w:rFonts w:eastAsiaTheme="minorHAnsi"/>
            <w:webHidden/>
            <w:rtl/>
            <w:lang w:val="fr-FR"/>
          </w:rPr>
          <w:instrText xml:space="preserve"> _</w:instrText>
        </w:r>
        <w:r w:rsidR="00163041" w:rsidRPr="005F28B2">
          <w:rPr>
            <w:rFonts w:eastAsiaTheme="minorHAnsi"/>
            <w:webHidden/>
            <w:lang w:val="fr-FR"/>
          </w:rPr>
          <w:instrText>Toc478218526 \h</w:instrText>
        </w:r>
        <w:r w:rsidR="00163041" w:rsidRPr="005F28B2">
          <w:rPr>
            <w:rFonts w:eastAsiaTheme="minorHAnsi"/>
            <w:webHidden/>
            <w:rtl/>
            <w:lang w:val="fr-FR"/>
          </w:rPr>
          <w:instrText xml:space="preserve"> </w:instrText>
        </w:r>
        <w:r w:rsidR="00623DFB" w:rsidRPr="005F28B2">
          <w:rPr>
            <w:rFonts w:eastAsiaTheme="minorHAnsi"/>
            <w:webHidden/>
            <w:rtl/>
            <w:lang w:val="fr-FR"/>
          </w:rPr>
        </w:r>
        <w:r w:rsidR="00623DFB" w:rsidRPr="005F28B2">
          <w:rPr>
            <w:rFonts w:eastAsiaTheme="minorHAnsi"/>
            <w:webHidden/>
            <w:rtl/>
            <w:lang w:val="fr-FR"/>
          </w:rPr>
          <w:fldChar w:fldCharType="separate"/>
        </w:r>
        <w:r w:rsidR="00C11212">
          <w:rPr>
            <w:rFonts w:eastAsiaTheme="minorHAnsi"/>
            <w:noProof/>
            <w:webHidden/>
            <w:lang w:val="fr-FR"/>
          </w:rPr>
          <w:t>36</w:t>
        </w:r>
        <w:r w:rsidR="00623DFB" w:rsidRPr="005F28B2">
          <w:rPr>
            <w:rFonts w:eastAsiaTheme="minorHAnsi"/>
            <w:webHidden/>
            <w:rtl/>
            <w:lang w:val="fr-FR"/>
          </w:rPr>
          <w:fldChar w:fldCharType="end"/>
        </w:r>
      </w:hyperlink>
    </w:p>
    <w:p w:rsidR="009052AE" w:rsidRPr="005F28B2" w:rsidRDefault="00163041" w:rsidP="00E459A2">
      <w:pPr>
        <w:pStyle w:val="SingleTxtG"/>
        <w:rPr>
          <w:rtl/>
          <w:lang w:val="fr-FR" w:bidi="fr-FR"/>
        </w:rPr>
      </w:pPr>
      <w:r w:rsidRPr="005F28B2">
        <w:rPr>
          <w:lang w:val="fr-FR" w:bidi="ar-TN"/>
        </w:rPr>
        <w:br w:type="page"/>
      </w:r>
      <w:r w:rsidRPr="005F28B2">
        <w:rPr>
          <w:lang w:val="fr-FR" w:bidi="ar-TN"/>
        </w:rPr>
        <w:lastRenderedPageBreak/>
        <w:tab/>
        <w:t>La Tunisie soumet le présent rapport dans le cadre de la mise à jour du document de base commun déposé auprès du Secrétaire général de l</w:t>
      </w:r>
      <w:r w:rsidR="00E16237" w:rsidRPr="005F28B2">
        <w:rPr>
          <w:lang w:val="fr-FR" w:bidi="ar-TN"/>
        </w:rPr>
        <w:t>’</w:t>
      </w:r>
      <w:r w:rsidRPr="005F28B2">
        <w:rPr>
          <w:lang w:val="fr-FR" w:bidi="ar-TN"/>
        </w:rPr>
        <w:t>Organisation des Nations Unie</w:t>
      </w:r>
      <w:r w:rsidR="00A94F8D" w:rsidRPr="005F28B2">
        <w:rPr>
          <w:lang w:val="fr-FR" w:bidi="ar-TN"/>
        </w:rPr>
        <w:t>s le 8 </w:t>
      </w:r>
      <w:r w:rsidRPr="005F28B2">
        <w:rPr>
          <w:lang w:val="fr-FR" w:bidi="ar-TN"/>
        </w:rPr>
        <w:t>juin 1994 (n</w:t>
      </w:r>
      <w:r w:rsidR="00C24D3E" w:rsidRPr="005F28B2">
        <w:rPr>
          <w:vertAlign w:val="superscript"/>
          <w:lang w:val="fr-FR" w:bidi="ar-TN"/>
        </w:rPr>
        <w:t>o</w:t>
      </w:r>
      <w:r w:rsidR="00D22E11" w:rsidRPr="005F28B2">
        <w:rPr>
          <w:lang w:val="fr-FR" w:bidi="ar-TN"/>
        </w:rPr>
        <w:t> </w:t>
      </w:r>
      <w:r w:rsidRPr="005F28B2">
        <w:rPr>
          <w:lang w:val="fr-FR" w:bidi="ar-TN"/>
        </w:rPr>
        <w:t>46) à la lumière des changements subis par le pays après la révolution (</w:t>
      </w:r>
      <w:r w:rsidR="00A94F8D" w:rsidRPr="005F28B2">
        <w:rPr>
          <w:lang w:val="fr-FR" w:bidi="ar-TN"/>
        </w:rPr>
        <w:t>17 </w:t>
      </w:r>
      <w:r w:rsidRPr="005F28B2">
        <w:rPr>
          <w:lang w:val="fr-FR" w:bidi="ar-TN"/>
        </w:rPr>
        <w:t>décembre14 janvier 2011) et suite aux rapports périodiques présentés aux organes conventionnels et au Conseil des droits de l</w:t>
      </w:r>
      <w:r w:rsidR="00E16237" w:rsidRPr="005F28B2">
        <w:rPr>
          <w:lang w:val="fr-FR" w:bidi="ar-TN"/>
        </w:rPr>
        <w:t>’</w:t>
      </w:r>
      <w:r w:rsidRPr="005F28B2">
        <w:rPr>
          <w:lang w:val="fr-FR" w:bidi="ar-TN"/>
        </w:rPr>
        <w:t>homme</w:t>
      </w:r>
      <w:r w:rsidR="00E16237" w:rsidRPr="005F28B2">
        <w:rPr>
          <w:lang w:val="fr-FR" w:bidi="ar-TN"/>
        </w:rPr>
        <w:t>,</w:t>
      </w:r>
      <w:r w:rsidRPr="005F28B2">
        <w:rPr>
          <w:lang w:val="fr-FR" w:bidi="ar-TN"/>
        </w:rPr>
        <w:t xml:space="preserve"> aux visites sur le terrain effectuées par des rapporteurs spéciaux et des groupes de travail en Tunisie et à leurs recommandations au sujet de la mise en œuvre effective des instruments internationaux relatifs aux droits de l</w:t>
      </w:r>
      <w:r w:rsidR="00E16237" w:rsidRPr="005F28B2">
        <w:rPr>
          <w:lang w:val="fr-FR" w:bidi="ar-TN"/>
        </w:rPr>
        <w:t>’</w:t>
      </w:r>
      <w:r w:rsidRPr="005F28B2">
        <w:rPr>
          <w:lang w:val="fr-FR" w:bidi="ar-TN"/>
        </w:rPr>
        <w:t xml:space="preserve">homme. </w:t>
      </w:r>
    </w:p>
    <w:p w:rsidR="009052AE" w:rsidRPr="005F28B2" w:rsidRDefault="00163041" w:rsidP="00E459A2">
      <w:pPr>
        <w:pStyle w:val="SingleTxtG"/>
        <w:rPr>
          <w:rtl/>
          <w:lang w:val="fr-FR" w:bidi="fr-FR"/>
        </w:rPr>
      </w:pPr>
      <w:r w:rsidRPr="005F28B2">
        <w:rPr>
          <w:lang w:val="fr-FR" w:bidi="ar-TN"/>
        </w:rPr>
        <w:tab/>
        <w:t>Le présent rapport remplace le précédent document de base commun. Il est déposé auprès du Secrétaire général de l</w:t>
      </w:r>
      <w:r w:rsidR="00E16237" w:rsidRPr="005F28B2">
        <w:rPr>
          <w:lang w:val="fr-FR" w:bidi="ar-TN"/>
        </w:rPr>
        <w:t>’</w:t>
      </w:r>
      <w:r w:rsidRPr="005F28B2">
        <w:rPr>
          <w:lang w:val="fr-FR" w:bidi="ar-TN"/>
        </w:rPr>
        <w:t xml:space="preserve">Organisation des Nations Unies. </w:t>
      </w:r>
    </w:p>
    <w:p w:rsidR="009052AE" w:rsidRPr="005F28B2" w:rsidRDefault="00163041" w:rsidP="00E459A2">
      <w:pPr>
        <w:pStyle w:val="HChG"/>
        <w:rPr>
          <w:rtl/>
          <w:lang w:val="fr-FR" w:bidi="fr-FR"/>
        </w:rPr>
      </w:pPr>
      <w:r w:rsidRPr="005F28B2">
        <w:rPr>
          <w:lang w:val="fr-FR"/>
        </w:rPr>
        <w:tab/>
      </w:r>
      <w:bookmarkStart w:id="0" w:name="_Toc478218475"/>
      <w:r w:rsidR="00E459A2" w:rsidRPr="005F28B2">
        <w:rPr>
          <w:lang w:val="fr-FR"/>
        </w:rPr>
        <w:t>I.</w:t>
      </w:r>
      <w:r w:rsidRPr="005F28B2">
        <w:rPr>
          <w:lang w:val="fr-FR"/>
        </w:rPr>
        <w:tab/>
        <w:t>Renseignements d</w:t>
      </w:r>
      <w:r w:rsidR="00E16237" w:rsidRPr="005F28B2">
        <w:rPr>
          <w:lang w:val="fr-FR"/>
        </w:rPr>
        <w:t>’</w:t>
      </w:r>
      <w:r w:rsidRPr="005F28B2">
        <w:rPr>
          <w:lang w:val="fr-FR"/>
        </w:rPr>
        <w:t>ordre général</w:t>
      </w:r>
      <w:bookmarkEnd w:id="0"/>
    </w:p>
    <w:p w:rsidR="009052AE" w:rsidRPr="005F28B2" w:rsidRDefault="00163041" w:rsidP="00E459A2">
      <w:pPr>
        <w:pStyle w:val="H1G"/>
        <w:rPr>
          <w:rtl/>
          <w:lang w:val="fr-FR" w:bidi="fr-FR"/>
        </w:rPr>
      </w:pPr>
      <w:r w:rsidRPr="005F28B2">
        <w:rPr>
          <w:lang w:val="fr-FR"/>
        </w:rPr>
        <w:tab/>
      </w:r>
      <w:bookmarkStart w:id="1" w:name="_Toc478218476"/>
      <w:r w:rsidRPr="005F28B2">
        <w:rPr>
          <w:lang w:val="fr-FR"/>
        </w:rPr>
        <w:t>1.</w:t>
      </w:r>
      <w:r w:rsidRPr="005F28B2">
        <w:rPr>
          <w:lang w:val="fr-FR"/>
        </w:rPr>
        <w:tab/>
        <w:t>Rappel historique</w:t>
      </w:r>
      <w:bookmarkEnd w:id="1"/>
    </w:p>
    <w:p w:rsidR="009052AE" w:rsidRPr="005F28B2" w:rsidRDefault="00163041" w:rsidP="00E459A2">
      <w:pPr>
        <w:pStyle w:val="SingleTxtG"/>
        <w:rPr>
          <w:lang w:val="fr-FR"/>
        </w:rPr>
      </w:pPr>
      <w:r w:rsidRPr="005F28B2">
        <w:rPr>
          <w:lang w:val="fr-FR"/>
        </w:rPr>
        <w:t>1.</w:t>
      </w:r>
      <w:r w:rsidRPr="005F28B2">
        <w:rPr>
          <w:lang w:val="fr-FR"/>
        </w:rPr>
        <w:tab/>
      </w:r>
      <w:r w:rsidRPr="005F28B2">
        <w:rPr>
          <w:lang w:val="fr-FR" w:bidi="ar-TN"/>
        </w:rPr>
        <w:t>La Tunisie est un État libre</w:t>
      </w:r>
      <w:r w:rsidR="00E16237" w:rsidRPr="005F28B2">
        <w:rPr>
          <w:lang w:val="fr-FR" w:bidi="ar-TN"/>
        </w:rPr>
        <w:t>,</w:t>
      </w:r>
      <w:r w:rsidRPr="005F28B2">
        <w:rPr>
          <w:lang w:val="fr-FR" w:bidi="ar-TN"/>
        </w:rPr>
        <w:t xml:space="preserve"> indépendant et souverain</w:t>
      </w:r>
      <w:r w:rsidR="00E16237" w:rsidRPr="005F28B2">
        <w:rPr>
          <w:lang w:val="fr-FR" w:bidi="ar-TN"/>
        </w:rPr>
        <w:t>,</w:t>
      </w:r>
      <w:r w:rsidRPr="005F28B2">
        <w:rPr>
          <w:lang w:val="fr-FR" w:bidi="ar-TN"/>
        </w:rPr>
        <w:t xml:space="preserve"> l</w:t>
      </w:r>
      <w:r w:rsidR="00E16237" w:rsidRPr="005F28B2">
        <w:rPr>
          <w:lang w:val="fr-FR" w:bidi="ar-TN"/>
        </w:rPr>
        <w:t>’</w:t>
      </w:r>
      <w:r w:rsidRPr="005F28B2">
        <w:rPr>
          <w:lang w:val="fr-FR" w:bidi="ar-TN"/>
        </w:rPr>
        <w:t>Islam est sa religion</w:t>
      </w:r>
      <w:r w:rsidR="00E16237" w:rsidRPr="005F28B2">
        <w:rPr>
          <w:lang w:val="fr-FR" w:bidi="ar-TN"/>
        </w:rPr>
        <w:t>,</w:t>
      </w:r>
      <w:r w:rsidRPr="005F28B2">
        <w:rPr>
          <w:lang w:val="fr-FR" w:bidi="ar-TN"/>
        </w:rPr>
        <w:t xml:space="preserve"> l</w:t>
      </w:r>
      <w:r w:rsidR="00E16237" w:rsidRPr="005F28B2">
        <w:rPr>
          <w:lang w:val="fr-FR" w:bidi="ar-TN"/>
        </w:rPr>
        <w:t>’</w:t>
      </w:r>
      <w:r w:rsidRPr="005F28B2">
        <w:rPr>
          <w:lang w:val="fr-FR" w:bidi="ar-TN"/>
        </w:rPr>
        <w:t>arabe sa langue et la République son régime. C</w:t>
      </w:r>
      <w:r w:rsidR="00E16237" w:rsidRPr="005F28B2">
        <w:rPr>
          <w:lang w:val="fr-FR" w:bidi="ar-TN"/>
        </w:rPr>
        <w:t>’</w:t>
      </w:r>
      <w:r w:rsidRPr="005F28B2">
        <w:rPr>
          <w:lang w:val="fr-FR" w:bidi="ar-TN"/>
        </w:rPr>
        <w:t>est un État civil</w:t>
      </w:r>
      <w:r w:rsidR="00E16237" w:rsidRPr="005F28B2">
        <w:rPr>
          <w:lang w:val="fr-FR" w:bidi="ar-TN"/>
        </w:rPr>
        <w:t>,</w:t>
      </w:r>
      <w:r w:rsidRPr="005F28B2">
        <w:rPr>
          <w:lang w:val="fr-FR" w:bidi="ar-TN"/>
        </w:rPr>
        <w:t xml:space="preserve"> fondé sur la citoyenneté</w:t>
      </w:r>
      <w:r w:rsidR="00E16237" w:rsidRPr="005F28B2">
        <w:rPr>
          <w:lang w:val="fr-FR" w:bidi="ar-TN"/>
        </w:rPr>
        <w:t>,</w:t>
      </w:r>
      <w:r w:rsidRPr="005F28B2">
        <w:rPr>
          <w:lang w:val="fr-FR" w:bidi="ar-TN"/>
        </w:rPr>
        <w:t xml:space="preserve"> la volonté du peuple et la primauté du droit. </w:t>
      </w:r>
      <w:r w:rsidRPr="005F28B2">
        <w:rPr>
          <w:lang w:val="fr-FR"/>
        </w:rPr>
        <w:t>D</w:t>
      </w:r>
      <w:r w:rsidR="00E16237" w:rsidRPr="005F28B2">
        <w:rPr>
          <w:lang w:val="fr-FR"/>
        </w:rPr>
        <w:t>’</w:t>
      </w:r>
      <w:r w:rsidRPr="005F28B2">
        <w:rPr>
          <w:lang w:val="fr-FR"/>
        </w:rPr>
        <w:t>une superficie de 163 610 kilomètres carrés</w:t>
      </w:r>
      <w:r w:rsidR="00E16237" w:rsidRPr="005F28B2">
        <w:rPr>
          <w:lang w:val="fr-FR"/>
        </w:rPr>
        <w:t>,</w:t>
      </w:r>
      <w:r w:rsidRPr="005F28B2">
        <w:rPr>
          <w:lang w:val="fr-FR"/>
        </w:rPr>
        <w:t xml:space="preserve"> sa capitale est Tunis. Le pays se situe au nord de l</w:t>
      </w:r>
      <w:r w:rsidR="00E16237" w:rsidRPr="005F28B2">
        <w:rPr>
          <w:lang w:val="fr-FR"/>
        </w:rPr>
        <w:t>’</w:t>
      </w:r>
      <w:r w:rsidRPr="005F28B2">
        <w:rPr>
          <w:lang w:val="fr-FR"/>
        </w:rPr>
        <w:t>Afrique</w:t>
      </w:r>
      <w:r w:rsidR="00E16237" w:rsidRPr="005F28B2">
        <w:rPr>
          <w:lang w:val="fr-FR"/>
        </w:rPr>
        <w:t>,</w:t>
      </w:r>
      <w:r w:rsidRPr="005F28B2">
        <w:rPr>
          <w:lang w:val="fr-FR"/>
        </w:rPr>
        <w:t xml:space="preserve"> entre les points de latitude 30</w:t>
      </w:r>
      <w:r w:rsidR="00D22E11" w:rsidRPr="005F28B2">
        <w:rPr>
          <w:lang w:val="fr-FR"/>
        </w:rPr>
        <w:t> </w:t>
      </w:r>
      <w:r w:rsidRPr="005F28B2">
        <w:rPr>
          <w:lang w:val="fr-FR"/>
        </w:rPr>
        <w:t xml:space="preserve"> 14΄ et 37</w:t>
      </w:r>
      <w:r w:rsidR="00D22E11" w:rsidRPr="005F28B2">
        <w:rPr>
          <w:lang w:val="fr-FR"/>
        </w:rPr>
        <w:t> </w:t>
      </w:r>
      <w:r w:rsidRPr="005F28B2">
        <w:rPr>
          <w:lang w:val="fr-FR"/>
        </w:rPr>
        <w:t xml:space="preserve"> 13΄ N et les points de longitude 7</w:t>
      </w:r>
      <w:r w:rsidR="00D22E11" w:rsidRPr="005F28B2">
        <w:rPr>
          <w:lang w:val="fr-FR"/>
        </w:rPr>
        <w:t> </w:t>
      </w:r>
      <w:r w:rsidRPr="005F28B2">
        <w:rPr>
          <w:lang w:val="fr-FR"/>
        </w:rPr>
        <w:t xml:space="preserve"> 32΄ et 11</w:t>
      </w:r>
      <w:r w:rsidR="00D22E11" w:rsidRPr="005F28B2">
        <w:rPr>
          <w:lang w:val="fr-FR"/>
        </w:rPr>
        <w:t> </w:t>
      </w:r>
      <w:r w:rsidRPr="005F28B2">
        <w:rPr>
          <w:lang w:val="fr-FR"/>
        </w:rPr>
        <w:t xml:space="preserve"> 36΄ E. Il est bordé au Nord et à l</w:t>
      </w:r>
      <w:r w:rsidR="00E16237" w:rsidRPr="005F28B2">
        <w:rPr>
          <w:lang w:val="fr-FR"/>
        </w:rPr>
        <w:t>’</w:t>
      </w:r>
      <w:r w:rsidRPr="005F28B2">
        <w:rPr>
          <w:lang w:val="fr-FR"/>
        </w:rPr>
        <w:t>Est par la Méditerranée et partage des espaces frontaliers avec la Libye au Sud-Est et l</w:t>
      </w:r>
      <w:r w:rsidR="00E16237" w:rsidRPr="005F28B2">
        <w:rPr>
          <w:lang w:val="fr-FR"/>
        </w:rPr>
        <w:t>’</w:t>
      </w:r>
      <w:r w:rsidRPr="005F28B2">
        <w:rPr>
          <w:lang w:val="fr-FR"/>
        </w:rPr>
        <w:t>Algérie à l</w:t>
      </w:r>
      <w:r w:rsidR="00E16237" w:rsidRPr="005F28B2">
        <w:rPr>
          <w:lang w:val="fr-FR"/>
        </w:rPr>
        <w:t>’</w:t>
      </w:r>
      <w:r w:rsidRPr="005F28B2">
        <w:rPr>
          <w:lang w:val="fr-FR"/>
        </w:rPr>
        <w:t xml:space="preserve">Ouest. </w:t>
      </w:r>
    </w:p>
    <w:p w:rsidR="009052AE" w:rsidRPr="005F28B2" w:rsidRDefault="00163041" w:rsidP="00E459A2">
      <w:pPr>
        <w:pStyle w:val="SingleTxtG"/>
        <w:rPr>
          <w:lang w:val="fr-FR"/>
        </w:rPr>
      </w:pPr>
      <w:r w:rsidRPr="005F28B2">
        <w:rPr>
          <w:lang w:val="fr-FR"/>
        </w:rPr>
        <w:t>2.</w:t>
      </w:r>
      <w:r w:rsidRPr="005F28B2">
        <w:rPr>
          <w:lang w:val="fr-FR"/>
        </w:rPr>
        <w:tab/>
      </w:r>
      <w:r w:rsidRPr="005F28B2">
        <w:rPr>
          <w:lang w:val="fr-FR" w:bidi="ar-TN"/>
        </w:rPr>
        <w:t>L</w:t>
      </w:r>
      <w:r w:rsidR="00E16237" w:rsidRPr="005F28B2">
        <w:rPr>
          <w:lang w:val="fr-FR" w:bidi="ar-TN"/>
        </w:rPr>
        <w:t>’</w:t>
      </w:r>
      <w:r w:rsidRPr="005F28B2">
        <w:rPr>
          <w:lang w:val="fr-FR" w:bidi="ar-TN"/>
        </w:rPr>
        <w:t>histoire de la Tunisie remonte à plus de 3 000</w:t>
      </w:r>
      <w:r w:rsidR="008E5AFE" w:rsidRPr="005F28B2">
        <w:rPr>
          <w:lang w:val="fr-FR" w:bidi="ar-TN"/>
        </w:rPr>
        <w:t> ans</w:t>
      </w:r>
      <w:r w:rsidR="00E16237" w:rsidRPr="005F28B2">
        <w:rPr>
          <w:lang w:val="fr-FR" w:bidi="ar-TN"/>
        </w:rPr>
        <w:t>,</w:t>
      </w:r>
      <w:r w:rsidRPr="005F28B2">
        <w:rPr>
          <w:lang w:val="fr-FR" w:bidi="ar-TN"/>
        </w:rPr>
        <w:t xml:space="preserve"> époque à laquelle la population autochtone était berbère (Amazigh) et libyque. Plusieurs civilisations ont ensuite laissé leur empreinte dans le pays (Phéniciens</w:t>
      </w:r>
      <w:r w:rsidR="00E16237" w:rsidRPr="005F28B2">
        <w:rPr>
          <w:lang w:val="fr-FR" w:bidi="ar-TN"/>
        </w:rPr>
        <w:t>,</w:t>
      </w:r>
      <w:r w:rsidRPr="005F28B2">
        <w:rPr>
          <w:lang w:val="fr-FR" w:bidi="ar-TN"/>
        </w:rPr>
        <w:t xml:space="preserve"> Carthaginois</w:t>
      </w:r>
      <w:r w:rsidR="00E16237" w:rsidRPr="005F28B2">
        <w:rPr>
          <w:lang w:val="fr-FR" w:bidi="ar-TN"/>
        </w:rPr>
        <w:t>,</w:t>
      </w:r>
      <w:r w:rsidRPr="005F28B2">
        <w:rPr>
          <w:lang w:val="fr-FR" w:bidi="ar-TN"/>
        </w:rPr>
        <w:t xml:space="preserve"> Romains</w:t>
      </w:r>
      <w:r w:rsidR="00E16237" w:rsidRPr="005F28B2">
        <w:rPr>
          <w:lang w:val="fr-FR" w:bidi="ar-TN"/>
        </w:rPr>
        <w:t>,</w:t>
      </w:r>
      <w:r w:rsidRPr="005F28B2">
        <w:rPr>
          <w:lang w:val="fr-FR" w:bidi="ar-TN"/>
        </w:rPr>
        <w:t xml:space="preserve"> Vandales</w:t>
      </w:r>
      <w:r w:rsidR="00E16237" w:rsidRPr="005F28B2">
        <w:rPr>
          <w:lang w:val="fr-FR" w:bidi="ar-TN"/>
        </w:rPr>
        <w:t>,</w:t>
      </w:r>
      <w:r w:rsidRPr="005F28B2">
        <w:rPr>
          <w:lang w:val="fr-FR" w:bidi="ar-TN"/>
        </w:rPr>
        <w:t xml:space="preserve"> Byzantins...)</w:t>
      </w:r>
      <w:r w:rsidR="00E16237" w:rsidRPr="005F28B2">
        <w:rPr>
          <w:lang w:val="fr-FR" w:bidi="ar-TN"/>
        </w:rPr>
        <w:t>,</w:t>
      </w:r>
      <w:r w:rsidRPr="005F28B2">
        <w:rPr>
          <w:lang w:val="fr-FR" w:bidi="ar-TN"/>
        </w:rPr>
        <w:t xml:space="preserve"> sans omettre l</w:t>
      </w:r>
      <w:r w:rsidR="00E16237" w:rsidRPr="005F28B2">
        <w:rPr>
          <w:lang w:val="fr-FR" w:bidi="ar-TN"/>
        </w:rPr>
        <w:t>’</w:t>
      </w:r>
      <w:r w:rsidRPr="005F28B2">
        <w:rPr>
          <w:lang w:val="fr-FR" w:bidi="ar-TN"/>
        </w:rPr>
        <w:t>apport de toutes les communautés islamiques (aghlabides</w:t>
      </w:r>
      <w:r w:rsidR="00E16237" w:rsidRPr="005F28B2">
        <w:rPr>
          <w:lang w:val="fr-FR" w:bidi="ar-TN"/>
        </w:rPr>
        <w:t>,</w:t>
      </w:r>
      <w:r w:rsidRPr="005F28B2">
        <w:rPr>
          <w:lang w:val="fr-FR" w:bidi="ar-TN"/>
        </w:rPr>
        <w:t xml:space="preserve"> fatimides</w:t>
      </w:r>
      <w:r w:rsidR="00E16237" w:rsidRPr="005F28B2">
        <w:rPr>
          <w:lang w:val="fr-FR" w:bidi="ar-TN"/>
        </w:rPr>
        <w:t>,</w:t>
      </w:r>
      <w:r w:rsidRPr="005F28B2">
        <w:rPr>
          <w:lang w:val="fr-FR" w:bidi="ar-TN"/>
        </w:rPr>
        <w:t xml:space="preserve"> hafsides et ottomans). Ce brassage a constitué une source de richesse civilisationnelle et culturelle pour le peuple tunisien et même si la communauté arabo-musulmane est majoritaire dans le pays</w:t>
      </w:r>
      <w:r w:rsidR="00E16237" w:rsidRPr="005F28B2">
        <w:rPr>
          <w:lang w:val="fr-FR" w:bidi="ar-TN"/>
        </w:rPr>
        <w:t>,</w:t>
      </w:r>
      <w:r w:rsidRPr="005F28B2">
        <w:rPr>
          <w:lang w:val="fr-FR" w:bidi="ar-TN"/>
        </w:rPr>
        <w:t xml:space="preserve"> les sanctuaires et lieux de culte des communautés chrétiennes et juives tunisiennes jouissent de la protection de l</w:t>
      </w:r>
      <w:r w:rsidR="00E16237" w:rsidRPr="005F28B2">
        <w:rPr>
          <w:lang w:val="fr-FR" w:bidi="ar-TN"/>
        </w:rPr>
        <w:t>’</w:t>
      </w:r>
      <w:r w:rsidRPr="005F28B2">
        <w:rPr>
          <w:lang w:val="fr-FR" w:bidi="ar-TN"/>
        </w:rPr>
        <w:t>État.</w:t>
      </w:r>
      <w:r w:rsidRPr="005F28B2">
        <w:rPr>
          <w:lang w:val="fr-FR"/>
        </w:rPr>
        <w:t xml:space="preserve"> </w:t>
      </w:r>
    </w:p>
    <w:p w:rsidR="009052AE" w:rsidRPr="005F28B2" w:rsidRDefault="00163041" w:rsidP="008E5AFE">
      <w:pPr>
        <w:pStyle w:val="SingleTxtG"/>
        <w:rPr>
          <w:rtl/>
          <w:lang w:val="fr-FR" w:bidi="fr-FR"/>
        </w:rPr>
      </w:pPr>
      <w:r w:rsidRPr="005F28B2">
        <w:rPr>
          <w:lang w:val="fr-FR"/>
        </w:rPr>
        <w:t>3.</w:t>
      </w:r>
      <w:r w:rsidRPr="005F28B2">
        <w:rPr>
          <w:lang w:val="fr-FR"/>
        </w:rPr>
        <w:tab/>
        <w:t>Au cours de la deuxième moitié du XIX</w:t>
      </w:r>
      <w:r w:rsidRPr="005F28B2">
        <w:rPr>
          <w:vertAlign w:val="superscript"/>
          <w:lang w:val="fr-FR"/>
        </w:rPr>
        <w:t>e</w:t>
      </w:r>
      <w:r w:rsidRPr="005F28B2">
        <w:rPr>
          <w:lang w:val="fr-FR"/>
        </w:rPr>
        <w:t xml:space="preserve"> siècle</w:t>
      </w:r>
      <w:r w:rsidR="00E16237" w:rsidRPr="005F28B2">
        <w:rPr>
          <w:lang w:val="fr-FR"/>
        </w:rPr>
        <w:t>,</w:t>
      </w:r>
      <w:r w:rsidRPr="005F28B2">
        <w:rPr>
          <w:lang w:val="fr-FR"/>
        </w:rPr>
        <w:t xml:space="preserve"> la Tunisie a connu des difficultés économiques et financières qui ont conduit à une insurrection populaire et à la suspension du Pacte fondamental (sorte de Déclaration des droits de l</w:t>
      </w:r>
      <w:r w:rsidR="00E16237" w:rsidRPr="005F28B2">
        <w:rPr>
          <w:lang w:val="fr-FR"/>
        </w:rPr>
        <w:t>’</w:t>
      </w:r>
      <w:r w:rsidR="006811A9" w:rsidRPr="005F28B2">
        <w:rPr>
          <w:lang w:val="fr-FR"/>
        </w:rPr>
        <w:t>homme) et de la Constitution de </w:t>
      </w:r>
      <w:r w:rsidRPr="005F28B2">
        <w:rPr>
          <w:lang w:val="fr-FR"/>
        </w:rPr>
        <w:t>1861. La France a profité de l</w:t>
      </w:r>
      <w:r w:rsidR="00E16237" w:rsidRPr="005F28B2">
        <w:rPr>
          <w:lang w:val="fr-FR"/>
        </w:rPr>
        <w:t>’</w:t>
      </w:r>
      <w:r w:rsidRPr="005F28B2">
        <w:rPr>
          <w:lang w:val="fr-FR"/>
        </w:rPr>
        <w:t>endettement de l</w:t>
      </w:r>
      <w:r w:rsidR="00E16237" w:rsidRPr="005F28B2">
        <w:rPr>
          <w:lang w:val="fr-FR"/>
        </w:rPr>
        <w:t>’</w:t>
      </w:r>
      <w:r w:rsidRPr="005F28B2">
        <w:rPr>
          <w:lang w:val="fr-FR"/>
        </w:rPr>
        <w:t>État tunisien et de la détérioration de la situation interne du pays pour imposer le Protectorat en 1881. Après trois quarts de siècle de lutte contre le colonialisme français</w:t>
      </w:r>
      <w:r w:rsidR="00E16237" w:rsidRPr="005F28B2">
        <w:rPr>
          <w:lang w:val="fr-FR"/>
        </w:rPr>
        <w:t>,</w:t>
      </w:r>
      <w:r w:rsidRPr="005F28B2">
        <w:rPr>
          <w:lang w:val="fr-FR"/>
        </w:rPr>
        <w:t xml:space="preserve"> la Tunisie a accédé à l</w:t>
      </w:r>
      <w:r w:rsidR="00E16237" w:rsidRPr="005F28B2">
        <w:rPr>
          <w:lang w:val="fr-FR"/>
        </w:rPr>
        <w:t>’</w:t>
      </w:r>
      <w:r w:rsidRPr="005F28B2">
        <w:rPr>
          <w:lang w:val="fr-FR"/>
        </w:rPr>
        <w:t>indépendance en 1956 et a commencé à construire un État moderne en s</w:t>
      </w:r>
      <w:r w:rsidR="00E16237" w:rsidRPr="005F28B2">
        <w:rPr>
          <w:lang w:val="fr-FR"/>
        </w:rPr>
        <w:t>’</w:t>
      </w:r>
      <w:r w:rsidRPr="005F28B2">
        <w:rPr>
          <w:lang w:val="fr-FR"/>
        </w:rPr>
        <w:t xml:space="preserve">inspirant de son héritage juridique antérieur. </w:t>
      </w:r>
    </w:p>
    <w:p w:rsidR="009052AE" w:rsidRPr="005F28B2" w:rsidRDefault="00163041" w:rsidP="00E459A2">
      <w:pPr>
        <w:pStyle w:val="SingleTxtG"/>
        <w:rPr>
          <w:lang w:val="fr-FR"/>
        </w:rPr>
      </w:pPr>
      <w:r w:rsidRPr="005F28B2">
        <w:rPr>
          <w:lang w:val="fr-FR"/>
        </w:rPr>
        <w:t>4.</w:t>
      </w:r>
      <w:r w:rsidRPr="005F28B2">
        <w:rPr>
          <w:lang w:val="fr-FR"/>
        </w:rPr>
        <w:tab/>
        <w:t>Depuis l</w:t>
      </w:r>
      <w:r w:rsidR="00E16237" w:rsidRPr="005F28B2">
        <w:rPr>
          <w:lang w:val="fr-FR"/>
        </w:rPr>
        <w:t>’</w:t>
      </w:r>
      <w:r w:rsidRPr="005F28B2">
        <w:rPr>
          <w:lang w:val="fr-FR"/>
        </w:rPr>
        <w:t>indépendance</w:t>
      </w:r>
      <w:r w:rsidR="00E16237" w:rsidRPr="005F28B2">
        <w:rPr>
          <w:lang w:val="fr-FR"/>
        </w:rPr>
        <w:t>,</w:t>
      </w:r>
      <w:r w:rsidRPr="005F28B2">
        <w:rPr>
          <w:lang w:val="fr-FR"/>
        </w:rPr>
        <w:t xml:space="preserve"> la Tunisie a accompli d</w:t>
      </w:r>
      <w:r w:rsidR="00E16237" w:rsidRPr="005F28B2">
        <w:rPr>
          <w:lang w:val="fr-FR"/>
        </w:rPr>
        <w:t>’</w:t>
      </w:r>
      <w:r w:rsidRPr="005F28B2">
        <w:rPr>
          <w:lang w:val="fr-FR"/>
        </w:rPr>
        <w:t>importants progrès et a notamment réformé en profondeur plusieurs secteurs</w:t>
      </w:r>
      <w:r w:rsidR="00E16237" w:rsidRPr="005F28B2">
        <w:rPr>
          <w:lang w:val="fr-FR"/>
        </w:rPr>
        <w:t>,</w:t>
      </w:r>
      <w:r w:rsidRPr="005F28B2">
        <w:rPr>
          <w:lang w:val="fr-FR"/>
        </w:rPr>
        <w:t xml:space="preserve"> tels que l</w:t>
      </w:r>
      <w:r w:rsidR="00E16237" w:rsidRPr="005F28B2">
        <w:rPr>
          <w:lang w:val="fr-FR"/>
        </w:rPr>
        <w:t>’</w:t>
      </w:r>
      <w:r w:rsidRPr="005F28B2">
        <w:rPr>
          <w:lang w:val="fr-FR"/>
        </w:rPr>
        <w:t>éducation et la santé </w:t>
      </w:r>
      <w:r w:rsidR="00E16237" w:rsidRPr="005F28B2">
        <w:rPr>
          <w:lang w:val="fr-FR"/>
        </w:rPr>
        <w:t>;</w:t>
      </w:r>
      <w:r w:rsidRPr="005F28B2">
        <w:rPr>
          <w:lang w:val="fr-FR"/>
        </w:rPr>
        <w:t xml:space="preserve"> de même qu</w:t>
      </w:r>
      <w:r w:rsidR="00E16237" w:rsidRPr="005F28B2">
        <w:rPr>
          <w:lang w:val="fr-FR"/>
        </w:rPr>
        <w:t>’</w:t>
      </w:r>
      <w:r w:rsidRPr="005F28B2">
        <w:rPr>
          <w:lang w:val="fr-FR"/>
        </w:rPr>
        <w:t>elle a veillé à améliorer la situation des femmes. Néanmoins</w:t>
      </w:r>
      <w:r w:rsidR="00E16237" w:rsidRPr="005F28B2">
        <w:rPr>
          <w:lang w:val="fr-FR"/>
        </w:rPr>
        <w:t>,</w:t>
      </w:r>
      <w:r w:rsidRPr="005F28B2">
        <w:rPr>
          <w:lang w:val="fr-FR"/>
        </w:rPr>
        <w:t xml:space="preserve"> il n</w:t>
      </w:r>
      <w:r w:rsidR="00E16237" w:rsidRPr="005F28B2">
        <w:rPr>
          <w:lang w:val="fr-FR"/>
        </w:rPr>
        <w:t>’</w:t>
      </w:r>
      <w:r w:rsidRPr="005F28B2">
        <w:rPr>
          <w:lang w:val="fr-FR"/>
        </w:rPr>
        <w:t>y a pas eu d</w:t>
      </w:r>
      <w:r w:rsidR="00E16237" w:rsidRPr="005F28B2">
        <w:rPr>
          <w:lang w:val="fr-FR"/>
        </w:rPr>
        <w:t>’</w:t>
      </w:r>
      <w:r w:rsidRPr="005F28B2">
        <w:rPr>
          <w:lang w:val="fr-FR"/>
        </w:rPr>
        <w:t>évolution parallèle dans le domaine de la démocratie</w:t>
      </w:r>
      <w:r w:rsidR="00E16237" w:rsidRPr="005F28B2">
        <w:rPr>
          <w:lang w:val="fr-FR"/>
        </w:rPr>
        <w:t>,</w:t>
      </w:r>
      <w:r w:rsidRPr="005F28B2">
        <w:rPr>
          <w:lang w:val="fr-FR"/>
        </w:rPr>
        <w:t xml:space="preserve"> de la protection des droits et libertés et de la justice sociale. </w:t>
      </w:r>
    </w:p>
    <w:p w:rsidR="009052AE" w:rsidRPr="005F28B2" w:rsidRDefault="00163041" w:rsidP="00E459A2">
      <w:pPr>
        <w:pStyle w:val="SingleTxtG"/>
        <w:rPr>
          <w:lang w:val="fr-FR"/>
        </w:rPr>
      </w:pPr>
      <w:r w:rsidRPr="005F28B2">
        <w:rPr>
          <w:lang w:val="fr-FR"/>
        </w:rPr>
        <w:t>5.</w:t>
      </w:r>
      <w:r w:rsidRPr="005F28B2">
        <w:rPr>
          <w:lang w:val="fr-FR"/>
        </w:rPr>
        <w:tab/>
        <w:t>En outre</w:t>
      </w:r>
      <w:r w:rsidR="00E16237" w:rsidRPr="005F28B2">
        <w:rPr>
          <w:lang w:val="fr-FR"/>
        </w:rPr>
        <w:t>,</w:t>
      </w:r>
      <w:r w:rsidRPr="005F28B2">
        <w:rPr>
          <w:lang w:val="fr-FR"/>
        </w:rPr>
        <w:t xml:space="preserve"> la détérioration générale de la situation du pays et l</w:t>
      </w:r>
      <w:r w:rsidR="00E16237" w:rsidRPr="005F28B2">
        <w:rPr>
          <w:lang w:val="fr-FR"/>
        </w:rPr>
        <w:t>’</w:t>
      </w:r>
      <w:r w:rsidRPr="005F28B2">
        <w:rPr>
          <w:lang w:val="fr-FR"/>
        </w:rPr>
        <w:t>impasse politique dans laquelle il se trouvait ont débouché sur une révolution populaire qui a éclaté le 17 décembre 2010 et s</w:t>
      </w:r>
      <w:r w:rsidR="00E16237" w:rsidRPr="005F28B2">
        <w:rPr>
          <w:lang w:val="fr-FR"/>
        </w:rPr>
        <w:t>’</w:t>
      </w:r>
      <w:r w:rsidRPr="005F28B2">
        <w:rPr>
          <w:lang w:val="fr-FR"/>
        </w:rPr>
        <w:t>est poursuivie jusqu</w:t>
      </w:r>
      <w:r w:rsidR="00E16237" w:rsidRPr="005F28B2">
        <w:rPr>
          <w:lang w:val="fr-FR"/>
        </w:rPr>
        <w:t>’</w:t>
      </w:r>
      <w:r w:rsidRPr="005F28B2">
        <w:rPr>
          <w:lang w:val="fr-FR"/>
        </w:rPr>
        <w:t>au 14 janvier 2011</w:t>
      </w:r>
      <w:r w:rsidR="00E16237" w:rsidRPr="005F28B2">
        <w:rPr>
          <w:lang w:val="fr-FR"/>
        </w:rPr>
        <w:t>,</w:t>
      </w:r>
      <w:r w:rsidRPr="005F28B2">
        <w:rPr>
          <w:lang w:val="fr-FR"/>
        </w:rPr>
        <w:t xml:space="preserve"> entraînant une série de répercussions qui se sont manifestées bien au-delà de cette période</w:t>
      </w:r>
      <w:r w:rsidR="00E16237" w:rsidRPr="005F28B2">
        <w:rPr>
          <w:lang w:val="fr-FR"/>
        </w:rPr>
        <w:t>,</w:t>
      </w:r>
      <w:r w:rsidRPr="005F28B2">
        <w:rPr>
          <w:lang w:val="fr-FR"/>
        </w:rPr>
        <w:t xml:space="preserve"> étant précisé que les événements ont essentiellement été le fait</w:t>
      </w:r>
      <w:r w:rsidR="00E459A2" w:rsidRPr="005F28B2">
        <w:rPr>
          <w:lang w:val="fr-FR"/>
        </w:rPr>
        <w:t xml:space="preserve"> </w:t>
      </w:r>
      <w:r w:rsidRPr="005F28B2">
        <w:rPr>
          <w:lang w:val="fr-FR"/>
        </w:rPr>
        <w:t>de victimes de la situation antérieure réclamant la dignité</w:t>
      </w:r>
      <w:r w:rsidR="00E16237" w:rsidRPr="005F28B2">
        <w:rPr>
          <w:lang w:val="fr-FR"/>
        </w:rPr>
        <w:t>,</w:t>
      </w:r>
      <w:r w:rsidRPr="005F28B2">
        <w:rPr>
          <w:lang w:val="fr-FR"/>
        </w:rPr>
        <w:t xml:space="preserve"> l</w:t>
      </w:r>
      <w:r w:rsidR="00E16237" w:rsidRPr="005F28B2">
        <w:rPr>
          <w:lang w:val="fr-FR"/>
        </w:rPr>
        <w:t>’</w:t>
      </w:r>
      <w:r w:rsidRPr="005F28B2">
        <w:rPr>
          <w:lang w:val="fr-FR"/>
        </w:rPr>
        <w:t>emploi et la justice sociale et que la chute de l</w:t>
      </w:r>
      <w:r w:rsidR="00E16237" w:rsidRPr="005F28B2">
        <w:rPr>
          <w:lang w:val="fr-FR"/>
        </w:rPr>
        <w:t>’</w:t>
      </w:r>
      <w:r w:rsidRPr="005F28B2">
        <w:rPr>
          <w:lang w:val="fr-FR"/>
        </w:rPr>
        <w:t>ancien régime a été suivie par l</w:t>
      </w:r>
      <w:r w:rsidR="00E16237" w:rsidRPr="005F28B2">
        <w:rPr>
          <w:lang w:val="fr-FR"/>
        </w:rPr>
        <w:t>’</w:t>
      </w:r>
      <w:r w:rsidRPr="005F28B2">
        <w:rPr>
          <w:lang w:val="fr-FR"/>
        </w:rPr>
        <w:t>élection d</w:t>
      </w:r>
      <w:r w:rsidR="00E16237" w:rsidRPr="005F28B2">
        <w:rPr>
          <w:lang w:val="fr-FR"/>
        </w:rPr>
        <w:t>’</w:t>
      </w:r>
      <w:r w:rsidRPr="005F28B2">
        <w:rPr>
          <w:lang w:val="fr-FR"/>
        </w:rPr>
        <w:t xml:space="preserve">une Assemblée nationale constituante le 23 octobre 2011. </w:t>
      </w:r>
    </w:p>
    <w:p w:rsidR="009052AE" w:rsidRPr="005F28B2" w:rsidRDefault="00163041" w:rsidP="008E5AFE">
      <w:pPr>
        <w:pStyle w:val="SingleTxtG"/>
        <w:rPr>
          <w:rtl/>
          <w:lang w:val="fr-FR" w:bidi="fr-FR"/>
        </w:rPr>
      </w:pPr>
      <w:r w:rsidRPr="005F28B2">
        <w:rPr>
          <w:lang w:val="fr-FR"/>
        </w:rPr>
        <w:lastRenderedPageBreak/>
        <w:t>6.</w:t>
      </w:r>
      <w:r w:rsidRPr="005F28B2">
        <w:rPr>
          <w:lang w:val="fr-FR"/>
        </w:rPr>
        <w:tab/>
        <w:t>L</w:t>
      </w:r>
      <w:r w:rsidR="00E16237" w:rsidRPr="005F28B2">
        <w:rPr>
          <w:lang w:val="fr-FR"/>
        </w:rPr>
        <w:t>’</w:t>
      </w:r>
      <w:r w:rsidRPr="005F28B2">
        <w:rPr>
          <w:lang w:val="fr-FR"/>
        </w:rPr>
        <w:t>Assemblée élue a élaboré une nouvelle Constitution</w:t>
      </w:r>
      <w:r w:rsidR="00E16237" w:rsidRPr="005F28B2">
        <w:rPr>
          <w:lang w:val="fr-FR"/>
        </w:rPr>
        <w:t>,</w:t>
      </w:r>
      <w:r w:rsidRPr="005F28B2">
        <w:rPr>
          <w:lang w:val="fr-FR"/>
        </w:rPr>
        <w:t xml:space="preserve"> adoptée le 27 janvier 2014</w:t>
      </w:r>
      <w:r w:rsidR="00E16237" w:rsidRPr="005F28B2">
        <w:rPr>
          <w:lang w:val="fr-FR"/>
        </w:rPr>
        <w:t>,</w:t>
      </w:r>
      <w:r w:rsidRPr="005F28B2">
        <w:rPr>
          <w:lang w:val="fr-FR"/>
        </w:rPr>
        <w:t xml:space="preserve"> qui a jeté les bases d</w:t>
      </w:r>
      <w:r w:rsidR="00E16237" w:rsidRPr="005F28B2">
        <w:rPr>
          <w:lang w:val="fr-FR"/>
        </w:rPr>
        <w:t>’</w:t>
      </w:r>
      <w:r w:rsidRPr="005F28B2">
        <w:rPr>
          <w:lang w:val="fr-FR"/>
        </w:rPr>
        <w:t>un État civil fondé sur les droits et libertés</w:t>
      </w:r>
      <w:r w:rsidR="00E16237" w:rsidRPr="005F28B2">
        <w:rPr>
          <w:lang w:val="fr-FR"/>
        </w:rPr>
        <w:t>,</w:t>
      </w:r>
      <w:r w:rsidRPr="005F28B2">
        <w:rPr>
          <w:lang w:val="fr-FR"/>
        </w:rPr>
        <w:t xml:space="preserve"> l</w:t>
      </w:r>
      <w:r w:rsidR="00E16237" w:rsidRPr="005F28B2">
        <w:rPr>
          <w:lang w:val="fr-FR"/>
        </w:rPr>
        <w:t>’</w:t>
      </w:r>
      <w:r w:rsidRPr="005F28B2">
        <w:rPr>
          <w:lang w:val="fr-FR"/>
        </w:rPr>
        <w:t>égalité entre citoyens et citoyennes</w:t>
      </w:r>
      <w:r w:rsidR="00E16237" w:rsidRPr="005F28B2">
        <w:rPr>
          <w:lang w:val="fr-FR"/>
        </w:rPr>
        <w:t>,</w:t>
      </w:r>
      <w:r w:rsidRPr="005F28B2">
        <w:rPr>
          <w:lang w:val="fr-FR"/>
        </w:rPr>
        <w:t xml:space="preserve"> le rejet de toutes les formes de discrimination</w:t>
      </w:r>
      <w:r w:rsidR="00E16237" w:rsidRPr="005F28B2">
        <w:rPr>
          <w:lang w:val="fr-FR"/>
        </w:rPr>
        <w:t>,</w:t>
      </w:r>
      <w:r w:rsidRPr="005F28B2">
        <w:rPr>
          <w:lang w:val="fr-FR"/>
        </w:rPr>
        <w:t xml:space="preserve"> la liberté de croyance et de conscience</w:t>
      </w:r>
      <w:r w:rsidR="00E16237" w:rsidRPr="005F28B2">
        <w:rPr>
          <w:lang w:val="fr-FR"/>
        </w:rPr>
        <w:t>,</w:t>
      </w:r>
      <w:r w:rsidRPr="005F28B2">
        <w:rPr>
          <w:lang w:val="fr-FR"/>
        </w:rPr>
        <w:t xml:space="preserve"> la justice sociale</w:t>
      </w:r>
      <w:r w:rsidR="00E16237" w:rsidRPr="005F28B2">
        <w:rPr>
          <w:lang w:val="fr-FR"/>
        </w:rPr>
        <w:t>,</w:t>
      </w:r>
      <w:r w:rsidRPr="005F28B2">
        <w:rPr>
          <w:lang w:val="fr-FR"/>
        </w:rPr>
        <w:t xml:space="preserve"> l</w:t>
      </w:r>
      <w:r w:rsidR="00E16237" w:rsidRPr="005F28B2">
        <w:rPr>
          <w:lang w:val="fr-FR"/>
        </w:rPr>
        <w:t>’</w:t>
      </w:r>
      <w:r w:rsidRPr="005F28B2">
        <w:rPr>
          <w:lang w:val="fr-FR"/>
        </w:rPr>
        <w:t>équilibre entre les régions et l</w:t>
      </w:r>
      <w:r w:rsidR="00E16237" w:rsidRPr="005F28B2">
        <w:rPr>
          <w:lang w:val="fr-FR"/>
        </w:rPr>
        <w:t>’</w:t>
      </w:r>
      <w:r w:rsidRPr="005F28B2">
        <w:rPr>
          <w:lang w:val="fr-FR"/>
        </w:rPr>
        <w:t>instauration des mécanismes de protection appropriés</w:t>
      </w:r>
      <w:r w:rsidR="00E16237" w:rsidRPr="005F28B2">
        <w:rPr>
          <w:lang w:val="fr-FR"/>
        </w:rPr>
        <w:t>,</w:t>
      </w:r>
      <w:r w:rsidRPr="005F28B2">
        <w:rPr>
          <w:lang w:val="fr-FR"/>
        </w:rPr>
        <w:t xml:space="preserve"> tels que la Cour constitutionnelle et le Conseil supérieur de la magistrature</w:t>
      </w:r>
      <w:r w:rsidR="00E16237" w:rsidRPr="005F28B2">
        <w:rPr>
          <w:lang w:val="fr-FR"/>
        </w:rPr>
        <w:t>,</w:t>
      </w:r>
      <w:r w:rsidRPr="005F28B2">
        <w:rPr>
          <w:lang w:val="fr-FR"/>
        </w:rPr>
        <w:t xml:space="preserve"> ainsi qu</w:t>
      </w:r>
      <w:r w:rsidR="00E16237" w:rsidRPr="005F28B2">
        <w:rPr>
          <w:lang w:val="fr-FR"/>
        </w:rPr>
        <w:t>’</w:t>
      </w:r>
      <w:r w:rsidRPr="005F28B2">
        <w:rPr>
          <w:lang w:val="fr-FR"/>
        </w:rPr>
        <w:t>un certain nombre d</w:t>
      </w:r>
      <w:r w:rsidR="00E16237" w:rsidRPr="005F28B2">
        <w:rPr>
          <w:lang w:val="fr-FR"/>
        </w:rPr>
        <w:t>’</w:t>
      </w:r>
      <w:r w:rsidRPr="005F28B2">
        <w:rPr>
          <w:lang w:val="fr-FR"/>
        </w:rPr>
        <w:t>instances constitutionnelles. Les premières élections législatives et présidentielles ont été organisées au cours de la même année et ont été qualifiées de libres</w:t>
      </w:r>
      <w:r w:rsidR="00E16237" w:rsidRPr="005F28B2">
        <w:rPr>
          <w:lang w:val="fr-FR"/>
        </w:rPr>
        <w:t>,</w:t>
      </w:r>
      <w:r w:rsidRPr="005F28B2">
        <w:rPr>
          <w:lang w:val="fr-FR"/>
        </w:rPr>
        <w:t xml:space="preserve"> impartiales et intègres. </w:t>
      </w:r>
    </w:p>
    <w:p w:rsidR="009052AE" w:rsidRPr="005F28B2" w:rsidRDefault="00163041" w:rsidP="008E5AFE">
      <w:pPr>
        <w:pStyle w:val="H1G"/>
        <w:rPr>
          <w:rtl/>
          <w:lang w:val="fr-FR" w:bidi="fr-FR"/>
        </w:rPr>
      </w:pPr>
      <w:r w:rsidRPr="005F28B2">
        <w:rPr>
          <w:lang w:val="fr-FR"/>
        </w:rPr>
        <w:tab/>
      </w:r>
      <w:bookmarkStart w:id="2" w:name="_Toc478218477"/>
      <w:r w:rsidRPr="005F28B2">
        <w:rPr>
          <w:lang w:val="fr-FR"/>
        </w:rPr>
        <w:t>2.</w:t>
      </w:r>
      <w:r w:rsidRPr="005F28B2">
        <w:rPr>
          <w:lang w:val="fr-FR"/>
        </w:rPr>
        <w:tab/>
        <w:t>Caractéristiques démographiques</w:t>
      </w:r>
      <w:r w:rsidR="00E16237" w:rsidRPr="005F28B2">
        <w:rPr>
          <w:lang w:val="fr-FR"/>
        </w:rPr>
        <w:t>,</w:t>
      </w:r>
      <w:r w:rsidRPr="005F28B2">
        <w:rPr>
          <w:lang w:val="fr-FR"/>
        </w:rPr>
        <w:t xml:space="preserve"> économiques</w:t>
      </w:r>
      <w:r w:rsidR="00E16237" w:rsidRPr="005F28B2">
        <w:rPr>
          <w:lang w:val="fr-FR"/>
        </w:rPr>
        <w:t>,</w:t>
      </w:r>
      <w:r w:rsidRPr="005F28B2">
        <w:rPr>
          <w:lang w:val="fr-FR"/>
        </w:rPr>
        <w:t xml:space="preserve"> sociales et culturelles</w:t>
      </w:r>
      <w:bookmarkEnd w:id="2"/>
    </w:p>
    <w:p w:rsidR="009052AE" w:rsidRPr="005F28B2" w:rsidRDefault="00163041" w:rsidP="008E5AFE">
      <w:pPr>
        <w:pStyle w:val="SingleTxtG"/>
        <w:rPr>
          <w:rtl/>
          <w:lang w:val="fr-FR" w:bidi="fr-FR"/>
        </w:rPr>
      </w:pPr>
      <w:r w:rsidRPr="005F28B2">
        <w:rPr>
          <w:lang w:val="fr-FR"/>
        </w:rPr>
        <w:t>7.</w:t>
      </w:r>
      <w:r w:rsidRPr="005F28B2">
        <w:rPr>
          <w:lang w:val="fr-FR"/>
        </w:rPr>
        <w:tab/>
        <w:t>Selon le dernier recensement général de la population</w:t>
      </w:r>
      <w:r w:rsidR="00E16237" w:rsidRPr="005F28B2">
        <w:rPr>
          <w:lang w:val="fr-FR"/>
        </w:rPr>
        <w:t>,</w:t>
      </w:r>
      <w:r w:rsidRPr="005F28B2">
        <w:rPr>
          <w:lang w:val="fr-FR"/>
        </w:rPr>
        <w:t xml:space="preserve"> effectué en 2014</w:t>
      </w:r>
      <w:r w:rsidR="00E16237" w:rsidRPr="005F28B2">
        <w:rPr>
          <w:lang w:val="fr-FR"/>
        </w:rPr>
        <w:t>,</w:t>
      </w:r>
      <w:r w:rsidRPr="005F28B2">
        <w:rPr>
          <w:lang w:val="fr-FR"/>
        </w:rPr>
        <w:t xml:space="preserve"> la Tunisie compte 11 millions d</w:t>
      </w:r>
      <w:r w:rsidR="00E16237" w:rsidRPr="005F28B2">
        <w:rPr>
          <w:lang w:val="fr-FR"/>
        </w:rPr>
        <w:t>’</w:t>
      </w:r>
      <w:r w:rsidRPr="005F28B2">
        <w:rPr>
          <w:lang w:val="fr-FR"/>
        </w:rPr>
        <w:t>habitants. Sa situation démographique est stable et le taux d</w:t>
      </w:r>
      <w:r w:rsidR="00E16237" w:rsidRPr="005F28B2">
        <w:rPr>
          <w:lang w:val="fr-FR"/>
        </w:rPr>
        <w:t>’</w:t>
      </w:r>
      <w:r w:rsidRPr="005F28B2">
        <w:rPr>
          <w:lang w:val="fr-FR"/>
        </w:rPr>
        <w:t>accroissement naturel de sa population a enregistré une légère hausse</w:t>
      </w:r>
      <w:r w:rsidR="00E16237" w:rsidRPr="005F28B2">
        <w:rPr>
          <w:lang w:val="fr-FR"/>
        </w:rPr>
        <w:t>,</w:t>
      </w:r>
      <w:r w:rsidRPr="005F28B2">
        <w:rPr>
          <w:lang w:val="fr-FR"/>
        </w:rPr>
        <w:t xml:space="preserve"> en passant de 1</w:t>
      </w:r>
      <w:r w:rsidR="00E16237" w:rsidRPr="005F28B2">
        <w:rPr>
          <w:lang w:val="fr-FR"/>
        </w:rPr>
        <w:t>,</w:t>
      </w:r>
      <w:r w:rsidRPr="005F28B2">
        <w:rPr>
          <w:lang w:val="fr-FR"/>
        </w:rPr>
        <w:t>37</w:t>
      </w:r>
      <w:r w:rsidR="00D22E11" w:rsidRPr="005F28B2">
        <w:rPr>
          <w:lang w:val="fr-FR"/>
        </w:rPr>
        <w:t> </w:t>
      </w:r>
      <w:r w:rsidRPr="005F28B2">
        <w:rPr>
          <w:lang w:val="fr-FR"/>
        </w:rPr>
        <w:t>% en 2011 à 1</w:t>
      </w:r>
      <w:r w:rsidR="00E16237" w:rsidRPr="005F28B2">
        <w:rPr>
          <w:lang w:val="fr-FR"/>
        </w:rPr>
        <w:t>,</w:t>
      </w:r>
      <w:r w:rsidRPr="005F28B2">
        <w:rPr>
          <w:lang w:val="fr-FR"/>
        </w:rPr>
        <w:t>489</w:t>
      </w:r>
      <w:r w:rsidR="00D22E11" w:rsidRPr="005F28B2">
        <w:rPr>
          <w:lang w:val="fr-FR"/>
        </w:rPr>
        <w:t> </w:t>
      </w:r>
      <w:r w:rsidRPr="005F28B2">
        <w:rPr>
          <w:lang w:val="fr-FR"/>
        </w:rPr>
        <w:t>% en 2014. La structure d</w:t>
      </w:r>
      <w:r w:rsidR="00E16237" w:rsidRPr="005F28B2">
        <w:rPr>
          <w:lang w:val="fr-FR"/>
        </w:rPr>
        <w:t>’</w:t>
      </w:r>
      <w:r w:rsidRPr="005F28B2">
        <w:rPr>
          <w:lang w:val="fr-FR"/>
        </w:rPr>
        <w:t>âge de la population a évolué</w:t>
      </w:r>
      <w:r w:rsidR="00E16237" w:rsidRPr="005F28B2">
        <w:rPr>
          <w:lang w:val="fr-FR"/>
        </w:rPr>
        <w:t>,</w:t>
      </w:r>
      <w:r w:rsidRPr="005F28B2">
        <w:rPr>
          <w:lang w:val="fr-FR"/>
        </w:rPr>
        <w:t xml:space="preserve"> dans la mesure où l</w:t>
      </w:r>
      <w:r w:rsidR="00E16237" w:rsidRPr="005F28B2">
        <w:rPr>
          <w:lang w:val="fr-FR"/>
        </w:rPr>
        <w:t>’</w:t>
      </w:r>
      <w:r w:rsidRPr="005F28B2">
        <w:rPr>
          <w:lang w:val="fr-FR"/>
        </w:rPr>
        <w:t>on se trouvait auparavant face à une société jeune</w:t>
      </w:r>
      <w:r w:rsidR="00E16237" w:rsidRPr="005F28B2">
        <w:rPr>
          <w:lang w:val="fr-FR"/>
        </w:rPr>
        <w:t>,</w:t>
      </w:r>
      <w:r w:rsidRPr="005F28B2">
        <w:rPr>
          <w:lang w:val="fr-FR"/>
        </w:rPr>
        <w:t xml:space="preserve"> dont les caractéristiques ont progressivement connu des changements notables. Ainsi</w:t>
      </w:r>
      <w:r w:rsidR="00E16237" w:rsidRPr="005F28B2">
        <w:rPr>
          <w:lang w:val="fr-FR"/>
        </w:rPr>
        <w:t>,</w:t>
      </w:r>
      <w:r w:rsidRPr="005F28B2">
        <w:rPr>
          <w:lang w:val="fr-FR"/>
        </w:rPr>
        <w:t xml:space="preserve"> la proportion d</w:t>
      </w:r>
      <w:r w:rsidR="00E16237" w:rsidRPr="005F28B2">
        <w:rPr>
          <w:lang w:val="fr-FR"/>
        </w:rPr>
        <w:t>’</w:t>
      </w:r>
      <w:r w:rsidRPr="005F28B2">
        <w:rPr>
          <w:lang w:val="fr-FR"/>
        </w:rPr>
        <w:t>enfants âgés de moins de 5</w:t>
      </w:r>
      <w:r w:rsidR="008E5AFE" w:rsidRPr="005F28B2">
        <w:rPr>
          <w:lang w:val="fr-FR"/>
        </w:rPr>
        <w:t> ans</w:t>
      </w:r>
      <w:r w:rsidRPr="005F28B2">
        <w:rPr>
          <w:lang w:val="fr-FR"/>
        </w:rPr>
        <w:t xml:space="preserve"> est passée de 11 % en 1994 à 8</w:t>
      </w:r>
      <w:r w:rsidR="00E16237" w:rsidRPr="005F28B2">
        <w:rPr>
          <w:lang w:val="fr-FR"/>
        </w:rPr>
        <w:t>,</w:t>
      </w:r>
      <w:r w:rsidRPr="005F28B2">
        <w:rPr>
          <w:lang w:val="fr-FR"/>
        </w:rPr>
        <w:t>9</w:t>
      </w:r>
      <w:r w:rsidR="00D22E11" w:rsidRPr="005F28B2">
        <w:rPr>
          <w:lang w:val="fr-FR"/>
        </w:rPr>
        <w:t> </w:t>
      </w:r>
      <w:r w:rsidRPr="005F28B2">
        <w:rPr>
          <w:lang w:val="fr-FR"/>
        </w:rPr>
        <w:t>% en 2014 et celle de la tranche d</w:t>
      </w:r>
      <w:r w:rsidR="00E16237" w:rsidRPr="005F28B2">
        <w:rPr>
          <w:lang w:val="fr-FR"/>
        </w:rPr>
        <w:t>’</w:t>
      </w:r>
      <w:r w:rsidRPr="005F28B2">
        <w:rPr>
          <w:lang w:val="fr-FR"/>
        </w:rPr>
        <w:t>âge des personnes âgées de 5-14</w:t>
      </w:r>
      <w:r w:rsidR="008E5AFE" w:rsidRPr="005F28B2">
        <w:rPr>
          <w:lang w:val="fr-FR"/>
        </w:rPr>
        <w:t> ans</w:t>
      </w:r>
      <w:r w:rsidRPr="005F28B2">
        <w:rPr>
          <w:lang w:val="fr-FR"/>
        </w:rPr>
        <w:t xml:space="preserve"> a également enregistré un recul</w:t>
      </w:r>
      <w:r w:rsidR="00E16237" w:rsidRPr="005F28B2">
        <w:rPr>
          <w:lang w:val="fr-FR"/>
        </w:rPr>
        <w:t>,</w:t>
      </w:r>
      <w:r w:rsidRPr="005F28B2">
        <w:rPr>
          <w:lang w:val="fr-FR"/>
        </w:rPr>
        <w:t xml:space="preserve"> passant de 21</w:t>
      </w:r>
      <w:r w:rsidR="00E16237" w:rsidRPr="005F28B2">
        <w:rPr>
          <w:lang w:val="fr-FR"/>
        </w:rPr>
        <w:t>,</w:t>
      </w:r>
      <w:r w:rsidRPr="005F28B2">
        <w:rPr>
          <w:lang w:val="fr-FR"/>
        </w:rPr>
        <w:t>4 % en 1994 à 14</w:t>
      </w:r>
      <w:r w:rsidR="00E16237" w:rsidRPr="005F28B2">
        <w:rPr>
          <w:lang w:val="fr-FR"/>
        </w:rPr>
        <w:t>,</w:t>
      </w:r>
      <w:r w:rsidRPr="005F28B2">
        <w:rPr>
          <w:lang w:val="fr-FR"/>
        </w:rPr>
        <w:t>9</w:t>
      </w:r>
      <w:r w:rsidR="00D22E11" w:rsidRPr="005F28B2">
        <w:rPr>
          <w:lang w:val="fr-FR"/>
        </w:rPr>
        <w:t> </w:t>
      </w:r>
      <w:r w:rsidRPr="005F28B2">
        <w:rPr>
          <w:lang w:val="fr-FR"/>
        </w:rPr>
        <w:t xml:space="preserve">% en 2014. </w:t>
      </w:r>
      <w:r w:rsidR="00A14A1A" w:rsidRPr="005F28B2">
        <w:rPr>
          <w:lang w:val="fr-FR"/>
        </w:rPr>
        <w:t xml:space="preserve">À </w:t>
      </w:r>
      <w:r w:rsidRPr="005F28B2">
        <w:rPr>
          <w:lang w:val="fr-FR"/>
        </w:rPr>
        <w:t>l</w:t>
      </w:r>
      <w:r w:rsidR="00E16237" w:rsidRPr="005F28B2">
        <w:rPr>
          <w:lang w:val="fr-FR"/>
        </w:rPr>
        <w:t>’</w:t>
      </w:r>
      <w:r w:rsidRPr="005F28B2">
        <w:rPr>
          <w:lang w:val="fr-FR"/>
        </w:rPr>
        <w:t>inverse</w:t>
      </w:r>
      <w:r w:rsidR="00E16237" w:rsidRPr="005F28B2">
        <w:rPr>
          <w:lang w:val="fr-FR"/>
        </w:rPr>
        <w:t>,</w:t>
      </w:r>
      <w:r w:rsidRPr="005F28B2">
        <w:rPr>
          <w:lang w:val="fr-FR"/>
        </w:rPr>
        <w:t xml:space="preserve"> la part de la population active (15-59</w:t>
      </w:r>
      <w:r w:rsidR="008E5AFE" w:rsidRPr="005F28B2">
        <w:rPr>
          <w:lang w:val="fr-FR"/>
        </w:rPr>
        <w:t> ans</w:t>
      </w:r>
      <w:r w:rsidRPr="005F28B2">
        <w:rPr>
          <w:lang w:val="fr-FR"/>
        </w:rPr>
        <w:t>) a augmenté</w:t>
      </w:r>
      <w:r w:rsidR="00E16237" w:rsidRPr="005F28B2">
        <w:rPr>
          <w:lang w:val="fr-FR"/>
        </w:rPr>
        <w:t>,</w:t>
      </w:r>
      <w:r w:rsidRPr="005F28B2">
        <w:rPr>
          <w:lang w:val="fr-FR"/>
        </w:rPr>
        <w:t xml:space="preserve"> puisqu</w:t>
      </w:r>
      <w:r w:rsidR="00E16237" w:rsidRPr="005F28B2">
        <w:rPr>
          <w:lang w:val="fr-FR"/>
        </w:rPr>
        <w:t>’</w:t>
      </w:r>
      <w:r w:rsidRPr="005F28B2">
        <w:rPr>
          <w:lang w:val="fr-FR"/>
        </w:rPr>
        <w:t>elle représente désormais 64</w:t>
      </w:r>
      <w:r w:rsidR="00E16237" w:rsidRPr="005F28B2">
        <w:rPr>
          <w:lang w:val="fr-FR"/>
        </w:rPr>
        <w:t>,</w:t>
      </w:r>
      <w:r w:rsidRPr="005F28B2">
        <w:rPr>
          <w:lang w:val="fr-FR"/>
        </w:rPr>
        <w:t>5 % de la population totale contre 56</w:t>
      </w:r>
      <w:r w:rsidR="00E16237" w:rsidRPr="005F28B2">
        <w:rPr>
          <w:lang w:val="fr-FR"/>
        </w:rPr>
        <w:t>,</w:t>
      </w:r>
      <w:r w:rsidRPr="005F28B2">
        <w:rPr>
          <w:lang w:val="fr-FR"/>
        </w:rPr>
        <w:t>6 % en 1994. La part des personnes âgées de plus de 60</w:t>
      </w:r>
      <w:r w:rsidR="008E5AFE" w:rsidRPr="005F28B2">
        <w:rPr>
          <w:lang w:val="fr-FR"/>
        </w:rPr>
        <w:t> ans</w:t>
      </w:r>
      <w:r w:rsidRPr="005F28B2">
        <w:rPr>
          <w:lang w:val="fr-FR"/>
        </w:rPr>
        <w:t xml:space="preserve"> a également progressé</w:t>
      </w:r>
      <w:r w:rsidR="00E16237" w:rsidRPr="005F28B2">
        <w:rPr>
          <w:lang w:val="fr-FR"/>
        </w:rPr>
        <w:t>,</w:t>
      </w:r>
      <w:r w:rsidRPr="005F28B2">
        <w:rPr>
          <w:lang w:val="fr-FR"/>
        </w:rPr>
        <w:t xml:space="preserve"> passant de 3</w:t>
      </w:r>
      <w:r w:rsidR="00E16237" w:rsidRPr="005F28B2">
        <w:rPr>
          <w:lang w:val="fr-FR"/>
        </w:rPr>
        <w:t>,</w:t>
      </w:r>
      <w:r w:rsidRPr="005F28B2">
        <w:rPr>
          <w:lang w:val="fr-FR"/>
        </w:rPr>
        <w:t>8</w:t>
      </w:r>
      <w:r w:rsidR="00D22E11" w:rsidRPr="005F28B2">
        <w:rPr>
          <w:lang w:val="fr-FR"/>
        </w:rPr>
        <w:t> </w:t>
      </w:r>
      <w:r w:rsidRPr="005F28B2">
        <w:rPr>
          <w:lang w:val="fr-FR"/>
        </w:rPr>
        <w:t>% de la population totale en 1994 à 10</w:t>
      </w:r>
      <w:r w:rsidR="00E16237" w:rsidRPr="005F28B2">
        <w:rPr>
          <w:lang w:val="fr-FR"/>
        </w:rPr>
        <w:t>,</w:t>
      </w:r>
      <w:r w:rsidRPr="005F28B2">
        <w:rPr>
          <w:lang w:val="fr-FR"/>
        </w:rPr>
        <w:t>1 % en 2011.</w:t>
      </w:r>
    </w:p>
    <w:p w:rsidR="009052AE" w:rsidRPr="005F28B2" w:rsidRDefault="00163041" w:rsidP="008E5AFE">
      <w:pPr>
        <w:pStyle w:val="SingleTxtG"/>
        <w:rPr>
          <w:rtl/>
          <w:lang w:val="fr-FR" w:bidi="fr-FR"/>
        </w:rPr>
      </w:pPr>
      <w:r w:rsidRPr="005F28B2">
        <w:rPr>
          <w:lang w:val="fr-FR"/>
        </w:rPr>
        <w:t>8.</w:t>
      </w:r>
      <w:r w:rsidRPr="005F28B2">
        <w:rPr>
          <w:lang w:val="fr-FR"/>
        </w:rPr>
        <w:tab/>
        <w:t>À l</w:t>
      </w:r>
      <w:r w:rsidR="00E16237" w:rsidRPr="005F28B2">
        <w:rPr>
          <w:lang w:val="fr-FR"/>
        </w:rPr>
        <w:t>’</w:t>
      </w:r>
      <w:r w:rsidRPr="005F28B2">
        <w:rPr>
          <w:lang w:val="fr-FR"/>
        </w:rPr>
        <w:t>instar des pays développés</w:t>
      </w:r>
      <w:r w:rsidR="00E16237" w:rsidRPr="005F28B2">
        <w:rPr>
          <w:lang w:val="fr-FR"/>
        </w:rPr>
        <w:t>,</w:t>
      </w:r>
      <w:r w:rsidRPr="005F28B2">
        <w:rPr>
          <w:lang w:val="fr-FR"/>
        </w:rPr>
        <w:t xml:space="preserve"> la Tunisie connaît un vieillissement progressif de sa population</w:t>
      </w:r>
      <w:r w:rsidR="00E16237" w:rsidRPr="005F28B2">
        <w:rPr>
          <w:lang w:val="fr-FR"/>
        </w:rPr>
        <w:t>,</w:t>
      </w:r>
      <w:r w:rsidRPr="005F28B2">
        <w:rPr>
          <w:lang w:val="fr-FR"/>
        </w:rPr>
        <w:t xml:space="preserve"> ce qui se manifeste à la fois par une augmentation du pourcentage de seniors et une diminution de la proportion d</w:t>
      </w:r>
      <w:r w:rsidR="00E16237" w:rsidRPr="005F28B2">
        <w:rPr>
          <w:lang w:val="fr-FR"/>
        </w:rPr>
        <w:t>’</w:t>
      </w:r>
      <w:r w:rsidRPr="005F28B2">
        <w:rPr>
          <w:lang w:val="fr-FR"/>
        </w:rPr>
        <w:t>enfants. Ainsi</w:t>
      </w:r>
      <w:r w:rsidR="00E16237" w:rsidRPr="005F28B2">
        <w:rPr>
          <w:lang w:val="fr-FR"/>
        </w:rPr>
        <w:t>,</w:t>
      </w:r>
      <w:r w:rsidRPr="005F28B2">
        <w:rPr>
          <w:lang w:val="fr-FR"/>
        </w:rPr>
        <w:t xml:space="preserve"> la proportion d</w:t>
      </w:r>
      <w:r w:rsidR="00E16237" w:rsidRPr="005F28B2">
        <w:rPr>
          <w:lang w:val="fr-FR"/>
        </w:rPr>
        <w:t>’</w:t>
      </w:r>
      <w:r w:rsidRPr="005F28B2">
        <w:rPr>
          <w:lang w:val="fr-FR"/>
        </w:rPr>
        <w:t>adultes âgés de 60</w:t>
      </w:r>
      <w:r w:rsidR="008E5AFE" w:rsidRPr="005F28B2">
        <w:rPr>
          <w:lang w:val="fr-FR"/>
        </w:rPr>
        <w:t> ans</w:t>
      </w:r>
      <w:r w:rsidRPr="005F28B2">
        <w:rPr>
          <w:lang w:val="fr-FR"/>
        </w:rPr>
        <w:t xml:space="preserve"> et plus est passée de 4</w:t>
      </w:r>
      <w:r w:rsidR="00E16237" w:rsidRPr="005F28B2">
        <w:rPr>
          <w:lang w:val="fr-FR"/>
        </w:rPr>
        <w:t>,</w:t>
      </w:r>
      <w:r w:rsidRPr="005F28B2">
        <w:rPr>
          <w:lang w:val="fr-FR"/>
        </w:rPr>
        <w:t>1</w:t>
      </w:r>
      <w:r w:rsidR="00D22E11" w:rsidRPr="005F28B2">
        <w:rPr>
          <w:lang w:val="fr-FR"/>
        </w:rPr>
        <w:t> </w:t>
      </w:r>
      <w:r w:rsidRPr="005F28B2">
        <w:rPr>
          <w:lang w:val="fr-FR"/>
        </w:rPr>
        <w:t>% de la population totale en 1956 à 8</w:t>
      </w:r>
      <w:r w:rsidR="00E16237" w:rsidRPr="005F28B2">
        <w:rPr>
          <w:lang w:val="fr-FR"/>
        </w:rPr>
        <w:t>,</w:t>
      </w:r>
      <w:r w:rsidRPr="005F28B2">
        <w:rPr>
          <w:lang w:val="fr-FR"/>
        </w:rPr>
        <w:t>3</w:t>
      </w:r>
      <w:r w:rsidR="00D22E11" w:rsidRPr="005F28B2">
        <w:rPr>
          <w:lang w:val="fr-FR"/>
        </w:rPr>
        <w:t> </w:t>
      </w:r>
      <w:r w:rsidRPr="005F28B2">
        <w:rPr>
          <w:lang w:val="fr-FR"/>
        </w:rPr>
        <w:t>% en 1994 et à 12</w:t>
      </w:r>
      <w:r w:rsidR="00D22E11" w:rsidRPr="005F28B2">
        <w:rPr>
          <w:lang w:val="fr-FR"/>
        </w:rPr>
        <w:t> </w:t>
      </w:r>
      <w:r w:rsidR="008E5AFE" w:rsidRPr="005F28B2">
        <w:rPr>
          <w:lang w:val="fr-FR"/>
        </w:rPr>
        <w:t>% en </w:t>
      </w:r>
      <w:r w:rsidRPr="005F28B2">
        <w:rPr>
          <w:lang w:val="fr-FR"/>
        </w:rPr>
        <w:t>2014. Les effets de cette évolution démographique sont appelés à se faire sentir au cours des années à venir</w:t>
      </w:r>
      <w:r w:rsidR="00E16237" w:rsidRPr="005F28B2">
        <w:rPr>
          <w:lang w:val="fr-FR"/>
        </w:rPr>
        <w:t>,</w:t>
      </w:r>
      <w:r w:rsidRPr="005F28B2">
        <w:rPr>
          <w:lang w:val="fr-FR"/>
        </w:rPr>
        <w:t xml:space="preserve"> notamment dans le domaine de l</w:t>
      </w:r>
      <w:r w:rsidR="00E16237" w:rsidRPr="005F28B2">
        <w:rPr>
          <w:lang w:val="fr-FR"/>
        </w:rPr>
        <w:t>’</w:t>
      </w:r>
      <w:r w:rsidRPr="005F28B2">
        <w:rPr>
          <w:lang w:val="fr-FR"/>
        </w:rPr>
        <w:t>éducation</w:t>
      </w:r>
      <w:r w:rsidR="00E16237" w:rsidRPr="005F28B2">
        <w:rPr>
          <w:lang w:val="fr-FR"/>
        </w:rPr>
        <w:t>,</w:t>
      </w:r>
      <w:r w:rsidRPr="005F28B2">
        <w:rPr>
          <w:lang w:val="fr-FR"/>
        </w:rPr>
        <w:t xml:space="preserve"> du fait de l</w:t>
      </w:r>
      <w:r w:rsidR="00E16237" w:rsidRPr="005F28B2">
        <w:rPr>
          <w:lang w:val="fr-FR"/>
        </w:rPr>
        <w:t>’</w:t>
      </w:r>
      <w:r w:rsidRPr="005F28B2">
        <w:rPr>
          <w:lang w:val="fr-FR"/>
        </w:rPr>
        <w:t>augmentation attendue de la proportion de la population âgée de moins de 15</w:t>
      </w:r>
      <w:r w:rsidR="008E5AFE" w:rsidRPr="005F28B2">
        <w:rPr>
          <w:lang w:val="fr-FR"/>
        </w:rPr>
        <w:t> ans</w:t>
      </w:r>
      <w:r w:rsidRPr="005F28B2">
        <w:rPr>
          <w:lang w:val="fr-FR"/>
        </w:rPr>
        <w:t xml:space="preserve"> à partir de 2020</w:t>
      </w:r>
      <w:r w:rsidR="00E16237" w:rsidRPr="005F28B2">
        <w:rPr>
          <w:lang w:val="fr-FR"/>
        </w:rPr>
        <w:t>,</w:t>
      </w:r>
      <w:r w:rsidRPr="005F28B2">
        <w:rPr>
          <w:lang w:val="fr-FR"/>
        </w:rPr>
        <w:t xml:space="preserve"> liée à la progression de la proportion de la population âgée de moins de 5</w:t>
      </w:r>
      <w:r w:rsidR="008E5AFE" w:rsidRPr="005F28B2">
        <w:rPr>
          <w:lang w:val="fr-FR"/>
        </w:rPr>
        <w:t> ans</w:t>
      </w:r>
      <w:r w:rsidRPr="005F28B2">
        <w:rPr>
          <w:lang w:val="fr-FR"/>
        </w:rPr>
        <w:t xml:space="preserve"> (8</w:t>
      </w:r>
      <w:r w:rsidR="00E16237" w:rsidRPr="005F28B2">
        <w:rPr>
          <w:lang w:val="fr-FR"/>
        </w:rPr>
        <w:t>,</w:t>
      </w:r>
      <w:r w:rsidRPr="005F28B2">
        <w:rPr>
          <w:lang w:val="fr-FR"/>
        </w:rPr>
        <w:t>1</w:t>
      </w:r>
      <w:r w:rsidR="00D22E11" w:rsidRPr="005F28B2">
        <w:rPr>
          <w:lang w:val="fr-FR"/>
        </w:rPr>
        <w:t> </w:t>
      </w:r>
      <w:r w:rsidRPr="005F28B2">
        <w:rPr>
          <w:lang w:val="fr-FR"/>
        </w:rPr>
        <w:t>% en 2010 à 8</w:t>
      </w:r>
      <w:r w:rsidR="00E16237" w:rsidRPr="005F28B2">
        <w:rPr>
          <w:lang w:val="fr-FR"/>
        </w:rPr>
        <w:t>,</w:t>
      </w:r>
      <w:r w:rsidRPr="005F28B2">
        <w:rPr>
          <w:lang w:val="fr-FR"/>
        </w:rPr>
        <w:t>9</w:t>
      </w:r>
      <w:r w:rsidR="00D22E11" w:rsidRPr="005F28B2">
        <w:rPr>
          <w:lang w:val="fr-FR"/>
        </w:rPr>
        <w:t> </w:t>
      </w:r>
      <w:r w:rsidRPr="005F28B2">
        <w:rPr>
          <w:lang w:val="fr-FR"/>
        </w:rPr>
        <w:t>% 2014) </w:t>
      </w:r>
      <w:r w:rsidR="00E16237" w:rsidRPr="005F28B2">
        <w:rPr>
          <w:lang w:val="fr-FR"/>
        </w:rPr>
        <w:t>;</w:t>
      </w:r>
      <w:r w:rsidRPr="005F28B2">
        <w:rPr>
          <w:lang w:val="fr-FR"/>
        </w:rPr>
        <w:t xml:space="preserve"> mais également dans le secteur de la santé et de la couverture sociale</w:t>
      </w:r>
      <w:r w:rsidR="00E16237" w:rsidRPr="005F28B2">
        <w:rPr>
          <w:lang w:val="fr-FR"/>
        </w:rPr>
        <w:t>,</w:t>
      </w:r>
      <w:r w:rsidRPr="005F28B2">
        <w:rPr>
          <w:lang w:val="fr-FR"/>
        </w:rPr>
        <w:t xml:space="preserve"> dont les dépenses ont vocation à croître avec l</w:t>
      </w:r>
      <w:r w:rsidR="00E16237" w:rsidRPr="005F28B2">
        <w:rPr>
          <w:lang w:val="fr-FR"/>
        </w:rPr>
        <w:t>’</w:t>
      </w:r>
      <w:r w:rsidRPr="005F28B2">
        <w:rPr>
          <w:lang w:val="fr-FR"/>
        </w:rPr>
        <w:t>augmentation de la proportion de la population âgée de plus de 60</w:t>
      </w:r>
      <w:r w:rsidR="008E5AFE" w:rsidRPr="005F28B2">
        <w:rPr>
          <w:lang w:val="fr-FR"/>
        </w:rPr>
        <w:t> ans</w:t>
      </w:r>
      <w:r w:rsidRPr="005F28B2">
        <w:rPr>
          <w:lang w:val="fr-FR"/>
        </w:rPr>
        <w:t xml:space="preserve"> et l</w:t>
      </w:r>
      <w:r w:rsidR="00E16237" w:rsidRPr="005F28B2">
        <w:rPr>
          <w:lang w:val="fr-FR"/>
        </w:rPr>
        <w:t>’</w:t>
      </w:r>
      <w:r w:rsidRPr="005F28B2">
        <w:rPr>
          <w:lang w:val="fr-FR"/>
        </w:rPr>
        <w:t>accroissement du nombre de personnes atteintes de maladies chroniques</w:t>
      </w:r>
      <w:r w:rsidR="00E16237" w:rsidRPr="005F28B2">
        <w:rPr>
          <w:lang w:val="fr-FR"/>
        </w:rPr>
        <w:t>,</w:t>
      </w:r>
      <w:r w:rsidRPr="005F28B2">
        <w:rPr>
          <w:lang w:val="fr-FR"/>
        </w:rPr>
        <w:t xml:space="preserve"> lesquelles représentent 80 % de l</w:t>
      </w:r>
      <w:r w:rsidR="00E16237" w:rsidRPr="005F28B2">
        <w:rPr>
          <w:lang w:val="fr-FR"/>
        </w:rPr>
        <w:t>’</w:t>
      </w:r>
      <w:r w:rsidRPr="005F28B2">
        <w:rPr>
          <w:lang w:val="fr-FR"/>
        </w:rPr>
        <w:t>ensemble des maladies prises en charge et enfin en matière de demandes d</w:t>
      </w:r>
      <w:r w:rsidR="00E16237" w:rsidRPr="005F28B2">
        <w:rPr>
          <w:lang w:val="fr-FR"/>
        </w:rPr>
        <w:t>’</w:t>
      </w:r>
      <w:r w:rsidRPr="005F28B2">
        <w:rPr>
          <w:lang w:val="fr-FR"/>
        </w:rPr>
        <w:t>emploi additionnelles</w:t>
      </w:r>
      <w:r w:rsidR="00E16237" w:rsidRPr="005F28B2">
        <w:rPr>
          <w:lang w:val="fr-FR"/>
        </w:rPr>
        <w:t>,</w:t>
      </w:r>
      <w:r w:rsidRPr="005F28B2">
        <w:rPr>
          <w:lang w:val="fr-FR"/>
        </w:rPr>
        <w:t xml:space="preserve"> compte tenu de l</w:t>
      </w:r>
      <w:r w:rsidR="00E16237" w:rsidRPr="005F28B2">
        <w:rPr>
          <w:lang w:val="fr-FR"/>
        </w:rPr>
        <w:t>’</w:t>
      </w:r>
      <w:r w:rsidRPr="005F28B2">
        <w:rPr>
          <w:lang w:val="fr-FR"/>
        </w:rPr>
        <w:t>augmentation du pourcentage de la tranche d</w:t>
      </w:r>
      <w:r w:rsidR="00E16237" w:rsidRPr="005F28B2">
        <w:rPr>
          <w:lang w:val="fr-FR"/>
        </w:rPr>
        <w:t>’</w:t>
      </w:r>
      <w:r w:rsidRPr="005F28B2">
        <w:rPr>
          <w:lang w:val="fr-FR"/>
        </w:rPr>
        <w:t>âge des personnes âgées de 15-59</w:t>
      </w:r>
      <w:r w:rsidR="008E5AFE" w:rsidRPr="005F28B2">
        <w:rPr>
          <w:lang w:val="fr-FR"/>
        </w:rPr>
        <w:t> ans</w:t>
      </w:r>
      <w:r w:rsidR="00E16237" w:rsidRPr="005F28B2">
        <w:rPr>
          <w:lang w:val="fr-FR"/>
        </w:rPr>
        <w:t>,</w:t>
      </w:r>
      <w:r w:rsidRPr="005F28B2">
        <w:rPr>
          <w:lang w:val="fr-FR"/>
        </w:rPr>
        <w:t xml:space="preserve"> qui a atteint 64</w:t>
      </w:r>
      <w:r w:rsidR="00E16237" w:rsidRPr="005F28B2">
        <w:rPr>
          <w:lang w:val="fr-FR"/>
        </w:rPr>
        <w:t>,</w:t>
      </w:r>
      <w:r w:rsidRPr="005F28B2">
        <w:rPr>
          <w:lang w:val="fr-FR"/>
        </w:rPr>
        <w:t>5</w:t>
      </w:r>
      <w:r w:rsidR="00D22E11" w:rsidRPr="005F28B2">
        <w:rPr>
          <w:lang w:val="fr-FR"/>
        </w:rPr>
        <w:t> </w:t>
      </w:r>
      <w:r w:rsidRPr="005F28B2">
        <w:rPr>
          <w:lang w:val="fr-FR"/>
        </w:rPr>
        <w:t xml:space="preserve">% de la population totale. </w:t>
      </w:r>
    </w:p>
    <w:p w:rsidR="009052AE" w:rsidRPr="005F28B2" w:rsidRDefault="00163041" w:rsidP="008E5AFE">
      <w:pPr>
        <w:pStyle w:val="SingleTxtG"/>
        <w:rPr>
          <w:lang w:val="fr-FR"/>
        </w:rPr>
      </w:pPr>
      <w:r w:rsidRPr="005F28B2">
        <w:rPr>
          <w:lang w:val="fr-FR"/>
        </w:rPr>
        <w:t>9.</w:t>
      </w:r>
      <w:r w:rsidRPr="005F28B2">
        <w:rPr>
          <w:lang w:val="fr-FR"/>
        </w:rPr>
        <w:tab/>
        <w:t>Le produit intérieur brut (PIB) a augmenté à un rythme moyen de 4</w:t>
      </w:r>
      <w:r w:rsidR="00E16237" w:rsidRPr="005F28B2">
        <w:rPr>
          <w:lang w:val="fr-FR"/>
        </w:rPr>
        <w:t>,</w:t>
      </w:r>
      <w:r w:rsidRPr="005F28B2">
        <w:rPr>
          <w:lang w:val="fr-FR"/>
        </w:rPr>
        <w:t>5</w:t>
      </w:r>
      <w:r w:rsidR="00D22E11" w:rsidRPr="005F28B2">
        <w:rPr>
          <w:lang w:val="fr-FR"/>
        </w:rPr>
        <w:t> </w:t>
      </w:r>
      <w:r w:rsidRPr="005F28B2">
        <w:rPr>
          <w:lang w:val="fr-FR"/>
        </w:rPr>
        <w:t>% entre 1990 et 2010</w:t>
      </w:r>
      <w:r w:rsidR="00E16237" w:rsidRPr="005F28B2">
        <w:rPr>
          <w:lang w:val="fr-FR"/>
        </w:rPr>
        <w:t>,</w:t>
      </w:r>
      <w:r w:rsidRPr="005F28B2">
        <w:rPr>
          <w:lang w:val="fr-FR"/>
        </w:rPr>
        <w:t xml:space="preserve"> alors que le taux de croissance s</w:t>
      </w:r>
      <w:r w:rsidR="00E16237" w:rsidRPr="005F28B2">
        <w:rPr>
          <w:lang w:val="fr-FR"/>
        </w:rPr>
        <w:t>’</w:t>
      </w:r>
      <w:r w:rsidRPr="005F28B2">
        <w:rPr>
          <w:lang w:val="fr-FR"/>
        </w:rPr>
        <w:t>est établi à 1</w:t>
      </w:r>
      <w:r w:rsidR="00E16237" w:rsidRPr="005F28B2">
        <w:rPr>
          <w:lang w:val="fr-FR"/>
        </w:rPr>
        <w:t>,</w:t>
      </w:r>
      <w:r w:rsidRPr="005F28B2">
        <w:rPr>
          <w:lang w:val="fr-FR"/>
        </w:rPr>
        <w:t>5</w:t>
      </w:r>
      <w:r w:rsidR="00D22E11" w:rsidRPr="005F28B2">
        <w:rPr>
          <w:lang w:val="fr-FR"/>
        </w:rPr>
        <w:t> </w:t>
      </w:r>
      <w:r w:rsidRPr="005F28B2">
        <w:rPr>
          <w:lang w:val="fr-FR"/>
        </w:rPr>
        <w:t>% au cours de la période 2010-2015 en raison de la baisse de l</w:t>
      </w:r>
      <w:r w:rsidR="00E16237" w:rsidRPr="005F28B2">
        <w:rPr>
          <w:lang w:val="fr-FR"/>
        </w:rPr>
        <w:t>’</w:t>
      </w:r>
      <w:r w:rsidRPr="005F28B2">
        <w:rPr>
          <w:lang w:val="fr-FR"/>
        </w:rPr>
        <w:t>activité d</w:t>
      </w:r>
      <w:r w:rsidR="00E16237" w:rsidRPr="005F28B2">
        <w:rPr>
          <w:lang w:val="fr-FR"/>
        </w:rPr>
        <w:t>’</w:t>
      </w:r>
      <w:r w:rsidRPr="005F28B2">
        <w:rPr>
          <w:lang w:val="fr-FR"/>
        </w:rPr>
        <w:t>un certain nombre de secteurs vitaux</w:t>
      </w:r>
      <w:r w:rsidR="00E16237" w:rsidRPr="005F28B2">
        <w:rPr>
          <w:lang w:val="fr-FR"/>
        </w:rPr>
        <w:t>,</w:t>
      </w:r>
      <w:r w:rsidRPr="005F28B2">
        <w:rPr>
          <w:lang w:val="fr-FR"/>
        </w:rPr>
        <w:t xml:space="preserve"> tels que le phosphate et les industries chimiques et du fait de l</w:t>
      </w:r>
      <w:r w:rsidR="00E16237" w:rsidRPr="005F28B2">
        <w:rPr>
          <w:lang w:val="fr-FR"/>
        </w:rPr>
        <w:t>’</w:t>
      </w:r>
      <w:r w:rsidRPr="005F28B2">
        <w:rPr>
          <w:lang w:val="fr-FR"/>
        </w:rPr>
        <w:t>instabilité politique</w:t>
      </w:r>
      <w:r w:rsidR="00E16237" w:rsidRPr="005F28B2">
        <w:rPr>
          <w:lang w:val="fr-FR"/>
        </w:rPr>
        <w:t>,</w:t>
      </w:r>
      <w:r w:rsidRPr="005F28B2">
        <w:rPr>
          <w:lang w:val="fr-FR"/>
        </w:rPr>
        <w:t xml:space="preserve"> sociale et sécuritaire du pays au cours de la période de transition démocratique.</w:t>
      </w:r>
    </w:p>
    <w:p w:rsidR="009052AE" w:rsidRPr="005F28B2" w:rsidRDefault="00163041" w:rsidP="008E5AFE">
      <w:pPr>
        <w:pStyle w:val="H1G"/>
        <w:rPr>
          <w:lang w:val="fr-FR"/>
        </w:rPr>
      </w:pPr>
      <w:r w:rsidRPr="005F28B2">
        <w:rPr>
          <w:lang w:val="fr-FR"/>
        </w:rPr>
        <w:tab/>
      </w:r>
      <w:bookmarkStart w:id="3" w:name="_Toc478218478"/>
      <w:r w:rsidRPr="005F28B2">
        <w:rPr>
          <w:lang w:val="fr-FR"/>
        </w:rPr>
        <w:t>3.</w:t>
      </w:r>
      <w:r w:rsidRPr="005F28B2">
        <w:rPr>
          <w:lang w:val="fr-FR"/>
        </w:rPr>
        <w:tab/>
        <w:t>Structure constitutionnelle</w:t>
      </w:r>
      <w:r w:rsidR="00E16237" w:rsidRPr="005F28B2">
        <w:rPr>
          <w:lang w:val="fr-FR"/>
        </w:rPr>
        <w:t>,</w:t>
      </w:r>
      <w:r w:rsidRPr="005F28B2">
        <w:rPr>
          <w:lang w:val="fr-FR"/>
        </w:rPr>
        <w:t xml:space="preserve"> politique et juridique</w:t>
      </w:r>
      <w:bookmarkEnd w:id="3"/>
    </w:p>
    <w:p w:rsidR="009052AE" w:rsidRPr="005F28B2" w:rsidRDefault="00163041" w:rsidP="008E5AFE">
      <w:pPr>
        <w:pStyle w:val="SingleTxtG"/>
        <w:rPr>
          <w:lang w:val="fr-FR"/>
        </w:rPr>
      </w:pPr>
      <w:r w:rsidRPr="005F28B2">
        <w:rPr>
          <w:lang w:val="fr-FR"/>
        </w:rPr>
        <w:t>10.</w:t>
      </w:r>
      <w:r w:rsidRPr="005F28B2">
        <w:rPr>
          <w:b/>
          <w:lang w:val="fr-FR"/>
        </w:rPr>
        <w:tab/>
      </w:r>
      <w:r w:rsidRPr="005F28B2">
        <w:rPr>
          <w:lang w:val="fr-FR"/>
        </w:rPr>
        <w:t>La nouvelle Constitution tunisienne détermine la structure constitutionnelle et politique de l</w:t>
      </w:r>
      <w:r w:rsidR="00E16237" w:rsidRPr="005F28B2">
        <w:rPr>
          <w:lang w:val="fr-FR"/>
        </w:rPr>
        <w:t>’</w:t>
      </w:r>
      <w:r w:rsidRPr="005F28B2">
        <w:rPr>
          <w:lang w:val="fr-FR"/>
        </w:rPr>
        <w:t>État tunisien et consacre l</w:t>
      </w:r>
      <w:r w:rsidR="00E16237" w:rsidRPr="005F28B2">
        <w:rPr>
          <w:lang w:val="fr-FR"/>
        </w:rPr>
        <w:t>’</w:t>
      </w:r>
      <w:r w:rsidRPr="005F28B2">
        <w:rPr>
          <w:lang w:val="fr-FR"/>
        </w:rPr>
        <w:t>existence d</w:t>
      </w:r>
      <w:r w:rsidR="00E16237" w:rsidRPr="005F28B2">
        <w:rPr>
          <w:lang w:val="fr-FR"/>
        </w:rPr>
        <w:t>’</w:t>
      </w:r>
      <w:r w:rsidRPr="005F28B2">
        <w:rPr>
          <w:lang w:val="fr-FR"/>
        </w:rPr>
        <w:t>un régime républicain</w:t>
      </w:r>
      <w:r w:rsidR="00E16237" w:rsidRPr="005F28B2">
        <w:rPr>
          <w:lang w:val="fr-FR"/>
        </w:rPr>
        <w:t>,</w:t>
      </w:r>
      <w:r w:rsidRPr="005F28B2">
        <w:rPr>
          <w:lang w:val="fr-FR"/>
        </w:rPr>
        <w:t xml:space="preserve"> démocratique et participatif dans le cadre d</w:t>
      </w:r>
      <w:r w:rsidR="00E16237" w:rsidRPr="005F28B2">
        <w:rPr>
          <w:lang w:val="fr-FR"/>
        </w:rPr>
        <w:t>’</w:t>
      </w:r>
      <w:r w:rsidRPr="005F28B2">
        <w:rPr>
          <w:lang w:val="fr-FR"/>
        </w:rPr>
        <w:t>un État civil fondé sur la citoyenneté</w:t>
      </w:r>
      <w:r w:rsidR="00E16237" w:rsidRPr="005F28B2">
        <w:rPr>
          <w:lang w:val="fr-FR"/>
        </w:rPr>
        <w:t>,</w:t>
      </w:r>
      <w:r w:rsidRPr="005F28B2">
        <w:rPr>
          <w:lang w:val="fr-FR"/>
        </w:rPr>
        <w:t xml:space="preserve"> la volonté du peuple et la primauté du droit</w:t>
      </w:r>
      <w:r w:rsidR="00E16237" w:rsidRPr="005F28B2">
        <w:rPr>
          <w:lang w:val="fr-FR"/>
        </w:rPr>
        <w:t>,</w:t>
      </w:r>
      <w:r w:rsidRPr="005F28B2">
        <w:rPr>
          <w:lang w:val="fr-FR"/>
        </w:rPr>
        <w:t xml:space="preserve"> dans lequel la souveraineté appartient au peuple</w:t>
      </w:r>
      <w:r w:rsidR="00E16237" w:rsidRPr="005F28B2">
        <w:rPr>
          <w:lang w:val="fr-FR"/>
        </w:rPr>
        <w:t>,</w:t>
      </w:r>
      <w:r w:rsidRPr="005F28B2">
        <w:rPr>
          <w:lang w:val="fr-FR"/>
        </w:rPr>
        <w:t xml:space="preserve"> lequel l</w:t>
      </w:r>
      <w:r w:rsidR="00E16237" w:rsidRPr="005F28B2">
        <w:rPr>
          <w:lang w:val="fr-FR"/>
        </w:rPr>
        <w:t>’</w:t>
      </w:r>
      <w:r w:rsidRPr="005F28B2">
        <w:rPr>
          <w:lang w:val="fr-FR"/>
        </w:rPr>
        <w:t>exerce sur la base de l</w:t>
      </w:r>
      <w:r w:rsidR="00E16237" w:rsidRPr="005F28B2">
        <w:rPr>
          <w:lang w:val="fr-FR"/>
        </w:rPr>
        <w:t>’</w:t>
      </w:r>
      <w:r w:rsidRPr="005F28B2">
        <w:rPr>
          <w:lang w:val="fr-FR"/>
        </w:rPr>
        <w:t>alternance pacifique au pouvoir</w:t>
      </w:r>
      <w:r w:rsidR="00E16237" w:rsidRPr="005F28B2">
        <w:rPr>
          <w:lang w:val="fr-FR"/>
        </w:rPr>
        <w:t>,</w:t>
      </w:r>
      <w:r w:rsidRPr="005F28B2">
        <w:rPr>
          <w:lang w:val="fr-FR"/>
        </w:rPr>
        <w:t xml:space="preserve"> par le biais d</w:t>
      </w:r>
      <w:r w:rsidR="00E16237" w:rsidRPr="005F28B2">
        <w:rPr>
          <w:lang w:val="fr-FR"/>
        </w:rPr>
        <w:t>’</w:t>
      </w:r>
      <w:r w:rsidRPr="005F28B2">
        <w:rPr>
          <w:lang w:val="fr-FR"/>
        </w:rPr>
        <w:t xml:space="preserve">élections libres et sur le fondement </w:t>
      </w:r>
      <w:r w:rsidRPr="005F28B2">
        <w:rPr>
          <w:lang w:val="fr-FR"/>
        </w:rPr>
        <w:lastRenderedPageBreak/>
        <w:t>du principe de la séparation et de l</w:t>
      </w:r>
      <w:r w:rsidR="00E16237" w:rsidRPr="005F28B2">
        <w:rPr>
          <w:lang w:val="fr-FR"/>
        </w:rPr>
        <w:t>’</w:t>
      </w:r>
      <w:r w:rsidRPr="005F28B2">
        <w:rPr>
          <w:lang w:val="fr-FR"/>
        </w:rPr>
        <w:t>équilibre des pouvoirs. Conformément aux dispositions de la Constitution</w:t>
      </w:r>
      <w:r w:rsidR="00E16237" w:rsidRPr="005F28B2">
        <w:rPr>
          <w:lang w:val="fr-FR"/>
        </w:rPr>
        <w:t>,</w:t>
      </w:r>
      <w:r w:rsidRPr="005F28B2">
        <w:rPr>
          <w:lang w:val="fr-FR"/>
        </w:rPr>
        <w:t xml:space="preserve"> le peuple est le titulaire de la souveraineté</w:t>
      </w:r>
      <w:r w:rsidR="00E16237" w:rsidRPr="005F28B2">
        <w:rPr>
          <w:lang w:val="fr-FR"/>
        </w:rPr>
        <w:t>,</w:t>
      </w:r>
      <w:r w:rsidRPr="005F28B2">
        <w:rPr>
          <w:lang w:val="fr-FR"/>
        </w:rPr>
        <w:t xml:space="preserve"> qu</w:t>
      </w:r>
      <w:r w:rsidR="00E16237" w:rsidRPr="005F28B2">
        <w:rPr>
          <w:lang w:val="fr-FR"/>
        </w:rPr>
        <w:t>’</w:t>
      </w:r>
      <w:r w:rsidRPr="005F28B2">
        <w:rPr>
          <w:lang w:val="fr-FR"/>
        </w:rPr>
        <w:t>il exerce indirectement à travers ses représentants élus à l</w:t>
      </w:r>
      <w:r w:rsidR="00E16237" w:rsidRPr="005F28B2">
        <w:rPr>
          <w:lang w:val="fr-FR"/>
        </w:rPr>
        <w:t>’</w:t>
      </w:r>
      <w:r w:rsidRPr="005F28B2">
        <w:rPr>
          <w:lang w:val="fr-FR"/>
        </w:rPr>
        <w:t>Assemblée des représentants du peuple ou directement par voie de référendum. En outre</w:t>
      </w:r>
      <w:r w:rsidR="00E16237" w:rsidRPr="005F28B2">
        <w:rPr>
          <w:lang w:val="fr-FR"/>
        </w:rPr>
        <w:t>,</w:t>
      </w:r>
      <w:r w:rsidRPr="005F28B2">
        <w:rPr>
          <w:lang w:val="fr-FR"/>
        </w:rPr>
        <w:t xml:space="preserve"> l</w:t>
      </w:r>
      <w:r w:rsidR="00E16237" w:rsidRPr="005F28B2">
        <w:rPr>
          <w:lang w:val="fr-FR"/>
        </w:rPr>
        <w:t>’</w:t>
      </w:r>
      <w:r w:rsidRPr="005F28B2">
        <w:rPr>
          <w:lang w:val="fr-FR"/>
        </w:rPr>
        <w:t>État est le garant des droits et libertés individuels et collectifs et la loi constitue le lien entre tous les citoyens</w:t>
      </w:r>
      <w:r w:rsidR="00E16237" w:rsidRPr="005F28B2">
        <w:rPr>
          <w:lang w:val="fr-FR"/>
        </w:rPr>
        <w:t>,</w:t>
      </w:r>
      <w:r w:rsidRPr="005F28B2">
        <w:rPr>
          <w:lang w:val="fr-FR"/>
        </w:rPr>
        <w:t xml:space="preserve"> hommes et femmes</w:t>
      </w:r>
      <w:r w:rsidR="00E16237" w:rsidRPr="005F28B2">
        <w:rPr>
          <w:lang w:val="fr-FR"/>
        </w:rPr>
        <w:t>,</w:t>
      </w:r>
      <w:r w:rsidRPr="005F28B2">
        <w:rPr>
          <w:lang w:val="fr-FR"/>
        </w:rPr>
        <w:t xml:space="preserve"> qui sont égaux devant elle</w:t>
      </w:r>
      <w:r w:rsidR="00E16237" w:rsidRPr="005F28B2">
        <w:rPr>
          <w:lang w:val="fr-FR"/>
        </w:rPr>
        <w:t>,</w:t>
      </w:r>
      <w:r w:rsidRPr="005F28B2">
        <w:rPr>
          <w:lang w:val="fr-FR"/>
        </w:rPr>
        <w:t xml:space="preserve"> ainsi qu</w:t>
      </w:r>
      <w:r w:rsidR="00E16237" w:rsidRPr="005F28B2">
        <w:rPr>
          <w:lang w:val="fr-FR"/>
        </w:rPr>
        <w:t>’</w:t>
      </w:r>
      <w:r w:rsidRPr="005F28B2">
        <w:rPr>
          <w:lang w:val="fr-FR"/>
        </w:rPr>
        <w:t>en droits et en devoirs</w:t>
      </w:r>
      <w:r w:rsidR="00E16237" w:rsidRPr="005F28B2">
        <w:rPr>
          <w:lang w:val="fr-FR"/>
        </w:rPr>
        <w:t>,</w:t>
      </w:r>
      <w:r w:rsidRPr="005F28B2">
        <w:rPr>
          <w:lang w:val="fr-FR"/>
        </w:rPr>
        <w:t xml:space="preserve"> sans discrimination. Les instances judiciaires veillent à la protection des droits et libertés contre toute atteinte.</w:t>
      </w:r>
    </w:p>
    <w:p w:rsidR="009052AE" w:rsidRPr="005F28B2" w:rsidRDefault="00163041" w:rsidP="008E5AFE">
      <w:pPr>
        <w:pStyle w:val="SingleTxtG"/>
        <w:rPr>
          <w:lang w:val="fr-FR"/>
        </w:rPr>
      </w:pPr>
      <w:r w:rsidRPr="005F28B2">
        <w:rPr>
          <w:lang w:val="fr-FR"/>
        </w:rPr>
        <w:t>11.</w:t>
      </w:r>
      <w:r w:rsidRPr="005F28B2">
        <w:rPr>
          <w:lang w:val="fr-FR"/>
        </w:rPr>
        <w:tab/>
        <w:t>La Constitution garantit la liberté de constituer des partis politiques</w:t>
      </w:r>
      <w:r w:rsidR="00E16237" w:rsidRPr="005F28B2">
        <w:rPr>
          <w:lang w:val="fr-FR"/>
        </w:rPr>
        <w:t>,</w:t>
      </w:r>
      <w:r w:rsidRPr="005F28B2">
        <w:rPr>
          <w:lang w:val="fr-FR"/>
        </w:rPr>
        <w:t xml:space="preserve"> des syndicats et des associations et l</w:t>
      </w:r>
      <w:r w:rsidR="00E16237" w:rsidRPr="005F28B2">
        <w:rPr>
          <w:lang w:val="fr-FR"/>
        </w:rPr>
        <w:t>’</w:t>
      </w:r>
      <w:r w:rsidRPr="005F28B2">
        <w:rPr>
          <w:lang w:val="fr-FR"/>
        </w:rPr>
        <w:t>exercice de leurs activités dans le respect de la Constitution</w:t>
      </w:r>
      <w:r w:rsidR="00E16237" w:rsidRPr="005F28B2">
        <w:rPr>
          <w:lang w:val="fr-FR"/>
        </w:rPr>
        <w:t>,</w:t>
      </w:r>
      <w:r w:rsidRPr="005F28B2">
        <w:rPr>
          <w:lang w:val="fr-FR"/>
        </w:rPr>
        <w:t xml:space="preserve"> des principes de transparence financière et de rejet de la violence. Les partis politiques veillent à l</w:t>
      </w:r>
      <w:r w:rsidR="00E16237" w:rsidRPr="005F28B2">
        <w:rPr>
          <w:lang w:val="fr-FR"/>
        </w:rPr>
        <w:t>’</w:t>
      </w:r>
      <w:r w:rsidRPr="005F28B2">
        <w:rPr>
          <w:lang w:val="fr-FR"/>
        </w:rPr>
        <w:t>encadrement et à la formation politique des citoyens</w:t>
      </w:r>
      <w:r w:rsidR="00E16237" w:rsidRPr="005F28B2">
        <w:rPr>
          <w:lang w:val="fr-FR"/>
        </w:rPr>
        <w:t>,</w:t>
      </w:r>
      <w:r w:rsidRPr="005F28B2">
        <w:rPr>
          <w:lang w:val="fr-FR"/>
        </w:rPr>
        <w:t xml:space="preserve"> ainsi qu</w:t>
      </w:r>
      <w:r w:rsidR="00E16237" w:rsidRPr="005F28B2">
        <w:rPr>
          <w:lang w:val="fr-FR"/>
        </w:rPr>
        <w:t>’</w:t>
      </w:r>
      <w:r w:rsidRPr="005F28B2">
        <w:rPr>
          <w:lang w:val="fr-FR"/>
        </w:rPr>
        <w:t>au renforcement de leur engagement dans la vie publique selon une approche participative et pluraliste</w:t>
      </w:r>
      <w:r w:rsidRPr="005F28B2">
        <w:rPr>
          <w:rStyle w:val="Appelnotedebasdep"/>
          <w:rFonts w:eastAsia="Traditional Arabic"/>
          <w:lang w:val="fr-FR"/>
        </w:rPr>
        <w:footnoteReference w:id="2"/>
      </w:r>
      <w:r w:rsidRPr="005F28B2">
        <w:rPr>
          <w:lang w:val="fr-FR"/>
        </w:rPr>
        <w:t xml:space="preserve">. Les </w:t>
      </w:r>
      <w:r w:rsidRPr="005F28B2">
        <w:rPr>
          <w:b/>
          <w:lang w:val="fr-FR"/>
        </w:rPr>
        <w:t xml:space="preserve">organisations syndicales et professionnelles </w:t>
      </w:r>
      <w:r w:rsidRPr="005F28B2">
        <w:rPr>
          <w:lang w:val="fr-FR"/>
        </w:rPr>
        <w:t>participent à la défense et à la promotion des droits et intérêts de leurs adhérents</w:t>
      </w:r>
      <w:r w:rsidRPr="005F28B2">
        <w:rPr>
          <w:rStyle w:val="Appelnotedebasdep"/>
          <w:rFonts w:eastAsia="Traditional Arabic"/>
          <w:lang w:val="fr-FR"/>
        </w:rPr>
        <w:footnoteReference w:id="3"/>
      </w:r>
      <w:r w:rsidRPr="005F28B2">
        <w:rPr>
          <w:lang w:val="fr-FR"/>
        </w:rPr>
        <w:t>. En ce qui concerne les associations</w:t>
      </w:r>
      <w:r w:rsidR="00E16237" w:rsidRPr="005F28B2">
        <w:rPr>
          <w:lang w:val="fr-FR"/>
        </w:rPr>
        <w:t>,</w:t>
      </w:r>
      <w:r w:rsidRPr="005F28B2">
        <w:rPr>
          <w:lang w:val="fr-FR"/>
        </w:rPr>
        <w:t xml:space="preserve"> leur constitution est désormais régie par le régime déclaratif</w:t>
      </w:r>
      <w:r w:rsidR="00E16237" w:rsidRPr="005F28B2">
        <w:rPr>
          <w:lang w:val="fr-FR"/>
        </w:rPr>
        <w:t>,</w:t>
      </w:r>
      <w:r w:rsidRPr="005F28B2">
        <w:rPr>
          <w:lang w:val="fr-FR"/>
        </w:rPr>
        <w:t xml:space="preserve"> ce qui a permis à plusieurs groupements autrefois interdits de régulariser leur situation et d</w:t>
      </w:r>
      <w:r w:rsidR="00E16237" w:rsidRPr="005F28B2">
        <w:rPr>
          <w:lang w:val="fr-FR"/>
        </w:rPr>
        <w:t>’</w:t>
      </w:r>
      <w:r w:rsidRPr="005F28B2">
        <w:rPr>
          <w:lang w:val="fr-FR"/>
        </w:rPr>
        <w:t>exercer leurs activités conformément à la loi</w:t>
      </w:r>
      <w:r w:rsidRPr="005F28B2">
        <w:rPr>
          <w:rStyle w:val="Appelnotedebasdep"/>
          <w:rFonts w:eastAsia="Traditional Arabic"/>
          <w:lang w:val="fr-FR"/>
        </w:rPr>
        <w:footnoteReference w:id="4"/>
      </w:r>
      <w:r w:rsidRPr="005F28B2">
        <w:rPr>
          <w:lang w:val="fr-FR"/>
        </w:rPr>
        <w:t>.</w:t>
      </w:r>
    </w:p>
    <w:p w:rsidR="009052AE" w:rsidRPr="005F28B2" w:rsidRDefault="00163041" w:rsidP="008E5AFE">
      <w:pPr>
        <w:pStyle w:val="SingleTxtG"/>
        <w:rPr>
          <w:rtl/>
          <w:lang w:val="fr-FR" w:bidi="fr-FR"/>
        </w:rPr>
      </w:pPr>
      <w:r w:rsidRPr="005F28B2">
        <w:rPr>
          <w:lang w:val="fr-FR"/>
        </w:rPr>
        <w:t>12.</w:t>
      </w:r>
      <w:r w:rsidRPr="005F28B2">
        <w:rPr>
          <w:lang w:val="fr-FR"/>
        </w:rPr>
        <w:tab/>
        <w:t>L</w:t>
      </w:r>
      <w:r w:rsidR="00E16237" w:rsidRPr="005F28B2">
        <w:rPr>
          <w:lang w:val="fr-FR"/>
        </w:rPr>
        <w:t>’</w:t>
      </w:r>
      <w:r w:rsidRPr="005F28B2">
        <w:rPr>
          <w:lang w:val="fr-FR"/>
        </w:rPr>
        <w:t xml:space="preserve">Assemblée des représentants du peuple exerce le </w:t>
      </w:r>
      <w:r w:rsidRPr="005F28B2">
        <w:rPr>
          <w:b/>
          <w:lang w:val="fr-FR"/>
        </w:rPr>
        <w:t>pouvoir législatif et jouit de l</w:t>
      </w:r>
      <w:r w:rsidR="00E16237" w:rsidRPr="005F28B2">
        <w:rPr>
          <w:b/>
          <w:lang w:val="fr-FR"/>
        </w:rPr>
        <w:t>’</w:t>
      </w:r>
      <w:r w:rsidRPr="005F28B2">
        <w:rPr>
          <w:b/>
          <w:lang w:val="fr-FR"/>
        </w:rPr>
        <w:t>autonomie administrative et financière</w:t>
      </w:r>
      <w:r w:rsidRPr="005F28B2">
        <w:rPr>
          <w:lang w:val="fr-FR"/>
        </w:rPr>
        <w:t>. Ses membres tirent leur légitimité du peuple qui les élit pour un mandat de</w:t>
      </w:r>
      <w:r w:rsidR="008E5AFE" w:rsidRPr="005F28B2">
        <w:rPr>
          <w:lang w:val="fr-FR"/>
        </w:rPr>
        <w:t xml:space="preserve"> </w:t>
      </w:r>
      <w:r w:rsidRPr="005F28B2">
        <w:rPr>
          <w:lang w:val="fr-FR"/>
        </w:rPr>
        <w:t>5</w:t>
      </w:r>
      <w:r w:rsidR="008E5AFE" w:rsidRPr="005F28B2">
        <w:rPr>
          <w:lang w:val="fr-FR"/>
        </w:rPr>
        <w:t> ans</w:t>
      </w:r>
      <w:r w:rsidRPr="005F28B2">
        <w:rPr>
          <w:lang w:val="fr-FR"/>
        </w:rPr>
        <w:t xml:space="preserve"> au suffrage universel</w:t>
      </w:r>
      <w:r w:rsidR="00E16237" w:rsidRPr="005F28B2">
        <w:rPr>
          <w:lang w:val="fr-FR"/>
        </w:rPr>
        <w:t>,</w:t>
      </w:r>
      <w:r w:rsidRPr="005F28B2">
        <w:rPr>
          <w:lang w:val="fr-FR"/>
        </w:rPr>
        <w:t xml:space="preserve"> libre</w:t>
      </w:r>
      <w:r w:rsidR="00E16237" w:rsidRPr="005F28B2">
        <w:rPr>
          <w:lang w:val="fr-FR"/>
        </w:rPr>
        <w:t>,</w:t>
      </w:r>
      <w:r w:rsidRPr="005F28B2">
        <w:rPr>
          <w:lang w:val="fr-FR"/>
        </w:rPr>
        <w:t xml:space="preserve"> direct</w:t>
      </w:r>
      <w:r w:rsidR="00E16237" w:rsidRPr="005F28B2">
        <w:rPr>
          <w:lang w:val="fr-FR"/>
        </w:rPr>
        <w:t>,</w:t>
      </w:r>
      <w:r w:rsidRPr="005F28B2">
        <w:rPr>
          <w:lang w:val="fr-FR"/>
        </w:rPr>
        <w:t xml:space="preserve"> honnête et transparent conformément aux dispositions de la loi électorale. Ils jouissent de l</w:t>
      </w:r>
      <w:r w:rsidR="00E16237" w:rsidRPr="005F28B2">
        <w:rPr>
          <w:lang w:val="fr-FR"/>
        </w:rPr>
        <w:t>’</w:t>
      </w:r>
      <w:r w:rsidRPr="005F28B2">
        <w:rPr>
          <w:lang w:val="fr-FR"/>
        </w:rPr>
        <w:t>immunité parlementaire. L</w:t>
      </w:r>
      <w:r w:rsidR="00E16237" w:rsidRPr="005F28B2">
        <w:rPr>
          <w:lang w:val="fr-FR"/>
        </w:rPr>
        <w:t>’</w:t>
      </w:r>
      <w:r w:rsidRPr="005F28B2">
        <w:rPr>
          <w:lang w:val="fr-FR"/>
        </w:rPr>
        <w:t>Assemblée discute les projets de lois et les adopte. L</w:t>
      </w:r>
      <w:r w:rsidR="00E16237" w:rsidRPr="005F28B2">
        <w:rPr>
          <w:lang w:val="fr-FR"/>
        </w:rPr>
        <w:t>’</w:t>
      </w:r>
      <w:r w:rsidRPr="005F28B2">
        <w:rPr>
          <w:lang w:val="fr-FR"/>
        </w:rPr>
        <w:t>initiative législative est exercée par des propositions de lois émanant d</w:t>
      </w:r>
      <w:r w:rsidR="00E16237" w:rsidRPr="005F28B2">
        <w:rPr>
          <w:lang w:val="fr-FR"/>
        </w:rPr>
        <w:t>’</w:t>
      </w:r>
      <w:r w:rsidRPr="005F28B2">
        <w:rPr>
          <w:lang w:val="fr-FR"/>
        </w:rPr>
        <w:t>au moins 10 députés. L</w:t>
      </w:r>
      <w:r w:rsidR="00E16237" w:rsidRPr="005F28B2">
        <w:rPr>
          <w:lang w:val="fr-FR"/>
        </w:rPr>
        <w:t>’</w:t>
      </w:r>
      <w:r w:rsidRPr="005F28B2">
        <w:rPr>
          <w:lang w:val="fr-FR"/>
        </w:rPr>
        <w:t>Assemblée exerce un contrôle sur l</w:t>
      </w:r>
      <w:r w:rsidR="00E16237" w:rsidRPr="005F28B2">
        <w:rPr>
          <w:lang w:val="fr-FR"/>
        </w:rPr>
        <w:t>’</w:t>
      </w:r>
      <w:r w:rsidRPr="005F28B2">
        <w:rPr>
          <w:lang w:val="fr-FR"/>
        </w:rPr>
        <w:t>action du pouvoir exécutif. En tant que composante essentielle de l</w:t>
      </w:r>
      <w:r w:rsidR="00E16237" w:rsidRPr="005F28B2">
        <w:rPr>
          <w:lang w:val="fr-FR"/>
        </w:rPr>
        <w:t>’</w:t>
      </w:r>
      <w:r w:rsidRPr="005F28B2">
        <w:rPr>
          <w:lang w:val="fr-FR"/>
        </w:rPr>
        <w:t>Assemblée des représentants</w:t>
      </w:r>
      <w:r w:rsidR="00E16237" w:rsidRPr="005F28B2">
        <w:rPr>
          <w:lang w:val="fr-FR"/>
        </w:rPr>
        <w:t>,</w:t>
      </w:r>
      <w:r w:rsidRPr="005F28B2">
        <w:rPr>
          <w:lang w:val="fr-FR"/>
        </w:rPr>
        <w:t xml:space="preserve"> l</w:t>
      </w:r>
      <w:r w:rsidR="00E16237" w:rsidRPr="005F28B2">
        <w:rPr>
          <w:b/>
          <w:lang w:val="fr-FR"/>
        </w:rPr>
        <w:t>’</w:t>
      </w:r>
      <w:r w:rsidRPr="005F28B2">
        <w:rPr>
          <w:b/>
          <w:lang w:val="fr-FR"/>
        </w:rPr>
        <w:t xml:space="preserve">opposition </w:t>
      </w:r>
      <w:r w:rsidRPr="005F28B2">
        <w:rPr>
          <w:lang w:val="fr-FR"/>
        </w:rPr>
        <w:t>a des droits lui permettant d</w:t>
      </w:r>
      <w:r w:rsidR="00E16237" w:rsidRPr="005F28B2">
        <w:rPr>
          <w:lang w:val="fr-FR"/>
        </w:rPr>
        <w:t>’</w:t>
      </w:r>
      <w:r w:rsidRPr="005F28B2">
        <w:rPr>
          <w:lang w:val="fr-FR"/>
        </w:rPr>
        <w:t>accomplir ses missions dans le cadre de l</w:t>
      </w:r>
      <w:r w:rsidR="00E16237" w:rsidRPr="005F28B2">
        <w:rPr>
          <w:lang w:val="fr-FR"/>
        </w:rPr>
        <w:t>’</w:t>
      </w:r>
      <w:r w:rsidRPr="005F28B2">
        <w:rPr>
          <w:lang w:val="fr-FR"/>
        </w:rPr>
        <w:t>action parlementaire. L</w:t>
      </w:r>
      <w:r w:rsidR="00E16237" w:rsidRPr="005F28B2">
        <w:rPr>
          <w:lang w:val="fr-FR"/>
        </w:rPr>
        <w:t>’</w:t>
      </w:r>
      <w:r w:rsidRPr="005F28B2">
        <w:rPr>
          <w:lang w:val="fr-FR"/>
        </w:rPr>
        <w:t>Assemblée des représentants du peuple peut habiliter le Chef du Gouvernement par une loi à prendre des décrets-lois dans le cadre du domaine de la loi pour une période n</w:t>
      </w:r>
      <w:r w:rsidR="00E16237" w:rsidRPr="005F28B2">
        <w:rPr>
          <w:lang w:val="fr-FR"/>
        </w:rPr>
        <w:t>’</w:t>
      </w:r>
      <w:r w:rsidRPr="005F28B2">
        <w:rPr>
          <w:lang w:val="fr-FR"/>
        </w:rPr>
        <w:t>excédant pas deux mois et en vue d</w:t>
      </w:r>
      <w:r w:rsidR="00E16237" w:rsidRPr="005F28B2">
        <w:rPr>
          <w:lang w:val="fr-FR"/>
        </w:rPr>
        <w:t>’</w:t>
      </w:r>
      <w:r w:rsidRPr="005F28B2">
        <w:rPr>
          <w:lang w:val="fr-FR"/>
        </w:rPr>
        <w:t>un objectif déterminé</w:t>
      </w:r>
      <w:r w:rsidR="00E16237" w:rsidRPr="005F28B2">
        <w:rPr>
          <w:lang w:val="fr-FR"/>
        </w:rPr>
        <w:t>,</w:t>
      </w:r>
      <w:r w:rsidRPr="005F28B2">
        <w:rPr>
          <w:lang w:val="fr-FR"/>
        </w:rPr>
        <w:t xml:space="preserve"> à l</w:t>
      </w:r>
      <w:r w:rsidR="00E16237" w:rsidRPr="005F28B2">
        <w:rPr>
          <w:lang w:val="fr-FR"/>
        </w:rPr>
        <w:t>’</w:t>
      </w:r>
      <w:r w:rsidRPr="005F28B2">
        <w:rPr>
          <w:lang w:val="fr-FR"/>
        </w:rPr>
        <w:t>exception du régime électoral. À l</w:t>
      </w:r>
      <w:r w:rsidR="00E16237" w:rsidRPr="005F28B2">
        <w:rPr>
          <w:lang w:val="fr-FR"/>
        </w:rPr>
        <w:t>’</w:t>
      </w:r>
      <w:r w:rsidRPr="005F28B2">
        <w:rPr>
          <w:lang w:val="fr-FR"/>
        </w:rPr>
        <w:t>expiration de ce délai</w:t>
      </w:r>
      <w:r w:rsidR="00E16237" w:rsidRPr="005F28B2">
        <w:rPr>
          <w:lang w:val="fr-FR"/>
        </w:rPr>
        <w:t>,</w:t>
      </w:r>
      <w:r w:rsidRPr="005F28B2">
        <w:rPr>
          <w:lang w:val="fr-FR"/>
        </w:rPr>
        <w:t xml:space="preserve"> ces décrets-lois sont soumis à l</w:t>
      </w:r>
      <w:r w:rsidR="00E16237" w:rsidRPr="005F28B2">
        <w:rPr>
          <w:lang w:val="fr-FR"/>
        </w:rPr>
        <w:t>’</w:t>
      </w:r>
      <w:r w:rsidRPr="005F28B2">
        <w:rPr>
          <w:lang w:val="fr-FR"/>
        </w:rPr>
        <w:t>approbation de l</w:t>
      </w:r>
      <w:r w:rsidR="00E16237" w:rsidRPr="005F28B2">
        <w:rPr>
          <w:lang w:val="fr-FR"/>
        </w:rPr>
        <w:t>’</w:t>
      </w:r>
      <w:r w:rsidRPr="005F28B2">
        <w:rPr>
          <w:lang w:val="fr-FR"/>
        </w:rPr>
        <w:t>Assemblée. En cas de dissolution de l</w:t>
      </w:r>
      <w:r w:rsidR="00E16237" w:rsidRPr="005F28B2">
        <w:rPr>
          <w:lang w:val="fr-FR"/>
        </w:rPr>
        <w:t>’</w:t>
      </w:r>
      <w:r w:rsidRPr="005F28B2">
        <w:rPr>
          <w:lang w:val="fr-FR"/>
        </w:rPr>
        <w:t>Assemblée des représentants du peuple</w:t>
      </w:r>
      <w:r w:rsidR="00E16237" w:rsidRPr="005F28B2">
        <w:rPr>
          <w:lang w:val="fr-FR"/>
        </w:rPr>
        <w:t>,</w:t>
      </w:r>
      <w:r w:rsidRPr="005F28B2">
        <w:rPr>
          <w:lang w:val="fr-FR"/>
        </w:rPr>
        <w:t xml:space="preserve"> le Président de la République peut</w:t>
      </w:r>
      <w:r w:rsidR="00E16237" w:rsidRPr="005F28B2">
        <w:rPr>
          <w:lang w:val="fr-FR"/>
        </w:rPr>
        <w:t>,</w:t>
      </w:r>
      <w:r w:rsidRPr="005F28B2">
        <w:rPr>
          <w:lang w:val="fr-FR"/>
        </w:rPr>
        <w:t xml:space="preserve"> en accord avec le Chef du Gouvernement</w:t>
      </w:r>
      <w:r w:rsidR="00E16237" w:rsidRPr="005F28B2">
        <w:rPr>
          <w:lang w:val="fr-FR"/>
        </w:rPr>
        <w:t>,</w:t>
      </w:r>
      <w:r w:rsidRPr="005F28B2">
        <w:rPr>
          <w:lang w:val="fr-FR"/>
        </w:rPr>
        <w:t xml:space="preserve"> prendre des décrets-lois soumis à l</w:t>
      </w:r>
      <w:r w:rsidR="00E16237" w:rsidRPr="005F28B2">
        <w:rPr>
          <w:lang w:val="fr-FR"/>
        </w:rPr>
        <w:t>’</w:t>
      </w:r>
      <w:r w:rsidRPr="005F28B2">
        <w:rPr>
          <w:lang w:val="fr-FR"/>
        </w:rPr>
        <w:t>approbation de l</w:t>
      </w:r>
      <w:r w:rsidR="00E16237" w:rsidRPr="005F28B2">
        <w:rPr>
          <w:lang w:val="fr-FR"/>
        </w:rPr>
        <w:t>’</w:t>
      </w:r>
      <w:r w:rsidRPr="005F28B2">
        <w:rPr>
          <w:lang w:val="fr-FR"/>
        </w:rPr>
        <w:t xml:space="preserve">Assemblée au cours de la session ordinaire suivante. </w:t>
      </w:r>
    </w:p>
    <w:p w:rsidR="009052AE" w:rsidRPr="005F28B2" w:rsidRDefault="00163041" w:rsidP="008E5AFE">
      <w:pPr>
        <w:pStyle w:val="SingleTxtG"/>
        <w:rPr>
          <w:lang w:val="fr-FR"/>
        </w:rPr>
      </w:pPr>
      <w:r w:rsidRPr="005F28B2">
        <w:rPr>
          <w:lang w:val="fr-FR"/>
        </w:rPr>
        <w:lastRenderedPageBreak/>
        <w:t>13.</w:t>
      </w:r>
      <w:r w:rsidRPr="005F28B2">
        <w:rPr>
          <w:lang w:val="fr-FR"/>
        </w:rPr>
        <w:tab/>
        <w:t xml:space="preserve">Le </w:t>
      </w:r>
      <w:r w:rsidRPr="005F28B2">
        <w:rPr>
          <w:b/>
          <w:lang w:val="fr-FR"/>
        </w:rPr>
        <w:t xml:space="preserve">pouvoir exécutif </w:t>
      </w:r>
      <w:r w:rsidRPr="005F28B2">
        <w:rPr>
          <w:lang w:val="fr-FR"/>
        </w:rPr>
        <w:t>est exercé par le Président de la République et par un Gouvernement dirigé par un Chef du Gouvernement. Le Président de la République est le chef de l</w:t>
      </w:r>
      <w:r w:rsidR="00E16237" w:rsidRPr="005F28B2">
        <w:rPr>
          <w:lang w:val="fr-FR"/>
        </w:rPr>
        <w:t>’</w:t>
      </w:r>
      <w:r w:rsidRPr="005F28B2">
        <w:rPr>
          <w:lang w:val="fr-FR"/>
        </w:rPr>
        <w:t>État et le symbole de son unité. Il garantit son indépendance et sa continuité et veille au respect de la Constitution. Il est élu pour un mandat de 5</w:t>
      </w:r>
      <w:r w:rsidR="008E5AFE" w:rsidRPr="005F28B2">
        <w:rPr>
          <w:lang w:val="fr-FR"/>
        </w:rPr>
        <w:t> ans</w:t>
      </w:r>
      <w:r w:rsidRPr="005F28B2">
        <w:rPr>
          <w:lang w:val="fr-FR"/>
        </w:rPr>
        <w:t xml:space="preserve"> au suffrage universel</w:t>
      </w:r>
      <w:r w:rsidR="00E16237" w:rsidRPr="005F28B2">
        <w:rPr>
          <w:lang w:val="fr-FR"/>
        </w:rPr>
        <w:t>,</w:t>
      </w:r>
      <w:r w:rsidRPr="005F28B2">
        <w:rPr>
          <w:lang w:val="fr-FR"/>
        </w:rPr>
        <w:t xml:space="preserve"> libre</w:t>
      </w:r>
      <w:r w:rsidR="00E16237" w:rsidRPr="005F28B2">
        <w:rPr>
          <w:lang w:val="fr-FR"/>
        </w:rPr>
        <w:t>,</w:t>
      </w:r>
      <w:r w:rsidRPr="005F28B2">
        <w:rPr>
          <w:lang w:val="fr-FR"/>
        </w:rPr>
        <w:t xml:space="preserve"> direct</w:t>
      </w:r>
      <w:r w:rsidR="00E16237" w:rsidRPr="005F28B2">
        <w:rPr>
          <w:lang w:val="fr-FR"/>
        </w:rPr>
        <w:t>,</w:t>
      </w:r>
      <w:r w:rsidRPr="005F28B2">
        <w:rPr>
          <w:lang w:val="fr-FR"/>
        </w:rPr>
        <w:t xml:space="preserve"> honnête et transparent et à la majorité absolue des suffrages exprimés. Nul ne peut exercer les fonctions de Président de la République pendant plus de deux mandats entiers</w:t>
      </w:r>
      <w:r w:rsidR="00E16237" w:rsidRPr="005F28B2">
        <w:rPr>
          <w:lang w:val="fr-FR"/>
        </w:rPr>
        <w:t>,</w:t>
      </w:r>
      <w:r w:rsidRPr="005F28B2">
        <w:rPr>
          <w:lang w:val="fr-FR"/>
        </w:rPr>
        <w:t xml:space="preserve"> successifs ou séparés et aucun amendement ne peut augmenter en nombre ou en durée les mandats présidentiels. Le Président de la République représente l</w:t>
      </w:r>
      <w:r w:rsidR="00E16237" w:rsidRPr="005F28B2">
        <w:rPr>
          <w:lang w:val="fr-FR"/>
        </w:rPr>
        <w:t>’</w:t>
      </w:r>
      <w:r w:rsidRPr="005F28B2">
        <w:rPr>
          <w:lang w:val="fr-FR"/>
        </w:rPr>
        <w:t>État et détermine les politiques générales dans les domaines de la défense</w:t>
      </w:r>
      <w:r w:rsidR="00E16237" w:rsidRPr="005F28B2">
        <w:rPr>
          <w:lang w:val="fr-FR"/>
        </w:rPr>
        <w:t>,</w:t>
      </w:r>
      <w:r w:rsidRPr="005F28B2">
        <w:rPr>
          <w:lang w:val="fr-FR"/>
        </w:rPr>
        <w:t xml:space="preserve"> des relations étrangères et de la sécurité nationale pour assurer la protection de l</w:t>
      </w:r>
      <w:r w:rsidR="00E16237" w:rsidRPr="005F28B2">
        <w:rPr>
          <w:lang w:val="fr-FR"/>
        </w:rPr>
        <w:t>’</w:t>
      </w:r>
      <w:r w:rsidRPr="005F28B2">
        <w:rPr>
          <w:lang w:val="fr-FR"/>
        </w:rPr>
        <w:t>État et du territoire national contre toute menace intérieure ou extérieure</w:t>
      </w:r>
      <w:r w:rsidR="00E16237" w:rsidRPr="005F28B2">
        <w:rPr>
          <w:lang w:val="fr-FR"/>
        </w:rPr>
        <w:t>,</w:t>
      </w:r>
      <w:r w:rsidRPr="005F28B2">
        <w:rPr>
          <w:lang w:val="fr-FR"/>
        </w:rPr>
        <w:t xml:space="preserve"> après consultation du chef du Gouvernement. En tant que Commandant suprême des forces armées</w:t>
      </w:r>
      <w:r w:rsidR="00E16237" w:rsidRPr="005F28B2">
        <w:rPr>
          <w:lang w:val="fr-FR"/>
        </w:rPr>
        <w:t>,</w:t>
      </w:r>
      <w:r w:rsidRPr="005F28B2">
        <w:rPr>
          <w:lang w:val="fr-FR"/>
        </w:rPr>
        <w:t xml:space="preserve"> le Chef de l</w:t>
      </w:r>
      <w:r w:rsidR="00E16237" w:rsidRPr="005F28B2">
        <w:rPr>
          <w:lang w:val="fr-FR"/>
        </w:rPr>
        <w:t>’</w:t>
      </w:r>
      <w:r w:rsidRPr="005F28B2">
        <w:rPr>
          <w:lang w:val="fr-FR"/>
        </w:rPr>
        <w:t>État préside le Conseil de sécurité nationale auquel il convoque le chef du Gouvernement et le Président de l</w:t>
      </w:r>
      <w:r w:rsidR="00E16237" w:rsidRPr="005F28B2">
        <w:rPr>
          <w:lang w:val="fr-FR"/>
        </w:rPr>
        <w:t>’</w:t>
      </w:r>
      <w:r w:rsidRPr="005F28B2">
        <w:rPr>
          <w:lang w:val="fr-FR"/>
        </w:rPr>
        <w:t>Assemblée des représentants du peuple. Il peut également déclarer la guerre et conclure la paix</w:t>
      </w:r>
      <w:r w:rsidR="00E16237" w:rsidRPr="005F28B2">
        <w:rPr>
          <w:lang w:val="fr-FR"/>
        </w:rPr>
        <w:t>,</w:t>
      </w:r>
      <w:r w:rsidRPr="005F28B2">
        <w:rPr>
          <w:lang w:val="fr-FR"/>
        </w:rPr>
        <w:t xml:space="preserve"> après approbation de l</w:t>
      </w:r>
      <w:r w:rsidR="00E16237" w:rsidRPr="005F28B2">
        <w:rPr>
          <w:lang w:val="fr-FR"/>
        </w:rPr>
        <w:t>’</w:t>
      </w:r>
      <w:r w:rsidRPr="005F28B2">
        <w:rPr>
          <w:lang w:val="fr-FR"/>
        </w:rPr>
        <w:t>Assemblée des représentants du peuple. Le Président de la République exerce ses pouvoirs par voie de décrets présidentiels.</w:t>
      </w:r>
    </w:p>
    <w:p w:rsidR="009052AE" w:rsidRPr="005F28B2" w:rsidRDefault="00163041" w:rsidP="008E5AFE">
      <w:pPr>
        <w:pStyle w:val="SingleTxtG"/>
        <w:rPr>
          <w:lang w:val="fr-FR"/>
        </w:rPr>
      </w:pPr>
      <w:r w:rsidRPr="005F28B2">
        <w:rPr>
          <w:lang w:val="fr-FR"/>
        </w:rPr>
        <w:t>14.</w:t>
      </w:r>
      <w:r w:rsidRPr="005F28B2">
        <w:rPr>
          <w:lang w:val="fr-FR"/>
        </w:rPr>
        <w:tab/>
        <w:t>Le Gouvernement se compose d</w:t>
      </w:r>
      <w:r w:rsidR="00E16237" w:rsidRPr="005F28B2">
        <w:rPr>
          <w:lang w:val="fr-FR"/>
        </w:rPr>
        <w:t>’</w:t>
      </w:r>
      <w:r w:rsidRPr="005F28B2">
        <w:rPr>
          <w:lang w:val="fr-FR"/>
        </w:rPr>
        <w:t>un Chef du Gouvernement</w:t>
      </w:r>
      <w:r w:rsidR="00E16237" w:rsidRPr="005F28B2">
        <w:rPr>
          <w:lang w:val="fr-FR"/>
        </w:rPr>
        <w:t>,</w:t>
      </w:r>
      <w:r w:rsidRPr="005F28B2">
        <w:rPr>
          <w:lang w:val="fr-FR"/>
        </w:rPr>
        <w:t xml:space="preserve"> de ministres et de secrétaires d</w:t>
      </w:r>
      <w:r w:rsidR="00E16237" w:rsidRPr="005F28B2">
        <w:rPr>
          <w:lang w:val="fr-FR"/>
        </w:rPr>
        <w:t>’</w:t>
      </w:r>
      <w:r w:rsidRPr="005F28B2">
        <w:rPr>
          <w:lang w:val="fr-FR"/>
        </w:rPr>
        <w:t>État choisis par le Chef du Gouvernement</w:t>
      </w:r>
      <w:r w:rsidR="00E16237" w:rsidRPr="005F28B2">
        <w:rPr>
          <w:lang w:val="fr-FR"/>
        </w:rPr>
        <w:t>,</w:t>
      </w:r>
      <w:r w:rsidRPr="005F28B2">
        <w:rPr>
          <w:lang w:val="fr-FR"/>
        </w:rPr>
        <w:t xml:space="preserve"> en concertation avec le président de la République. Le Gouvernement est issu de la majorité des membres présents de l</w:t>
      </w:r>
      <w:r w:rsidR="00E16237" w:rsidRPr="005F28B2">
        <w:rPr>
          <w:lang w:val="fr-FR"/>
        </w:rPr>
        <w:t>’</w:t>
      </w:r>
      <w:r w:rsidRPr="005F28B2">
        <w:rPr>
          <w:lang w:val="fr-FR"/>
        </w:rPr>
        <w:t>Assemblée des représentants du peuple et exerce le pouvoir exécutif. Il est chargé</w:t>
      </w:r>
      <w:r w:rsidR="00E16237" w:rsidRPr="005F28B2">
        <w:rPr>
          <w:lang w:val="fr-FR"/>
        </w:rPr>
        <w:t>,</w:t>
      </w:r>
      <w:r w:rsidRPr="005F28B2">
        <w:rPr>
          <w:lang w:val="fr-FR"/>
        </w:rPr>
        <w:t xml:space="preserve"> sous l</w:t>
      </w:r>
      <w:r w:rsidR="00E16237" w:rsidRPr="005F28B2">
        <w:rPr>
          <w:lang w:val="fr-FR"/>
        </w:rPr>
        <w:t>’</w:t>
      </w:r>
      <w:r w:rsidRPr="005F28B2">
        <w:rPr>
          <w:lang w:val="fr-FR"/>
        </w:rPr>
        <w:t>autorité du Chef du Gouvernement</w:t>
      </w:r>
      <w:r w:rsidR="00E16237" w:rsidRPr="005F28B2">
        <w:rPr>
          <w:lang w:val="fr-FR"/>
        </w:rPr>
        <w:t>,</w:t>
      </w:r>
      <w:r w:rsidRPr="005F28B2">
        <w:rPr>
          <w:lang w:val="fr-FR"/>
        </w:rPr>
        <w:t xml:space="preserve"> d</w:t>
      </w:r>
      <w:r w:rsidR="00E16237" w:rsidRPr="005F28B2">
        <w:rPr>
          <w:lang w:val="fr-FR"/>
        </w:rPr>
        <w:t>’</w:t>
      </w:r>
      <w:r w:rsidRPr="005F28B2">
        <w:rPr>
          <w:lang w:val="fr-FR"/>
        </w:rPr>
        <w:t>exécuter son programme d</w:t>
      </w:r>
      <w:r w:rsidR="00E16237" w:rsidRPr="005F28B2">
        <w:rPr>
          <w:lang w:val="fr-FR"/>
        </w:rPr>
        <w:t>’</w:t>
      </w:r>
      <w:r w:rsidRPr="005F28B2">
        <w:rPr>
          <w:lang w:val="fr-FR"/>
        </w:rPr>
        <w:t>action dans le respect de la politique générale de l</w:t>
      </w:r>
      <w:r w:rsidR="00E16237" w:rsidRPr="005F28B2">
        <w:rPr>
          <w:lang w:val="fr-FR"/>
        </w:rPr>
        <w:t>’</w:t>
      </w:r>
      <w:r w:rsidRPr="005F28B2">
        <w:rPr>
          <w:lang w:val="fr-FR"/>
        </w:rPr>
        <w:t>État et des lois. Il est responsable devant l</w:t>
      </w:r>
      <w:r w:rsidR="00E16237" w:rsidRPr="005F28B2">
        <w:rPr>
          <w:lang w:val="fr-FR"/>
        </w:rPr>
        <w:t>’</w:t>
      </w:r>
      <w:r w:rsidRPr="005F28B2">
        <w:rPr>
          <w:lang w:val="fr-FR"/>
        </w:rPr>
        <w:t>Assemblée des représentants du peuple. Le Chef du Gouvernement exerce le pouvoir réglementaire général par décret et peut déléguer ses pouvoirs à un ministre. La Constitution a veillé à trouver un équilibre entre les deux têtes de l</w:t>
      </w:r>
      <w:r w:rsidR="00E16237" w:rsidRPr="005F28B2">
        <w:rPr>
          <w:lang w:val="fr-FR"/>
        </w:rPr>
        <w:t>’</w:t>
      </w:r>
      <w:r w:rsidRPr="005F28B2">
        <w:rPr>
          <w:lang w:val="fr-FR"/>
        </w:rPr>
        <w:t>exécutif</w:t>
      </w:r>
      <w:r w:rsidR="00E16237" w:rsidRPr="005F28B2">
        <w:rPr>
          <w:lang w:val="fr-FR"/>
        </w:rPr>
        <w:t>,</w:t>
      </w:r>
      <w:r w:rsidRPr="005F28B2">
        <w:rPr>
          <w:lang w:val="fr-FR"/>
        </w:rPr>
        <w:t xml:space="preserve"> au moyen de la concertation et du dialogue. </w:t>
      </w:r>
    </w:p>
    <w:p w:rsidR="009052AE" w:rsidRPr="005F28B2" w:rsidRDefault="00163041" w:rsidP="003C4049">
      <w:pPr>
        <w:pStyle w:val="SingleTxtG"/>
        <w:rPr>
          <w:lang w:val="fr-FR"/>
        </w:rPr>
      </w:pPr>
      <w:r w:rsidRPr="005F28B2">
        <w:rPr>
          <w:lang w:val="fr-FR"/>
        </w:rPr>
        <w:t>15.</w:t>
      </w:r>
      <w:r w:rsidRPr="005F28B2">
        <w:rPr>
          <w:lang w:val="fr-FR"/>
        </w:rPr>
        <w:tab/>
        <w:t>Le</w:t>
      </w:r>
      <w:r w:rsidRPr="005F28B2">
        <w:rPr>
          <w:b/>
          <w:lang w:val="fr-FR"/>
        </w:rPr>
        <w:t xml:space="preserve"> pouvoir judiciaire </w:t>
      </w:r>
      <w:r w:rsidRPr="005F28B2">
        <w:rPr>
          <w:lang w:val="fr-FR"/>
        </w:rPr>
        <w:t>est</w:t>
      </w:r>
      <w:r w:rsidRPr="005F28B2">
        <w:rPr>
          <w:b/>
          <w:lang w:val="fr-FR"/>
        </w:rPr>
        <w:t xml:space="preserve"> </w:t>
      </w:r>
      <w:r w:rsidRPr="005F28B2">
        <w:rPr>
          <w:lang w:val="fr-FR"/>
        </w:rPr>
        <w:t>indépendant. Les magistrats sont indépendants et ne sont soumis</w:t>
      </w:r>
      <w:r w:rsidR="00E16237" w:rsidRPr="005F28B2">
        <w:rPr>
          <w:lang w:val="fr-FR"/>
        </w:rPr>
        <w:t>,</w:t>
      </w:r>
      <w:r w:rsidRPr="005F28B2">
        <w:rPr>
          <w:lang w:val="fr-FR"/>
        </w:rPr>
        <w:t xml:space="preserve"> dans l</w:t>
      </w:r>
      <w:r w:rsidR="00E16237" w:rsidRPr="005F28B2">
        <w:rPr>
          <w:lang w:val="fr-FR"/>
        </w:rPr>
        <w:t>’</w:t>
      </w:r>
      <w:r w:rsidRPr="005F28B2">
        <w:rPr>
          <w:lang w:val="fr-FR"/>
        </w:rPr>
        <w:t>exercice de leurs fonctions qu</w:t>
      </w:r>
      <w:r w:rsidR="00E16237" w:rsidRPr="005F28B2">
        <w:rPr>
          <w:lang w:val="fr-FR"/>
        </w:rPr>
        <w:t>’</w:t>
      </w:r>
      <w:r w:rsidRPr="005F28B2">
        <w:rPr>
          <w:lang w:val="fr-FR"/>
        </w:rPr>
        <w:t>à l</w:t>
      </w:r>
      <w:r w:rsidR="00E16237" w:rsidRPr="005F28B2">
        <w:rPr>
          <w:lang w:val="fr-FR"/>
        </w:rPr>
        <w:t>’</w:t>
      </w:r>
      <w:r w:rsidRPr="005F28B2">
        <w:rPr>
          <w:lang w:val="fr-FR"/>
        </w:rPr>
        <w:t>autorité de la loi. Les magistrats sont nommés par décret présidentiel sur avis conforme du Conseil supérieur de la magistrature. Ils veillent à garantir la protection des droits et libertés</w:t>
      </w:r>
      <w:r w:rsidR="00E16237" w:rsidRPr="005F28B2">
        <w:rPr>
          <w:lang w:val="fr-FR"/>
        </w:rPr>
        <w:t>,</w:t>
      </w:r>
      <w:r w:rsidRPr="005F28B2">
        <w:rPr>
          <w:lang w:val="fr-FR"/>
        </w:rPr>
        <w:t xml:space="preserve"> l</w:t>
      </w:r>
      <w:r w:rsidR="00E16237" w:rsidRPr="005F28B2">
        <w:rPr>
          <w:lang w:val="fr-FR"/>
        </w:rPr>
        <w:t>’</w:t>
      </w:r>
      <w:r w:rsidRPr="005F28B2">
        <w:rPr>
          <w:lang w:val="fr-FR"/>
        </w:rPr>
        <w:t>instauration de la justice</w:t>
      </w:r>
      <w:r w:rsidR="00E16237" w:rsidRPr="005F28B2">
        <w:rPr>
          <w:lang w:val="fr-FR"/>
        </w:rPr>
        <w:t>,</w:t>
      </w:r>
      <w:r w:rsidRPr="005F28B2">
        <w:rPr>
          <w:lang w:val="fr-FR"/>
        </w:rPr>
        <w:t xml:space="preserve"> la suprématie de la Constitution et la souveraineté de la loi. Les magistrats ne peuvent être mutés sans leur consentement. Ils ne peuvent être révoqués</w:t>
      </w:r>
      <w:r w:rsidR="00E16237" w:rsidRPr="005F28B2">
        <w:rPr>
          <w:lang w:val="fr-FR"/>
        </w:rPr>
        <w:t>,</w:t>
      </w:r>
      <w:r w:rsidRPr="005F28B2">
        <w:rPr>
          <w:lang w:val="fr-FR"/>
        </w:rPr>
        <w:t xml:space="preserve"> ni faire l</w:t>
      </w:r>
      <w:r w:rsidR="00E16237" w:rsidRPr="005F28B2">
        <w:rPr>
          <w:lang w:val="fr-FR"/>
        </w:rPr>
        <w:t>’</w:t>
      </w:r>
      <w:r w:rsidRPr="005F28B2">
        <w:rPr>
          <w:lang w:val="fr-FR"/>
        </w:rPr>
        <w:t>objet d</w:t>
      </w:r>
      <w:r w:rsidR="00E16237" w:rsidRPr="005F28B2">
        <w:rPr>
          <w:lang w:val="fr-FR"/>
        </w:rPr>
        <w:t>’</w:t>
      </w:r>
      <w:r w:rsidRPr="005F28B2">
        <w:rPr>
          <w:lang w:val="fr-FR"/>
        </w:rPr>
        <w:t>une mesure de suspension ou de cessation de leurs fonctions</w:t>
      </w:r>
      <w:r w:rsidR="00E16237" w:rsidRPr="005F28B2">
        <w:rPr>
          <w:lang w:val="fr-FR"/>
        </w:rPr>
        <w:t>,</w:t>
      </w:r>
      <w:r w:rsidRPr="005F28B2">
        <w:rPr>
          <w:lang w:val="fr-FR"/>
        </w:rPr>
        <w:t xml:space="preserve"> ni d</w:t>
      </w:r>
      <w:r w:rsidR="00E16237" w:rsidRPr="005F28B2">
        <w:rPr>
          <w:lang w:val="fr-FR"/>
        </w:rPr>
        <w:t>’</w:t>
      </w:r>
      <w:r w:rsidRPr="005F28B2">
        <w:rPr>
          <w:lang w:val="fr-FR"/>
        </w:rPr>
        <w:t>une sanction disciplinaire</w:t>
      </w:r>
      <w:r w:rsidR="00E16237" w:rsidRPr="005F28B2">
        <w:rPr>
          <w:lang w:val="fr-FR"/>
        </w:rPr>
        <w:t>,</w:t>
      </w:r>
      <w:r w:rsidRPr="005F28B2">
        <w:rPr>
          <w:lang w:val="fr-FR"/>
        </w:rPr>
        <w:t xml:space="preserve"> sauf en vertu d</w:t>
      </w:r>
      <w:r w:rsidR="00E16237" w:rsidRPr="005F28B2">
        <w:rPr>
          <w:lang w:val="fr-FR"/>
        </w:rPr>
        <w:t>’</w:t>
      </w:r>
      <w:r w:rsidRPr="005F28B2">
        <w:rPr>
          <w:lang w:val="fr-FR"/>
        </w:rPr>
        <w:t>une décision motivée du Conseil supérieur de la magistrature</w:t>
      </w:r>
      <w:r w:rsidR="00E16237" w:rsidRPr="005F28B2">
        <w:rPr>
          <w:lang w:val="fr-FR"/>
        </w:rPr>
        <w:t>,</w:t>
      </w:r>
      <w:r w:rsidRPr="005F28B2">
        <w:rPr>
          <w:lang w:val="fr-FR"/>
        </w:rPr>
        <w:t xml:space="preserve"> dans les cas prévus par la loi et conformément aux garanties légales. Toute ingérence dans le fonctionnement de la justice est interdite. </w:t>
      </w:r>
    </w:p>
    <w:p w:rsidR="009052AE" w:rsidRPr="005F28B2" w:rsidRDefault="00163041" w:rsidP="003C4049">
      <w:pPr>
        <w:pStyle w:val="SingleTxtG"/>
        <w:rPr>
          <w:lang w:val="fr-FR"/>
        </w:rPr>
      </w:pPr>
      <w:r w:rsidRPr="005F28B2">
        <w:rPr>
          <w:lang w:val="fr-FR"/>
        </w:rPr>
        <w:t>16.</w:t>
      </w:r>
      <w:r w:rsidRPr="005F28B2">
        <w:rPr>
          <w:lang w:val="fr-FR"/>
        </w:rPr>
        <w:tab/>
        <w:t>Le Conseil supérieur de la magistrature se compose de 4 organes</w:t>
      </w:r>
      <w:r w:rsidR="00E16237" w:rsidRPr="005F28B2">
        <w:rPr>
          <w:lang w:val="fr-FR"/>
        </w:rPr>
        <w:t>,</w:t>
      </w:r>
      <w:r w:rsidRPr="005F28B2">
        <w:rPr>
          <w:lang w:val="fr-FR"/>
        </w:rPr>
        <w:t xml:space="preserve"> à savoir le Conseil de la magistrature judiciaire</w:t>
      </w:r>
      <w:r w:rsidR="00E16237" w:rsidRPr="005F28B2">
        <w:rPr>
          <w:lang w:val="fr-FR"/>
        </w:rPr>
        <w:t>,</w:t>
      </w:r>
      <w:r w:rsidRPr="005F28B2">
        <w:rPr>
          <w:lang w:val="fr-FR"/>
        </w:rPr>
        <w:t xml:space="preserve"> le Conseil de la magistrature administrative</w:t>
      </w:r>
      <w:r w:rsidR="00E16237" w:rsidRPr="005F28B2">
        <w:rPr>
          <w:lang w:val="fr-FR"/>
        </w:rPr>
        <w:t>,</w:t>
      </w:r>
      <w:r w:rsidRPr="005F28B2">
        <w:rPr>
          <w:lang w:val="fr-FR"/>
        </w:rPr>
        <w:t xml:space="preserve"> le Conseil de la magistrature financière et l</w:t>
      </w:r>
      <w:r w:rsidR="00E16237" w:rsidRPr="005F28B2">
        <w:rPr>
          <w:lang w:val="fr-FR"/>
        </w:rPr>
        <w:t>’</w:t>
      </w:r>
      <w:r w:rsidRPr="005F28B2">
        <w:rPr>
          <w:lang w:val="fr-FR"/>
        </w:rPr>
        <w:t>Assemblée plénière des trois Conseils de la magistrature. Il veille au bon fonctionnement de la magistrature et au respect de son indépendance. La loi garantit le double degré de juridiction. Les catégories de tribunaux sont créées par la loi. La création de tribunaux d</w:t>
      </w:r>
      <w:r w:rsidR="00E16237" w:rsidRPr="005F28B2">
        <w:rPr>
          <w:lang w:val="fr-FR"/>
        </w:rPr>
        <w:t>’</w:t>
      </w:r>
      <w:r w:rsidRPr="005F28B2">
        <w:rPr>
          <w:lang w:val="fr-FR"/>
        </w:rPr>
        <w:t>exception est interdite</w:t>
      </w:r>
      <w:r w:rsidR="00E16237" w:rsidRPr="005F28B2">
        <w:rPr>
          <w:lang w:val="fr-FR"/>
        </w:rPr>
        <w:t>,</w:t>
      </w:r>
      <w:r w:rsidRPr="005F28B2">
        <w:rPr>
          <w:lang w:val="fr-FR"/>
        </w:rPr>
        <w:t xml:space="preserve"> ainsi que l</w:t>
      </w:r>
      <w:r w:rsidR="00E16237" w:rsidRPr="005F28B2">
        <w:rPr>
          <w:lang w:val="fr-FR"/>
        </w:rPr>
        <w:t>’</w:t>
      </w:r>
      <w:r w:rsidRPr="005F28B2">
        <w:rPr>
          <w:lang w:val="fr-FR"/>
        </w:rPr>
        <w:t>édiction de procédures exceptionnelles de nature à porter atteinte aux principes d</w:t>
      </w:r>
      <w:r w:rsidR="00E16237" w:rsidRPr="005F28B2">
        <w:rPr>
          <w:lang w:val="fr-FR"/>
        </w:rPr>
        <w:t>’</w:t>
      </w:r>
      <w:r w:rsidRPr="005F28B2">
        <w:rPr>
          <w:lang w:val="fr-FR"/>
        </w:rPr>
        <w:t>un procès équitable. La Constitution dispose que les tribunaux militaires sont compétents pour connaître des infractions à caractère militaire. La loi détermine leurs compétences</w:t>
      </w:r>
      <w:r w:rsidR="00E16237" w:rsidRPr="005F28B2">
        <w:rPr>
          <w:lang w:val="fr-FR"/>
        </w:rPr>
        <w:t>,</w:t>
      </w:r>
      <w:r w:rsidRPr="005F28B2">
        <w:rPr>
          <w:lang w:val="fr-FR"/>
        </w:rPr>
        <w:t xml:space="preserve"> leur composition</w:t>
      </w:r>
      <w:r w:rsidR="00E16237" w:rsidRPr="005F28B2">
        <w:rPr>
          <w:lang w:val="fr-FR"/>
        </w:rPr>
        <w:t>,</w:t>
      </w:r>
      <w:r w:rsidRPr="005F28B2">
        <w:rPr>
          <w:lang w:val="fr-FR"/>
        </w:rPr>
        <w:t xml:space="preserve"> leur organisation</w:t>
      </w:r>
      <w:r w:rsidR="00E16237" w:rsidRPr="005F28B2">
        <w:rPr>
          <w:lang w:val="fr-FR"/>
        </w:rPr>
        <w:t>,</w:t>
      </w:r>
      <w:r w:rsidRPr="005F28B2">
        <w:rPr>
          <w:lang w:val="fr-FR"/>
        </w:rPr>
        <w:t xml:space="preserve"> les procédures suivies devant eux et le statut général de leurs magistrats</w:t>
      </w:r>
      <w:r w:rsidRPr="005F28B2">
        <w:rPr>
          <w:rStyle w:val="Appelnotedebasdep"/>
          <w:rFonts w:eastAsia="Traditional Arabic"/>
          <w:lang w:val="fr-FR"/>
        </w:rPr>
        <w:footnoteReference w:id="5"/>
      </w:r>
      <w:r w:rsidRPr="005F28B2">
        <w:rPr>
          <w:lang w:val="fr-FR"/>
        </w:rPr>
        <w:t xml:space="preserve">. </w:t>
      </w:r>
    </w:p>
    <w:p w:rsidR="009052AE" w:rsidRPr="005F28B2" w:rsidRDefault="00163041" w:rsidP="003C4049">
      <w:pPr>
        <w:pStyle w:val="SingleTxtG"/>
        <w:rPr>
          <w:lang w:val="fr-FR"/>
        </w:rPr>
      </w:pPr>
      <w:r w:rsidRPr="005F28B2">
        <w:rPr>
          <w:lang w:val="fr-FR"/>
        </w:rPr>
        <w:t>17.</w:t>
      </w:r>
      <w:r w:rsidRPr="005F28B2">
        <w:rPr>
          <w:lang w:val="fr-FR"/>
        </w:rPr>
        <w:tab/>
        <w:t>Une Cour constitutionnelle a été créée en tant qu</w:t>
      </w:r>
      <w:r w:rsidR="00E16237" w:rsidRPr="005F28B2">
        <w:rPr>
          <w:lang w:val="fr-FR"/>
        </w:rPr>
        <w:t>’</w:t>
      </w:r>
      <w:r w:rsidRPr="005F28B2">
        <w:rPr>
          <w:lang w:val="fr-FR"/>
        </w:rPr>
        <w:t xml:space="preserve">instance juridictionnelle indépendante exclusivement compétente pour contrôler la constitutionnalité des projets de </w:t>
      </w:r>
      <w:r w:rsidRPr="005F28B2">
        <w:rPr>
          <w:lang w:val="fr-FR"/>
        </w:rPr>
        <w:lastRenderedPageBreak/>
        <w:t>lois sur recours du Président de la République</w:t>
      </w:r>
      <w:r w:rsidR="00E16237" w:rsidRPr="005F28B2">
        <w:rPr>
          <w:lang w:val="fr-FR"/>
        </w:rPr>
        <w:t>,</w:t>
      </w:r>
      <w:r w:rsidRPr="005F28B2">
        <w:rPr>
          <w:lang w:val="fr-FR"/>
        </w:rPr>
        <w:t xml:space="preserve"> du Chef du Gouvernement ou de 30</w:t>
      </w:r>
      <w:r w:rsidR="003C4049" w:rsidRPr="005F28B2">
        <w:rPr>
          <w:lang w:val="fr-FR"/>
        </w:rPr>
        <w:t> </w:t>
      </w:r>
      <w:r w:rsidRPr="005F28B2">
        <w:rPr>
          <w:lang w:val="fr-FR"/>
        </w:rPr>
        <w:t>membres de l</w:t>
      </w:r>
      <w:r w:rsidR="00E16237" w:rsidRPr="005F28B2">
        <w:rPr>
          <w:lang w:val="fr-FR"/>
        </w:rPr>
        <w:t>’</w:t>
      </w:r>
      <w:r w:rsidRPr="005F28B2">
        <w:rPr>
          <w:lang w:val="fr-FR"/>
        </w:rPr>
        <w:t>Assemblée des représentants du peuple. Elle examine les traités que lui soumet le Président de la République avant la promulgation des projets de lois relatifs à leur approbation</w:t>
      </w:r>
      <w:r w:rsidR="00E16237" w:rsidRPr="005F28B2">
        <w:rPr>
          <w:lang w:val="fr-FR"/>
        </w:rPr>
        <w:t>,</w:t>
      </w:r>
      <w:r w:rsidRPr="005F28B2">
        <w:rPr>
          <w:lang w:val="fr-FR"/>
        </w:rPr>
        <w:t xml:space="preserve"> ainsi que les lois que lui renvoient les tribunaux</w:t>
      </w:r>
      <w:r w:rsidR="00E16237" w:rsidRPr="005F28B2">
        <w:rPr>
          <w:lang w:val="fr-FR"/>
        </w:rPr>
        <w:t>,</w:t>
      </w:r>
      <w:r w:rsidRPr="005F28B2">
        <w:rPr>
          <w:lang w:val="fr-FR"/>
        </w:rPr>
        <w:t xml:space="preserve"> suite à une exception d</w:t>
      </w:r>
      <w:r w:rsidR="00E16237" w:rsidRPr="005F28B2">
        <w:rPr>
          <w:lang w:val="fr-FR"/>
        </w:rPr>
        <w:t>’</w:t>
      </w:r>
      <w:r w:rsidRPr="005F28B2">
        <w:rPr>
          <w:lang w:val="fr-FR"/>
        </w:rPr>
        <w:t>inconstitutionnalité soulevée par l</w:t>
      </w:r>
      <w:r w:rsidR="00E16237" w:rsidRPr="005F28B2">
        <w:rPr>
          <w:lang w:val="fr-FR"/>
        </w:rPr>
        <w:t>’</w:t>
      </w:r>
      <w:r w:rsidRPr="005F28B2">
        <w:rPr>
          <w:lang w:val="fr-FR"/>
        </w:rPr>
        <w:t>une des parties. Ses décisions sont motivées et s</w:t>
      </w:r>
      <w:r w:rsidR="00E16237" w:rsidRPr="005F28B2">
        <w:rPr>
          <w:lang w:val="fr-FR"/>
        </w:rPr>
        <w:t>’</w:t>
      </w:r>
      <w:r w:rsidRPr="005F28B2">
        <w:rPr>
          <w:lang w:val="fr-FR"/>
        </w:rPr>
        <w:t>imposent à tous les pouvoirs publics.</w:t>
      </w:r>
    </w:p>
    <w:p w:rsidR="009052AE" w:rsidRPr="005F28B2" w:rsidRDefault="00163041" w:rsidP="003C4049">
      <w:pPr>
        <w:pStyle w:val="SingleTxtG"/>
        <w:rPr>
          <w:lang w:val="fr-FR"/>
        </w:rPr>
      </w:pPr>
      <w:r w:rsidRPr="005F28B2">
        <w:rPr>
          <w:lang w:val="fr-FR"/>
        </w:rPr>
        <w:t>18.</w:t>
      </w:r>
      <w:r w:rsidRPr="005F28B2">
        <w:rPr>
          <w:lang w:val="fr-FR"/>
        </w:rPr>
        <w:tab/>
        <w:t xml:space="preserve">Le </w:t>
      </w:r>
      <w:r w:rsidRPr="005F28B2">
        <w:rPr>
          <w:b/>
          <w:lang w:val="fr-FR"/>
        </w:rPr>
        <w:t xml:space="preserve">pouvoir local </w:t>
      </w:r>
      <w:r w:rsidRPr="005F28B2">
        <w:rPr>
          <w:lang w:val="fr-FR"/>
        </w:rPr>
        <w:t>est fondé sur la décentralisation que l</w:t>
      </w:r>
      <w:r w:rsidR="00E16237" w:rsidRPr="005F28B2">
        <w:rPr>
          <w:lang w:val="fr-FR"/>
        </w:rPr>
        <w:t>’</w:t>
      </w:r>
      <w:r w:rsidRPr="005F28B2">
        <w:rPr>
          <w:lang w:val="fr-FR"/>
        </w:rPr>
        <w:t>État s</w:t>
      </w:r>
      <w:r w:rsidR="00E16237" w:rsidRPr="005F28B2">
        <w:rPr>
          <w:lang w:val="fr-FR"/>
        </w:rPr>
        <w:t>’</w:t>
      </w:r>
      <w:r w:rsidRPr="005F28B2">
        <w:rPr>
          <w:lang w:val="fr-FR"/>
        </w:rPr>
        <w:t>engage à instaurer sur l</w:t>
      </w:r>
      <w:r w:rsidR="00E16237" w:rsidRPr="005F28B2">
        <w:rPr>
          <w:lang w:val="fr-FR"/>
        </w:rPr>
        <w:t>’</w:t>
      </w:r>
      <w:r w:rsidRPr="005F28B2">
        <w:rPr>
          <w:lang w:val="fr-FR"/>
        </w:rPr>
        <w:t>ensemble du territoire national. La décentralisation est concrétisée par des collectivités locales comprenant des municipalités</w:t>
      </w:r>
      <w:r w:rsidR="00E16237" w:rsidRPr="005F28B2">
        <w:rPr>
          <w:lang w:val="fr-FR"/>
        </w:rPr>
        <w:t>,</w:t>
      </w:r>
      <w:r w:rsidRPr="005F28B2">
        <w:rPr>
          <w:lang w:val="fr-FR"/>
        </w:rPr>
        <w:t xml:space="preserve"> des régions et des districts et toutes autres collectivités locales éventuellement créées par la loi. Les collectivités locales sont des personnes morales dirigées par des conseils municipaux ou régionaux élus. Elles jouissent de la personnalité juridique et de l</w:t>
      </w:r>
      <w:r w:rsidR="00E16237" w:rsidRPr="005F28B2">
        <w:rPr>
          <w:lang w:val="fr-FR"/>
        </w:rPr>
        <w:t>’</w:t>
      </w:r>
      <w:r w:rsidRPr="005F28B2">
        <w:rPr>
          <w:lang w:val="fr-FR"/>
        </w:rPr>
        <w:t>autonomie administrative et financière. Elles gèrent librement leurs ressources</w:t>
      </w:r>
      <w:r w:rsidR="00E16237" w:rsidRPr="005F28B2">
        <w:rPr>
          <w:lang w:val="fr-FR"/>
        </w:rPr>
        <w:t>,</w:t>
      </w:r>
      <w:r w:rsidRPr="005F28B2">
        <w:rPr>
          <w:lang w:val="fr-FR"/>
        </w:rPr>
        <w:t xml:space="preserve"> selon les règles de la bonne gouvernance et sous le contrôle de la justice financière. Elles administrent les intérêts locaux conformément au principe de la libre administration. Les collectivités locales peuvent collaborer et créer entre elles des partenariats</w:t>
      </w:r>
      <w:r w:rsidR="00E16237" w:rsidRPr="005F28B2">
        <w:rPr>
          <w:lang w:val="fr-FR"/>
        </w:rPr>
        <w:t>,</w:t>
      </w:r>
      <w:r w:rsidRPr="005F28B2">
        <w:rPr>
          <w:lang w:val="fr-FR"/>
        </w:rPr>
        <w:t xml:space="preserve"> en vue de mettre en œuvre des programmes ou réaliser des actions d</w:t>
      </w:r>
      <w:r w:rsidR="00E16237" w:rsidRPr="005F28B2">
        <w:rPr>
          <w:lang w:val="fr-FR"/>
        </w:rPr>
        <w:t>’</w:t>
      </w:r>
      <w:r w:rsidRPr="005F28B2">
        <w:rPr>
          <w:lang w:val="fr-FR"/>
        </w:rPr>
        <w:t>intérêt commun. Elles peuvent également établir des relations extérieures de partenariat et de coopération décentralisée. Les collectivités locales disposent de compétences propres</w:t>
      </w:r>
      <w:r w:rsidR="00E16237" w:rsidRPr="005F28B2">
        <w:rPr>
          <w:lang w:val="fr-FR"/>
        </w:rPr>
        <w:t>,</w:t>
      </w:r>
      <w:r w:rsidRPr="005F28B2">
        <w:rPr>
          <w:lang w:val="fr-FR"/>
        </w:rPr>
        <w:t xml:space="preserve"> de compétences partagées avec l</w:t>
      </w:r>
      <w:r w:rsidR="00E16237" w:rsidRPr="005F28B2">
        <w:rPr>
          <w:lang w:val="fr-FR"/>
        </w:rPr>
        <w:t>’</w:t>
      </w:r>
      <w:r w:rsidRPr="005F28B2">
        <w:rPr>
          <w:lang w:val="fr-FR"/>
        </w:rPr>
        <w:t>autorité centrale et de compétences déléguées par cette dernière. Elles gèrent les affaires locales dans le respect de l</w:t>
      </w:r>
      <w:r w:rsidR="00E16237" w:rsidRPr="005F28B2">
        <w:rPr>
          <w:lang w:val="fr-FR"/>
        </w:rPr>
        <w:t>’</w:t>
      </w:r>
      <w:r w:rsidRPr="005F28B2">
        <w:rPr>
          <w:lang w:val="fr-FR"/>
        </w:rPr>
        <w:t>unité de l</w:t>
      </w:r>
      <w:r w:rsidR="00E16237" w:rsidRPr="005F28B2">
        <w:rPr>
          <w:lang w:val="fr-FR"/>
        </w:rPr>
        <w:t>’</w:t>
      </w:r>
      <w:r w:rsidRPr="005F28B2">
        <w:rPr>
          <w:lang w:val="fr-FR"/>
        </w:rPr>
        <w:t>État et adoptent les mécanismes de la démocratie participative et les principes de la gouvernance ouverte afin de garantir une plus large participation des citoyens et de la société civile à l</w:t>
      </w:r>
      <w:r w:rsidR="00E16237" w:rsidRPr="005F28B2">
        <w:rPr>
          <w:lang w:val="fr-FR"/>
        </w:rPr>
        <w:t>’</w:t>
      </w:r>
      <w:r w:rsidRPr="005F28B2">
        <w:rPr>
          <w:lang w:val="fr-FR"/>
        </w:rPr>
        <w:t>élaboration des projets de développement et d</w:t>
      </w:r>
      <w:r w:rsidR="00E16237" w:rsidRPr="005F28B2">
        <w:rPr>
          <w:lang w:val="fr-FR"/>
        </w:rPr>
        <w:t>’</w:t>
      </w:r>
      <w:r w:rsidRPr="005F28B2">
        <w:rPr>
          <w:lang w:val="fr-FR"/>
        </w:rPr>
        <w:t>aménagement du territoire</w:t>
      </w:r>
      <w:r w:rsidR="00E16237" w:rsidRPr="005F28B2">
        <w:rPr>
          <w:lang w:val="fr-FR"/>
        </w:rPr>
        <w:t>,</w:t>
      </w:r>
      <w:r w:rsidRPr="005F28B2">
        <w:rPr>
          <w:lang w:val="fr-FR"/>
        </w:rPr>
        <w:t xml:space="preserve"> ainsi qu</w:t>
      </w:r>
      <w:r w:rsidR="00E16237" w:rsidRPr="005F28B2">
        <w:rPr>
          <w:lang w:val="fr-FR"/>
        </w:rPr>
        <w:t>’</w:t>
      </w:r>
      <w:r w:rsidRPr="005F28B2">
        <w:rPr>
          <w:lang w:val="fr-FR"/>
        </w:rPr>
        <w:t>au suivi de leur exécution</w:t>
      </w:r>
      <w:r w:rsidR="00E16237" w:rsidRPr="005F28B2">
        <w:rPr>
          <w:lang w:val="fr-FR"/>
        </w:rPr>
        <w:t>,</w:t>
      </w:r>
      <w:r w:rsidRPr="005F28B2">
        <w:rPr>
          <w:lang w:val="fr-FR"/>
        </w:rPr>
        <w:t xml:space="preserve"> conformément à la loi. </w:t>
      </w:r>
    </w:p>
    <w:p w:rsidR="009052AE" w:rsidRPr="005F28B2" w:rsidRDefault="00163041" w:rsidP="00002F6D">
      <w:pPr>
        <w:pStyle w:val="SingleTxtG"/>
        <w:rPr>
          <w:lang w:val="fr-FR"/>
        </w:rPr>
      </w:pPr>
      <w:r w:rsidRPr="005F28B2">
        <w:rPr>
          <w:lang w:val="fr-FR"/>
        </w:rPr>
        <w:t>19.</w:t>
      </w:r>
      <w:r w:rsidRPr="005F28B2">
        <w:rPr>
          <w:lang w:val="fr-FR"/>
        </w:rPr>
        <w:tab/>
        <w:t>Un Haut conseil des collectivités locales a été créé en tant qu</w:t>
      </w:r>
      <w:r w:rsidR="00E16237" w:rsidRPr="005F28B2">
        <w:rPr>
          <w:lang w:val="fr-FR"/>
        </w:rPr>
        <w:t>’</w:t>
      </w:r>
      <w:r w:rsidRPr="005F28B2">
        <w:rPr>
          <w:lang w:val="fr-FR"/>
        </w:rPr>
        <w:t>organisme représentatif des conseils des collectivités locales</w:t>
      </w:r>
      <w:r w:rsidR="00E16237" w:rsidRPr="005F28B2">
        <w:rPr>
          <w:lang w:val="fr-FR"/>
        </w:rPr>
        <w:t>,</w:t>
      </w:r>
      <w:r w:rsidRPr="005F28B2">
        <w:rPr>
          <w:lang w:val="fr-FR"/>
        </w:rPr>
        <w:t xml:space="preserve"> dont le siège a vocation à être installé hors de la capitale. Il est chargé d</w:t>
      </w:r>
      <w:r w:rsidR="00E16237" w:rsidRPr="005F28B2">
        <w:rPr>
          <w:lang w:val="fr-FR"/>
        </w:rPr>
        <w:t>’</w:t>
      </w:r>
      <w:r w:rsidRPr="005F28B2">
        <w:rPr>
          <w:lang w:val="fr-FR"/>
        </w:rPr>
        <w:t>examiner les questions relatives au développement et à l</w:t>
      </w:r>
      <w:r w:rsidR="00E16237" w:rsidRPr="005F28B2">
        <w:rPr>
          <w:lang w:val="fr-FR"/>
        </w:rPr>
        <w:t>’</w:t>
      </w:r>
      <w:r w:rsidRPr="005F28B2">
        <w:rPr>
          <w:lang w:val="fr-FR"/>
        </w:rPr>
        <w:t>équilibre entre les régions et d</w:t>
      </w:r>
      <w:r w:rsidR="00E16237" w:rsidRPr="005F28B2">
        <w:rPr>
          <w:lang w:val="fr-FR"/>
        </w:rPr>
        <w:t>’</w:t>
      </w:r>
      <w:r w:rsidRPr="005F28B2">
        <w:rPr>
          <w:lang w:val="fr-FR"/>
        </w:rPr>
        <w:t>émettre son avis sur les projets de lois relatifs à la planification</w:t>
      </w:r>
      <w:r w:rsidR="00E16237" w:rsidRPr="005F28B2">
        <w:rPr>
          <w:lang w:val="fr-FR"/>
        </w:rPr>
        <w:t>,</w:t>
      </w:r>
      <w:r w:rsidRPr="005F28B2">
        <w:rPr>
          <w:lang w:val="fr-FR"/>
        </w:rPr>
        <w:t xml:space="preserve"> au budget et aux finances locales. </w:t>
      </w:r>
      <w:r w:rsidRPr="005F28B2">
        <w:rPr>
          <w:lang w:val="fr-FR" w:bidi="ar-TN"/>
        </w:rPr>
        <w:t>La justice administrative statue sur tous les litiges susceptibles de naître entre collectivités locales ou entre l</w:t>
      </w:r>
      <w:r w:rsidR="00E16237" w:rsidRPr="005F28B2">
        <w:rPr>
          <w:lang w:val="fr-FR" w:bidi="ar-TN"/>
        </w:rPr>
        <w:t>’</w:t>
      </w:r>
      <w:r w:rsidRPr="005F28B2">
        <w:rPr>
          <w:lang w:val="fr-FR" w:bidi="ar-TN"/>
        </w:rPr>
        <w:t>autorité centrale et les collectivités locales.</w:t>
      </w:r>
    </w:p>
    <w:p w:rsidR="009052AE" w:rsidRPr="005F28B2" w:rsidRDefault="00163041" w:rsidP="00002F6D">
      <w:pPr>
        <w:pStyle w:val="HChG"/>
        <w:rPr>
          <w:lang w:val="fr-FR"/>
        </w:rPr>
      </w:pPr>
      <w:r w:rsidRPr="005F28B2">
        <w:rPr>
          <w:lang w:val="fr-FR"/>
        </w:rPr>
        <w:tab/>
      </w:r>
      <w:bookmarkStart w:id="4" w:name="_Toc478218479"/>
      <w:r w:rsidR="00755707" w:rsidRPr="005F28B2">
        <w:rPr>
          <w:lang w:val="fr-FR"/>
        </w:rPr>
        <w:t>II.</w:t>
      </w:r>
      <w:r w:rsidRPr="005F28B2">
        <w:rPr>
          <w:lang w:val="fr-FR"/>
        </w:rPr>
        <w:tab/>
        <w:t>Cadre général de la protection et de la promotion des droits de l</w:t>
      </w:r>
      <w:r w:rsidR="00E16237" w:rsidRPr="005F28B2">
        <w:rPr>
          <w:lang w:val="fr-FR"/>
        </w:rPr>
        <w:t>’</w:t>
      </w:r>
      <w:r w:rsidRPr="005F28B2">
        <w:rPr>
          <w:lang w:val="fr-FR"/>
        </w:rPr>
        <w:t>homme</w:t>
      </w:r>
      <w:bookmarkEnd w:id="4"/>
    </w:p>
    <w:p w:rsidR="009052AE" w:rsidRPr="005F28B2" w:rsidRDefault="00163041" w:rsidP="00002F6D">
      <w:pPr>
        <w:pStyle w:val="H1G"/>
        <w:rPr>
          <w:rtl/>
          <w:lang w:val="fr-FR" w:bidi="fr-FR"/>
        </w:rPr>
      </w:pPr>
      <w:r w:rsidRPr="005F28B2">
        <w:rPr>
          <w:lang w:val="fr-FR"/>
        </w:rPr>
        <w:tab/>
      </w:r>
      <w:bookmarkStart w:id="5" w:name="_Toc478218480"/>
      <w:r w:rsidRPr="005F28B2">
        <w:rPr>
          <w:lang w:val="fr-FR"/>
        </w:rPr>
        <w:t>1.</w:t>
      </w:r>
      <w:r w:rsidRPr="005F28B2">
        <w:rPr>
          <w:lang w:val="fr-FR"/>
        </w:rPr>
        <w:tab/>
        <w:t>Cadre général de la protection des droits de l</w:t>
      </w:r>
      <w:r w:rsidR="00E16237" w:rsidRPr="005F28B2">
        <w:rPr>
          <w:lang w:val="fr-FR"/>
        </w:rPr>
        <w:t>’</w:t>
      </w:r>
      <w:r w:rsidRPr="005F28B2">
        <w:rPr>
          <w:lang w:val="fr-FR"/>
        </w:rPr>
        <w:t>homme</w:t>
      </w:r>
      <w:bookmarkEnd w:id="5"/>
    </w:p>
    <w:p w:rsidR="009052AE" w:rsidRPr="005F28B2" w:rsidRDefault="00163041" w:rsidP="00002F6D">
      <w:pPr>
        <w:pStyle w:val="H23G"/>
        <w:rPr>
          <w:rtl/>
          <w:lang w:val="fr-FR" w:bidi="fr-FR"/>
        </w:rPr>
      </w:pPr>
      <w:r w:rsidRPr="005F28B2">
        <w:rPr>
          <w:lang w:val="fr-FR"/>
        </w:rPr>
        <w:tab/>
      </w:r>
      <w:bookmarkStart w:id="6" w:name="_Toc478218481"/>
      <w:r w:rsidRPr="005F28B2">
        <w:rPr>
          <w:lang w:val="fr-FR"/>
        </w:rPr>
        <w:t>A</w:t>
      </w:r>
      <w:r w:rsidR="005922F0" w:rsidRPr="005F28B2">
        <w:rPr>
          <w:lang w:val="fr-FR"/>
        </w:rPr>
        <w:t>.</w:t>
      </w:r>
      <w:r w:rsidRPr="005F28B2">
        <w:rPr>
          <w:lang w:val="fr-FR"/>
        </w:rPr>
        <w:tab/>
        <w:t xml:space="preserve">Adhésion de la Tunisie </w:t>
      </w:r>
      <w:r w:rsidR="00A678DC" w:rsidRPr="005F28B2">
        <w:rPr>
          <w:rFonts w:eastAsiaTheme="minorHAnsi"/>
          <w:lang w:val="fr-FR"/>
        </w:rPr>
        <w:t>au système onusie</w:t>
      </w:r>
      <w:bookmarkStart w:id="7" w:name="_GoBack"/>
      <w:bookmarkEnd w:id="7"/>
      <w:r w:rsidR="00A678DC" w:rsidRPr="005F28B2">
        <w:rPr>
          <w:rFonts w:eastAsiaTheme="minorHAnsi"/>
          <w:lang w:val="fr-FR"/>
        </w:rPr>
        <w:t xml:space="preserve">n de protection </w:t>
      </w:r>
      <w:r w:rsidRPr="005F28B2">
        <w:rPr>
          <w:lang w:val="fr-FR"/>
        </w:rPr>
        <w:t>des droits de l</w:t>
      </w:r>
      <w:r w:rsidR="00E16237" w:rsidRPr="005F28B2">
        <w:rPr>
          <w:lang w:val="fr-FR"/>
        </w:rPr>
        <w:t>’</w:t>
      </w:r>
      <w:r w:rsidRPr="005F28B2">
        <w:rPr>
          <w:lang w:val="fr-FR"/>
        </w:rPr>
        <w:t>homme</w:t>
      </w:r>
      <w:bookmarkEnd w:id="6"/>
    </w:p>
    <w:p w:rsidR="009052AE" w:rsidRPr="005F28B2" w:rsidRDefault="00163041" w:rsidP="00002F6D">
      <w:pPr>
        <w:pStyle w:val="H23G"/>
        <w:rPr>
          <w:rtl/>
          <w:lang w:val="fr-FR" w:bidi="fr-FR"/>
        </w:rPr>
      </w:pPr>
      <w:r w:rsidRPr="005F28B2">
        <w:rPr>
          <w:lang w:val="fr-FR"/>
        </w:rPr>
        <w:tab/>
      </w:r>
      <w:bookmarkStart w:id="8" w:name="_Toc478218482"/>
      <w:r w:rsidRPr="005F28B2">
        <w:rPr>
          <w:lang w:val="fr-FR"/>
        </w:rPr>
        <w:tab/>
        <w:t>Ratification des principaux instruments internationaux relatifs aux droits de l</w:t>
      </w:r>
      <w:r w:rsidR="00E16237" w:rsidRPr="005F28B2">
        <w:rPr>
          <w:lang w:val="fr-FR"/>
        </w:rPr>
        <w:t>’</w:t>
      </w:r>
      <w:r w:rsidRPr="005F28B2">
        <w:rPr>
          <w:lang w:val="fr-FR"/>
        </w:rPr>
        <w:t>homme</w:t>
      </w:r>
      <w:bookmarkEnd w:id="8"/>
    </w:p>
    <w:p w:rsidR="009052AE" w:rsidRPr="005F28B2" w:rsidRDefault="00163041" w:rsidP="002009DA">
      <w:pPr>
        <w:pStyle w:val="SingleTxtG"/>
        <w:rPr>
          <w:rtl/>
          <w:lang w:val="fr-FR" w:bidi="fr-FR"/>
        </w:rPr>
      </w:pPr>
      <w:r w:rsidRPr="005F28B2">
        <w:rPr>
          <w:lang w:val="fr-FR"/>
        </w:rPr>
        <w:t>20.</w:t>
      </w:r>
      <w:r w:rsidRPr="005F28B2">
        <w:rPr>
          <w:lang w:val="fr-FR"/>
        </w:rPr>
        <w:tab/>
        <w:t>La Tunisie a ratifié la plupart des instruments internationaux relatifs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comme indiqué dans le tableau ci-après</w:t>
      </w:r>
      <w:r w:rsidR="00755707" w:rsidRPr="005F28B2">
        <w:rPr>
          <w:lang w:val="fr-FR"/>
        </w:rPr>
        <w:t> :</w:t>
      </w:r>
    </w:p>
    <w:p w:rsidR="009052AE" w:rsidRPr="005F28B2" w:rsidRDefault="00163041" w:rsidP="002009DA">
      <w:pPr>
        <w:pStyle w:val="H23G"/>
        <w:rPr>
          <w:rtl/>
          <w:lang w:val="fr-FR" w:bidi="fr-FR"/>
        </w:rPr>
      </w:pPr>
      <w:r w:rsidRPr="005F28B2">
        <w:rPr>
          <w:rFonts w:eastAsia="Traditional Arabic"/>
          <w:lang w:val="fr-FR" w:bidi="ar-TN"/>
        </w:rPr>
        <w:lastRenderedPageBreak/>
        <w:tab/>
      </w:r>
      <w:r w:rsidRPr="005F28B2">
        <w:rPr>
          <w:rFonts w:eastAsia="Traditional Arabic"/>
          <w:lang w:val="fr-FR" w:bidi="ar-TN"/>
        </w:rPr>
        <w:tab/>
        <w:t>Instruments internationaux</w:t>
      </w:r>
    </w:p>
    <w:tbl>
      <w:tblPr>
        <w:tblW w:w="7371" w:type="dxa"/>
        <w:tblInd w:w="1134" w:type="dxa"/>
        <w:tblLayout w:type="fixed"/>
        <w:tblCellMar>
          <w:left w:w="0" w:type="dxa"/>
          <w:right w:w="0" w:type="dxa"/>
        </w:tblCellMar>
        <w:tblLook w:val="00A0" w:firstRow="1" w:lastRow="0" w:firstColumn="1" w:lastColumn="0" w:noHBand="0" w:noVBand="0"/>
      </w:tblPr>
      <w:tblGrid>
        <w:gridCol w:w="420"/>
        <w:gridCol w:w="3833"/>
        <w:gridCol w:w="1155"/>
        <w:gridCol w:w="1963"/>
      </w:tblGrid>
      <w:tr w:rsidR="009052AE" w:rsidRPr="005F28B2" w:rsidTr="00175BE9">
        <w:trPr>
          <w:cantSplit/>
          <w:tblHeader/>
        </w:trPr>
        <w:tc>
          <w:tcPr>
            <w:tcW w:w="420" w:type="dxa"/>
            <w:tcBorders>
              <w:top w:val="single" w:sz="4" w:space="0" w:color="auto"/>
              <w:bottom w:val="single" w:sz="12" w:space="0" w:color="auto"/>
            </w:tcBorders>
            <w:vAlign w:val="bottom"/>
          </w:tcPr>
          <w:p w:rsidR="009052AE" w:rsidRPr="005F28B2" w:rsidRDefault="00163041" w:rsidP="00755707">
            <w:pPr>
              <w:keepNext/>
              <w:spacing w:before="80" w:after="80" w:line="200" w:lineRule="exact"/>
              <w:ind w:right="113"/>
              <w:rPr>
                <w:i/>
                <w:sz w:val="16"/>
                <w:rtl/>
                <w:lang w:val="fr-FR" w:bidi="fr-FR"/>
              </w:rPr>
            </w:pPr>
            <w:r w:rsidRPr="005F28B2">
              <w:rPr>
                <w:i/>
                <w:sz w:val="16"/>
                <w:lang w:val="fr-FR"/>
              </w:rPr>
              <w:t>N</w:t>
            </w:r>
            <w:r w:rsidR="00655F8D" w:rsidRPr="005F28B2">
              <w:rPr>
                <w:i/>
                <w:sz w:val="16"/>
                <w:vertAlign w:val="superscript"/>
                <w:lang w:val="fr-FR"/>
              </w:rPr>
              <w:t>o</w:t>
            </w:r>
          </w:p>
        </w:tc>
        <w:tc>
          <w:tcPr>
            <w:tcW w:w="3833" w:type="dxa"/>
            <w:tcBorders>
              <w:top w:val="single" w:sz="4" w:space="0" w:color="auto"/>
              <w:bottom w:val="single" w:sz="12" w:space="0" w:color="auto"/>
            </w:tcBorders>
            <w:vAlign w:val="bottom"/>
          </w:tcPr>
          <w:p w:rsidR="009052AE" w:rsidRPr="005F28B2" w:rsidRDefault="00163041" w:rsidP="00755707">
            <w:pPr>
              <w:keepNext/>
              <w:spacing w:before="80" w:after="80" w:line="200" w:lineRule="exact"/>
              <w:ind w:right="113"/>
              <w:rPr>
                <w:i/>
                <w:sz w:val="16"/>
                <w:rtl/>
                <w:lang w:val="fr-FR" w:bidi="fr-FR"/>
              </w:rPr>
            </w:pPr>
            <w:r w:rsidRPr="005F28B2">
              <w:rPr>
                <w:i/>
                <w:sz w:val="16"/>
                <w:lang w:val="fr-FR"/>
              </w:rPr>
              <w:t>Instrument</w:t>
            </w:r>
          </w:p>
        </w:tc>
        <w:tc>
          <w:tcPr>
            <w:tcW w:w="1155" w:type="dxa"/>
            <w:tcBorders>
              <w:top w:val="single" w:sz="4" w:space="0" w:color="auto"/>
              <w:bottom w:val="single" w:sz="12" w:space="0" w:color="auto"/>
            </w:tcBorders>
            <w:vAlign w:val="bottom"/>
          </w:tcPr>
          <w:p w:rsidR="009052AE" w:rsidRPr="005F28B2" w:rsidRDefault="00163041" w:rsidP="00755707">
            <w:pPr>
              <w:keepNext/>
              <w:spacing w:before="80" w:after="80" w:line="200" w:lineRule="exact"/>
              <w:ind w:right="113"/>
              <w:rPr>
                <w:i/>
                <w:sz w:val="16"/>
                <w:rtl/>
                <w:lang w:val="fr-FR" w:bidi="fr-FR"/>
              </w:rPr>
            </w:pPr>
            <w:r w:rsidRPr="005F28B2">
              <w:rPr>
                <w:i/>
                <w:sz w:val="16"/>
                <w:lang w:val="fr-FR"/>
              </w:rPr>
              <w:t xml:space="preserve">Date de </w:t>
            </w:r>
            <w:r w:rsidR="00175BE9" w:rsidRPr="005F28B2">
              <w:rPr>
                <w:i/>
                <w:sz w:val="16"/>
                <w:lang w:val="fr-FR"/>
              </w:rPr>
              <w:br/>
            </w:r>
            <w:r w:rsidRPr="005F28B2">
              <w:rPr>
                <w:i/>
                <w:sz w:val="16"/>
                <w:lang w:val="fr-FR"/>
              </w:rPr>
              <w:t>la ratification</w:t>
            </w:r>
          </w:p>
        </w:tc>
        <w:tc>
          <w:tcPr>
            <w:tcW w:w="1963" w:type="dxa"/>
            <w:tcBorders>
              <w:top w:val="single" w:sz="4" w:space="0" w:color="auto"/>
              <w:bottom w:val="single" w:sz="12" w:space="0" w:color="auto"/>
            </w:tcBorders>
            <w:vAlign w:val="bottom"/>
          </w:tcPr>
          <w:p w:rsidR="009052AE" w:rsidRPr="005F28B2" w:rsidRDefault="00163041" w:rsidP="00755707">
            <w:pPr>
              <w:keepNext/>
              <w:spacing w:before="80" w:after="80" w:line="200" w:lineRule="exact"/>
              <w:ind w:right="113"/>
              <w:rPr>
                <w:i/>
                <w:sz w:val="16"/>
                <w:rtl/>
                <w:lang w:val="fr-FR" w:bidi="fr-FR"/>
              </w:rPr>
            </w:pPr>
            <w:r w:rsidRPr="005F28B2">
              <w:rPr>
                <w:i/>
                <w:sz w:val="16"/>
                <w:lang w:val="fr-FR"/>
              </w:rPr>
              <w:t>Référence de la ratification</w:t>
            </w:r>
          </w:p>
        </w:tc>
      </w:tr>
      <w:tr w:rsidR="009052AE" w:rsidRPr="005F28B2" w:rsidTr="00175BE9">
        <w:trPr>
          <w:cantSplit/>
        </w:trPr>
        <w:tc>
          <w:tcPr>
            <w:tcW w:w="420" w:type="dxa"/>
            <w:tcBorders>
              <w:top w:val="single" w:sz="12" w:space="0" w:color="auto"/>
            </w:tcBorders>
          </w:tcPr>
          <w:p w:rsidR="009052AE" w:rsidRPr="005F28B2" w:rsidRDefault="00163041" w:rsidP="00755707">
            <w:pPr>
              <w:keepNext/>
              <w:spacing w:before="40" w:after="120"/>
              <w:ind w:right="113"/>
              <w:rPr>
                <w:rtl/>
                <w:lang w:val="fr-FR" w:bidi="fr-FR"/>
              </w:rPr>
            </w:pPr>
            <w:r w:rsidRPr="005F28B2">
              <w:rPr>
                <w:lang w:val="fr-FR"/>
              </w:rPr>
              <w:t>1</w:t>
            </w:r>
          </w:p>
        </w:tc>
        <w:tc>
          <w:tcPr>
            <w:tcW w:w="3833" w:type="dxa"/>
            <w:tcBorders>
              <w:top w:val="single" w:sz="12" w:space="0" w:color="auto"/>
            </w:tcBorders>
          </w:tcPr>
          <w:p w:rsidR="009052AE" w:rsidRPr="005F28B2" w:rsidRDefault="00163041" w:rsidP="00755707">
            <w:pPr>
              <w:keepNext/>
              <w:spacing w:before="40" w:after="120"/>
              <w:ind w:right="113"/>
              <w:rPr>
                <w:rtl/>
                <w:lang w:val="fr-FR" w:bidi="fr-FR"/>
              </w:rPr>
            </w:pPr>
            <w:r w:rsidRPr="005F28B2">
              <w:rPr>
                <w:lang w:val="fr-FR"/>
              </w:rPr>
              <w:t xml:space="preserve">Convention pour la prévention et la répression du crime de génocide </w:t>
            </w:r>
          </w:p>
        </w:tc>
        <w:tc>
          <w:tcPr>
            <w:tcW w:w="1155" w:type="dxa"/>
            <w:tcBorders>
              <w:top w:val="single" w:sz="12" w:space="0" w:color="auto"/>
            </w:tcBorders>
          </w:tcPr>
          <w:p w:rsidR="009052AE" w:rsidRPr="005F28B2" w:rsidRDefault="00163041" w:rsidP="00755707">
            <w:pPr>
              <w:keepNext/>
              <w:spacing w:before="40" w:after="120"/>
              <w:ind w:right="113"/>
              <w:rPr>
                <w:rtl/>
                <w:lang w:val="fr-FR" w:bidi="fr-FR"/>
              </w:rPr>
            </w:pPr>
            <w:r w:rsidRPr="005F28B2">
              <w:rPr>
                <w:lang w:val="fr-FR"/>
              </w:rPr>
              <w:t>1956</w:t>
            </w:r>
          </w:p>
        </w:tc>
        <w:tc>
          <w:tcPr>
            <w:tcW w:w="1963" w:type="dxa"/>
            <w:tcBorders>
              <w:top w:val="single" w:sz="12" w:space="0" w:color="auto"/>
            </w:tcBorders>
          </w:tcPr>
          <w:p w:rsidR="009052AE" w:rsidRPr="005F28B2" w:rsidRDefault="00163041" w:rsidP="00755707">
            <w:pPr>
              <w:keepNext/>
              <w:spacing w:before="40" w:after="120"/>
              <w:ind w:right="113"/>
              <w:rPr>
                <w:rtl/>
                <w:lang w:val="fr-FR" w:bidi="fr-FR"/>
              </w:rPr>
            </w:pPr>
            <w:r w:rsidRPr="005F28B2">
              <w:rPr>
                <w:lang w:val="fr-FR"/>
              </w:rPr>
              <w:t>29 novembre 1956</w:t>
            </w:r>
          </w:p>
        </w:tc>
      </w:tr>
      <w:tr w:rsidR="009052AE" w:rsidRPr="005F28B2" w:rsidTr="00175BE9">
        <w:trPr>
          <w:cantSplit/>
        </w:trPr>
        <w:tc>
          <w:tcPr>
            <w:tcW w:w="420"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2</w:t>
            </w:r>
          </w:p>
        </w:tc>
        <w:tc>
          <w:tcPr>
            <w:tcW w:w="3833"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Convention internationale sur l</w:t>
            </w:r>
            <w:r w:rsidR="00E16237" w:rsidRPr="005F28B2">
              <w:rPr>
                <w:rFonts w:eastAsia="Traditional Arabic"/>
                <w:lang w:val="fr-FR" w:bidi="ar-TN"/>
              </w:rPr>
              <w:t>’</w:t>
            </w:r>
            <w:r w:rsidRPr="005F28B2">
              <w:rPr>
                <w:rFonts w:eastAsia="Traditional Arabic"/>
                <w:lang w:val="fr-FR" w:bidi="ar-TN"/>
              </w:rPr>
              <w:t>élimination de toutes les formes de discrimination raciale</w:t>
            </w:r>
          </w:p>
        </w:tc>
        <w:tc>
          <w:tcPr>
            <w:tcW w:w="1155"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1966</w:t>
            </w:r>
          </w:p>
        </w:tc>
        <w:tc>
          <w:tcPr>
            <w:tcW w:w="1963"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66-70 du 28</w:t>
            </w:r>
            <w:r w:rsidR="00280BF2" w:rsidRPr="005F28B2">
              <w:rPr>
                <w:rFonts w:eastAsia="Traditional Arabic"/>
                <w:lang w:val="fr-FR" w:bidi="ar-TN"/>
              </w:rPr>
              <w:t> </w:t>
            </w:r>
            <w:r w:rsidRPr="005F28B2">
              <w:rPr>
                <w:rFonts w:eastAsia="Traditional Arabic"/>
                <w:lang w:val="fr-FR" w:bidi="ar-TN"/>
              </w:rPr>
              <w:t>novembre 1966</w:t>
            </w:r>
          </w:p>
        </w:tc>
      </w:tr>
      <w:tr w:rsidR="009052AE" w:rsidRPr="005F28B2" w:rsidTr="00175BE9">
        <w:trPr>
          <w:cantSplit/>
        </w:trPr>
        <w:tc>
          <w:tcPr>
            <w:tcW w:w="420"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3</w:t>
            </w:r>
          </w:p>
        </w:tc>
        <w:tc>
          <w:tcPr>
            <w:tcW w:w="3833"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Pacte international relatif aux droits civils et politiques</w:t>
            </w:r>
          </w:p>
        </w:tc>
        <w:tc>
          <w:tcPr>
            <w:tcW w:w="1155"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1968</w:t>
            </w:r>
          </w:p>
        </w:tc>
        <w:tc>
          <w:tcPr>
            <w:tcW w:w="1963" w:type="dxa"/>
          </w:tcPr>
          <w:p w:rsidR="009052AE" w:rsidRPr="005F28B2" w:rsidRDefault="00163041" w:rsidP="00755707">
            <w:pPr>
              <w:keepNext/>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68-30 du 29</w:t>
            </w:r>
            <w:r w:rsidR="00280BF2" w:rsidRPr="005F28B2">
              <w:rPr>
                <w:rFonts w:eastAsia="Traditional Arabic"/>
                <w:lang w:val="fr-FR" w:bidi="ar-TN"/>
              </w:rPr>
              <w:t> </w:t>
            </w:r>
            <w:r w:rsidRPr="005F28B2">
              <w:rPr>
                <w:rFonts w:eastAsia="Traditional Arabic"/>
                <w:lang w:val="fr-FR" w:bidi="ar-TN"/>
              </w:rPr>
              <w:t>novembre 1968</w:t>
            </w:r>
          </w:p>
        </w:tc>
      </w:tr>
      <w:tr w:rsidR="009052AE" w:rsidRPr="005F28B2" w:rsidTr="00175BE9">
        <w:trPr>
          <w:cantSplit/>
        </w:trPr>
        <w:tc>
          <w:tcPr>
            <w:tcW w:w="420"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4</w:t>
            </w:r>
          </w:p>
        </w:tc>
        <w:tc>
          <w:tcPr>
            <w:tcW w:w="383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Protocole facultatif se rapportant au Pacte international relatif aux droits civils et politiques</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2011</w:t>
            </w:r>
          </w:p>
        </w:tc>
        <w:tc>
          <w:tcPr>
            <w:tcW w:w="196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2011-3 du 19 février 2011</w:t>
            </w:r>
          </w:p>
          <w:p w:rsidR="009052AE" w:rsidRPr="005F28B2" w:rsidRDefault="00280BF2" w:rsidP="00280BF2">
            <w:pPr>
              <w:keepNext/>
              <w:spacing w:before="40" w:after="120"/>
              <w:ind w:right="113"/>
              <w:rPr>
                <w:rtl/>
                <w:lang w:val="fr-FR" w:bidi="fr-FR"/>
              </w:rPr>
            </w:pPr>
            <w:r w:rsidRPr="005F28B2">
              <w:rPr>
                <w:rFonts w:eastAsia="Traditional Arabic"/>
                <w:lang w:val="fr-FR" w:bidi="ar-TN"/>
              </w:rPr>
              <w:t xml:space="preserve">Décret </w:t>
            </w:r>
            <w:r w:rsidR="00163041"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2011-551 du </w:t>
            </w:r>
            <w:r w:rsidR="00163041" w:rsidRPr="005F28B2">
              <w:rPr>
                <w:rFonts w:eastAsia="Traditional Arabic"/>
                <w:lang w:val="fr-FR" w:bidi="ar-TN"/>
              </w:rPr>
              <w:t>14 mai 2011</w:t>
            </w:r>
          </w:p>
        </w:tc>
      </w:tr>
      <w:tr w:rsidR="009052AE" w:rsidRPr="005F28B2" w:rsidTr="00175BE9">
        <w:trPr>
          <w:cantSplit/>
        </w:trPr>
        <w:tc>
          <w:tcPr>
            <w:tcW w:w="420"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5</w:t>
            </w:r>
          </w:p>
        </w:tc>
        <w:tc>
          <w:tcPr>
            <w:tcW w:w="383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Pacte international relatif aux droits économiques</w:t>
            </w:r>
            <w:r w:rsidR="00E16237" w:rsidRPr="005F28B2">
              <w:rPr>
                <w:rFonts w:eastAsia="Traditional Arabic"/>
                <w:lang w:val="fr-FR" w:bidi="ar-TN"/>
              </w:rPr>
              <w:t>,</w:t>
            </w:r>
            <w:r w:rsidRPr="005F28B2">
              <w:rPr>
                <w:rFonts w:eastAsia="Traditional Arabic"/>
                <w:lang w:val="fr-FR" w:bidi="ar-TN"/>
              </w:rPr>
              <w:t xml:space="preserve"> sociaux et culturels</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1968</w:t>
            </w:r>
          </w:p>
        </w:tc>
        <w:tc>
          <w:tcPr>
            <w:tcW w:w="1963" w:type="dxa"/>
          </w:tcPr>
          <w:p w:rsidR="009052AE" w:rsidRPr="005F28B2" w:rsidRDefault="00163041" w:rsidP="00280BF2">
            <w:pPr>
              <w:keepNext/>
              <w:spacing w:before="40" w:after="120"/>
              <w:ind w:right="113"/>
              <w:rPr>
                <w:lang w:val="fr-FR" w:bidi="ar-TN"/>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68-30 du 29</w:t>
            </w:r>
            <w:r w:rsidR="00280BF2" w:rsidRPr="005F28B2">
              <w:rPr>
                <w:rFonts w:eastAsia="Traditional Arabic"/>
                <w:lang w:val="fr-FR" w:bidi="ar-TN"/>
              </w:rPr>
              <w:t> </w:t>
            </w:r>
            <w:r w:rsidRPr="005F28B2">
              <w:rPr>
                <w:rFonts w:eastAsia="Traditional Arabic"/>
                <w:lang w:val="fr-FR" w:bidi="ar-TN"/>
              </w:rPr>
              <w:t>novembre 1968</w:t>
            </w:r>
          </w:p>
        </w:tc>
      </w:tr>
      <w:tr w:rsidR="009052AE" w:rsidRPr="005F28B2" w:rsidTr="00175BE9">
        <w:trPr>
          <w:cantSplit/>
        </w:trPr>
        <w:tc>
          <w:tcPr>
            <w:tcW w:w="420"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6</w:t>
            </w:r>
          </w:p>
        </w:tc>
        <w:tc>
          <w:tcPr>
            <w:tcW w:w="3833" w:type="dxa"/>
          </w:tcPr>
          <w:p w:rsidR="009052AE" w:rsidRPr="005F28B2" w:rsidRDefault="00911703" w:rsidP="00280BF2">
            <w:pPr>
              <w:keepNext/>
              <w:spacing w:before="40" w:after="120"/>
              <w:ind w:right="113"/>
              <w:rPr>
                <w:rtl/>
                <w:lang w:val="fr-FR" w:bidi="fr-FR"/>
              </w:rPr>
            </w:pPr>
            <w:hyperlink r:id="rId10" w:history="1"/>
            <w:r w:rsidR="00163041" w:rsidRPr="005F28B2">
              <w:rPr>
                <w:rFonts w:eastAsia="Traditional Arabic"/>
                <w:lang w:val="fr-FR" w:bidi="ar-TN"/>
              </w:rPr>
              <w:t>Convention sur l</w:t>
            </w:r>
            <w:r w:rsidR="00E16237" w:rsidRPr="005F28B2">
              <w:rPr>
                <w:rFonts w:eastAsia="Traditional Arabic"/>
                <w:lang w:val="fr-FR" w:bidi="ar-TN"/>
              </w:rPr>
              <w:t>’</w:t>
            </w:r>
            <w:r w:rsidR="00163041" w:rsidRPr="005F28B2">
              <w:rPr>
                <w:rFonts w:eastAsia="Traditional Arabic"/>
                <w:lang w:val="fr-FR" w:bidi="ar-TN"/>
              </w:rPr>
              <w:t>imprescriptibilité des crimes de guerre et des crimes contre l</w:t>
            </w:r>
            <w:r w:rsidR="00E16237" w:rsidRPr="005F28B2">
              <w:rPr>
                <w:rFonts w:eastAsia="Traditional Arabic"/>
                <w:lang w:val="fr-FR" w:bidi="ar-TN"/>
              </w:rPr>
              <w:t>’</w:t>
            </w:r>
            <w:r w:rsidR="00163041" w:rsidRPr="005F28B2">
              <w:rPr>
                <w:rFonts w:eastAsia="Traditional Arabic"/>
                <w:lang w:val="fr-FR" w:bidi="ar-TN"/>
              </w:rPr>
              <w:t>humanité</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1972</w:t>
            </w:r>
          </w:p>
        </w:tc>
        <w:tc>
          <w:tcPr>
            <w:tcW w:w="196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72-11 du 10</w:t>
            </w:r>
            <w:r w:rsidR="00280BF2" w:rsidRPr="005F28B2">
              <w:rPr>
                <w:rFonts w:eastAsia="Traditional Arabic"/>
                <w:lang w:val="fr-FR" w:bidi="ar-TN"/>
              </w:rPr>
              <w:t> </w:t>
            </w:r>
            <w:r w:rsidRPr="005F28B2">
              <w:rPr>
                <w:rFonts w:eastAsia="Traditional Arabic"/>
                <w:lang w:val="fr-FR" w:bidi="ar-TN"/>
              </w:rPr>
              <w:t>mars 1972</w:t>
            </w:r>
          </w:p>
        </w:tc>
      </w:tr>
      <w:tr w:rsidR="009052AE" w:rsidRPr="005F28B2" w:rsidTr="00175BE9">
        <w:trPr>
          <w:cantSplit/>
        </w:trPr>
        <w:tc>
          <w:tcPr>
            <w:tcW w:w="420"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7</w:t>
            </w:r>
          </w:p>
        </w:tc>
        <w:tc>
          <w:tcPr>
            <w:tcW w:w="383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Convention sur l</w:t>
            </w:r>
            <w:r w:rsidR="00E16237" w:rsidRPr="005F28B2">
              <w:rPr>
                <w:rFonts w:eastAsia="Traditional Arabic"/>
                <w:lang w:val="fr-FR" w:bidi="ar-TN"/>
              </w:rPr>
              <w:t>’</w:t>
            </w:r>
            <w:r w:rsidRPr="005F28B2">
              <w:rPr>
                <w:rFonts w:eastAsia="Traditional Arabic"/>
                <w:lang w:val="fr-FR" w:bidi="ar-TN"/>
              </w:rPr>
              <w:t>élimination et la répression du crime d</w:t>
            </w:r>
            <w:r w:rsidR="00E16237" w:rsidRPr="005F28B2">
              <w:rPr>
                <w:rFonts w:eastAsia="Traditional Arabic"/>
                <w:lang w:val="fr-FR" w:bidi="ar-TN"/>
              </w:rPr>
              <w:t>’</w:t>
            </w:r>
            <w:r w:rsidRPr="005F28B2">
              <w:rPr>
                <w:rFonts w:eastAsia="Traditional Arabic"/>
                <w:lang w:val="fr-FR" w:bidi="ar-TN"/>
              </w:rPr>
              <w:t>apartheid</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1976</w:t>
            </w:r>
          </w:p>
        </w:tc>
        <w:tc>
          <w:tcPr>
            <w:tcW w:w="196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76-89 du 4</w:t>
            </w:r>
            <w:r w:rsidR="00280BF2" w:rsidRPr="005F28B2">
              <w:rPr>
                <w:rFonts w:eastAsia="Traditional Arabic"/>
                <w:lang w:val="fr-FR" w:bidi="ar-TN"/>
              </w:rPr>
              <w:t> </w:t>
            </w:r>
            <w:r w:rsidRPr="005F28B2">
              <w:rPr>
                <w:rFonts w:eastAsia="Traditional Arabic"/>
                <w:lang w:val="fr-FR" w:bidi="ar-TN"/>
              </w:rPr>
              <w:t>novembre 1976</w:t>
            </w:r>
          </w:p>
        </w:tc>
      </w:tr>
      <w:tr w:rsidR="009052AE" w:rsidRPr="005F28B2" w:rsidTr="00175BE9">
        <w:trPr>
          <w:cantSplit/>
        </w:trPr>
        <w:tc>
          <w:tcPr>
            <w:tcW w:w="420" w:type="dxa"/>
          </w:tcPr>
          <w:p w:rsidR="009052AE" w:rsidRPr="005F28B2" w:rsidRDefault="00163041" w:rsidP="00280BF2">
            <w:pPr>
              <w:keepNext/>
              <w:spacing w:before="40" w:after="120"/>
              <w:ind w:right="113"/>
              <w:rPr>
                <w:lang w:val="fr-FR" w:bidi="ar-TN"/>
              </w:rPr>
            </w:pPr>
            <w:r w:rsidRPr="005F28B2">
              <w:rPr>
                <w:rFonts w:eastAsia="Traditional Arabic"/>
                <w:lang w:val="fr-FR" w:bidi="ar-TN"/>
              </w:rPr>
              <w:t>8</w:t>
            </w:r>
          </w:p>
        </w:tc>
        <w:tc>
          <w:tcPr>
            <w:tcW w:w="383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Convention sur l</w:t>
            </w:r>
            <w:r w:rsidR="00E16237" w:rsidRPr="005F28B2">
              <w:rPr>
                <w:rFonts w:eastAsia="Traditional Arabic"/>
                <w:lang w:val="fr-FR" w:bidi="ar-TN"/>
              </w:rPr>
              <w:t>’</w:t>
            </w:r>
            <w:r w:rsidRPr="005F28B2">
              <w:rPr>
                <w:rFonts w:eastAsia="Traditional Arabic"/>
                <w:lang w:val="fr-FR" w:bidi="ar-TN"/>
              </w:rPr>
              <w:t>élimination de toutes les formes de discrimination à l</w:t>
            </w:r>
            <w:r w:rsidR="00E16237" w:rsidRPr="005F28B2">
              <w:rPr>
                <w:rFonts w:eastAsia="Traditional Arabic"/>
                <w:lang w:val="fr-FR" w:bidi="ar-TN"/>
              </w:rPr>
              <w:t>’</w:t>
            </w:r>
            <w:r w:rsidRPr="005F28B2">
              <w:rPr>
                <w:rFonts w:eastAsia="Traditional Arabic"/>
                <w:lang w:val="fr-FR" w:bidi="ar-TN"/>
              </w:rPr>
              <w:t>égard des femmes</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1985</w:t>
            </w:r>
          </w:p>
        </w:tc>
        <w:tc>
          <w:tcPr>
            <w:tcW w:w="196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85-68 du 12</w:t>
            </w:r>
            <w:r w:rsidR="00280BF2" w:rsidRPr="005F28B2">
              <w:rPr>
                <w:rFonts w:eastAsia="Traditional Arabic"/>
                <w:lang w:val="fr-FR" w:bidi="ar-TN"/>
              </w:rPr>
              <w:t> </w:t>
            </w:r>
            <w:r w:rsidRPr="005F28B2">
              <w:rPr>
                <w:rFonts w:eastAsia="Traditional Arabic"/>
                <w:lang w:val="fr-FR" w:bidi="ar-TN"/>
              </w:rPr>
              <w:t>juillet 1985</w:t>
            </w:r>
          </w:p>
        </w:tc>
      </w:tr>
      <w:tr w:rsidR="009052AE" w:rsidRPr="005F28B2" w:rsidTr="00175BE9">
        <w:trPr>
          <w:cantSplit/>
        </w:trPr>
        <w:tc>
          <w:tcPr>
            <w:tcW w:w="420"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9</w:t>
            </w:r>
          </w:p>
        </w:tc>
        <w:tc>
          <w:tcPr>
            <w:tcW w:w="383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Protocole facultatif à la Convention sur l</w:t>
            </w:r>
            <w:r w:rsidR="00E16237" w:rsidRPr="005F28B2">
              <w:rPr>
                <w:rFonts w:eastAsia="Traditional Arabic"/>
                <w:lang w:val="fr-FR" w:bidi="ar-TN"/>
              </w:rPr>
              <w:t>’</w:t>
            </w:r>
            <w:r w:rsidRPr="005F28B2">
              <w:rPr>
                <w:rFonts w:eastAsia="Traditional Arabic"/>
                <w:lang w:val="fr-FR" w:bidi="ar-TN"/>
              </w:rPr>
              <w:t>élimination de toutes les formes de discrimination à l</w:t>
            </w:r>
            <w:r w:rsidR="00E16237" w:rsidRPr="005F28B2">
              <w:rPr>
                <w:rFonts w:eastAsia="Traditional Arabic"/>
                <w:lang w:val="fr-FR" w:bidi="ar-TN"/>
              </w:rPr>
              <w:t>’</w:t>
            </w:r>
            <w:r w:rsidRPr="005F28B2">
              <w:rPr>
                <w:rFonts w:eastAsia="Traditional Arabic"/>
                <w:lang w:val="fr-FR" w:bidi="ar-TN"/>
              </w:rPr>
              <w:t>égard des femmes</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2008</w:t>
            </w:r>
          </w:p>
        </w:tc>
        <w:tc>
          <w:tcPr>
            <w:tcW w:w="196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2008-35 du 9</w:t>
            </w:r>
            <w:r w:rsidR="00280BF2" w:rsidRPr="005F28B2">
              <w:rPr>
                <w:rFonts w:eastAsia="Traditional Arabic"/>
                <w:lang w:val="fr-FR" w:bidi="ar-TN"/>
              </w:rPr>
              <w:t> </w:t>
            </w:r>
            <w:r w:rsidRPr="005F28B2">
              <w:rPr>
                <w:rFonts w:eastAsia="Traditional Arabic"/>
                <w:lang w:val="fr-FR" w:bidi="ar-TN"/>
              </w:rPr>
              <w:t>juin 2008</w:t>
            </w:r>
          </w:p>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 xml:space="preserve">2008-2502 du 7 juillet 2008 </w:t>
            </w:r>
          </w:p>
        </w:tc>
      </w:tr>
      <w:tr w:rsidR="009052AE" w:rsidRPr="005F28B2" w:rsidTr="00175BE9">
        <w:trPr>
          <w:cantSplit/>
        </w:trPr>
        <w:tc>
          <w:tcPr>
            <w:tcW w:w="420" w:type="dxa"/>
          </w:tcPr>
          <w:p w:rsidR="009052AE" w:rsidRPr="005F28B2" w:rsidRDefault="00163041" w:rsidP="00280BF2">
            <w:pPr>
              <w:keepNext/>
              <w:keepLines/>
              <w:spacing w:before="40" w:after="120"/>
              <w:ind w:right="113"/>
              <w:rPr>
                <w:rtl/>
                <w:lang w:val="fr-FR" w:bidi="fr-FR"/>
              </w:rPr>
            </w:pPr>
            <w:r w:rsidRPr="005F28B2">
              <w:rPr>
                <w:rFonts w:eastAsia="Traditional Arabic"/>
                <w:lang w:val="fr-FR" w:bidi="ar-TN"/>
              </w:rPr>
              <w:t>10</w:t>
            </w:r>
          </w:p>
        </w:tc>
        <w:tc>
          <w:tcPr>
            <w:tcW w:w="3833" w:type="dxa"/>
          </w:tcPr>
          <w:p w:rsidR="009052AE" w:rsidRPr="005F28B2" w:rsidRDefault="00163041" w:rsidP="00280BF2">
            <w:pPr>
              <w:keepNext/>
              <w:keepLines/>
              <w:spacing w:before="40" w:after="120"/>
              <w:ind w:right="113"/>
              <w:rPr>
                <w:rtl/>
                <w:lang w:val="fr-FR" w:bidi="fr-FR"/>
              </w:rPr>
            </w:pPr>
            <w:r w:rsidRPr="005F28B2">
              <w:rPr>
                <w:rFonts w:eastAsia="Traditional Arabic"/>
                <w:lang w:val="fr-FR" w:bidi="ar-TN"/>
              </w:rPr>
              <w:t>La Convention contre la torture et autres peines ou traitements cruels</w:t>
            </w:r>
            <w:r w:rsidR="00E16237" w:rsidRPr="005F28B2">
              <w:rPr>
                <w:rFonts w:eastAsia="Traditional Arabic"/>
                <w:lang w:val="fr-FR" w:bidi="ar-TN"/>
              </w:rPr>
              <w:t>,</w:t>
            </w:r>
            <w:r w:rsidRPr="005F28B2">
              <w:rPr>
                <w:rFonts w:eastAsia="Traditional Arabic"/>
                <w:lang w:val="fr-FR" w:bidi="ar-TN"/>
              </w:rPr>
              <w:t xml:space="preserve"> inhumains ou dégradants (1984)</w:t>
            </w:r>
          </w:p>
        </w:tc>
        <w:tc>
          <w:tcPr>
            <w:tcW w:w="1155" w:type="dxa"/>
          </w:tcPr>
          <w:p w:rsidR="009052AE" w:rsidRPr="005F28B2" w:rsidRDefault="00163041" w:rsidP="00280BF2">
            <w:pPr>
              <w:keepNext/>
              <w:keepLines/>
              <w:spacing w:before="40" w:after="120"/>
              <w:ind w:right="113"/>
              <w:rPr>
                <w:rtl/>
                <w:lang w:val="fr-FR" w:bidi="fr-FR"/>
              </w:rPr>
            </w:pPr>
            <w:r w:rsidRPr="005F28B2">
              <w:rPr>
                <w:rFonts w:eastAsia="Traditional Arabic"/>
                <w:lang w:val="fr-FR" w:bidi="ar-TN"/>
              </w:rPr>
              <w:t>1988</w:t>
            </w:r>
          </w:p>
        </w:tc>
        <w:tc>
          <w:tcPr>
            <w:tcW w:w="1963" w:type="dxa"/>
          </w:tcPr>
          <w:p w:rsidR="009052AE" w:rsidRPr="005F28B2" w:rsidRDefault="00163041" w:rsidP="00280BF2">
            <w:pPr>
              <w:keepNext/>
              <w:keepLines/>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88-79 du 11</w:t>
            </w:r>
            <w:r w:rsidR="00280BF2" w:rsidRPr="005F28B2">
              <w:rPr>
                <w:rFonts w:eastAsia="Traditional Arabic"/>
                <w:lang w:val="fr-FR" w:bidi="ar-TN"/>
              </w:rPr>
              <w:t> </w:t>
            </w:r>
            <w:r w:rsidRPr="005F28B2">
              <w:rPr>
                <w:rFonts w:eastAsia="Traditional Arabic"/>
                <w:lang w:val="fr-FR" w:bidi="ar-TN"/>
              </w:rPr>
              <w:t>juillet 1988</w:t>
            </w:r>
          </w:p>
        </w:tc>
      </w:tr>
      <w:tr w:rsidR="009052AE" w:rsidRPr="005F28B2" w:rsidTr="00175BE9">
        <w:trPr>
          <w:cantSplit/>
        </w:trPr>
        <w:tc>
          <w:tcPr>
            <w:tcW w:w="420"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11</w:t>
            </w:r>
          </w:p>
        </w:tc>
        <w:tc>
          <w:tcPr>
            <w:tcW w:w="3833"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Protocole facultatif à la Convention contre la torture et autres peines ou traitements cruels</w:t>
            </w:r>
            <w:r w:rsidR="00E16237" w:rsidRPr="005F28B2">
              <w:rPr>
                <w:rFonts w:eastAsia="Traditional Arabic"/>
                <w:lang w:val="fr-FR" w:bidi="ar-TN"/>
              </w:rPr>
              <w:t>,</w:t>
            </w:r>
            <w:r w:rsidRPr="005F28B2">
              <w:rPr>
                <w:rFonts w:eastAsia="Traditional Arabic"/>
                <w:lang w:val="fr-FR" w:bidi="ar-TN"/>
              </w:rPr>
              <w:t xml:space="preserve"> inhumains ou dégradants</w:t>
            </w:r>
          </w:p>
        </w:tc>
        <w:tc>
          <w:tcPr>
            <w:tcW w:w="1155" w:type="dxa"/>
          </w:tcPr>
          <w:p w:rsidR="009052AE" w:rsidRPr="005F28B2" w:rsidRDefault="00163041" w:rsidP="00280BF2">
            <w:pPr>
              <w:keepNext/>
              <w:spacing w:before="40" w:after="120"/>
              <w:ind w:right="113"/>
              <w:rPr>
                <w:rtl/>
                <w:lang w:val="fr-FR" w:bidi="fr-FR"/>
              </w:rPr>
            </w:pPr>
            <w:r w:rsidRPr="005F28B2">
              <w:rPr>
                <w:rFonts w:eastAsia="Traditional Arabic"/>
                <w:lang w:val="fr-FR" w:bidi="ar-TN"/>
              </w:rPr>
              <w:t>2011</w:t>
            </w:r>
          </w:p>
        </w:tc>
        <w:tc>
          <w:tcPr>
            <w:tcW w:w="1963" w:type="dxa"/>
          </w:tcPr>
          <w:p w:rsidR="009052AE" w:rsidRPr="005F28B2" w:rsidRDefault="00163041" w:rsidP="00280BF2">
            <w:pPr>
              <w:keepNext/>
              <w:spacing w:before="40" w:after="120"/>
              <w:ind w:right="113"/>
              <w:rPr>
                <w:lang w:val="fr-FR" w:bidi="ar-TN"/>
              </w:rPr>
            </w:pPr>
            <w:r w:rsidRPr="005F28B2">
              <w:rPr>
                <w:rFonts w:eastAsia="Traditional Arabic"/>
                <w:lang w:val="fr-FR" w:bidi="ar-TN"/>
              </w:rPr>
              <w:t xml:space="preserve">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2011-5 du 19 février 2011</w:t>
            </w:r>
          </w:p>
          <w:p w:rsidR="009052AE" w:rsidRPr="005F28B2" w:rsidRDefault="00163041" w:rsidP="00280BF2">
            <w:pPr>
              <w:keepNext/>
              <w:spacing w:before="40" w:after="120"/>
              <w:ind w:right="113"/>
              <w:rPr>
                <w:rtl/>
                <w:lang w:val="fr-FR" w:bidi="fr-FR"/>
              </w:rPr>
            </w:pPr>
            <w:r w:rsidRPr="005F28B2">
              <w:rPr>
                <w:rFonts w:eastAsia="Traditional Arabic"/>
                <w:lang w:val="fr-FR" w:bidi="ar-TN"/>
              </w:rPr>
              <w:t xml:space="preserve">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2011-552 du 17 mai 2011</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12</w:t>
            </w:r>
          </w:p>
        </w:tc>
        <w:tc>
          <w:tcPr>
            <w:tcW w:w="3833" w:type="dxa"/>
          </w:tcPr>
          <w:p w:rsidR="009052AE" w:rsidRPr="005F28B2" w:rsidRDefault="00163041" w:rsidP="00280BF2">
            <w:pPr>
              <w:spacing w:before="40" w:after="120"/>
              <w:ind w:right="113"/>
              <w:rPr>
                <w:lang w:val="fr-FR" w:bidi="ar-TN"/>
              </w:rPr>
            </w:pPr>
            <w:r w:rsidRPr="005F28B2">
              <w:rPr>
                <w:rFonts w:eastAsia="Traditional Arabic"/>
                <w:lang w:val="fr-FR" w:bidi="ar-TN"/>
              </w:rPr>
              <w:t>Convention internationale contre l</w:t>
            </w:r>
            <w:r w:rsidR="00E16237" w:rsidRPr="005F28B2">
              <w:rPr>
                <w:rFonts w:eastAsia="Traditional Arabic"/>
                <w:lang w:val="fr-FR" w:bidi="ar-TN"/>
              </w:rPr>
              <w:t>’</w:t>
            </w:r>
            <w:r w:rsidRPr="005F28B2">
              <w:rPr>
                <w:rFonts w:eastAsia="Traditional Arabic"/>
                <w:lang w:val="fr-FR" w:bidi="ar-TN"/>
              </w:rPr>
              <w:t>apartheid dans les sports</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1989</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89-29 du 27</w:t>
            </w:r>
            <w:r w:rsidR="00280BF2" w:rsidRPr="005F28B2">
              <w:rPr>
                <w:rFonts w:eastAsia="Traditional Arabic"/>
                <w:lang w:val="fr-FR" w:bidi="ar-TN"/>
              </w:rPr>
              <w:t> </w:t>
            </w:r>
            <w:r w:rsidRPr="005F28B2">
              <w:rPr>
                <w:rFonts w:eastAsia="Traditional Arabic"/>
                <w:lang w:val="fr-FR" w:bidi="ar-TN"/>
              </w:rPr>
              <w:t>février 1989</w:t>
            </w:r>
          </w:p>
        </w:tc>
      </w:tr>
      <w:tr w:rsidR="009052AE" w:rsidRPr="005F28B2" w:rsidTr="00175BE9">
        <w:trPr>
          <w:cantSplit/>
        </w:trPr>
        <w:tc>
          <w:tcPr>
            <w:tcW w:w="420" w:type="dxa"/>
          </w:tcPr>
          <w:p w:rsidR="009052AE" w:rsidRPr="005F28B2" w:rsidRDefault="00163041" w:rsidP="00280BF2">
            <w:pPr>
              <w:spacing w:before="40" w:after="120"/>
              <w:ind w:right="113"/>
              <w:rPr>
                <w:lang w:val="fr-FR" w:bidi="ar-TN"/>
              </w:rPr>
            </w:pPr>
            <w:r w:rsidRPr="005F28B2">
              <w:rPr>
                <w:rFonts w:eastAsia="Traditional Arabic"/>
                <w:lang w:val="fr-FR" w:bidi="ar-TN"/>
              </w:rPr>
              <w:t>13</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Convention relative aux droits de l</w:t>
            </w:r>
            <w:r w:rsidR="00E16237" w:rsidRPr="005F28B2">
              <w:rPr>
                <w:rFonts w:eastAsia="Traditional Arabic"/>
                <w:lang w:val="fr-FR" w:bidi="ar-TN"/>
              </w:rPr>
              <w:t>’</w:t>
            </w:r>
            <w:r w:rsidRPr="005F28B2">
              <w:rPr>
                <w:rFonts w:eastAsia="Traditional Arabic"/>
                <w:lang w:val="fr-FR" w:bidi="ar-TN"/>
              </w:rPr>
              <w:t>enfant</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1991</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91-92 du 29</w:t>
            </w:r>
            <w:r w:rsidR="00280BF2" w:rsidRPr="005F28B2">
              <w:rPr>
                <w:rFonts w:eastAsia="Traditional Arabic"/>
                <w:lang w:val="fr-FR" w:bidi="ar-TN"/>
              </w:rPr>
              <w:t> </w:t>
            </w:r>
            <w:r w:rsidRPr="005F28B2">
              <w:rPr>
                <w:rFonts w:eastAsia="Traditional Arabic"/>
                <w:lang w:val="fr-FR" w:bidi="ar-TN"/>
              </w:rPr>
              <w:t>novembre 1991</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14</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Protocole facultatif à la Convention relative aux droits de l</w:t>
            </w:r>
            <w:r w:rsidR="00E16237" w:rsidRPr="005F28B2">
              <w:rPr>
                <w:rFonts w:eastAsia="Traditional Arabic"/>
                <w:lang w:val="fr-FR" w:bidi="ar-TN"/>
              </w:rPr>
              <w:t>’</w:t>
            </w:r>
            <w:r w:rsidRPr="005F28B2">
              <w:rPr>
                <w:rFonts w:eastAsia="Traditional Arabic"/>
                <w:lang w:val="fr-FR" w:bidi="ar-TN"/>
              </w:rPr>
              <w:t>enfant concernant l</w:t>
            </w:r>
            <w:r w:rsidR="00E16237" w:rsidRPr="005F28B2">
              <w:rPr>
                <w:rFonts w:eastAsia="Traditional Arabic"/>
                <w:lang w:val="fr-FR" w:bidi="ar-TN"/>
              </w:rPr>
              <w:t>’</w:t>
            </w:r>
            <w:r w:rsidRPr="005F28B2">
              <w:rPr>
                <w:rFonts w:eastAsia="Traditional Arabic"/>
                <w:lang w:val="fr-FR" w:bidi="ar-TN"/>
              </w:rPr>
              <w:t>implication d</w:t>
            </w:r>
            <w:r w:rsidR="00E16237" w:rsidRPr="005F28B2">
              <w:rPr>
                <w:rFonts w:eastAsia="Traditional Arabic"/>
                <w:lang w:val="fr-FR" w:bidi="ar-TN"/>
              </w:rPr>
              <w:t>’</w:t>
            </w:r>
            <w:r w:rsidRPr="005F28B2">
              <w:rPr>
                <w:rFonts w:eastAsia="Traditional Arabic"/>
                <w:lang w:val="fr-FR" w:bidi="ar-TN"/>
              </w:rPr>
              <w:t>enfants dans les conflits armés</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2002</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2002-42 du 7</w:t>
            </w:r>
            <w:r w:rsidR="00280BF2" w:rsidRPr="005F28B2">
              <w:rPr>
                <w:rFonts w:eastAsia="Traditional Arabic"/>
                <w:lang w:val="fr-FR" w:bidi="ar-TN"/>
              </w:rPr>
              <w:t> </w:t>
            </w:r>
            <w:r w:rsidRPr="005F28B2">
              <w:rPr>
                <w:rFonts w:eastAsia="Traditional Arabic"/>
                <w:lang w:val="fr-FR" w:bidi="ar-TN"/>
              </w:rPr>
              <w:t>mai 2002</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lastRenderedPageBreak/>
              <w:t>15</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Protocole facultatif à la Convention relative aux droits de l</w:t>
            </w:r>
            <w:r w:rsidR="00E16237" w:rsidRPr="005F28B2">
              <w:rPr>
                <w:rFonts w:eastAsia="Traditional Arabic"/>
                <w:lang w:val="fr-FR" w:bidi="ar-TN"/>
              </w:rPr>
              <w:t>’</w:t>
            </w:r>
            <w:r w:rsidRPr="005F28B2">
              <w:rPr>
                <w:rFonts w:eastAsia="Traditional Arabic"/>
                <w:lang w:val="fr-FR" w:bidi="ar-TN"/>
              </w:rPr>
              <w:t>enfant</w:t>
            </w:r>
            <w:r w:rsidR="00E16237" w:rsidRPr="005F28B2">
              <w:rPr>
                <w:rFonts w:eastAsia="Traditional Arabic"/>
                <w:lang w:val="fr-FR" w:bidi="ar-TN"/>
              </w:rPr>
              <w:t>,</w:t>
            </w:r>
            <w:r w:rsidRPr="005F28B2">
              <w:rPr>
                <w:rFonts w:eastAsia="Traditional Arabic"/>
                <w:lang w:val="fr-FR" w:bidi="ar-TN"/>
              </w:rPr>
              <w:t xml:space="preserve"> concernant la vente d</w:t>
            </w:r>
            <w:r w:rsidR="00E16237" w:rsidRPr="005F28B2">
              <w:rPr>
                <w:rFonts w:eastAsia="Traditional Arabic"/>
                <w:lang w:val="fr-FR" w:bidi="ar-TN"/>
              </w:rPr>
              <w:t>’</w:t>
            </w:r>
            <w:r w:rsidRPr="005F28B2">
              <w:rPr>
                <w:rFonts w:eastAsia="Traditional Arabic"/>
                <w:lang w:val="fr-FR" w:bidi="ar-TN"/>
              </w:rPr>
              <w:t>enfants</w:t>
            </w:r>
            <w:r w:rsidR="00E16237" w:rsidRPr="005F28B2">
              <w:rPr>
                <w:rFonts w:eastAsia="Traditional Arabic"/>
                <w:lang w:val="fr-FR" w:bidi="ar-TN"/>
              </w:rPr>
              <w:t>,</w:t>
            </w:r>
            <w:r w:rsidRPr="005F28B2">
              <w:rPr>
                <w:rFonts w:eastAsia="Traditional Arabic"/>
                <w:lang w:val="fr-FR" w:bidi="ar-TN"/>
              </w:rPr>
              <w:t xml:space="preserve"> la prostitution des enfants et la pornographie mettant en scène des enfants </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2002</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2002-42 du 7</w:t>
            </w:r>
            <w:r w:rsidR="00280BF2" w:rsidRPr="005F28B2">
              <w:rPr>
                <w:rFonts w:eastAsia="Traditional Arabic"/>
                <w:lang w:val="fr-FR" w:bidi="ar-TN"/>
              </w:rPr>
              <w:t> </w:t>
            </w:r>
            <w:r w:rsidRPr="005F28B2">
              <w:rPr>
                <w:rFonts w:eastAsia="Traditional Arabic"/>
                <w:lang w:val="fr-FR" w:bidi="ar-TN"/>
              </w:rPr>
              <w:t>mai 2002</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16</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relative aux droits des personnes handicapées </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2008</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2008-4 du 11</w:t>
            </w:r>
            <w:r w:rsidR="00280BF2" w:rsidRPr="005F28B2">
              <w:rPr>
                <w:rFonts w:eastAsia="Traditional Arabic"/>
                <w:lang w:val="fr-FR" w:bidi="ar-TN"/>
              </w:rPr>
              <w:t> </w:t>
            </w:r>
            <w:r w:rsidRPr="005F28B2">
              <w:rPr>
                <w:rFonts w:eastAsia="Traditional Arabic"/>
                <w:lang w:val="fr-FR" w:bidi="ar-TN"/>
              </w:rPr>
              <w:t>février 2008</w:t>
            </w:r>
          </w:p>
          <w:p w:rsidR="009052AE" w:rsidRPr="005F28B2" w:rsidRDefault="00163041" w:rsidP="00280BF2">
            <w:pPr>
              <w:spacing w:before="40" w:after="120"/>
              <w:ind w:right="113"/>
              <w:rPr>
                <w:rtl/>
                <w:lang w:val="fr-FR" w:bidi="fr-FR"/>
              </w:rPr>
            </w:pPr>
            <w:r w:rsidRPr="005F28B2">
              <w:rPr>
                <w:rFonts w:eastAsia="Traditional Arabic"/>
                <w:lang w:val="fr-FR" w:bidi="ar-TN"/>
              </w:rPr>
              <w:t xml:space="preserve">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2008-568 du</w:t>
            </w:r>
            <w:r w:rsidR="00280BF2" w:rsidRPr="005F28B2">
              <w:rPr>
                <w:rFonts w:eastAsia="Traditional Arabic"/>
                <w:lang w:val="fr-FR" w:bidi="ar-TN"/>
              </w:rPr>
              <w:t> </w:t>
            </w:r>
            <w:r w:rsidRPr="005F28B2">
              <w:rPr>
                <w:rFonts w:eastAsia="Traditional Arabic"/>
                <w:lang w:val="fr-FR" w:bidi="ar-TN"/>
              </w:rPr>
              <w:t>4 mars 2008</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17</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Convention internationale pour la protection de toutes les personnes contre les disparitions forcées</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2011</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2011-2 du 19 février 2011</w:t>
            </w:r>
          </w:p>
          <w:p w:rsidR="009052AE" w:rsidRPr="005F28B2" w:rsidRDefault="00163041" w:rsidP="00280BF2">
            <w:pPr>
              <w:spacing w:before="40" w:after="120"/>
              <w:ind w:right="113"/>
              <w:rPr>
                <w:rtl/>
                <w:lang w:val="fr-FR" w:bidi="fr-FR"/>
              </w:rPr>
            </w:pPr>
            <w:r w:rsidRPr="005F28B2">
              <w:rPr>
                <w:rFonts w:eastAsia="Traditional Arabic"/>
                <w:lang w:val="fr-FR" w:bidi="ar-TN"/>
              </w:rPr>
              <w:t xml:space="preserve">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2011-550 du</w:t>
            </w:r>
            <w:r w:rsidR="00280BF2" w:rsidRPr="005F28B2">
              <w:rPr>
                <w:rFonts w:eastAsia="Traditional Arabic"/>
                <w:lang w:val="fr-FR" w:bidi="ar-TN"/>
              </w:rPr>
              <w:t> </w:t>
            </w:r>
            <w:r w:rsidRPr="005F28B2">
              <w:rPr>
                <w:rFonts w:eastAsia="Traditional Arabic"/>
                <w:lang w:val="fr-FR" w:bidi="ar-TN"/>
              </w:rPr>
              <w:t>14 mai 2011</w:t>
            </w:r>
          </w:p>
        </w:tc>
      </w:tr>
      <w:tr w:rsidR="009052AE" w:rsidRPr="005F28B2" w:rsidTr="00175BE9">
        <w:trPr>
          <w:cantSplit/>
        </w:trPr>
        <w:tc>
          <w:tcPr>
            <w:tcW w:w="420" w:type="dxa"/>
          </w:tcPr>
          <w:p w:rsidR="009052AE" w:rsidRPr="005F28B2" w:rsidRDefault="00163041" w:rsidP="00280BF2">
            <w:pPr>
              <w:spacing w:before="40" w:after="120"/>
              <w:ind w:right="113"/>
              <w:rPr>
                <w:lang w:val="fr-FR" w:bidi="ar-TN"/>
              </w:rPr>
            </w:pPr>
            <w:r w:rsidRPr="005F28B2">
              <w:rPr>
                <w:rFonts w:eastAsia="Traditional Arabic"/>
                <w:lang w:val="fr-FR" w:bidi="ar-TN"/>
              </w:rPr>
              <w:t>18</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Statut de Rome de la Cour pénale internationale et Accord sur les privilèges et immunités de la Cour</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2011</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2011-4 du 19 février 2011</w:t>
            </w:r>
          </w:p>
          <w:p w:rsidR="009052AE" w:rsidRPr="005F28B2" w:rsidRDefault="00163041" w:rsidP="00280BF2">
            <w:pPr>
              <w:spacing w:before="40" w:after="120"/>
              <w:ind w:right="113"/>
              <w:rPr>
                <w:rtl/>
                <w:lang w:val="fr-FR" w:bidi="fr-FR"/>
              </w:rPr>
            </w:pPr>
            <w:r w:rsidRPr="005F28B2">
              <w:rPr>
                <w:rFonts w:eastAsia="Traditional Arabic"/>
                <w:lang w:val="fr-FR" w:bidi="ar-TN"/>
              </w:rPr>
              <w:t xml:space="preserve">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2011-549 du</w:t>
            </w:r>
            <w:r w:rsidR="00280BF2" w:rsidRPr="005F28B2">
              <w:rPr>
                <w:rFonts w:eastAsia="Traditional Arabic"/>
                <w:lang w:val="fr-FR" w:bidi="ar-TN"/>
              </w:rPr>
              <w:t> </w:t>
            </w:r>
            <w:r w:rsidRPr="005F28B2">
              <w:rPr>
                <w:rFonts w:eastAsia="Traditional Arabic"/>
                <w:lang w:val="fr-FR" w:bidi="ar-TN"/>
              </w:rPr>
              <w:t>14 mai 2011</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19</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Les quatre Conventions de Genève</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1957</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4 mai 1957</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20</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Les </w:t>
            </w:r>
            <w:r w:rsidR="00655F8D" w:rsidRPr="005F28B2">
              <w:rPr>
                <w:rFonts w:eastAsia="Traditional Arabic"/>
                <w:lang w:val="fr-FR" w:bidi="ar-TN"/>
              </w:rPr>
              <w:t>deux Protocoles additionnels de </w:t>
            </w:r>
            <w:r w:rsidRPr="005F28B2">
              <w:rPr>
                <w:rFonts w:eastAsia="Traditional Arabic"/>
                <w:lang w:val="fr-FR" w:bidi="ar-TN"/>
              </w:rPr>
              <w:t>1977</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1979</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9 août 1979</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21</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Convention de l</w:t>
            </w:r>
            <w:r w:rsidR="00E16237" w:rsidRPr="005F28B2">
              <w:rPr>
                <w:rFonts w:eastAsia="Traditional Arabic"/>
                <w:lang w:val="fr-FR" w:bidi="ar-TN"/>
              </w:rPr>
              <w:t>’</w:t>
            </w:r>
            <w:r w:rsidRPr="005F28B2">
              <w:rPr>
                <w:rFonts w:eastAsia="Traditional Arabic"/>
                <w:lang w:val="fr-FR" w:bidi="ar-TN"/>
              </w:rPr>
              <w:t>UNESCO concernant la lutte contre la discrimination dans le domaine de l</w:t>
            </w:r>
            <w:r w:rsidR="00E16237" w:rsidRPr="005F28B2">
              <w:rPr>
                <w:rFonts w:eastAsia="Traditional Arabic"/>
                <w:lang w:val="fr-FR" w:bidi="ar-TN"/>
              </w:rPr>
              <w:t>’</w:t>
            </w:r>
            <w:r w:rsidRPr="005F28B2">
              <w:rPr>
                <w:rFonts w:eastAsia="Traditional Arabic"/>
                <w:lang w:val="fr-FR" w:bidi="ar-TN"/>
              </w:rPr>
              <w:t>enseignement</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1969</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29 août 1969</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22</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19 de l</w:t>
            </w:r>
            <w:r w:rsidR="00E16237" w:rsidRPr="005F28B2">
              <w:rPr>
                <w:rFonts w:eastAsia="Traditional Arabic"/>
                <w:lang w:val="fr-FR" w:bidi="ar-TN"/>
              </w:rPr>
              <w:t>’</w:t>
            </w:r>
            <w:r w:rsidRPr="005F28B2">
              <w:rPr>
                <w:rFonts w:eastAsia="Traditional Arabic"/>
                <w:lang w:val="fr-FR" w:bidi="ar-TN"/>
              </w:rPr>
              <w:t>Organisation internationale du Travail sur l</w:t>
            </w:r>
            <w:r w:rsidR="00E16237" w:rsidRPr="005F28B2">
              <w:rPr>
                <w:rFonts w:eastAsia="Traditional Arabic"/>
                <w:lang w:val="fr-FR" w:bidi="ar-TN"/>
              </w:rPr>
              <w:t>’</w:t>
            </w:r>
            <w:r w:rsidRPr="005F28B2">
              <w:rPr>
                <w:rFonts w:eastAsia="Traditional Arabic"/>
                <w:lang w:val="fr-FR" w:bidi="ar-TN"/>
              </w:rPr>
              <w:t>égalité de traitement (réparation des accidents du travail) (1925)</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1956</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12 juin 1956</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23</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11 de l</w:t>
            </w:r>
            <w:r w:rsidR="00E16237" w:rsidRPr="005F28B2">
              <w:rPr>
                <w:rFonts w:eastAsia="Traditional Arabic"/>
                <w:lang w:val="fr-FR" w:bidi="ar-TN"/>
              </w:rPr>
              <w:t>’</w:t>
            </w:r>
            <w:r w:rsidRPr="005F28B2">
              <w:rPr>
                <w:rFonts w:eastAsia="Traditional Arabic"/>
                <w:lang w:val="fr-FR" w:bidi="ar-TN"/>
              </w:rPr>
              <w:t>Organisation internationale du Travail sur le droit d</w:t>
            </w:r>
            <w:r w:rsidR="00E16237" w:rsidRPr="005F28B2">
              <w:rPr>
                <w:rFonts w:eastAsia="Traditional Arabic"/>
                <w:lang w:val="fr-FR" w:bidi="ar-TN"/>
              </w:rPr>
              <w:t>’</w:t>
            </w:r>
            <w:r w:rsidRPr="005F28B2">
              <w:rPr>
                <w:rFonts w:eastAsia="Traditional Arabic"/>
                <w:lang w:val="fr-FR" w:bidi="ar-TN"/>
              </w:rPr>
              <w:t>association (agriculture) (1921)</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1957</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15 mai 1957</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24</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29 de l</w:t>
            </w:r>
            <w:r w:rsidR="00E16237" w:rsidRPr="005F28B2">
              <w:rPr>
                <w:rFonts w:eastAsia="Traditional Arabic"/>
                <w:lang w:val="fr-FR" w:bidi="ar-TN"/>
              </w:rPr>
              <w:t>’</w:t>
            </w:r>
            <w:r w:rsidRPr="005F28B2">
              <w:rPr>
                <w:rFonts w:eastAsia="Traditional Arabic"/>
                <w:lang w:val="fr-FR" w:bidi="ar-TN"/>
              </w:rPr>
              <w:t>Organisation internationale du Travail sur le travail forcé (1930)</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1962</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17 décembre 1962</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25</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98 de l</w:t>
            </w:r>
            <w:r w:rsidR="00E16237" w:rsidRPr="005F28B2">
              <w:rPr>
                <w:rFonts w:eastAsia="Traditional Arabic"/>
                <w:lang w:val="fr-FR" w:bidi="ar-TN"/>
              </w:rPr>
              <w:t>’</w:t>
            </w:r>
            <w:r w:rsidRPr="005F28B2">
              <w:rPr>
                <w:rFonts w:eastAsia="Traditional Arabic"/>
                <w:lang w:val="fr-FR" w:bidi="ar-TN"/>
              </w:rPr>
              <w:t>Organisation internationale du Travail sur le droit d</w:t>
            </w:r>
            <w:r w:rsidR="00E16237" w:rsidRPr="005F28B2">
              <w:rPr>
                <w:rFonts w:eastAsia="Traditional Arabic"/>
                <w:lang w:val="fr-FR" w:bidi="ar-TN"/>
              </w:rPr>
              <w:t>’</w:t>
            </w:r>
            <w:r w:rsidRPr="005F28B2">
              <w:rPr>
                <w:rFonts w:eastAsia="Traditional Arabic"/>
                <w:lang w:val="fr-FR" w:bidi="ar-TN"/>
              </w:rPr>
              <w:t>organisation et de négociation collective (1949)</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1957</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15 mai 1957</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26</w:t>
            </w:r>
          </w:p>
        </w:tc>
        <w:tc>
          <w:tcPr>
            <w:tcW w:w="3833" w:type="dxa"/>
          </w:tcPr>
          <w:p w:rsidR="009052AE" w:rsidRPr="005F28B2" w:rsidRDefault="00163041" w:rsidP="00B429ED">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111 de l</w:t>
            </w:r>
            <w:r w:rsidR="00E16237" w:rsidRPr="005F28B2">
              <w:rPr>
                <w:rFonts w:eastAsia="Traditional Arabic"/>
                <w:lang w:val="fr-FR" w:bidi="ar-TN"/>
              </w:rPr>
              <w:t>’</w:t>
            </w:r>
            <w:r w:rsidRPr="005F28B2">
              <w:rPr>
                <w:rFonts w:eastAsia="Traditional Arabic"/>
                <w:lang w:val="fr-FR" w:bidi="ar-TN"/>
              </w:rPr>
              <w:t>Organisation internationale du Travail concernant la discrimination en matière d</w:t>
            </w:r>
            <w:r w:rsidR="00E16237" w:rsidRPr="005F28B2">
              <w:rPr>
                <w:rFonts w:eastAsia="Traditional Arabic"/>
                <w:lang w:val="fr-FR" w:bidi="ar-TN"/>
              </w:rPr>
              <w:t>’</w:t>
            </w:r>
            <w:r w:rsidRPr="005F28B2">
              <w:rPr>
                <w:rFonts w:eastAsia="Traditional Arabic"/>
                <w:lang w:val="fr-FR" w:bidi="ar-TN"/>
              </w:rPr>
              <w:t>emploi et de profession (1958)</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1959</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14 septembre 1959</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lastRenderedPageBreak/>
              <w:t>27</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100 de l</w:t>
            </w:r>
            <w:r w:rsidR="00E16237" w:rsidRPr="005F28B2">
              <w:rPr>
                <w:rFonts w:eastAsia="Traditional Arabic"/>
                <w:lang w:val="fr-FR" w:bidi="ar-TN"/>
              </w:rPr>
              <w:t>’</w:t>
            </w:r>
            <w:r w:rsidRPr="005F28B2">
              <w:rPr>
                <w:rFonts w:eastAsia="Traditional Arabic"/>
                <w:lang w:val="fr-FR" w:bidi="ar-TN"/>
              </w:rPr>
              <w:t>Organisation internationale du Travail sur l</w:t>
            </w:r>
            <w:r w:rsidR="00E16237" w:rsidRPr="005F28B2">
              <w:rPr>
                <w:rFonts w:eastAsia="Traditional Arabic"/>
                <w:lang w:val="fr-FR" w:bidi="ar-TN"/>
              </w:rPr>
              <w:t>’</w:t>
            </w:r>
            <w:r w:rsidRPr="005F28B2">
              <w:rPr>
                <w:rFonts w:eastAsia="Traditional Arabic"/>
                <w:lang w:val="fr-FR" w:bidi="ar-TN"/>
              </w:rPr>
              <w:t>égalité de rémunération (1951)</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1968</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11 octobre 1968</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28</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105 de l</w:t>
            </w:r>
            <w:r w:rsidR="00E16237" w:rsidRPr="005F28B2">
              <w:rPr>
                <w:rFonts w:eastAsia="Traditional Arabic"/>
                <w:lang w:val="fr-FR" w:bidi="ar-TN"/>
              </w:rPr>
              <w:t>’</w:t>
            </w:r>
            <w:r w:rsidRPr="005F28B2">
              <w:rPr>
                <w:rFonts w:eastAsia="Traditional Arabic"/>
                <w:lang w:val="fr-FR" w:bidi="ar-TN"/>
              </w:rPr>
              <w:t>Organisation internationale du Travail sur l</w:t>
            </w:r>
            <w:r w:rsidR="00E16237" w:rsidRPr="005F28B2">
              <w:rPr>
                <w:rFonts w:eastAsia="Traditional Arabic"/>
                <w:lang w:val="fr-FR" w:bidi="ar-TN"/>
              </w:rPr>
              <w:t>’</w:t>
            </w:r>
            <w:r w:rsidRPr="005F28B2">
              <w:rPr>
                <w:rFonts w:eastAsia="Traditional Arabic"/>
                <w:lang w:val="fr-FR" w:bidi="ar-TN"/>
              </w:rPr>
              <w:t>abolition du travail forcé (1957)</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1959</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12 janvier 1959</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29</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138 de l</w:t>
            </w:r>
            <w:r w:rsidR="00E16237" w:rsidRPr="005F28B2">
              <w:rPr>
                <w:rFonts w:eastAsia="Traditional Arabic"/>
                <w:lang w:val="fr-FR" w:bidi="ar-TN"/>
              </w:rPr>
              <w:t>’</w:t>
            </w:r>
            <w:r w:rsidRPr="005F28B2">
              <w:rPr>
                <w:rFonts w:eastAsia="Traditional Arabic"/>
                <w:lang w:val="fr-FR" w:bidi="ar-TN"/>
              </w:rPr>
              <w:t>Organisation internationale du Travail sur l</w:t>
            </w:r>
            <w:r w:rsidR="00E16237" w:rsidRPr="005F28B2">
              <w:rPr>
                <w:rFonts w:eastAsia="Traditional Arabic"/>
                <w:lang w:val="fr-FR" w:bidi="ar-TN"/>
              </w:rPr>
              <w:t>’</w:t>
            </w:r>
            <w:r w:rsidRPr="005F28B2">
              <w:rPr>
                <w:rFonts w:eastAsia="Traditional Arabic"/>
                <w:lang w:val="fr-FR" w:bidi="ar-TN"/>
              </w:rPr>
              <w:t>âge minimum d</w:t>
            </w:r>
            <w:r w:rsidR="00E16237" w:rsidRPr="005F28B2">
              <w:rPr>
                <w:rFonts w:eastAsia="Traditional Arabic"/>
                <w:lang w:val="fr-FR" w:bidi="ar-TN"/>
              </w:rPr>
              <w:t>’</w:t>
            </w:r>
            <w:r w:rsidRPr="005F28B2">
              <w:rPr>
                <w:rFonts w:eastAsia="Traditional Arabic"/>
                <w:lang w:val="fr-FR" w:bidi="ar-TN"/>
              </w:rPr>
              <w:t>admission à l</w:t>
            </w:r>
            <w:r w:rsidR="00E16237" w:rsidRPr="005F28B2">
              <w:rPr>
                <w:rFonts w:eastAsia="Traditional Arabic"/>
                <w:lang w:val="fr-FR" w:bidi="ar-TN"/>
              </w:rPr>
              <w:t>’</w:t>
            </w:r>
            <w:r w:rsidRPr="005F28B2">
              <w:rPr>
                <w:rFonts w:eastAsia="Traditional Arabic"/>
                <w:lang w:val="fr-FR" w:bidi="ar-TN"/>
              </w:rPr>
              <w:t>emploi (1973)</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1995</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19 octobre 1995</w:t>
            </w:r>
          </w:p>
        </w:tc>
      </w:tr>
      <w:tr w:rsidR="009052AE" w:rsidRPr="005F28B2" w:rsidTr="00175BE9">
        <w:trPr>
          <w:cantSplit/>
        </w:trPr>
        <w:tc>
          <w:tcPr>
            <w:tcW w:w="420" w:type="dxa"/>
          </w:tcPr>
          <w:p w:rsidR="009052AE" w:rsidRPr="005F28B2" w:rsidRDefault="00163041" w:rsidP="00280BF2">
            <w:pPr>
              <w:spacing w:before="40" w:after="120"/>
              <w:ind w:right="113"/>
              <w:rPr>
                <w:rtl/>
                <w:lang w:val="fr-FR" w:bidi="fr-FR"/>
              </w:rPr>
            </w:pPr>
            <w:r w:rsidRPr="005F28B2">
              <w:rPr>
                <w:rFonts w:eastAsia="Traditional Arabic"/>
                <w:lang w:val="fr-FR" w:bidi="ar-TN"/>
              </w:rPr>
              <w:t>30</w:t>
            </w:r>
          </w:p>
        </w:tc>
        <w:tc>
          <w:tcPr>
            <w:tcW w:w="3833" w:type="dxa"/>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182 de l</w:t>
            </w:r>
            <w:r w:rsidR="00E16237" w:rsidRPr="005F28B2">
              <w:rPr>
                <w:rFonts w:eastAsia="Traditional Arabic"/>
                <w:lang w:val="fr-FR" w:bidi="ar-TN"/>
              </w:rPr>
              <w:t>’</w:t>
            </w:r>
            <w:r w:rsidRPr="005F28B2">
              <w:rPr>
                <w:rFonts w:eastAsia="Traditional Arabic"/>
                <w:lang w:val="fr-FR" w:bidi="ar-TN"/>
              </w:rPr>
              <w:t>Organisation internationale du Travail sur les pires formes de travail des enfants (1999)</w:t>
            </w:r>
          </w:p>
        </w:tc>
        <w:tc>
          <w:tcPr>
            <w:tcW w:w="1155" w:type="dxa"/>
          </w:tcPr>
          <w:p w:rsidR="009052AE" w:rsidRPr="005F28B2" w:rsidRDefault="00163041" w:rsidP="00280BF2">
            <w:pPr>
              <w:spacing w:before="40" w:after="120"/>
              <w:ind w:right="113"/>
              <w:rPr>
                <w:rtl/>
                <w:lang w:val="fr-FR" w:bidi="fr-FR"/>
              </w:rPr>
            </w:pPr>
            <w:r w:rsidRPr="005F28B2">
              <w:rPr>
                <w:rFonts w:eastAsia="Traditional Arabic"/>
                <w:lang w:val="fr-FR" w:bidi="ar-TN"/>
              </w:rPr>
              <w:t>2000</w:t>
            </w:r>
          </w:p>
        </w:tc>
        <w:tc>
          <w:tcPr>
            <w:tcW w:w="1963" w:type="dxa"/>
          </w:tcPr>
          <w:p w:rsidR="009052AE" w:rsidRPr="005F28B2" w:rsidRDefault="00163041" w:rsidP="00280BF2">
            <w:pPr>
              <w:spacing w:before="40" w:after="120"/>
              <w:ind w:right="113"/>
              <w:rPr>
                <w:rtl/>
                <w:lang w:val="fr-FR" w:bidi="fr-FR"/>
              </w:rPr>
            </w:pPr>
            <w:r w:rsidRPr="005F28B2">
              <w:rPr>
                <w:rFonts w:eastAsia="Traditional Arabic"/>
                <w:lang w:val="fr-FR" w:bidi="ar-TN"/>
              </w:rPr>
              <w:t>28 février 2000</w:t>
            </w:r>
          </w:p>
        </w:tc>
      </w:tr>
      <w:tr w:rsidR="009052AE" w:rsidRPr="005F28B2" w:rsidTr="00175BE9">
        <w:trPr>
          <w:cantSplit/>
        </w:trPr>
        <w:tc>
          <w:tcPr>
            <w:tcW w:w="420" w:type="dxa"/>
            <w:tcBorders>
              <w:bottom w:val="single" w:sz="12" w:space="0" w:color="auto"/>
            </w:tcBorders>
          </w:tcPr>
          <w:p w:rsidR="009052AE" w:rsidRPr="005F28B2" w:rsidRDefault="00163041" w:rsidP="00280BF2">
            <w:pPr>
              <w:spacing w:before="40" w:after="120"/>
              <w:ind w:right="113"/>
              <w:rPr>
                <w:rtl/>
                <w:lang w:val="fr-FR" w:bidi="fr-FR"/>
              </w:rPr>
            </w:pPr>
            <w:r w:rsidRPr="005F28B2">
              <w:rPr>
                <w:rFonts w:eastAsia="Traditional Arabic"/>
                <w:lang w:val="fr-FR" w:bidi="ar-TN"/>
              </w:rPr>
              <w:t>31</w:t>
            </w:r>
          </w:p>
        </w:tc>
        <w:tc>
          <w:tcPr>
            <w:tcW w:w="3833" w:type="dxa"/>
            <w:tcBorders>
              <w:bottom w:val="single" w:sz="12" w:space="0" w:color="auto"/>
            </w:tcBorders>
          </w:tcPr>
          <w:p w:rsidR="009052AE" w:rsidRPr="005F28B2" w:rsidRDefault="00163041" w:rsidP="00280BF2">
            <w:pPr>
              <w:spacing w:before="40" w:after="120"/>
              <w:ind w:right="113"/>
              <w:rPr>
                <w:rtl/>
                <w:lang w:val="fr-FR" w:bidi="fr-FR"/>
              </w:rPr>
            </w:pPr>
            <w:r w:rsidRPr="005F28B2">
              <w:rPr>
                <w:rFonts w:eastAsia="Traditional Arabic"/>
                <w:lang w:val="fr-FR" w:bidi="ar-TN"/>
              </w:rPr>
              <w:t xml:space="preserve">Convention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122 de l</w:t>
            </w:r>
            <w:r w:rsidR="00E16237" w:rsidRPr="005F28B2">
              <w:rPr>
                <w:rFonts w:eastAsia="Traditional Arabic"/>
                <w:lang w:val="fr-FR" w:bidi="ar-TN"/>
              </w:rPr>
              <w:t>’</w:t>
            </w:r>
            <w:r w:rsidRPr="005F28B2">
              <w:rPr>
                <w:rFonts w:eastAsia="Traditional Arabic"/>
                <w:lang w:val="fr-FR" w:bidi="ar-TN"/>
              </w:rPr>
              <w:t>Organisation internationale du Travail sur la politique de l</w:t>
            </w:r>
            <w:r w:rsidR="00E16237" w:rsidRPr="005F28B2">
              <w:rPr>
                <w:rFonts w:eastAsia="Traditional Arabic"/>
                <w:lang w:val="fr-FR" w:bidi="ar-TN"/>
              </w:rPr>
              <w:t>’</w:t>
            </w:r>
            <w:r w:rsidRPr="005F28B2">
              <w:rPr>
                <w:rFonts w:eastAsia="Traditional Arabic"/>
                <w:lang w:val="fr-FR" w:bidi="ar-TN"/>
              </w:rPr>
              <w:t>emploi (1964)</w:t>
            </w:r>
          </w:p>
        </w:tc>
        <w:tc>
          <w:tcPr>
            <w:tcW w:w="1155" w:type="dxa"/>
            <w:tcBorders>
              <w:bottom w:val="single" w:sz="12" w:space="0" w:color="auto"/>
            </w:tcBorders>
          </w:tcPr>
          <w:p w:rsidR="009052AE" w:rsidRPr="005F28B2" w:rsidRDefault="00163041" w:rsidP="00280BF2">
            <w:pPr>
              <w:spacing w:before="40" w:after="120"/>
              <w:ind w:right="113"/>
              <w:rPr>
                <w:rtl/>
                <w:lang w:val="fr-FR" w:bidi="fr-FR"/>
              </w:rPr>
            </w:pPr>
            <w:r w:rsidRPr="005F28B2">
              <w:rPr>
                <w:rFonts w:eastAsia="Traditional Arabic"/>
                <w:lang w:val="fr-FR" w:bidi="ar-TN"/>
              </w:rPr>
              <w:t>1966</w:t>
            </w:r>
          </w:p>
        </w:tc>
        <w:tc>
          <w:tcPr>
            <w:tcW w:w="1963" w:type="dxa"/>
            <w:tcBorders>
              <w:bottom w:val="single" w:sz="12" w:space="0" w:color="auto"/>
            </w:tcBorders>
          </w:tcPr>
          <w:p w:rsidR="009052AE" w:rsidRPr="005F28B2" w:rsidRDefault="00163041" w:rsidP="00280BF2">
            <w:pPr>
              <w:spacing w:before="40" w:after="120"/>
              <w:ind w:right="113"/>
              <w:rPr>
                <w:lang w:val="fr-FR" w:bidi="ar-TN"/>
              </w:rPr>
            </w:pPr>
            <w:r w:rsidRPr="005F28B2">
              <w:rPr>
                <w:rFonts w:eastAsia="Traditional Arabic"/>
                <w:lang w:val="fr-FR" w:bidi="ar-TN"/>
              </w:rPr>
              <w:t>17 février 1966</w:t>
            </w:r>
          </w:p>
        </w:tc>
      </w:tr>
    </w:tbl>
    <w:p w:rsidR="009052AE" w:rsidRPr="005F28B2" w:rsidRDefault="00163041" w:rsidP="00655F8D">
      <w:pPr>
        <w:pStyle w:val="H23G"/>
        <w:rPr>
          <w:rtl/>
          <w:lang w:val="fr-FR" w:bidi="fr-FR"/>
        </w:rPr>
      </w:pPr>
      <w:r w:rsidRPr="005F28B2">
        <w:rPr>
          <w:rFonts w:eastAsia="Traditional Arabic"/>
          <w:lang w:val="fr-FR" w:bidi="ar-TN"/>
        </w:rPr>
        <w:tab/>
      </w:r>
      <w:r w:rsidRPr="005F28B2">
        <w:rPr>
          <w:rFonts w:eastAsia="Traditional Arabic"/>
          <w:lang w:val="fr-FR" w:bidi="ar-TN"/>
        </w:rPr>
        <w:tab/>
        <w:t>Instruments régionaux</w:t>
      </w:r>
    </w:p>
    <w:tbl>
      <w:tblPr>
        <w:tblW w:w="7371" w:type="dxa"/>
        <w:tblInd w:w="1134" w:type="dxa"/>
        <w:tblLayout w:type="fixed"/>
        <w:tblCellMar>
          <w:left w:w="0" w:type="dxa"/>
          <w:right w:w="0" w:type="dxa"/>
        </w:tblCellMar>
        <w:tblLook w:val="00A0" w:firstRow="1" w:lastRow="0" w:firstColumn="1" w:lastColumn="0" w:noHBand="0" w:noVBand="0"/>
      </w:tblPr>
      <w:tblGrid>
        <w:gridCol w:w="426"/>
        <w:gridCol w:w="3827"/>
        <w:gridCol w:w="1150"/>
        <w:gridCol w:w="1968"/>
      </w:tblGrid>
      <w:tr w:rsidR="009052AE" w:rsidRPr="005F28B2" w:rsidTr="00175BE9">
        <w:trPr>
          <w:cantSplit/>
        </w:trPr>
        <w:tc>
          <w:tcPr>
            <w:tcW w:w="426" w:type="dxa"/>
            <w:tcBorders>
              <w:top w:val="single" w:sz="4" w:space="0" w:color="auto"/>
              <w:bottom w:val="single" w:sz="12" w:space="0" w:color="auto"/>
            </w:tcBorders>
            <w:vAlign w:val="bottom"/>
          </w:tcPr>
          <w:p w:rsidR="009052AE" w:rsidRPr="005F28B2" w:rsidRDefault="001D3278" w:rsidP="00655F8D">
            <w:pPr>
              <w:keepNext/>
              <w:spacing w:before="80" w:after="80" w:line="200" w:lineRule="exact"/>
              <w:ind w:right="113"/>
              <w:rPr>
                <w:i/>
                <w:sz w:val="16"/>
                <w:rtl/>
                <w:lang w:val="fr-FR" w:bidi="fr-FR"/>
              </w:rPr>
            </w:pPr>
            <w:r w:rsidRPr="005F28B2">
              <w:rPr>
                <w:i/>
                <w:sz w:val="16"/>
                <w:lang w:val="fr-FR"/>
              </w:rPr>
              <w:t>N</w:t>
            </w:r>
            <w:r w:rsidR="00163041" w:rsidRPr="005F28B2">
              <w:rPr>
                <w:i/>
                <w:sz w:val="16"/>
                <w:vertAlign w:val="superscript"/>
                <w:lang w:val="fr-FR"/>
              </w:rPr>
              <w:t>o</w:t>
            </w:r>
          </w:p>
        </w:tc>
        <w:tc>
          <w:tcPr>
            <w:tcW w:w="3827" w:type="dxa"/>
            <w:tcBorders>
              <w:top w:val="single" w:sz="4" w:space="0" w:color="auto"/>
              <w:bottom w:val="single" w:sz="12" w:space="0" w:color="auto"/>
            </w:tcBorders>
            <w:vAlign w:val="bottom"/>
          </w:tcPr>
          <w:p w:rsidR="009052AE" w:rsidRPr="005F28B2" w:rsidRDefault="00163041" w:rsidP="00655F8D">
            <w:pPr>
              <w:keepNext/>
              <w:spacing w:before="80" w:after="80" w:line="200" w:lineRule="exact"/>
              <w:ind w:right="113"/>
              <w:rPr>
                <w:i/>
                <w:sz w:val="16"/>
                <w:rtl/>
                <w:lang w:val="fr-FR" w:bidi="fr-FR"/>
              </w:rPr>
            </w:pPr>
            <w:r w:rsidRPr="005F28B2">
              <w:rPr>
                <w:i/>
                <w:sz w:val="16"/>
                <w:lang w:val="fr-FR"/>
              </w:rPr>
              <w:t>Convention</w:t>
            </w:r>
          </w:p>
        </w:tc>
        <w:tc>
          <w:tcPr>
            <w:tcW w:w="1150" w:type="dxa"/>
            <w:tcBorders>
              <w:top w:val="single" w:sz="4" w:space="0" w:color="auto"/>
              <w:bottom w:val="single" w:sz="12" w:space="0" w:color="auto"/>
            </w:tcBorders>
            <w:vAlign w:val="bottom"/>
          </w:tcPr>
          <w:p w:rsidR="009052AE" w:rsidRPr="005F28B2" w:rsidRDefault="00163041" w:rsidP="001D3278">
            <w:pPr>
              <w:keepNext/>
              <w:spacing w:before="80" w:after="80" w:line="200" w:lineRule="exact"/>
              <w:ind w:right="113"/>
              <w:rPr>
                <w:i/>
                <w:sz w:val="16"/>
                <w:rtl/>
                <w:lang w:val="fr-FR" w:bidi="fr-FR"/>
              </w:rPr>
            </w:pPr>
            <w:r w:rsidRPr="005F28B2">
              <w:rPr>
                <w:i/>
                <w:sz w:val="16"/>
                <w:lang w:val="fr-FR"/>
              </w:rPr>
              <w:t>Date</w:t>
            </w:r>
            <w:r w:rsidR="001D3278" w:rsidRPr="005F28B2">
              <w:rPr>
                <w:i/>
                <w:sz w:val="16"/>
                <w:lang w:val="fr-FR"/>
              </w:rPr>
              <w:t xml:space="preserve"> de r</w:t>
            </w:r>
            <w:r w:rsidRPr="005F28B2">
              <w:rPr>
                <w:i/>
                <w:sz w:val="16"/>
                <w:lang w:val="fr-FR"/>
              </w:rPr>
              <w:t>atification</w:t>
            </w:r>
          </w:p>
        </w:tc>
        <w:tc>
          <w:tcPr>
            <w:tcW w:w="1968" w:type="dxa"/>
            <w:tcBorders>
              <w:top w:val="single" w:sz="4" w:space="0" w:color="auto"/>
              <w:bottom w:val="single" w:sz="12" w:space="0" w:color="auto"/>
            </w:tcBorders>
            <w:vAlign w:val="bottom"/>
          </w:tcPr>
          <w:p w:rsidR="009052AE" w:rsidRPr="005F28B2" w:rsidRDefault="00163041" w:rsidP="00655F8D">
            <w:pPr>
              <w:keepNext/>
              <w:spacing w:before="80" w:after="80" w:line="200" w:lineRule="exact"/>
              <w:ind w:right="113"/>
              <w:rPr>
                <w:i/>
                <w:sz w:val="16"/>
                <w:rtl/>
                <w:lang w:val="fr-FR" w:bidi="fr-FR"/>
              </w:rPr>
            </w:pPr>
            <w:r w:rsidRPr="005F28B2">
              <w:rPr>
                <w:i/>
                <w:sz w:val="16"/>
                <w:lang w:val="fr-FR"/>
              </w:rPr>
              <w:t>Référence de la ratification</w:t>
            </w:r>
          </w:p>
        </w:tc>
      </w:tr>
      <w:tr w:rsidR="009052AE" w:rsidRPr="005F28B2" w:rsidTr="00175BE9">
        <w:trPr>
          <w:cantSplit/>
        </w:trPr>
        <w:tc>
          <w:tcPr>
            <w:tcW w:w="426" w:type="dxa"/>
            <w:tcBorders>
              <w:top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1</w:t>
            </w:r>
          </w:p>
        </w:tc>
        <w:tc>
          <w:tcPr>
            <w:tcW w:w="3827" w:type="dxa"/>
            <w:tcBorders>
              <w:top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Charte africaine des droits de l</w:t>
            </w:r>
            <w:r w:rsidR="00E16237" w:rsidRPr="005F28B2">
              <w:rPr>
                <w:rFonts w:eastAsia="Traditional Arabic"/>
                <w:lang w:val="fr-FR" w:bidi="ar-TN"/>
              </w:rPr>
              <w:t>’</w:t>
            </w:r>
            <w:r w:rsidRPr="005F28B2">
              <w:rPr>
                <w:rFonts w:eastAsia="Traditional Arabic"/>
                <w:lang w:val="fr-FR" w:bidi="ar-TN"/>
              </w:rPr>
              <w:t xml:space="preserve">homme et des peuples </w:t>
            </w:r>
          </w:p>
        </w:tc>
        <w:tc>
          <w:tcPr>
            <w:tcW w:w="1150" w:type="dxa"/>
            <w:tcBorders>
              <w:top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1982</w:t>
            </w:r>
          </w:p>
        </w:tc>
        <w:tc>
          <w:tcPr>
            <w:tcW w:w="1968" w:type="dxa"/>
            <w:tcBorders>
              <w:top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 xml:space="preserve">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82-64 du 6 août 1982</w:t>
            </w:r>
          </w:p>
        </w:tc>
      </w:tr>
      <w:tr w:rsidR="009052AE" w:rsidRPr="005F28B2" w:rsidTr="00175BE9">
        <w:trPr>
          <w:cantSplit/>
        </w:trPr>
        <w:tc>
          <w:tcPr>
            <w:tcW w:w="426" w:type="dxa"/>
            <w:tcBorders>
              <w:bottom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2</w:t>
            </w:r>
          </w:p>
        </w:tc>
        <w:tc>
          <w:tcPr>
            <w:tcW w:w="3827" w:type="dxa"/>
            <w:tcBorders>
              <w:bottom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Protocole à la Charte africaine des droits de l</w:t>
            </w:r>
            <w:r w:rsidR="00E16237" w:rsidRPr="005F28B2">
              <w:rPr>
                <w:rFonts w:eastAsia="Traditional Arabic"/>
                <w:lang w:val="fr-FR" w:bidi="ar-TN"/>
              </w:rPr>
              <w:t>’</w:t>
            </w:r>
            <w:r w:rsidRPr="005F28B2">
              <w:rPr>
                <w:rFonts w:eastAsia="Traditional Arabic"/>
                <w:lang w:val="fr-FR" w:bidi="ar-TN"/>
              </w:rPr>
              <w:t>homme et des peuples relatif à la création de la Cour africaine des droits de l</w:t>
            </w:r>
            <w:r w:rsidR="00E16237" w:rsidRPr="005F28B2">
              <w:rPr>
                <w:rFonts w:eastAsia="Traditional Arabic"/>
                <w:lang w:val="fr-FR" w:bidi="ar-TN"/>
              </w:rPr>
              <w:t>’</w:t>
            </w:r>
            <w:r w:rsidRPr="005F28B2">
              <w:rPr>
                <w:rFonts w:eastAsia="Traditional Arabic"/>
                <w:lang w:val="fr-FR" w:bidi="ar-TN"/>
              </w:rPr>
              <w:t>homme et des peuples</w:t>
            </w:r>
          </w:p>
        </w:tc>
        <w:tc>
          <w:tcPr>
            <w:tcW w:w="1150" w:type="dxa"/>
            <w:tcBorders>
              <w:bottom w:val="single" w:sz="12" w:space="0" w:color="auto"/>
            </w:tcBorders>
          </w:tcPr>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2007</w:t>
            </w:r>
          </w:p>
        </w:tc>
        <w:tc>
          <w:tcPr>
            <w:tcW w:w="1968" w:type="dxa"/>
            <w:tcBorders>
              <w:bottom w:val="single" w:sz="12" w:space="0" w:color="auto"/>
            </w:tcBorders>
          </w:tcPr>
          <w:p w:rsidR="009052AE" w:rsidRPr="005F28B2" w:rsidRDefault="004360C4" w:rsidP="00C64C6F">
            <w:pPr>
              <w:spacing w:before="40" w:after="120"/>
              <w:ind w:right="113"/>
              <w:rPr>
                <w:rFonts w:eastAsia="Traditional Arabic"/>
                <w:rtl/>
                <w:lang w:val="fr-FR" w:bidi="fr-FR"/>
              </w:rPr>
            </w:pPr>
            <w:r w:rsidRPr="005F28B2">
              <w:rPr>
                <w:rFonts w:eastAsia="Traditional Arabic"/>
                <w:lang w:val="fr-FR" w:bidi="ar-TN"/>
              </w:rPr>
              <w:t xml:space="preserve">Loi </w:t>
            </w:r>
            <w:r w:rsidR="00163041"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2007-47 du 17 </w:t>
            </w:r>
            <w:r w:rsidR="00163041" w:rsidRPr="005F28B2">
              <w:rPr>
                <w:rFonts w:eastAsia="Traditional Arabic"/>
                <w:lang w:val="fr-FR" w:bidi="ar-TN"/>
              </w:rPr>
              <w:t>juillet 2007</w:t>
            </w:r>
          </w:p>
          <w:p w:rsidR="009052AE" w:rsidRPr="005F28B2" w:rsidRDefault="00163041" w:rsidP="00C64C6F">
            <w:pPr>
              <w:spacing w:before="40" w:after="120"/>
              <w:ind w:right="113"/>
              <w:rPr>
                <w:rFonts w:eastAsia="Traditional Arabic"/>
                <w:rtl/>
                <w:lang w:val="fr-FR" w:bidi="fr-FR"/>
              </w:rPr>
            </w:pPr>
            <w:r w:rsidRPr="005F28B2">
              <w:rPr>
                <w:rFonts w:eastAsia="Traditional Arabic"/>
                <w:lang w:val="fr-FR" w:bidi="ar-TN"/>
              </w:rPr>
              <w:t xml:space="preserve">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rFonts w:eastAsia="Traditional Arabic"/>
                <w:lang w:val="fr-FR" w:bidi="ar-TN"/>
              </w:rPr>
              <w:t>2007-2135 du 21 août 2007</w:t>
            </w:r>
          </w:p>
        </w:tc>
      </w:tr>
    </w:tbl>
    <w:p w:rsidR="009052AE" w:rsidRPr="005F28B2" w:rsidRDefault="00163041" w:rsidP="00C64C6F">
      <w:pPr>
        <w:pStyle w:val="H23G"/>
        <w:rPr>
          <w:rtl/>
          <w:lang w:val="fr-FR" w:bidi="fr-FR"/>
        </w:rPr>
      </w:pPr>
      <w:r w:rsidRPr="005F28B2">
        <w:rPr>
          <w:lang w:val="fr-FR"/>
        </w:rPr>
        <w:tab/>
      </w:r>
      <w:bookmarkStart w:id="9" w:name="_Toc478218483"/>
      <w:r w:rsidRPr="005F28B2">
        <w:rPr>
          <w:lang w:val="fr-FR"/>
        </w:rPr>
        <w:tab/>
        <w:t>Place des instruments internationaux dans le système juridique tunisien</w:t>
      </w:r>
      <w:bookmarkEnd w:id="9"/>
    </w:p>
    <w:p w:rsidR="009052AE" w:rsidRPr="005F28B2" w:rsidRDefault="00163041" w:rsidP="00C64C6F">
      <w:pPr>
        <w:pStyle w:val="SingleTxtG"/>
        <w:rPr>
          <w:lang w:val="fr-FR"/>
        </w:rPr>
      </w:pPr>
      <w:r w:rsidRPr="005F28B2">
        <w:rPr>
          <w:lang w:val="fr-FR"/>
        </w:rPr>
        <w:t>21.</w:t>
      </w:r>
      <w:r w:rsidRPr="005F28B2">
        <w:rPr>
          <w:lang w:val="fr-FR"/>
        </w:rPr>
        <w:tab/>
        <w:t>L</w:t>
      </w:r>
      <w:r w:rsidR="00E16237" w:rsidRPr="005F28B2">
        <w:rPr>
          <w:lang w:val="fr-FR"/>
        </w:rPr>
        <w:t>’</w:t>
      </w:r>
      <w:r w:rsidR="00755707" w:rsidRPr="005F28B2">
        <w:rPr>
          <w:lang w:val="fr-FR"/>
        </w:rPr>
        <w:t>article </w:t>
      </w:r>
      <w:r w:rsidRPr="005F28B2">
        <w:rPr>
          <w:lang w:val="fr-FR"/>
        </w:rPr>
        <w:t>20 de la Constitution de 2014 dispose ce qui suit : « Les conventions approuvées par le Parlement et ratifiées sont supérieures aux lois et inférieures à la Constitution</w:t>
      </w:r>
      <w:r w:rsidR="00AC3917" w:rsidRPr="005F28B2">
        <w:rPr>
          <w:lang w:val="fr-FR"/>
        </w:rPr>
        <w:t>.</w:t>
      </w:r>
      <w:r w:rsidRPr="005F28B2">
        <w:rPr>
          <w:lang w:val="fr-FR"/>
        </w:rPr>
        <w:t> » Ainsi</w:t>
      </w:r>
      <w:r w:rsidR="00E16237" w:rsidRPr="005F28B2">
        <w:rPr>
          <w:lang w:val="fr-FR"/>
        </w:rPr>
        <w:t>,</w:t>
      </w:r>
      <w:r w:rsidRPr="005F28B2">
        <w:rPr>
          <w:lang w:val="fr-FR"/>
        </w:rPr>
        <w:t xml:space="preserve"> le droit tunisien reconnaît les instruments ratifiés</w:t>
      </w:r>
      <w:r w:rsidR="00E16237" w:rsidRPr="005F28B2">
        <w:rPr>
          <w:lang w:val="fr-FR"/>
        </w:rPr>
        <w:t>,</w:t>
      </w:r>
      <w:r w:rsidRPr="005F28B2">
        <w:rPr>
          <w:lang w:val="fr-FR"/>
        </w:rPr>
        <w:t xml:space="preserve"> notamment ceux relatifs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qui sont considérés comme faisant partie intégrante de son ordre juridique interne. Ils sont dotés d</w:t>
      </w:r>
      <w:r w:rsidR="00E16237" w:rsidRPr="005F28B2">
        <w:rPr>
          <w:lang w:val="fr-FR"/>
        </w:rPr>
        <w:t>’</w:t>
      </w:r>
      <w:r w:rsidRPr="005F28B2">
        <w:rPr>
          <w:lang w:val="fr-FR"/>
        </w:rPr>
        <w:t>une autorité supra-législative</w:t>
      </w:r>
      <w:r w:rsidR="00E16237" w:rsidRPr="005F28B2">
        <w:rPr>
          <w:lang w:val="fr-FR"/>
        </w:rPr>
        <w:t>,</w:t>
      </w:r>
      <w:r w:rsidRPr="005F28B2">
        <w:rPr>
          <w:lang w:val="fr-FR"/>
        </w:rPr>
        <w:t xml:space="preserve"> qui demeure cependant infra-constitutionnelle</w:t>
      </w:r>
      <w:r w:rsidR="00E16237" w:rsidRPr="005F28B2">
        <w:rPr>
          <w:lang w:val="fr-FR"/>
        </w:rPr>
        <w:t>,</w:t>
      </w:r>
      <w:r w:rsidRPr="005F28B2">
        <w:rPr>
          <w:lang w:val="fr-FR"/>
        </w:rPr>
        <w:t xml:space="preserve"> ce qui veut dire qu</w:t>
      </w:r>
      <w:r w:rsidR="00E16237" w:rsidRPr="005F28B2">
        <w:rPr>
          <w:lang w:val="fr-FR"/>
        </w:rPr>
        <w:t>’</w:t>
      </w:r>
      <w:r w:rsidRPr="005F28B2">
        <w:rPr>
          <w:lang w:val="fr-FR"/>
        </w:rPr>
        <w:t>en cas de conflit entre le droit interne et un instrument international ratifié</w:t>
      </w:r>
      <w:r w:rsidR="00E16237" w:rsidRPr="005F28B2">
        <w:rPr>
          <w:lang w:val="fr-FR"/>
        </w:rPr>
        <w:t>,</w:t>
      </w:r>
      <w:r w:rsidRPr="005F28B2">
        <w:rPr>
          <w:lang w:val="fr-FR"/>
        </w:rPr>
        <w:t xml:space="preserve"> les tribunaux peuvent appliquer directement les instruments relatifs aux droits de l</w:t>
      </w:r>
      <w:r w:rsidR="00E16237" w:rsidRPr="005F28B2">
        <w:rPr>
          <w:lang w:val="fr-FR"/>
        </w:rPr>
        <w:t>’</w:t>
      </w:r>
      <w:r w:rsidRPr="005F28B2">
        <w:rPr>
          <w:lang w:val="fr-FR"/>
        </w:rPr>
        <w:t>homme ratifiés</w:t>
      </w:r>
      <w:r w:rsidR="00E16237" w:rsidRPr="005F28B2">
        <w:rPr>
          <w:lang w:val="fr-FR"/>
        </w:rPr>
        <w:t>,</w:t>
      </w:r>
      <w:r w:rsidRPr="005F28B2">
        <w:rPr>
          <w:lang w:val="fr-FR"/>
        </w:rPr>
        <w:t xml:space="preserve"> à l</w:t>
      </w:r>
      <w:r w:rsidR="00E16237" w:rsidRPr="005F28B2">
        <w:rPr>
          <w:lang w:val="fr-FR"/>
        </w:rPr>
        <w:t>’</w:t>
      </w:r>
      <w:r w:rsidRPr="005F28B2">
        <w:rPr>
          <w:lang w:val="fr-FR"/>
        </w:rPr>
        <w:t>exception des traités nécessitant la mise en place d</w:t>
      </w:r>
      <w:r w:rsidR="00E16237" w:rsidRPr="005F28B2">
        <w:rPr>
          <w:lang w:val="fr-FR"/>
        </w:rPr>
        <w:t>’</w:t>
      </w:r>
      <w:r w:rsidRPr="005F28B2">
        <w:rPr>
          <w:lang w:val="fr-FR"/>
        </w:rPr>
        <w:t>un cadre juridique interne en matière d</w:t>
      </w:r>
      <w:r w:rsidR="00E16237" w:rsidRPr="005F28B2">
        <w:rPr>
          <w:lang w:val="fr-FR"/>
        </w:rPr>
        <w:t>’</w:t>
      </w:r>
      <w:r w:rsidRPr="005F28B2">
        <w:rPr>
          <w:lang w:val="fr-FR"/>
        </w:rPr>
        <w:t>incriminations et de sanctions. Tout justiciable peut invoquer les dispositions des instruments internationaux devant les instances nationales</w:t>
      </w:r>
      <w:r w:rsidR="00E16237" w:rsidRPr="005F28B2">
        <w:rPr>
          <w:lang w:val="fr-FR"/>
        </w:rPr>
        <w:t>,</w:t>
      </w:r>
      <w:r w:rsidRPr="005F28B2">
        <w:rPr>
          <w:lang w:val="fr-FR"/>
        </w:rPr>
        <w:t xml:space="preserve"> notamment judiciaires. La jurisprudence tunisienne a précédemment invoqué la Déclaration universelle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ainsi que la Convention sur l</w:t>
      </w:r>
      <w:r w:rsidR="00E16237" w:rsidRPr="005F28B2">
        <w:rPr>
          <w:lang w:val="fr-FR"/>
        </w:rPr>
        <w:t>’</w:t>
      </w:r>
      <w:r w:rsidRPr="005F28B2">
        <w:rPr>
          <w:lang w:val="fr-FR"/>
        </w:rPr>
        <w:t>élimination de toutes les formes de discrimination à l</w:t>
      </w:r>
      <w:r w:rsidR="00E16237" w:rsidRPr="005F28B2">
        <w:rPr>
          <w:lang w:val="fr-FR"/>
        </w:rPr>
        <w:t>’</w:t>
      </w:r>
      <w:r w:rsidRPr="005F28B2">
        <w:rPr>
          <w:lang w:val="fr-FR"/>
        </w:rPr>
        <w:t>égard des femmes</w:t>
      </w:r>
      <w:r w:rsidR="00E16237" w:rsidRPr="005F28B2">
        <w:rPr>
          <w:lang w:val="fr-FR"/>
        </w:rPr>
        <w:t>,</w:t>
      </w:r>
      <w:r w:rsidRPr="005F28B2">
        <w:rPr>
          <w:lang w:val="fr-FR"/>
        </w:rPr>
        <w:t xml:space="preserve"> dans une affaire relative au statut personnel. </w:t>
      </w:r>
    </w:p>
    <w:p w:rsidR="009052AE" w:rsidRPr="005F28B2" w:rsidRDefault="00163041" w:rsidP="00C64C6F">
      <w:pPr>
        <w:pStyle w:val="SingleTxtG"/>
        <w:rPr>
          <w:rtl/>
          <w:lang w:val="fr-FR" w:bidi="fr-FR"/>
        </w:rPr>
      </w:pPr>
      <w:r w:rsidRPr="005F28B2">
        <w:rPr>
          <w:lang w:val="fr-FR"/>
        </w:rPr>
        <w:t>22.</w:t>
      </w:r>
      <w:r w:rsidRPr="005F28B2">
        <w:rPr>
          <w:lang w:val="fr-FR"/>
        </w:rPr>
        <w:tab/>
        <w:t xml:space="preserve">Il convient également de noter que la Tunisie a promulgué en 2013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2013-53 relative à l</w:t>
      </w:r>
      <w:r w:rsidR="00E16237" w:rsidRPr="005F28B2">
        <w:rPr>
          <w:lang w:val="fr-FR"/>
        </w:rPr>
        <w:t>’</w:t>
      </w:r>
      <w:r w:rsidRPr="005F28B2">
        <w:rPr>
          <w:lang w:val="fr-FR"/>
        </w:rPr>
        <w:t>instauration de la justice transitionnelle et à son organisation</w:t>
      </w:r>
      <w:r w:rsidR="00E16237" w:rsidRPr="005F28B2">
        <w:rPr>
          <w:lang w:val="fr-FR"/>
        </w:rPr>
        <w:t>,</w:t>
      </w:r>
      <w:r w:rsidRPr="005F28B2">
        <w:rPr>
          <w:lang w:val="fr-FR"/>
        </w:rPr>
        <w:t xml:space="preserve"> créant </w:t>
      </w:r>
      <w:r w:rsidRPr="005F28B2">
        <w:rPr>
          <w:lang w:val="fr-FR"/>
        </w:rPr>
        <w:lastRenderedPageBreak/>
        <w:t>notamment des chambres spécialisées au sein des tribunaux de première instance siégeant auprès des cours d</w:t>
      </w:r>
      <w:r w:rsidR="00E16237" w:rsidRPr="005F28B2">
        <w:rPr>
          <w:lang w:val="fr-FR"/>
        </w:rPr>
        <w:t>’</w:t>
      </w:r>
      <w:r w:rsidRPr="005F28B2">
        <w:rPr>
          <w:lang w:val="fr-FR"/>
        </w:rPr>
        <w:t>appel. L</w:t>
      </w:r>
      <w:r w:rsidR="00E16237" w:rsidRPr="005F28B2">
        <w:rPr>
          <w:lang w:val="fr-FR"/>
        </w:rPr>
        <w:t>’</w:t>
      </w:r>
      <w:r w:rsidR="00755707" w:rsidRPr="005F28B2">
        <w:rPr>
          <w:lang w:val="fr-FR"/>
        </w:rPr>
        <w:t>article </w:t>
      </w:r>
      <w:r w:rsidRPr="005F28B2">
        <w:rPr>
          <w:lang w:val="fr-FR"/>
        </w:rPr>
        <w:t>8 du même texte précise que lesdites chambres statuent sur les affaires relatives aux atteintes graves aux droits de l</w:t>
      </w:r>
      <w:r w:rsidR="00E16237" w:rsidRPr="005F28B2">
        <w:rPr>
          <w:lang w:val="fr-FR"/>
        </w:rPr>
        <w:t>’</w:t>
      </w:r>
      <w:r w:rsidRPr="005F28B2">
        <w:rPr>
          <w:lang w:val="fr-FR"/>
        </w:rPr>
        <w:t>homme au sens des Conventions internationales ratifiées et des dispositions de la loi</w:t>
      </w:r>
      <w:r w:rsidR="00E16237" w:rsidRPr="005F28B2">
        <w:rPr>
          <w:lang w:val="fr-FR"/>
        </w:rPr>
        <w:t>,</w:t>
      </w:r>
      <w:r w:rsidRPr="005F28B2">
        <w:rPr>
          <w:lang w:val="fr-FR"/>
        </w:rPr>
        <w:t xml:space="preserve"> ce qui constitue une référence explicite aux instruments internationaux. </w:t>
      </w:r>
    </w:p>
    <w:p w:rsidR="009052AE" w:rsidRPr="005F28B2" w:rsidRDefault="00163041" w:rsidP="00C64C6F">
      <w:pPr>
        <w:pStyle w:val="SingleTxtG"/>
        <w:rPr>
          <w:lang w:val="fr-FR"/>
        </w:rPr>
      </w:pPr>
      <w:r w:rsidRPr="005F28B2">
        <w:rPr>
          <w:lang w:val="fr-FR"/>
        </w:rPr>
        <w:t>23.</w:t>
      </w:r>
      <w:r w:rsidRPr="005F28B2">
        <w:rPr>
          <w:lang w:val="fr-FR"/>
        </w:rPr>
        <w:tab/>
        <w:t>Au niveau international</w:t>
      </w:r>
      <w:r w:rsidR="00E16237" w:rsidRPr="005F28B2">
        <w:rPr>
          <w:lang w:val="fr-FR"/>
        </w:rPr>
        <w:t>,</w:t>
      </w:r>
      <w:r w:rsidRPr="005F28B2">
        <w:rPr>
          <w:lang w:val="fr-FR"/>
        </w:rPr>
        <w:t xml:space="preserve"> la Tunisie a reconnu la compétence de la plupart des organes conventionnels de suivi des traités par l</w:t>
      </w:r>
      <w:r w:rsidR="00E16237" w:rsidRPr="005F28B2">
        <w:rPr>
          <w:lang w:val="fr-FR"/>
        </w:rPr>
        <w:t>’</w:t>
      </w:r>
      <w:r w:rsidRPr="005F28B2">
        <w:rPr>
          <w:lang w:val="fr-FR"/>
        </w:rPr>
        <w:t>adhésion aux textes portant création des mécanisme de plainte ou au moyen de communications individuelles (Comité des droits de l</w:t>
      </w:r>
      <w:r w:rsidR="00E16237" w:rsidRPr="005F28B2">
        <w:rPr>
          <w:lang w:val="fr-FR"/>
        </w:rPr>
        <w:t>’</w:t>
      </w:r>
      <w:r w:rsidRPr="005F28B2">
        <w:rPr>
          <w:lang w:val="fr-FR"/>
        </w:rPr>
        <w:t>homme</w:t>
      </w:r>
      <w:r w:rsidRPr="005F28B2">
        <w:rPr>
          <w:rStyle w:val="Appelnotedebasdep"/>
          <w:lang w:val="fr-FR"/>
        </w:rPr>
        <w:footnoteReference w:id="6"/>
      </w:r>
      <w:r w:rsidR="00E16237" w:rsidRPr="005F28B2">
        <w:rPr>
          <w:lang w:val="fr-FR"/>
        </w:rPr>
        <w:t>,</w:t>
      </w:r>
      <w:r w:rsidRPr="005F28B2">
        <w:rPr>
          <w:lang w:val="fr-FR"/>
        </w:rPr>
        <w:t xml:space="preserve"> Comité pour l</w:t>
      </w:r>
      <w:r w:rsidR="00E16237" w:rsidRPr="005F28B2">
        <w:rPr>
          <w:lang w:val="fr-FR"/>
        </w:rPr>
        <w:t>’</w:t>
      </w:r>
      <w:r w:rsidRPr="005F28B2">
        <w:rPr>
          <w:lang w:val="fr-FR"/>
        </w:rPr>
        <w:t>élimination de la discrimination à l</w:t>
      </w:r>
      <w:r w:rsidR="00E16237" w:rsidRPr="005F28B2">
        <w:rPr>
          <w:lang w:val="fr-FR"/>
        </w:rPr>
        <w:t>’</w:t>
      </w:r>
      <w:r w:rsidRPr="005F28B2">
        <w:rPr>
          <w:lang w:val="fr-FR"/>
        </w:rPr>
        <w:t>égard des femmes</w:t>
      </w:r>
      <w:r w:rsidRPr="005F28B2">
        <w:rPr>
          <w:rStyle w:val="Appelnotedebasdep"/>
          <w:lang w:val="fr-FR"/>
        </w:rPr>
        <w:footnoteReference w:id="7"/>
      </w:r>
      <w:r w:rsidR="00E16237" w:rsidRPr="005F28B2">
        <w:rPr>
          <w:lang w:val="fr-FR"/>
        </w:rPr>
        <w:t>,</w:t>
      </w:r>
      <w:r w:rsidRPr="005F28B2">
        <w:rPr>
          <w:lang w:val="fr-FR"/>
        </w:rPr>
        <w:t xml:space="preserve"> Comité des droits des personnes handicapées</w:t>
      </w:r>
      <w:r w:rsidRPr="005F28B2">
        <w:rPr>
          <w:rStyle w:val="Appelnotedebasdep"/>
          <w:lang w:val="fr-FR"/>
        </w:rPr>
        <w:footnoteReference w:id="8"/>
      </w:r>
      <w:r w:rsidRPr="005F28B2">
        <w:rPr>
          <w:lang w:val="fr-FR"/>
        </w:rPr>
        <w:t>)</w:t>
      </w:r>
      <w:r w:rsidR="00E16237" w:rsidRPr="005F28B2">
        <w:rPr>
          <w:lang w:val="fr-FR"/>
        </w:rPr>
        <w:t>,</w:t>
      </w:r>
      <w:r w:rsidRPr="005F28B2">
        <w:rPr>
          <w:lang w:val="fr-FR"/>
        </w:rPr>
        <w:t xml:space="preserve"> ou encore au moyen de déclarations reconnaissant cette compétence</w:t>
      </w:r>
      <w:r w:rsidR="00E16237" w:rsidRPr="005F28B2">
        <w:rPr>
          <w:lang w:val="fr-FR"/>
        </w:rPr>
        <w:t>,</w:t>
      </w:r>
      <w:r w:rsidRPr="005F28B2">
        <w:rPr>
          <w:lang w:val="fr-FR"/>
        </w:rPr>
        <w:t xml:space="preserve"> à l</w:t>
      </w:r>
      <w:r w:rsidR="00E16237" w:rsidRPr="005F28B2">
        <w:rPr>
          <w:lang w:val="fr-FR"/>
        </w:rPr>
        <w:t>’</w:t>
      </w:r>
      <w:r w:rsidRPr="005F28B2">
        <w:rPr>
          <w:lang w:val="fr-FR"/>
        </w:rPr>
        <w:t>instar de celle adressée au Comité contre la torture</w:t>
      </w:r>
      <w:r w:rsidR="00E16237" w:rsidRPr="005F28B2">
        <w:rPr>
          <w:lang w:val="fr-FR"/>
        </w:rPr>
        <w:t>,</w:t>
      </w:r>
      <w:r w:rsidRPr="005F28B2">
        <w:rPr>
          <w:lang w:val="fr-FR"/>
        </w:rPr>
        <w:t xml:space="preserve"> lorsque la Tunisie a accepté les dispositions des articles 21 et 22 lors de la ratification de cette Convention</w:t>
      </w:r>
      <w:r w:rsidRPr="005F28B2">
        <w:rPr>
          <w:rStyle w:val="Appelnotedebasdep"/>
          <w:lang w:val="fr-FR"/>
        </w:rPr>
        <w:footnoteReference w:id="9"/>
      </w:r>
      <w:r w:rsidR="00E16237" w:rsidRPr="005F28B2">
        <w:rPr>
          <w:lang w:val="fr-FR"/>
        </w:rPr>
        <w:t>,</w:t>
      </w:r>
      <w:r w:rsidRPr="005F28B2">
        <w:rPr>
          <w:lang w:val="fr-FR"/>
        </w:rPr>
        <w:t xml:space="preserve"> ce qui a permis audit Comité d</w:t>
      </w:r>
      <w:r w:rsidR="00E16237" w:rsidRPr="005F28B2">
        <w:rPr>
          <w:lang w:val="fr-FR"/>
        </w:rPr>
        <w:t>’</w:t>
      </w:r>
      <w:r w:rsidRPr="005F28B2">
        <w:rPr>
          <w:lang w:val="fr-FR"/>
        </w:rPr>
        <w:t>examiner les plaintes individuelles déposées contre l</w:t>
      </w:r>
      <w:r w:rsidR="00E16237" w:rsidRPr="005F28B2">
        <w:rPr>
          <w:lang w:val="fr-FR"/>
        </w:rPr>
        <w:t>’</w:t>
      </w:r>
      <w:r w:rsidRPr="005F28B2">
        <w:rPr>
          <w:lang w:val="fr-FR"/>
        </w:rPr>
        <w:t>État tunisien</w:t>
      </w:r>
      <w:r w:rsidRPr="005F28B2">
        <w:rPr>
          <w:rStyle w:val="Appelnotedebasdep"/>
          <w:lang w:val="fr-FR"/>
        </w:rPr>
        <w:footnoteReference w:id="10"/>
      </w:r>
      <w:r w:rsidRPr="005F28B2">
        <w:rPr>
          <w:lang w:val="fr-FR"/>
        </w:rPr>
        <w:t xml:space="preserve">. </w:t>
      </w:r>
    </w:p>
    <w:p w:rsidR="009052AE" w:rsidRPr="005F28B2" w:rsidRDefault="00163041" w:rsidP="00C64C6F">
      <w:pPr>
        <w:pStyle w:val="SingleTxtG"/>
        <w:rPr>
          <w:lang w:val="fr-FR"/>
        </w:rPr>
      </w:pPr>
      <w:r w:rsidRPr="005F28B2">
        <w:rPr>
          <w:lang w:val="fr-FR"/>
        </w:rPr>
        <w:t>24.</w:t>
      </w:r>
      <w:r w:rsidRPr="005F28B2">
        <w:rPr>
          <w:lang w:val="fr-FR"/>
        </w:rPr>
        <w:tab/>
        <w:t>Sur le plan régional</w:t>
      </w:r>
      <w:r w:rsidR="00E16237" w:rsidRPr="005F28B2">
        <w:rPr>
          <w:lang w:val="fr-FR"/>
        </w:rPr>
        <w:t>,</w:t>
      </w:r>
      <w:r w:rsidRPr="005F28B2">
        <w:rPr>
          <w:lang w:val="fr-FR"/>
        </w:rPr>
        <w:t xml:space="preserve"> la Tunisie a reconnu la compétence de la Commission africaine des droits de l</w:t>
      </w:r>
      <w:r w:rsidR="00E16237" w:rsidRPr="005F28B2">
        <w:rPr>
          <w:lang w:val="fr-FR"/>
        </w:rPr>
        <w:t>’</w:t>
      </w:r>
      <w:r w:rsidRPr="005F28B2">
        <w:rPr>
          <w:lang w:val="fr-FR"/>
        </w:rPr>
        <w:t>homme et des peuples suite à son adhésion à la Charte africaine du même nom </w:t>
      </w:r>
      <w:r w:rsidR="00E16237" w:rsidRPr="005F28B2">
        <w:rPr>
          <w:lang w:val="fr-FR"/>
        </w:rPr>
        <w:t>;</w:t>
      </w:r>
      <w:r w:rsidRPr="005F28B2">
        <w:rPr>
          <w:lang w:val="fr-FR"/>
        </w:rPr>
        <w:t xml:space="preserve"> de même qu</w:t>
      </w:r>
      <w:r w:rsidR="00E16237" w:rsidRPr="005F28B2">
        <w:rPr>
          <w:lang w:val="fr-FR"/>
        </w:rPr>
        <w:t>’</w:t>
      </w:r>
      <w:r w:rsidRPr="005F28B2">
        <w:rPr>
          <w:lang w:val="fr-FR"/>
        </w:rPr>
        <w:t>elle a accepté la juridiction obligatoire de la Cour africaine des droits de l</w:t>
      </w:r>
      <w:r w:rsidR="00E16237" w:rsidRPr="005F28B2">
        <w:rPr>
          <w:lang w:val="fr-FR"/>
        </w:rPr>
        <w:t>’</w:t>
      </w:r>
      <w:r w:rsidRPr="005F28B2">
        <w:rPr>
          <w:lang w:val="fr-FR"/>
        </w:rPr>
        <w:t>homme en signant</w:t>
      </w:r>
      <w:r w:rsidR="00E16237" w:rsidRPr="005F28B2">
        <w:rPr>
          <w:lang w:val="fr-FR"/>
        </w:rPr>
        <w:t>,</w:t>
      </w:r>
      <w:r w:rsidRPr="005F28B2">
        <w:rPr>
          <w:lang w:val="fr-FR"/>
        </w:rPr>
        <w:t xml:space="preserve"> le 6 septembre 1998</w:t>
      </w:r>
      <w:r w:rsidR="00E16237" w:rsidRPr="005F28B2">
        <w:rPr>
          <w:lang w:val="fr-FR"/>
        </w:rPr>
        <w:t>,</w:t>
      </w:r>
      <w:r w:rsidRPr="005F28B2">
        <w:rPr>
          <w:lang w:val="fr-FR"/>
        </w:rPr>
        <w:t xml:space="preserve"> le Protocole relatif à sa création</w:t>
      </w:r>
      <w:r w:rsidR="00E16237" w:rsidRPr="005F28B2">
        <w:rPr>
          <w:lang w:val="fr-FR"/>
        </w:rPr>
        <w:t>,</w:t>
      </w:r>
      <w:r w:rsidRPr="005F28B2">
        <w:rPr>
          <w:lang w:val="fr-FR"/>
        </w:rPr>
        <w:t xml:space="preserve"> étant précisé que le dépôt des instruments de ratification a été enregistré le 5 octobre 2007. Cependant</w:t>
      </w:r>
      <w:r w:rsidR="00E16237" w:rsidRPr="005F28B2">
        <w:rPr>
          <w:lang w:val="fr-FR"/>
        </w:rPr>
        <w:t>,</w:t>
      </w:r>
      <w:r w:rsidRPr="005F28B2">
        <w:rPr>
          <w:lang w:val="fr-FR"/>
        </w:rPr>
        <w:t xml:space="preserve"> elle n</w:t>
      </w:r>
      <w:r w:rsidR="00E16237" w:rsidRPr="005F28B2">
        <w:rPr>
          <w:lang w:val="fr-FR"/>
        </w:rPr>
        <w:t>’</w:t>
      </w:r>
      <w:r w:rsidRPr="005F28B2">
        <w:rPr>
          <w:lang w:val="fr-FR"/>
        </w:rPr>
        <w:t>a pas encore prononcé la déclaration prévue à l</w:t>
      </w:r>
      <w:r w:rsidR="00E16237" w:rsidRPr="005F28B2">
        <w:rPr>
          <w:lang w:val="fr-FR"/>
        </w:rPr>
        <w:t>’</w:t>
      </w:r>
      <w:r w:rsidRPr="005F28B2">
        <w:rPr>
          <w:lang w:val="fr-FR"/>
        </w:rPr>
        <w:t>alinéa 6 de l</w:t>
      </w:r>
      <w:r w:rsidR="00E16237" w:rsidRPr="005F28B2">
        <w:rPr>
          <w:lang w:val="fr-FR"/>
        </w:rPr>
        <w:t>’</w:t>
      </w:r>
      <w:r w:rsidR="00755707" w:rsidRPr="005F28B2">
        <w:rPr>
          <w:lang w:val="fr-FR"/>
        </w:rPr>
        <w:t>article </w:t>
      </w:r>
      <w:r w:rsidRPr="005F28B2">
        <w:rPr>
          <w:lang w:val="fr-FR"/>
        </w:rPr>
        <w:t>34 du Protocole</w:t>
      </w:r>
      <w:r w:rsidR="00E16237" w:rsidRPr="005F28B2">
        <w:rPr>
          <w:lang w:val="fr-FR"/>
        </w:rPr>
        <w:t>,</w:t>
      </w:r>
      <w:r w:rsidRPr="005F28B2">
        <w:rPr>
          <w:lang w:val="fr-FR"/>
        </w:rPr>
        <w:t xml:space="preserve"> concernant l</w:t>
      </w:r>
      <w:r w:rsidR="00E16237" w:rsidRPr="005F28B2">
        <w:rPr>
          <w:lang w:val="fr-FR"/>
        </w:rPr>
        <w:t>’</w:t>
      </w:r>
      <w:r w:rsidRPr="005F28B2">
        <w:rPr>
          <w:lang w:val="fr-FR"/>
        </w:rPr>
        <w:t>acceptation de la juridiction de la Cour en matière de requêtes émanant de particuliers et d</w:t>
      </w:r>
      <w:r w:rsidR="00E16237" w:rsidRPr="005F28B2">
        <w:rPr>
          <w:lang w:val="fr-FR"/>
        </w:rPr>
        <w:t>’</w:t>
      </w:r>
      <w:r w:rsidRPr="005F28B2">
        <w:rPr>
          <w:lang w:val="fr-FR"/>
        </w:rPr>
        <w:t>organisations non gouvernementales ayant statut d</w:t>
      </w:r>
      <w:r w:rsidR="00E16237" w:rsidRPr="005F28B2">
        <w:rPr>
          <w:lang w:val="fr-FR"/>
        </w:rPr>
        <w:t>’</w:t>
      </w:r>
      <w:r w:rsidRPr="005F28B2">
        <w:rPr>
          <w:lang w:val="fr-FR"/>
        </w:rPr>
        <w:t>observateurs auprès de la Commission africaine des droits de l</w:t>
      </w:r>
      <w:r w:rsidR="00E16237" w:rsidRPr="005F28B2">
        <w:rPr>
          <w:lang w:val="fr-FR"/>
        </w:rPr>
        <w:t>’</w:t>
      </w:r>
      <w:r w:rsidRPr="005F28B2">
        <w:rPr>
          <w:lang w:val="fr-FR"/>
        </w:rPr>
        <w:t xml:space="preserve">homme et des peuples. </w:t>
      </w:r>
    </w:p>
    <w:p w:rsidR="009052AE" w:rsidRPr="005F28B2" w:rsidRDefault="00163041" w:rsidP="00C11212">
      <w:pPr>
        <w:pStyle w:val="H1G"/>
        <w:rPr>
          <w:lang w:val="fr-FR"/>
        </w:rPr>
      </w:pPr>
      <w:r w:rsidRPr="005F28B2">
        <w:rPr>
          <w:lang w:val="fr-FR"/>
        </w:rPr>
        <w:tab/>
      </w:r>
      <w:bookmarkStart w:id="10" w:name="_Toc478218484"/>
      <w:r w:rsidRPr="005F28B2">
        <w:rPr>
          <w:lang w:val="fr-FR"/>
        </w:rPr>
        <w:t>B.</w:t>
      </w:r>
      <w:r w:rsidRPr="005F28B2">
        <w:rPr>
          <w:lang w:val="fr-FR"/>
        </w:rPr>
        <w:tab/>
        <w:t>Cadre juridique de la protection des droits de l</w:t>
      </w:r>
      <w:r w:rsidR="00E16237" w:rsidRPr="005F28B2">
        <w:rPr>
          <w:lang w:val="fr-FR"/>
        </w:rPr>
        <w:t>’</w:t>
      </w:r>
      <w:r w:rsidRPr="005F28B2">
        <w:rPr>
          <w:lang w:val="fr-FR"/>
        </w:rPr>
        <w:t>homme au niveau national</w:t>
      </w:r>
      <w:bookmarkEnd w:id="10"/>
    </w:p>
    <w:p w:rsidR="009052AE" w:rsidRPr="005F28B2" w:rsidRDefault="00163041" w:rsidP="00C64C6F">
      <w:pPr>
        <w:pStyle w:val="SingleTxtG"/>
        <w:rPr>
          <w:rtl/>
          <w:lang w:val="fr-FR" w:bidi="fr-FR"/>
        </w:rPr>
      </w:pPr>
      <w:r w:rsidRPr="005F28B2">
        <w:rPr>
          <w:lang w:val="fr-FR"/>
        </w:rPr>
        <w:t>25.</w:t>
      </w:r>
      <w:r w:rsidRPr="005F28B2">
        <w:rPr>
          <w:lang w:val="fr-FR"/>
        </w:rPr>
        <w:tab/>
        <w:t>Soucieuse d</w:t>
      </w:r>
      <w:r w:rsidR="00E16237" w:rsidRPr="005F28B2">
        <w:rPr>
          <w:lang w:val="fr-FR"/>
        </w:rPr>
        <w:t>’</w:t>
      </w:r>
      <w:r w:rsidRPr="005F28B2">
        <w:rPr>
          <w:lang w:val="fr-FR"/>
        </w:rPr>
        <w:t>honorer ses engagements en matière de droits de l</w:t>
      </w:r>
      <w:r w:rsidR="00E16237" w:rsidRPr="005F28B2">
        <w:rPr>
          <w:lang w:val="fr-FR"/>
        </w:rPr>
        <w:t>’</w:t>
      </w:r>
      <w:r w:rsidRPr="005F28B2">
        <w:rPr>
          <w:lang w:val="fr-FR"/>
        </w:rPr>
        <w:t>homme</w:t>
      </w:r>
      <w:r w:rsidR="00E16237" w:rsidRPr="005F28B2">
        <w:rPr>
          <w:lang w:val="fr-FR"/>
        </w:rPr>
        <w:t>,</w:t>
      </w:r>
      <w:r w:rsidRPr="005F28B2">
        <w:rPr>
          <w:lang w:val="fr-FR"/>
        </w:rPr>
        <w:t xml:space="preserve"> la Tunisie a instauré un système juridique et institutionnel visant à les protéger et à les promouvoir</w:t>
      </w:r>
      <w:r w:rsidR="00E16237" w:rsidRPr="005F28B2">
        <w:rPr>
          <w:lang w:val="fr-FR"/>
        </w:rPr>
        <w:t>,</w:t>
      </w:r>
      <w:r w:rsidRPr="005F28B2">
        <w:rPr>
          <w:lang w:val="fr-FR"/>
        </w:rPr>
        <w:t xml:space="preserve"> en veillant notamment à partir de 2011 à les consolider et à les renforcer au moyen d</w:t>
      </w:r>
      <w:r w:rsidR="00E16237" w:rsidRPr="005F28B2">
        <w:rPr>
          <w:lang w:val="fr-FR"/>
        </w:rPr>
        <w:t>’</w:t>
      </w:r>
      <w:r w:rsidRPr="005F28B2">
        <w:rPr>
          <w:lang w:val="fr-FR"/>
        </w:rPr>
        <w:t>un alignement de la législation nationale y afférente sur le système international auquel le pays a adhéré</w:t>
      </w:r>
      <w:r w:rsidR="00E16237" w:rsidRPr="005F28B2">
        <w:rPr>
          <w:lang w:val="fr-FR"/>
        </w:rPr>
        <w:t>,</w:t>
      </w:r>
      <w:r w:rsidRPr="005F28B2">
        <w:rPr>
          <w:lang w:val="fr-FR"/>
        </w:rPr>
        <w:t xml:space="preserve"> ainsi que par la mise en place d</w:t>
      </w:r>
      <w:r w:rsidR="00E16237" w:rsidRPr="005F28B2">
        <w:rPr>
          <w:lang w:val="fr-FR"/>
        </w:rPr>
        <w:t>’</w:t>
      </w:r>
      <w:r w:rsidRPr="005F28B2">
        <w:rPr>
          <w:lang w:val="fr-FR"/>
        </w:rPr>
        <w:t>institutions gouvernementales et d</w:t>
      </w:r>
      <w:r w:rsidR="00E16237" w:rsidRPr="005F28B2">
        <w:rPr>
          <w:lang w:val="fr-FR"/>
        </w:rPr>
        <w:t>’</w:t>
      </w:r>
      <w:r w:rsidRPr="005F28B2">
        <w:rPr>
          <w:lang w:val="fr-FR"/>
        </w:rPr>
        <w:t xml:space="preserve">instances nationales indépendantes spécialisées dans ce domaine. </w:t>
      </w:r>
    </w:p>
    <w:p w:rsidR="009052AE" w:rsidRPr="005F28B2" w:rsidRDefault="00163041" w:rsidP="000361D7">
      <w:pPr>
        <w:pStyle w:val="H23G"/>
        <w:rPr>
          <w:rtl/>
          <w:lang w:val="fr-FR" w:bidi="fr-FR"/>
        </w:rPr>
      </w:pPr>
      <w:r w:rsidRPr="005F28B2">
        <w:rPr>
          <w:lang w:val="fr-FR"/>
        </w:rPr>
        <w:tab/>
      </w:r>
      <w:bookmarkStart w:id="11" w:name="_Toc478218485"/>
      <w:r w:rsidRPr="005F28B2">
        <w:rPr>
          <w:lang w:val="fr-FR"/>
        </w:rPr>
        <w:tab/>
        <w:t>Protection constitutionnelle des droits de l</w:t>
      </w:r>
      <w:r w:rsidR="00E16237" w:rsidRPr="005F28B2">
        <w:rPr>
          <w:lang w:val="fr-FR"/>
        </w:rPr>
        <w:t>’</w:t>
      </w:r>
      <w:r w:rsidRPr="005F28B2">
        <w:rPr>
          <w:lang w:val="fr-FR"/>
        </w:rPr>
        <w:t>homme</w:t>
      </w:r>
      <w:bookmarkEnd w:id="11"/>
    </w:p>
    <w:p w:rsidR="009052AE" w:rsidRPr="005F28B2" w:rsidRDefault="00163041" w:rsidP="000361D7">
      <w:pPr>
        <w:pStyle w:val="SingleTxtG"/>
        <w:rPr>
          <w:rtl/>
          <w:lang w:val="fr-FR" w:bidi="fr-FR"/>
        </w:rPr>
      </w:pPr>
      <w:r w:rsidRPr="005F28B2">
        <w:rPr>
          <w:lang w:val="fr-FR"/>
        </w:rPr>
        <w:t>26.</w:t>
      </w:r>
      <w:r w:rsidRPr="005F28B2">
        <w:rPr>
          <w:lang w:val="fr-FR"/>
        </w:rPr>
        <w:tab/>
        <w:t>L</w:t>
      </w:r>
      <w:r w:rsidR="00E16237" w:rsidRPr="005F28B2">
        <w:rPr>
          <w:lang w:val="fr-FR"/>
        </w:rPr>
        <w:t>’</w:t>
      </w:r>
      <w:r w:rsidRPr="005F28B2">
        <w:rPr>
          <w:lang w:val="fr-FR"/>
        </w:rPr>
        <w:t>Assemblée nationale constituante a inscrit les droits et libertés dans le texte de la Constitution de 2014 afin de garantir leur primauté dans l</w:t>
      </w:r>
      <w:r w:rsidR="00E16237" w:rsidRPr="005F28B2">
        <w:rPr>
          <w:lang w:val="fr-FR"/>
        </w:rPr>
        <w:t>’</w:t>
      </w:r>
      <w:r w:rsidRPr="005F28B2">
        <w:rPr>
          <w:lang w:val="fr-FR"/>
        </w:rPr>
        <w:t>ordre juridique interne</w:t>
      </w:r>
      <w:r w:rsidR="00E16237" w:rsidRPr="005F28B2">
        <w:rPr>
          <w:lang w:val="fr-FR"/>
        </w:rPr>
        <w:t>,</w:t>
      </w:r>
      <w:r w:rsidRPr="005F28B2">
        <w:rPr>
          <w:lang w:val="fr-FR"/>
        </w:rPr>
        <w:t xml:space="preserve"> ne laissant à la loi que le pouvoir de déterminer les règles régissant leur exercice conformément aux dispositions prévues par la Constitution. </w:t>
      </w:r>
    </w:p>
    <w:p w:rsidR="009052AE" w:rsidRPr="005F28B2" w:rsidRDefault="00163041" w:rsidP="000361D7">
      <w:pPr>
        <w:pStyle w:val="SingleTxtG"/>
        <w:rPr>
          <w:rtl/>
          <w:lang w:val="fr-FR" w:bidi="fr-FR"/>
        </w:rPr>
      </w:pPr>
      <w:r w:rsidRPr="005F28B2">
        <w:rPr>
          <w:lang w:val="fr-FR"/>
        </w:rPr>
        <w:lastRenderedPageBreak/>
        <w:t>27.</w:t>
      </w:r>
      <w:r w:rsidRPr="005F28B2">
        <w:rPr>
          <w:lang w:val="fr-FR"/>
        </w:rPr>
        <w:tab/>
        <w:t>L</w:t>
      </w:r>
      <w:r w:rsidR="00E16237" w:rsidRPr="005F28B2">
        <w:rPr>
          <w:lang w:val="fr-FR"/>
        </w:rPr>
        <w:t>’</w:t>
      </w:r>
      <w:r w:rsidR="00755707" w:rsidRPr="005F28B2">
        <w:rPr>
          <w:lang w:val="fr-FR"/>
        </w:rPr>
        <w:t>article </w:t>
      </w:r>
      <w:r w:rsidRPr="005F28B2">
        <w:rPr>
          <w:lang w:val="fr-FR"/>
        </w:rPr>
        <w:t>6 de la Constitution dispose que l</w:t>
      </w:r>
      <w:r w:rsidR="00E16237" w:rsidRPr="005F28B2">
        <w:rPr>
          <w:lang w:val="fr-FR"/>
        </w:rPr>
        <w:t>’</w:t>
      </w:r>
      <w:r w:rsidRPr="005F28B2">
        <w:rPr>
          <w:lang w:val="fr-FR"/>
        </w:rPr>
        <w:t>État garantit la liberté de croyance et de conscience et le libre exercice des cultes. La Constitution a consacré l</w:t>
      </w:r>
      <w:r w:rsidR="00E16237" w:rsidRPr="005F28B2">
        <w:rPr>
          <w:lang w:val="fr-FR"/>
        </w:rPr>
        <w:t>’</w:t>
      </w:r>
      <w:r w:rsidRPr="005F28B2">
        <w:rPr>
          <w:lang w:val="fr-FR"/>
        </w:rPr>
        <w:t>intégralité de son Chapitre II aux droits politiques</w:t>
      </w:r>
      <w:r w:rsidR="00E16237" w:rsidRPr="005F28B2">
        <w:rPr>
          <w:lang w:val="fr-FR"/>
        </w:rPr>
        <w:t>,</w:t>
      </w:r>
      <w:r w:rsidRPr="005F28B2">
        <w:rPr>
          <w:lang w:val="fr-FR"/>
        </w:rPr>
        <w:t xml:space="preserve"> civils</w:t>
      </w:r>
      <w:r w:rsidR="00E16237" w:rsidRPr="005F28B2">
        <w:rPr>
          <w:lang w:val="fr-FR"/>
        </w:rPr>
        <w:t>,</w:t>
      </w:r>
      <w:r w:rsidRPr="005F28B2">
        <w:rPr>
          <w:lang w:val="fr-FR"/>
        </w:rPr>
        <w:t xml:space="preserve"> économiques</w:t>
      </w:r>
      <w:r w:rsidR="00E16237" w:rsidRPr="005F28B2">
        <w:rPr>
          <w:lang w:val="fr-FR"/>
        </w:rPr>
        <w:t>,</w:t>
      </w:r>
      <w:r w:rsidRPr="005F28B2">
        <w:rPr>
          <w:lang w:val="fr-FR"/>
        </w:rPr>
        <w:t xml:space="preserve"> sociaux et culturels</w:t>
      </w:r>
      <w:r w:rsidR="00E16237" w:rsidRPr="005F28B2">
        <w:rPr>
          <w:lang w:val="fr-FR"/>
        </w:rPr>
        <w:t>,</w:t>
      </w:r>
      <w:r w:rsidRPr="005F28B2">
        <w:rPr>
          <w:lang w:val="fr-FR"/>
        </w:rPr>
        <w:t xml:space="preserve"> incluant notamment le droit au développement et les libertés collectives et individuelles. Elle a proclamé l</w:t>
      </w:r>
      <w:r w:rsidR="00E16237" w:rsidRPr="005F28B2">
        <w:rPr>
          <w:lang w:val="fr-FR"/>
        </w:rPr>
        <w:t>’</w:t>
      </w:r>
      <w:r w:rsidRPr="005F28B2">
        <w:rPr>
          <w:lang w:val="fr-FR"/>
        </w:rPr>
        <w:t>égalité des citoyens et citoyennes en droits et en devoirs</w:t>
      </w:r>
      <w:r w:rsidR="00E16237" w:rsidRPr="005F28B2">
        <w:rPr>
          <w:lang w:val="fr-FR"/>
        </w:rPr>
        <w:t>,</w:t>
      </w:r>
      <w:r w:rsidRPr="005F28B2">
        <w:rPr>
          <w:lang w:val="fr-FR"/>
        </w:rPr>
        <w:t xml:space="preserve"> ainsi que leur égalité devant la loi sans discrimination</w:t>
      </w:r>
      <w:r w:rsidR="00E16237" w:rsidRPr="005F28B2">
        <w:rPr>
          <w:lang w:val="fr-FR"/>
        </w:rPr>
        <w:t>,</w:t>
      </w:r>
      <w:r w:rsidRPr="005F28B2">
        <w:rPr>
          <w:lang w:val="fr-FR"/>
        </w:rPr>
        <w:t xml:space="preserve"> tout en indiquant que le droit à la vie était sacré et qu</w:t>
      </w:r>
      <w:r w:rsidR="00E16237" w:rsidRPr="005F28B2">
        <w:rPr>
          <w:lang w:val="fr-FR"/>
        </w:rPr>
        <w:t>’</w:t>
      </w:r>
      <w:r w:rsidRPr="005F28B2">
        <w:rPr>
          <w:lang w:val="fr-FR"/>
        </w:rPr>
        <w:t>il ne pouvait y être porté atteinte que dans des cas extrêmes fixés par la loi. La Constitution a également imposé à l</w:t>
      </w:r>
      <w:r w:rsidR="00E16237" w:rsidRPr="005F28B2">
        <w:rPr>
          <w:lang w:val="fr-FR"/>
        </w:rPr>
        <w:t>’</w:t>
      </w:r>
      <w:r w:rsidRPr="005F28B2">
        <w:rPr>
          <w:lang w:val="fr-FR"/>
        </w:rPr>
        <w:t>État l</w:t>
      </w:r>
      <w:r w:rsidR="00E16237" w:rsidRPr="005F28B2">
        <w:rPr>
          <w:lang w:val="fr-FR"/>
        </w:rPr>
        <w:t>’</w:t>
      </w:r>
      <w:r w:rsidRPr="005F28B2">
        <w:rPr>
          <w:lang w:val="fr-FR"/>
        </w:rPr>
        <w:t>obligation de protéger la dignité de la personne et son intégrité physique</w:t>
      </w:r>
      <w:r w:rsidR="00E16237" w:rsidRPr="005F28B2">
        <w:rPr>
          <w:lang w:val="fr-FR"/>
        </w:rPr>
        <w:t>,</w:t>
      </w:r>
      <w:r w:rsidRPr="005F28B2">
        <w:rPr>
          <w:lang w:val="fr-FR"/>
        </w:rPr>
        <w:t xml:space="preserve"> de même qu</w:t>
      </w:r>
      <w:r w:rsidR="00E16237" w:rsidRPr="005F28B2">
        <w:rPr>
          <w:lang w:val="fr-FR"/>
        </w:rPr>
        <w:t>’</w:t>
      </w:r>
      <w:r w:rsidRPr="005F28B2">
        <w:rPr>
          <w:lang w:val="fr-FR"/>
        </w:rPr>
        <w:t>elle a interdit la torture morale et physique et affirmé le caractère imprescriptible des crimes de torture. Elle a aussi garanti la protection de la vie privée</w:t>
      </w:r>
      <w:r w:rsidR="00E16237" w:rsidRPr="005F28B2">
        <w:rPr>
          <w:lang w:val="fr-FR"/>
        </w:rPr>
        <w:t>,</w:t>
      </w:r>
      <w:r w:rsidRPr="005F28B2">
        <w:rPr>
          <w:lang w:val="fr-FR"/>
        </w:rPr>
        <w:t xml:space="preserve"> l</w:t>
      </w:r>
      <w:r w:rsidR="00E16237" w:rsidRPr="005F28B2">
        <w:rPr>
          <w:lang w:val="fr-FR"/>
        </w:rPr>
        <w:t>’</w:t>
      </w:r>
      <w:r w:rsidRPr="005F28B2">
        <w:rPr>
          <w:lang w:val="fr-FR"/>
        </w:rPr>
        <w:t>inviolabilité du domicile et le secret des correspondances</w:t>
      </w:r>
      <w:r w:rsidR="00E16237" w:rsidRPr="005F28B2">
        <w:rPr>
          <w:lang w:val="fr-FR"/>
        </w:rPr>
        <w:t>,</w:t>
      </w:r>
      <w:r w:rsidRPr="005F28B2">
        <w:rPr>
          <w:lang w:val="fr-FR"/>
        </w:rPr>
        <w:t xml:space="preserve"> des communications et des données personnelles. </w:t>
      </w:r>
    </w:p>
    <w:p w:rsidR="009052AE" w:rsidRPr="005F28B2" w:rsidRDefault="00163041" w:rsidP="000361D7">
      <w:pPr>
        <w:pStyle w:val="SingleTxtG"/>
        <w:rPr>
          <w:rtl/>
          <w:lang w:val="fr-FR" w:bidi="fr-FR"/>
        </w:rPr>
      </w:pPr>
      <w:r w:rsidRPr="005F28B2">
        <w:rPr>
          <w:lang w:val="fr-FR"/>
        </w:rPr>
        <w:t>28.</w:t>
      </w:r>
      <w:r w:rsidRPr="005F28B2">
        <w:rPr>
          <w:lang w:val="fr-FR"/>
        </w:rPr>
        <w:tab/>
        <w:t>La Constitution a consacré la présomption d</w:t>
      </w:r>
      <w:r w:rsidR="00E16237" w:rsidRPr="005F28B2">
        <w:rPr>
          <w:lang w:val="fr-FR"/>
        </w:rPr>
        <w:t>’</w:t>
      </w:r>
      <w:r w:rsidRPr="005F28B2">
        <w:rPr>
          <w:lang w:val="fr-FR"/>
        </w:rPr>
        <w:t>innocence jusqu</w:t>
      </w:r>
      <w:r w:rsidR="00E16237" w:rsidRPr="005F28B2">
        <w:rPr>
          <w:lang w:val="fr-FR"/>
        </w:rPr>
        <w:t>’</w:t>
      </w:r>
      <w:r w:rsidRPr="005F28B2">
        <w:rPr>
          <w:lang w:val="fr-FR"/>
        </w:rPr>
        <w:t>à l</w:t>
      </w:r>
      <w:r w:rsidR="00E16237" w:rsidRPr="005F28B2">
        <w:rPr>
          <w:lang w:val="fr-FR"/>
        </w:rPr>
        <w:t>’</w:t>
      </w:r>
      <w:r w:rsidRPr="005F28B2">
        <w:rPr>
          <w:lang w:val="fr-FR"/>
        </w:rPr>
        <w:t>établissement de la culpabilité du prévenu dans le cadre d</w:t>
      </w:r>
      <w:r w:rsidR="00E16237" w:rsidRPr="005F28B2">
        <w:rPr>
          <w:lang w:val="fr-FR"/>
        </w:rPr>
        <w:t>’</w:t>
      </w:r>
      <w:r w:rsidRPr="005F28B2">
        <w:rPr>
          <w:lang w:val="fr-FR"/>
        </w:rPr>
        <w:t>un procès équitable lui assurant toutes les garanties de la défense pendant les poursuites et lors de l</w:t>
      </w:r>
      <w:r w:rsidR="00E16237" w:rsidRPr="005F28B2">
        <w:rPr>
          <w:lang w:val="fr-FR"/>
        </w:rPr>
        <w:t>’</w:t>
      </w:r>
      <w:r w:rsidRPr="005F28B2">
        <w:rPr>
          <w:lang w:val="fr-FR"/>
        </w:rPr>
        <w:t>examen de l</w:t>
      </w:r>
      <w:r w:rsidR="00E16237" w:rsidRPr="005F28B2">
        <w:rPr>
          <w:lang w:val="fr-FR"/>
        </w:rPr>
        <w:t>’</w:t>
      </w:r>
      <w:r w:rsidRPr="005F28B2">
        <w:rPr>
          <w:lang w:val="fr-FR"/>
        </w:rPr>
        <w:t>affaire par un tribunal. Elle a également réaffirmé le principe de la personnalité des peines</w:t>
      </w:r>
      <w:r w:rsidR="00E16237" w:rsidRPr="005F28B2">
        <w:rPr>
          <w:lang w:val="fr-FR"/>
        </w:rPr>
        <w:t>,</w:t>
      </w:r>
      <w:r w:rsidRPr="005F28B2">
        <w:rPr>
          <w:lang w:val="fr-FR"/>
        </w:rPr>
        <w:t xml:space="preserve"> lesquelles ne peuvent être prononcées qu</w:t>
      </w:r>
      <w:r w:rsidR="00E16237" w:rsidRPr="005F28B2">
        <w:rPr>
          <w:lang w:val="fr-FR"/>
        </w:rPr>
        <w:t>’</w:t>
      </w:r>
      <w:r w:rsidRPr="005F28B2">
        <w:rPr>
          <w:lang w:val="fr-FR"/>
        </w:rPr>
        <w:t>en vertu d</w:t>
      </w:r>
      <w:r w:rsidR="00E16237" w:rsidRPr="005F28B2">
        <w:rPr>
          <w:lang w:val="fr-FR"/>
        </w:rPr>
        <w:t>’</w:t>
      </w:r>
      <w:r w:rsidRPr="005F28B2">
        <w:rPr>
          <w:lang w:val="fr-FR"/>
        </w:rPr>
        <w:t>une loi antérieure</w:t>
      </w:r>
      <w:r w:rsidR="00E16237" w:rsidRPr="005F28B2">
        <w:rPr>
          <w:lang w:val="fr-FR"/>
        </w:rPr>
        <w:t>,</w:t>
      </w:r>
      <w:r w:rsidRPr="005F28B2">
        <w:rPr>
          <w:lang w:val="fr-FR"/>
        </w:rPr>
        <w:t xml:space="preserve"> hormis le cas d</w:t>
      </w:r>
      <w:r w:rsidR="00E16237" w:rsidRPr="005F28B2">
        <w:rPr>
          <w:lang w:val="fr-FR"/>
        </w:rPr>
        <w:t>’</w:t>
      </w:r>
      <w:r w:rsidRPr="005F28B2">
        <w:rPr>
          <w:lang w:val="fr-FR"/>
        </w:rPr>
        <w:t>un texte plus favorable à l</w:t>
      </w:r>
      <w:r w:rsidR="00E16237" w:rsidRPr="005F28B2">
        <w:rPr>
          <w:lang w:val="fr-FR"/>
        </w:rPr>
        <w:t>’</w:t>
      </w:r>
      <w:r w:rsidRPr="005F28B2">
        <w:rPr>
          <w:lang w:val="fr-FR"/>
        </w:rPr>
        <w:t>inculpé. La Constitution dispose également qu</w:t>
      </w:r>
      <w:r w:rsidR="00E16237" w:rsidRPr="005F28B2">
        <w:rPr>
          <w:lang w:val="fr-FR"/>
        </w:rPr>
        <w:t>’</w:t>
      </w:r>
      <w:r w:rsidRPr="005F28B2">
        <w:rPr>
          <w:lang w:val="fr-FR"/>
        </w:rPr>
        <w:t>aucune personne ne peut être arrêtée ou placée en détention</w:t>
      </w:r>
      <w:r w:rsidR="00E16237" w:rsidRPr="005F28B2">
        <w:rPr>
          <w:lang w:val="fr-FR"/>
        </w:rPr>
        <w:t>,</w:t>
      </w:r>
      <w:r w:rsidRPr="005F28B2">
        <w:rPr>
          <w:lang w:val="fr-FR"/>
        </w:rPr>
        <w:t xml:space="preserve"> sauf en cas de flagrant délit ou sur la base d</w:t>
      </w:r>
      <w:r w:rsidR="00E16237" w:rsidRPr="005F28B2">
        <w:rPr>
          <w:lang w:val="fr-FR"/>
        </w:rPr>
        <w:t>’</w:t>
      </w:r>
      <w:r w:rsidRPr="005F28B2">
        <w:rPr>
          <w:lang w:val="fr-FR"/>
        </w:rPr>
        <w:t>une décision de justice</w:t>
      </w:r>
      <w:r w:rsidR="00E16237" w:rsidRPr="005F28B2">
        <w:rPr>
          <w:lang w:val="fr-FR"/>
        </w:rPr>
        <w:t>,</w:t>
      </w:r>
      <w:r w:rsidRPr="005F28B2">
        <w:rPr>
          <w:lang w:val="fr-FR"/>
        </w:rPr>
        <w:t xml:space="preserve"> étant précisé que dans ce cas</w:t>
      </w:r>
      <w:r w:rsidR="00E16237" w:rsidRPr="005F28B2">
        <w:rPr>
          <w:lang w:val="fr-FR"/>
        </w:rPr>
        <w:t>,</w:t>
      </w:r>
      <w:r w:rsidRPr="005F28B2">
        <w:rPr>
          <w:lang w:val="fr-FR"/>
        </w:rPr>
        <w:t xml:space="preserve"> ladite personne doit être immédiatement informée de ses droits et des charges retenues contre elle et a le droit de se faire représenter par un avocat. Selon la Constitution</w:t>
      </w:r>
      <w:r w:rsidR="00E16237" w:rsidRPr="005F28B2">
        <w:rPr>
          <w:lang w:val="fr-FR"/>
        </w:rPr>
        <w:t>,</w:t>
      </w:r>
      <w:r w:rsidRPr="005F28B2">
        <w:rPr>
          <w:lang w:val="fr-FR"/>
        </w:rPr>
        <w:t xml:space="preserve"> la durée de l</w:t>
      </w:r>
      <w:r w:rsidR="00E16237" w:rsidRPr="005F28B2">
        <w:rPr>
          <w:lang w:val="fr-FR"/>
        </w:rPr>
        <w:t>’</w:t>
      </w:r>
      <w:r w:rsidRPr="005F28B2">
        <w:rPr>
          <w:lang w:val="fr-FR"/>
        </w:rPr>
        <w:t>arrestation ou de la détention est fixée par la loi et tout détenu a droit à un traitement humain préservant sa dignité</w:t>
      </w:r>
      <w:r w:rsidR="00E16237" w:rsidRPr="005F28B2">
        <w:rPr>
          <w:lang w:val="fr-FR"/>
        </w:rPr>
        <w:t>,</w:t>
      </w:r>
      <w:r w:rsidRPr="005F28B2">
        <w:rPr>
          <w:lang w:val="fr-FR"/>
        </w:rPr>
        <w:t xml:space="preserve"> étant précisé que l</w:t>
      </w:r>
      <w:r w:rsidR="00E16237" w:rsidRPr="005F28B2">
        <w:rPr>
          <w:lang w:val="fr-FR"/>
        </w:rPr>
        <w:t>’</w:t>
      </w:r>
      <w:r w:rsidRPr="005F28B2">
        <w:rPr>
          <w:lang w:val="fr-FR"/>
        </w:rPr>
        <w:t>État est tenu de prendre en considération l</w:t>
      </w:r>
      <w:r w:rsidR="00E16237" w:rsidRPr="005F28B2">
        <w:rPr>
          <w:lang w:val="fr-FR"/>
        </w:rPr>
        <w:t>’</w:t>
      </w:r>
      <w:r w:rsidRPr="005F28B2">
        <w:rPr>
          <w:lang w:val="fr-FR"/>
        </w:rPr>
        <w:t>intérêt de la famille et de veiller</w:t>
      </w:r>
      <w:r w:rsidR="00E16237" w:rsidRPr="005F28B2">
        <w:rPr>
          <w:lang w:val="fr-FR"/>
        </w:rPr>
        <w:t>,</w:t>
      </w:r>
      <w:r w:rsidRPr="005F28B2">
        <w:rPr>
          <w:lang w:val="fr-FR"/>
        </w:rPr>
        <w:t xml:space="preserve"> lors de l</w:t>
      </w:r>
      <w:r w:rsidR="00E16237" w:rsidRPr="005F28B2">
        <w:rPr>
          <w:lang w:val="fr-FR"/>
        </w:rPr>
        <w:t>’</w:t>
      </w:r>
      <w:r w:rsidRPr="005F28B2">
        <w:rPr>
          <w:lang w:val="fr-FR"/>
        </w:rPr>
        <w:t>exécution des peines privatives de liberté</w:t>
      </w:r>
      <w:r w:rsidR="00E16237" w:rsidRPr="005F28B2">
        <w:rPr>
          <w:lang w:val="fr-FR"/>
        </w:rPr>
        <w:t>,</w:t>
      </w:r>
      <w:r w:rsidRPr="005F28B2">
        <w:rPr>
          <w:lang w:val="fr-FR"/>
        </w:rPr>
        <w:t xml:space="preserve"> à la réhabilitation du détenu</w:t>
      </w:r>
      <w:r w:rsidR="00E16237" w:rsidRPr="005F28B2">
        <w:rPr>
          <w:lang w:val="fr-FR"/>
        </w:rPr>
        <w:t>,</w:t>
      </w:r>
      <w:r w:rsidRPr="005F28B2">
        <w:rPr>
          <w:lang w:val="fr-FR"/>
        </w:rPr>
        <w:t xml:space="preserve"> ainsi qu</w:t>
      </w:r>
      <w:r w:rsidR="00E16237" w:rsidRPr="005F28B2">
        <w:rPr>
          <w:lang w:val="fr-FR"/>
        </w:rPr>
        <w:t>’</w:t>
      </w:r>
      <w:r w:rsidRPr="005F28B2">
        <w:rPr>
          <w:lang w:val="fr-FR"/>
        </w:rPr>
        <w:t xml:space="preserve">à sa réinsertion sociale. </w:t>
      </w:r>
    </w:p>
    <w:p w:rsidR="009052AE" w:rsidRPr="005F28B2" w:rsidRDefault="00163041" w:rsidP="000361D7">
      <w:pPr>
        <w:pStyle w:val="SingleTxtG"/>
        <w:rPr>
          <w:rtl/>
          <w:lang w:val="fr-FR" w:bidi="fr-FR"/>
        </w:rPr>
      </w:pPr>
      <w:r w:rsidRPr="005F28B2">
        <w:rPr>
          <w:lang w:val="fr-FR"/>
        </w:rPr>
        <w:t>29.</w:t>
      </w:r>
      <w:r w:rsidRPr="005F28B2">
        <w:rPr>
          <w:lang w:val="fr-FR"/>
        </w:rPr>
        <w:tab/>
        <w:t>La Constitution garantit les libertés d</w:t>
      </w:r>
      <w:r w:rsidR="00E16237" w:rsidRPr="005F28B2">
        <w:rPr>
          <w:lang w:val="fr-FR"/>
        </w:rPr>
        <w:t>’</w:t>
      </w:r>
      <w:r w:rsidRPr="005F28B2">
        <w:rPr>
          <w:lang w:val="fr-FR"/>
        </w:rPr>
        <w:t>opinion</w:t>
      </w:r>
      <w:r w:rsidR="00E16237" w:rsidRPr="005F28B2">
        <w:rPr>
          <w:lang w:val="fr-FR"/>
        </w:rPr>
        <w:t>,</w:t>
      </w:r>
      <w:r w:rsidRPr="005F28B2">
        <w:rPr>
          <w:lang w:val="fr-FR"/>
        </w:rPr>
        <w:t xml:space="preserve"> de pensée</w:t>
      </w:r>
      <w:r w:rsidR="00E16237" w:rsidRPr="005F28B2">
        <w:rPr>
          <w:lang w:val="fr-FR"/>
        </w:rPr>
        <w:t>,</w:t>
      </w:r>
      <w:r w:rsidRPr="005F28B2">
        <w:rPr>
          <w:lang w:val="fr-FR"/>
        </w:rPr>
        <w:t xml:space="preserve"> d</w:t>
      </w:r>
      <w:r w:rsidR="00E16237" w:rsidRPr="005F28B2">
        <w:rPr>
          <w:lang w:val="fr-FR"/>
        </w:rPr>
        <w:t>’</w:t>
      </w:r>
      <w:r w:rsidRPr="005F28B2">
        <w:rPr>
          <w:lang w:val="fr-FR"/>
        </w:rPr>
        <w:t>expression</w:t>
      </w:r>
      <w:r w:rsidR="00E16237" w:rsidRPr="005F28B2">
        <w:rPr>
          <w:lang w:val="fr-FR"/>
        </w:rPr>
        <w:t>,</w:t>
      </w:r>
      <w:r w:rsidRPr="005F28B2">
        <w:rPr>
          <w:lang w:val="fr-FR"/>
        </w:rPr>
        <w:t xml:space="preserve"> d</w:t>
      </w:r>
      <w:r w:rsidR="00E16237" w:rsidRPr="005F28B2">
        <w:rPr>
          <w:lang w:val="fr-FR"/>
        </w:rPr>
        <w:t>’</w:t>
      </w:r>
      <w:r w:rsidRPr="005F28B2">
        <w:rPr>
          <w:lang w:val="fr-FR"/>
        </w:rPr>
        <w:t>information et de publication et interdit tout contrôle préalable sur leur exercice. Elle prévoit que l</w:t>
      </w:r>
      <w:r w:rsidR="00E16237" w:rsidRPr="005F28B2">
        <w:rPr>
          <w:lang w:val="fr-FR"/>
        </w:rPr>
        <w:t>’</w:t>
      </w:r>
      <w:r w:rsidRPr="005F28B2">
        <w:rPr>
          <w:lang w:val="fr-FR"/>
        </w:rPr>
        <w:t>État garantit le droit à l</w:t>
      </w:r>
      <w:r w:rsidR="00E16237" w:rsidRPr="005F28B2">
        <w:rPr>
          <w:lang w:val="fr-FR"/>
        </w:rPr>
        <w:t>’</w:t>
      </w:r>
      <w:r w:rsidRPr="005F28B2">
        <w:rPr>
          <w:lang w:val="fr-FR"/>
        </w:rPr>
        <w:t>information</w:t>
      </w:r>
      <w:r w:rsidR="00E16237" w:rsidRPr="005F28B2">
        <w:rPr>
          <w:lang w:val="fr-FR"/>
        </w:rPr>
        <w:t>,</w:t>
      </w:r>
      <w:r w:rsidRPr="005F28B2">
        <w:rPr>
          <w:lang w:val="fr-FR"/>
        </w:rPr>
        <w:t xml:space="preserve"> ainsi que le droit d</w:t>
      </w:r>
      <w:r w:rsidR="00E16237" w:rsidRPr="005F28B2">
        <w:rPr>
          <w:lang w:val="fr-FR"/>
        </w:rPr>
        <w:t>’</w:t>
      </w:r>
      <w:r w:rsidRPr="005F28B2">
        <w:rPr>
          <w:lang w:val="fr-FR"/>
        </w:rPr>
        <w:t>accès à l</w:t>
      </w:r>
      <w:r w:rsidR="00E16237" w:rsidRPr="005F28B2">
        <w:rPr>
          <w:lang w:val="fr-FR"/>
        </w:rPr>
        <w:t>’</w:t>
      </w:r>
      <w:r w:rsidRPr="005F28B2">
        <w:rPr>
          <w:lang w:val="fr-FR"/>
        </w:rPr>
        <w:t>information</w:t>
      </w:r>
      <w:r w:rsidR="00E16237" w:rsidRPr="005F28B2">
        <w:rPr>
          <w:lang w:val="fr-FR"/>
        </w:rPr>
        <w:t>,</w:t>
      </w:r>
      <w:r w:rsidRPr="005F28B2">
        <w:rPr>
          <w:lang w:val="fr-FR"/>
        </w:rPr>
        <w:t xml:space="preserve"> de même qu</w:t>
      </w:r>
      <w:r w:rsidR="00E16237" w:rsidRPr="005F28B2">
        <w:rPr>
          <w:lang w:val="fr-FR"/>
        </w:rPr>
        <w:t>’</w:t>
      </w:r>
      <w:r w:rsidRPr="005F28B2">
        <w:rPr>
          <w:lang w:val="fr-FR"/>
        </w:rPr>
        <w:t>il œuvre à garantir le droit d</w:t>
      </w:r>
      <w:r w:rsidR="00E16237" w:rsidRPr="005F28B2">
        <w:rPr>
          <w:lang w:val="fr-FR"/>
        </w:rPr>
        <w:t>’</w:t>
      </w:r>
      <w:r w:rsidRPr="005F28B2">
        <w:rPr>
          <w:lang w:val="fr-FR"/>
        </w:rPr>
        <w:t>accès aux réseaux de communication. La Constitution garantit également les libertés académiques et la liberté de la recherche scientifique et assure les ressources nécessaires au progrès de la recherche scientifique et technologique. Les droits d</w:t>
      </w:r>
      <w:r w:rsidR="00E16237" w:rsidRPr="005F28B2">
        <w:rPr>
          <w:lang w:val="fr-FR"/>
        </w:rPr>
        <w:t>’</w:t>
      </w:r>
      <w:r w:rsidRPr="005F28B2">
        <w:rPr>
          <w:lang w:val="fr-FR"/>
        </w:rPr>
        <w:t>élection</w:t>
      </w:r>
      <w:r w:rsidR="00E16237" w:rsidRPr="005F28B2">
        <w:rPr>
          <w:lang w:val="fr-FR"/>
        </w:rPr>
        <w:t>,</w:t>
      </w:r>
      <w:r w:rsidRPr="005F28B2">
        <w:rPr>
          <w:lang w:val="fr-FR"/>
        </w:rPr>
        <w:t xml:space="preserve"> de vote et de candidature</w:t>
      </w:r>
      <w:r w:rsidR="00E16237" w:rsidRPr="005F28B2">
        <w:rPr>
          <w:lang w:val="fr-FR"/>
        </w:rPr>
        <w:t>,</w:t>
      </w:r>
      <w:r w:rsidRPr="005F28B2">
        <w:rPr>
          <w:lang w:val="fr-FR"/>
        </w:rPr>
        <w:t xml:space="preserve"> conformément aux dispositions légales</w:t>
      </w:r>
      <w:r w:rsidR="00E16237" w:rsidRPr="005F28B2">
        <w:rPr>
          <w:lang w:val="fr-FR"/>
        </w:rPr>
        <w:t>,</w:t>
      </w:r>
      <w:r w:rsidRPr="005F28B2">
        <w:rPr>
          <w:lang w:val="fr-FR"/>
        </w:rPr>
        <w:t xml:space="preserve"> sont garantis par la Constitution et l</w:t>
      </w:r>
      <w:r w:rsidR="00E16237" w:rsidRPr="005F28B2">
        <w:rPr>
          <w:lang w:val="fr-FR"/>
        </w:rPr>
        <w:t>’</w:t>
      </w:r>
      <w:r w:rsidRPr="005F28B2">
        <w:rPr>
          <w:lang w:val="fr-FR"/>
        </w:rPr>
        <w:t>État veille à garantir la représentativité des femmes au sein des assemblées élues. La Constitution garantit la liberté de constitution des partis politiques</w:t>
      </w:r>
      <w:r w:rsidR="00E16237" w:rsidRPr="005F28B2">
        <w:rPr>
          <w:lang w:val="fr-FR"/>
        </w:rPr>
        <w:t>,</w:t>
      </w:r>
      <w:r w:rsidRPr="005F28B2">
        <w:rPr>
          <w:lang w:val="fr-FR"/>
        </w:rPr>
        <w:t xml:space="preserve"> syndicats et associations</w:t>
      </w:r>
      <w:r w:rsidR="00E16237" w:rsidRPr="005F28B2">
        <w:rPr>
          <w:lang w:val="fr-FR"/>
        </w:rPr>
        <w:t>,</w:t>
      </w:r>
      <w:r w:rsidRPr="005F28B2">
        <w:rPr>
          <w:lang w:val="fr-FR"/>
        </w:rPr>
        <w:t xml:space="preserve"> à condition qu</w:t>
      </w:r>
      <w:r w:rsidR="00E16237" w:rsidRPr="005F28B2">
        <w:rPr>
          <w:lang w:val="fr-FR"/>
        </w:rPr>
        <w:t>’</w:t>
      </w:r>
      <w:r w:rsidRPr="005F28B2">
        <w:rPr>
          <w:lang w:val="fr-FR"/>
        </w:rPr>
        <w:t>ils s</w:t>
      </w:r>
      <w:r w:rsidR="00E16237" w:rsidRPr="005F28B2">
        <w:rPr>
          <w:lang w:val="fr-FR"/>
        </w:rPr>
        <w:t>’</w:t>
      </w:r>
      <w:r w:rsidRPr="005F28B2">
        <w:rPr>
          <w:lang w:val="fr-FR"/>
        </w:rPr>
        <w:t>engagent dans leurs statuts et leurs activités à respecter les dispositions de la Constitution et de la loi</w:t>
      </w:r>
      <w:r w:rsidR="00E16237" w:rsidRPr="005F28B2">
        <w:rPr>
          <w:lang w:val="fr-FR"/>
        </w:rPr>
        <w:t>,</w:t>
      </w:r>
      <w:r w:rsidRPr="005F28B2">
        <w:rPr>
          <w:lang w:val="fr-FR"/>
        </w:rPr>
        <w:t xml:space="preserve"> à la transparence financière et au rejet de la violence. La Constitution a également consacré le droit syndical et le droit de grève</w:t>
      </w:r>
      <w:r w:rsidR="00E16237" w:rsidRPr="005F28B2">
        <w:rPr>
          <w:lang w:val="fr-FR"/>
        </w:rPr>
        <w:t>,</w:t>
      </w:r>
      <w:r w:rsidRPr="005F28B2">
        <w:rPr>
          <w:lang w:val="fr-FR"/>
        </w:rPr>
        <w:t xml:space="preserve"> lequel ne s</w:t>
      </w:r>
      <w:r w:rsidR="00E16237" w:rsidRPr="005F28B2">
        <w:rPr>
          <w:lang w:val="fr-FR"/>
        </w:rPr>
        <w:t>’</w:t>
      </w:r>
      <w:r w:rsidRPr="005F28B2">
        <w:rPr>
          <w:lang w:val="fr-FR"/>
        </w:rPr>
        <w:t>applique pas à l</w:t>
      </w:r>
      <w:r w:rsidR="00E16237" w:rsidRPr="005F28B2">
        <w:rPr>
          <w:lang w:val="fr-FR"/>
        </w:rPr>
        <w:t>’</w:t>
      </w:r>
      <w:r w:rsidRPr="005F28B2">
        <w:rPr>
          <w:lang w:val="fr-FR"/>
        </w:rPr>
        <w:t>Armée nationale</w:t>
      </w:r>
      <w:r w:rsidR="00E16237" w:rsidRPr="005F28B2">
        <w:rPr>
          <w:lang w:val="fr-FR"/>
        </w:rPr>
        <w:t>,</w:t>
      </w:r>
      <w:r w:rsidRPr="005F28B2">
        <w:rPr>
          <w:lang w:val="fr-FR"/>
        </w:rPr>
        <w:t xml:space="preserve"> aux forces de sécurité intérieure et aux agents des douanes. Les libertés de réunion et de manifestation pacifique sont pour leur part garanties. </w:t>
      </w:r>
    </w:p>
    <w:p w:rsidR="009052AE" w:rsidRPr="005F28B2" w:rsidRDefault="00163041" w:rsidP="000361D7">
      <w:pPr>
        <w:pStyle w:val="SingleTxtG"/>
        <w:rPr>
          <w:rtl/>
          <w:lang w:val="fr-FR" w:bidi="fr-FR"/>
        </w:rPr>
      </w:pPr>
      <w:r w:rsidRPr="005F28B2">
        <w:rPr>
          <w:lang w:val="fr-FR"/>
        </w:rPr>
        <w:t>30.</w:t>
      </w:r>
      <w:r w:rsidRPr="005F28B2">
        <w:rPr>
          <w:lang w:val="fr-FR"/>
        </w:rPr>
        <w:tab/>
        <w:t>La Constitution garantit le droit de chaque personne à la santé</w:t>
      </w:r>
      <w:r w:rsidR="00E16237" w:rsidRPr="005F28B2">
        <w:rPr>
          <w:lang w:val="fr-FR"/>
        </w:rPr>
        <w:t>,</w:t>
      </w:r>
      <w:r w:rsidRPr="005F28B2">
        <w:rPr>
          <w:lang w:val="fr-FR"/>
        </w:rPr>
        <w:t xml:space="preserve"> à la prévention et aux soins sanitaires</w:t>
      </w:r>
      <w:r w:rsidR="00E16237" w:rsidRPr="005F28B2">
        <w:rPr>
          <w:lang w:val="fr-FR"/>
        </w:rPr>
        <w:t>,</w:t>
      </w:r>
      <w:r w:rsidRPr="005F28B2">
        <w:rPr>
          <w:lang w:val="fr-FR"/>
        </w:rPr>
        <w:t xml:space="preserve"> ainsi qu</w:t>
      </w:r>
      <w:r w:rsidR="00E16237" w:rsidRPr="005F28B2">
        <w:rPr>
          <w:lang w:val="fr-FR"/>
        </w:rPr>
        <w:t>’</w:t>
      </w:r>
      <w:r w:rsidRPr="005F28B2">
        <w:rPr>
          <w:lang w:val="fr-FR"/>
        </w:rPr>
        <w:t>à la fourniture des moyens nécessaires à la sécurité et à la qualité des services de santé. Elle prévoit aussi la gratuité des soins au profit des personnes sans soutien ou ne disposant pas de ressources suffisantes</w:t>
      </w:r>
      <w:r w:rsidR="00E16237" w:rsidRPr="005F28B2">
        <w:rPr>
          <w:lang w:val="fr-FR"/>
        </w:rPr>
        <w:t>,</w:t>
      </w:r>
      <w:r w:rsidRPr="005F28B2">
        <w:rPr>
          <w:lang w:val="fr-FR"/>
        </w:rPr>
        <w:t xml:space="preserve"> ainsi que le droit à une couverture sociale</w:t>
      </w:r>
      <w:r w:rsidR="00E16237" w:rsidRPr="005F28B2">
        <w:rPr>
          <w:lang w:val="fr-FR"/>
        </w:rPr>
        <w:t>,</w:t>
      </w:r>
      <w:r w:rsidRPr="005F28B2">
        <w:rPr>
          <w:lang w:val="fr-FR"/>
        </w:rPr>
        <w:t xml:space="preserve"> conformément à la loi. Selon la Constitution</w:t>
      </w:r>
      <w:r w:rsidR="00E16237" w:rsidRPr="005F28B2">
        <w:rPr>
          <w:lang w:val="fr-FR"/>
        </w:rPr>
        <w:t>,</w:t>
      </w:r>
      <w:r w:rsidRPr="005F28B2">
        <w:rPr>
          <w:lang w:val="fr-FR"/>
        </w:rPr>
        <w:t xml:space="preserve"> l</w:t>
      </w:r>
      <w:r w:rsidR="00E16237" w:rsidRPr="005F28B2">
        <w:rPr>
          <w:lang w:val="fr-FR"/>
        </w:rPr>
        <w:t>’</w:t>
      </w:r>
      <w:r w:rsidRPr="005F28B2">
        <w:rPr>
          <w:lang w:val="fr-FR"/>
        </w:rPr>
        <w:t>instruction est obligatoire jusqu</w:t>
      </w:r>
      <w:r w:rsidR="00E16237" w:rsidRPr="005F28B2">
        <w:rPr>
          <w:lang w:val="fr-FR"/>
        </w:rPr>
        <w:t>’</w:t>
      </w:r>
      <w:r w:rsidRPr="005F28B2">
        <w:rPr>
          <w:lang w:val="fr-FR"/>
        </w:rPr>
        <w:t>à l</w:t>
      </w:r>
      <w:r w:rsidR="00E16237" w:rsidRPr="005F28B2">
        <w:rPr>
          <w:lang w:val="fr-FR"/>
        </w:rPr>
        <w:t>’</w:t>
      </w:r>
      <w:r w:rsidRPr="005F28B2">
        <w:rPr>
          <w:lang w:val="fr-FR"/>
        </w:rPr>
        <w:t>âge de 16</w:t>
      </w:r>
      <w:r w:rsidR="008E5AFE" w:rsidRPr="005F28B2">
        <w:rPr>
          <w:lang w:val="fr-FR"/>
        </w:rPr>
        <w:t> ans</w:t>
      </w:r>
      <w:r w:rsidRPr="005F28B2">
        <w:rPr>
          <w:lang w:val="fr-FR"/>
        </w:rPr>
        <w:t xml:space="preserve"> et le droit à un enseignement public et gratuit à tous les niveaux est garanti. L</w:t>
      </w:r>
      <w:r w:rsidR="00E16237" w:rsidRPr="005F28B2">
        <w:rPr>
          <w:lang w:val="fr-FR"/>
        </w:rPr>
        <w:t>’</w:t>
      </w:r>
      <w:r w:rsidRPr="005F28B2">
        <w:rPr>
          <w:lang w:val="fr-FR"/>
        </w:rPr>
        <w:t>État veille à diffuser la culture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garantit le droit au travail dans des conditions décentes et en contrepartie d</w:t>
      </w:r>
      <w:r w:rsidR="00E16237" w:rsidRPr="005F28B2">
        <w:rPr>
          <w:lang w:val="fr-FR"/>
        </w:rPr>
        <w:t>’</w:t>
      </w:r>
      <w:r w:rsidRPr="005F28B2">
        <w:rPr>
          <w:lang w:val="fr-FR"/>
        </w:rPr>
        <w:t>un salaire équitable</w:t>
      </w:r>
      <w:r w:rsidR="00E16237" w:rsidRPr="005F28B2">
        <w:rPr>
          <w:lang w:val="fr-FR"/>
        </w:rPr>
        <w:t>,</w:t>
      </w:r>
      <w:r w:rsidRPr="005F28B2">
        <w:rPr>
          <w:lang w:val="fr-FR"/>
        </w:rPr>
        <w:t xml:space="preserve"> de même qu</w:t>
      </w:r>
      <w:r w:rsidR="00E16237" w:rsidRPr="005F28B2">
        <w:rPr>
          <w:lang w:val="fr-FR"/>
        </w:rPr>
        <w:t>’</w:t>
      </w:r>
      <w:r w:rsidRPr="005F28B2">
        <w:rPr>
          <w:lang w:val="fr-FR"/>
        </w:rPr>
        <w:t>il garantit le droit de propriété et son inviolabilité</w:t>
      </w:r>
      <w:r w:rsidR="00E16237" w:rsidRPr="005F28B2">
        <w:rPr>
          <w:lang w:val="fr-FR"/>
        </w:rPr>
        <w:t>,</w:t>
      </w:r>
      <w:r w:rsidRPr="005F28B2">
        <w:rPr>
          <w:lang w:val="fr-FR"/>
        </w:rPr>
        <w:t xml:space="preserve"> étant précisé qu</w:t>
      </w:r>
      <w:r w:rsidR="00E16237" w:rsidRPr="005F28B2">
        <w:rPr>
          <w:lang w:val="fr-FR"/>
        </w:rPr>
        <w:t>’</w:t>
      </w:r>
      <w:r w:rsidRPr="005F28B2">
        <w:rPr>
          <w:lang w:val="fr-FR"/>
        </w:rPr>
        <w:t>il ne peut y être porté atteinte que dans les cas et avec les garanties prévues par la loi. En outre</w:t>
      </w:r>
      <w:r w:rsidR="00E16237" w:rsidRPr="005F28B2">
        <w:rPr>
          <w:lang w:val="fr-FR"/>
        </w:rPr>
        <w:t>,</w:t>
      </w:r>
      <w:r w:rsidRPr="005F28B2">
        <w:rPr>
          <w:lang w:val="fr-FR"/>
        </w:rPr>
        <w:t xml:space="preserve"> la propriété intellectuelle</w:t>
      </w:r>
      <w:r w:rsidR="00E16237" w:rsidRPr="005F28B2">
        <w:rPr>
          <w:lang w:val="fr-FR"/>
        </w:rPr>
        <w:t>,</w:t>
      </w:r>
      <w:r w:rsidRPr="005F28B2">
        <w:rPr>
          <w:lang w:val="fr-FR"/>
        </w:rPr>
        <w:t xml:space="preserve"> le droit à la culture</w:t>
      </w:r>
      <w:r w:rsidR="00E16237" w:rsidRPr="005F28B2">
        <w:rPr>
          <w:lang w:val="fr-FR"/>
        </w:rPr>
        <w:t>,</w:t>
      </w:r>
      <w:r w:rsidRPr="005F28B2">
        <w:rPr>
          <w:lang w:val="fr-FR"/>
        </w:rPr>
        <w:t xml:space="preserve"> la liberté de la création</w:t>
      </w:r>
      <w:r w:rsidR="00E16237" w:rsidRPr="005F28B2">
        <w:rPr>
          <w:lang w:val="fr-FR"/>
        </w:rPr>
        <w:t>,</w:t>
      </w:r>
      <w:r w:rsidRPr="005F28B2">
        <w:rPr>
          <w:lang w:val="fr-FR"/>
        </w:rPr>
        <w:t xml:space="preserve"> la protection du patrimoine culturel et les droits des </w:t>
      </w:r>
      <w:r w:rsidRPr="005F28B2">
        <w:rPr>
          <w:lang w:val="fr-FR"/>
        </w:rPr>
        <w:lastRenderedPageBreak/>
        <w:t>générations futures sont garantis par la Constitution et l</w:t>
      </w:r>
      <w:r w:rsidR="00E16237" w:rsidRPr="005F28B2">
        <w:rPr>
          <w:lang w:val="fr-FR"/>
        </w:rPr>
        <w:t>’</w:t>
      </w:r>
      <w:r w:rsidRPr="005F28B2">
        <w:rPr>
          <w:lang w:val="fr-FR"/>
        </w:rPr>
        <w:t>État veille à encourager l</w:t>
      </w:r>
      <w:r w:rsidR="00E16237" w:rsidRPr="005F28B2">
        <w:rPr>
          <w:lang w:val="fr-FR"/>
        </w:rPr>
        <w:t>’</w:t>
      </w:r>
      <w:r w:rsidRPr="005F28B2">
        <w:rPr>
          <w:lang w:val="fr-FR"/>
        </w:rPr>
        <w:t xml:space="preserve">exercice des activités sportives. </w:t>
      </w:r>
    </w:p>
    <w:p w:rsidR="009052AE" w:rsidRPr="005F28B2" w:rsidRDefault="00163041" w:rsidP="000361D7">
      <w:pPr>
        <w:pStyle w:val="SingleTxtG"/>
        <w:rPr>
          <w:lang w:val="fr-FR"/>
        </w:rPr>
      </w:pPr>
      <w:r w:rsidRPr="005F28B2">
        <w:rPr>
          <w:lang w:val="fr-FR"/>
        </w:rPr>
        <w:t>31.</w:t>
      </w:r>
      <w:r w:rsidRPr="005F28B2">
        <w:rPr>
          <w:lang w:val="fr-FR"/>
        </w:rPr>
        <w:tab/>
        <w:t>La Constitution a consacré les droits à l</w:t>
      </w:r>
      <w:r w:rsidR="00E16237" w:rsidRPr="005F28B2">
        <w:rPr>
          <w:lang w:val="fr-FR"/>
        </w:rPr>
        <w:t>’</w:t>
      </w:r>
      <w:r w:rsidRPr="005F28B2">
        <w:rPr>
          <w:lang w:val="fr-FR"/>
        </w:rPr>
        <w:t>eau et à un environnement sain et équilibré. Elle dispose également que l</w:t>
      </w:r>
      <w:r w:rsidR="00E16237" w:rsidRPr="005F28B2">
        <w:rPr>
          <w:lang w:val="fr-FR"/>
        </w:rPr>
        <w:t>’</w:t>
      </w:r>
      <w:r w:rsidRPr="005F28B2">
        <w:rPr>
          <w:lang w:val="fr-FR"/>
        </w:rPr>
        <w:t>État contribue à la sécurité du climat et fournit les moyens nécessaires à l</w:t>
      </w:r>
      <w:r w:rsidR="00E16237" w:rsidRPr="005F28B2">
        <w:rPr>
          <w:lang w:val="fr-FR"/>
        </w:rPr>
        <w:t>’</w:t>
      </w:r>
      <w:r w:rsidRPr="005F28B2">
        <w:rPr>
          <w:lang w:val="fr-FR"/>
        </w:rPr>
        <w:t>élimination de la pollution de l</w:t>
      </w:r>
      <w:r w:rsidR="00E16237" w:rsidRPr="005F28B2">
        <w:rPr>
          <w:lang w:val="fr-FR"/>
        </w:rPr>
        <w:t>’</w:t>
      </w:r>
      <w:r w:rsidRPr="005F28B2">
        <w:rPr>
          <w:lang w:val="fr-FR"/>
        </w:rPr>
        <w:t>environnement</w:t>
      </w:r>
      <w:r w:rsidR="00E16237" w:rsidRPr="005F28B2">
        <w:rPr>
          <w:lang w:val="fr-FR"/>
        </w:rPr>
        <w:t>,</w:t>
      </w:r>
      <w:r w:rsidRPr="005F28B2">
        <w:rPr>
          <w:lang w:val="fr-FR"/>
        </w:rPr>
        <w:t xml:space="preserve"> de même qu</w:t>
      </w:r>
      <w:r w:rsidR="00E16237" w:rsidRPr="005F28B2">
        <w:rPr>
          <w:lang w:val="fr-FR"/>
        </w:rPr>
        <w:t>’</w:t>
      </w:r>
      <w:r w:rsidRPr="005F28B2">
        <w:rPr>
          <w:lang w:val="fr-FR"/>
        </w:rPr>
        <w:t>il s</w:t>
      </w:r>
      <w:r w:rsidR="00E16237" w:rsidRPr="005F28B2">
        <w:rPr>
          <w:lang w:val="fr-FR"/>
        </w:rPr>
        <w:t>’</w:t>
      </w:r>
      <w:r w:rsidRPr="005F28B2">
        <w:rPr>
          <w:lang w:val="fr-FR"/>
        </w:rPr>
        <w:t>engage à protéger les droits acquis des femmes</w:t>
      </w:r>
      <w:r w:rsidR="00E16237" w:rsidRPr="005F28B2">
        <w:rPr>
          <w:lang w:val="fr-FR"/>
        </w:rPr>
        <w:t>,</w:t>
      </w:r>
      <w:r w:rsidRPr="005F28B2">
        <w:rPr>
          <w:lang w:val="fr-FR"/>
        </w:rPr>
        <w:t xml:space="preserve"> à les promouvoir et à les consolider</w:t>
      </w:r>
      <w:r w:rsidR="00E16237" w:rsidRPr="005F28B2">
        <w:rPr>
          <w:lang w:val="fr-FR"/>
        </w:rPr>
        <w:t>,</w:t>
      </w:r>
      <w:r w:rsidRPr="005F28B2">
        <w:rPr>
          <w:lang w:val="fr-FR"/>
        </w:rPr>
        <w:t xml:space="preserve"> à garantir l</w:t>
      </w:r>
      <w:r w:rsidR="00E16237" w:rsidRPr="005F28B2">
        <w:rPr>
          <w:lang w:val="fr-FR"/>
        </w:rPr>
        <w:t>’</w:t>
      </w:r>
      <w:r w:rsidRPr="005F28B2">
        <w:rPr>
          <w:lang w:val="fr-FR"/>
        </w:rPr>
        <w:t>égalité des chances entre hommes et femmes pour l</w:t>
      </w:r>
      <w:r w:rsidR="00E16237" w:rsidRPr="005F28B2">
        <w:rPr>
          <w:lang w:val="fr-FR"/>
        </w:rPr>
        <w:t>’</w:t>
      </w:r>
      <w:r w:rsidRPr="005F28B2">
        <w:rPr>
          <w:lang w:val="fr-FR"/>
        </w:rPr>
        <w:t>accès aux diverses responsabilités et dans tous les domaines</w:t>
      </w:r>
      <w:r w:rsidR="00E16237" w:rsidRPr="005F28B2">
        <w:rPr>
          <w:lang w:val="fr-FR"/>
        </w:rPr>
        <w:t>,</w:t>
      </w:r>
      <w:r w:rsidRPr="005F28B2">
        <w:rPr>
          <w:lang w:val="fr-FR"/>
        </w:rPr>
        <w:t xml:space="preserve"> à réaliser la parité entre hommes et femmes au sein des assemblées élues et à prendre les mesures nécessaires visant à éradiquer la violence faite aux femmes. La protection des enfants incombe aux parents</w:t>
      </w:r>
      <w:r w:rsidR="00E16237" w:rsidRPr="005F28B2">
        <w:rPr>
          <w:lang w:val="fr-FR"/>
        </w:rPr>
        <w:t>,</w:t>
      </w:r>
      <w:r w:rsidRPr="005F28B2">
        <w:rPr>
          <w:lang w:val="fr-FR"/>
        </w:rPr>
        <w:t xml:space="preserve"> mais l</w:t>
      </w:r>
      <w:r w:rsidR="00E16237" w:rsidRPr="005F28B2">
        <w:rPr>
          <w:lang w:val="fr-FR"/>
        </w:rPr>
        <w:t>’</w:t>
      </w:r>
      <w:r w:rsidRPr="005F28B2">
        <w:rPr>
          <w:lang w:val="fr-FR"/>
        </w:rPr>
        <w:t>État doit pour sa part leur garantir les droits à la dignité</w:t>
      </w:r>
      <w:r w:rsidR="00E16237" w:rsidRPr="005F28B2">
        <w:rPr>
          <w:lang w:val="fr-FR"/>
        </w:rPr>
        <w:t>,</w:t>
      </w:r>
      <w:r w:rsidRPr="005F28B2">
        <w:rPr>
          <w:lang w:val="fr-FR"/>
        </w:rPr>
        <w:t xml:space="preserve"> à la santé</w:t>
      </w:r>
      <w:r w:rsidR="00E16237" w:rsidRPr="005F28B2">
        <w:rPr>
          <w:lang w:val="fr-FR"/>
        </w:rPr>
        <w:t>,</w:t>
      </w:r>
      <w:r w:rsidRPr="005F28B2">
        <w:rPr>
          <w:lang w:val="fr-FR"/>
        </w:rPr>
        <w:t xml:space="preserve"> aux soins</w:t>
      </w:r>
      <w:r w:rsidR="00E16237" w:rsidRPr="005F28B2">
        <w:rPr>
          <w:lang w:val="fr-FR"/>
        </w:rPr>
        <w:t>,</w:t>
      </w:r>
      <w:r w:rsidRPr="005F28B2">
        <w:rPr>
          <w:lang w:val="fr-FR"/>
        </w:rPr>
        <w:t xml:space="preserve"> à l</w:t>
      </w:r>
      <w:r w:rsidR="00E16237" w:rsidRPr="005F28B2">
        <w:rPr>
          <w:lang w:val="fr-FR"/>
        </w:rPr>
        <w:t>’</w:t>
      </w:r>
      <w:r w:rsidRPr="005F28B2">
        <w:rPr>
          <w:lang w:val="fr-FR"/>
        </w:rPr>
        <w:t>éducation et à l</w:t>
      </w:r>
      <w:r w:rsidR="00E16237" w:rsidRPr="005F28B2">
        <w:rPr>
          <w:lang w:val="fr-FR"/>
        </w:rPr>
        <w:t>’</w:t>
      </w:r>
      <w:r w:rsidRPr="005F28B2">
        <w:rPr>
          <w:lang w:val="fr-FR"/>
        </w:rPr>
        <w:t>enseignement et leur fournir toute forme de protection</w:t>
      </w:r>
      <w:r w:rsidR="00E16237" w:rsidRPr="005F28B2">
        <w:rPr>
          <w:lang w:val="fr-FR"/>
        </w:rPr>
        <w:t>,</w:t>
      </w:r>
      <w:r w:rsidRPr="005F28B2">
        <w:rPr>
          <w:lang w:val="fr-FR"/>
        </w:rPr>
        <w:t xml:space="preserve"> sans discrimination et conformément à leur intérêt supérieur. Il appartient également à l</w:t>
      </w:r>
      <w:r w:rsidR="00E16237" w:rsidRPr="005F28B2">
        <w:rPr>
          <w:lang w:val="fr-FR"/>
        </w:rPr>
        <w:t>’</w:t>
      </w:r>
      <w:r w:rsidRPr="005F28B2">
        <w:rPr>
          <w:lang w:val="fr-FR"/>
        </w:rPr>
        <w:t>État de protéger les personnes handicapées contre toute forme de discrimination et de les faire bénéficier</w:t>
      </w:r>
      <w:r w:rsidR="00E16237" w:rsidRPr="005F28B2">
        <w:rPr>
          <w:lang w:val="fr-FR"/>
        </w:rPr>
        <w:t>,</w:t>
      </w:r>
      <w:r w:rsidRPr="005F28B2">
        <w:rPr>
          <w:lang w:val="fr-FR"/>
        </w:rPr>
        <w:t xml:space="preserve"> selon la nature de leur handicap</w:t>
      </w:r>
      <w:r w:rsidR="00E16237" w:rsidRPr="005F28B2">
        <w:rPr>
          <w:lang w:val="fr-FR"/>
        </w:rPr>
        <w:t>,</w:t>
      </w:r>
      <w:r w:rsidRPr="005F28B2">
        <w:rPr>
          <w:lang w:val="fr-FR"/>
        </w:rPr>
        <w:t xml:space="preserve"> de toutes les mesures leur garantissant une pleine intégration au sein de la société.</w:t>
      </w:r>
    </w:p>
    <w:p w:rsidR="009052AE" w:rsidRPr="005F28B2" w:rsidRDefault="00163041" w:rsidP="000361D7">
      <w:pPr>
        <w:pStyle w:val="H23G"/>
        <w:rPr>
          <w:lang w:val="fr-FR"/>
        </w:rPr>
      </w:pPr>
      <w:r w:rsidRPr="005F28B2">
        <w:rPr>
          <w:rFonts w:eastAsia="Traditional Arabic"/>
          <w:lang w:val="fr-FR"/>
        </w:rPr>
        <w:tab/>
      </w:r>
      <w:r w:rsidRPr="005F28B2">
        <w:rPr>
          <w:rFonts w:eastAsia="Traditional Arabic"/>
          <w:lang w:val="fr-FR"/>
        </w:rPr>
        <w:tab/>
        <w:t>Restrictions relatives à l</w:t>
      </w:r>
      <w:r w:rsidR="00E16237" w:rsidRPr="005F28B2">
        <w:rPr>
          <w:rFonts w:eastAsia="Traditional Arabic"/>
          <w:lang w:val="fr-FR"/>
        </w:rPr>
        <w:t>’</w:t>
      </w:r>
      <w:r w:rsidRPr="005F28B2">
        <w:rPr>
          <w:rFonts w:eastAsia="Traditional Arabic"/>
          <w:lang w:val="fr-FR"/>
        </w:rPr>
        <w:t>exercice des droits et libertés garantis par la Constitution</w:t>
      </w:r>
    </w:p>
    <w:p w:rsidR="009052AE" w:rsidRPr="005F28B2" w:rsidRDefault="00163041" w:rsidP="000361D7">
      <w:pPr>
        <w:pStyle w:val="SingleTxtG"/>
        <w:rPr>
          <w:rtl/>
          <w:lang w:val="fr-FR" w:bidi="fr-FR"/>
        </w:rPr>
      </w:pPr>
      <w:r w:rsidRPr="005F28B2">
        <w:rPr>
          <w:lang w:val="fr-FR"/>
        </w:rPr>
        <w:t>32.</w:t>
      </w:r>
      <w:r w:rsidRPr="005F28B2">
        <w:rPr>
          <w:lang w:val="fr-FR"/>
        </w:rPr>
        <w:tab/>
        <w:t>La Constitution de 2014 prévoit qu</w:t>
      </w:r>
      <w:r w:rsidR="00E16237" w:rsidRPr="005F28B2">
        <w:rPr>
          <w:lang w:val="fr-FR"/>
        </w:rPr>
        <w:t>’</w:t>
      </w:r>
      <w:r w:rsidRPr="005F28B2">
        <w:rPr>
          <w:lang w:val="fr-FR"/>
        </w:rPr>
        <w:t>aucun amendement ne peut porter atteinte aux acquis en matière de droits et libertés garantis par ses dispositions et que seule la loi peut fixer des restrictions concernant leur exercice</w:t>
      </w:r>
      <w:r w:rsidR="00E16237" w:rsidRPr="005F28B2">
        <w:rPr>
          <w:lang w:val="fr-FR"/>
        </w:rPr>
        <w:t>,</w:t>
      </w:r>
      <w:r w:rsidRPr="005F28B2">
        <w:rPr>
          <w:lang w:val="fr-FR"/>
        </w:rPr>
        <w:t xml:space="preserve"> sans les vider de leur essence. Elle ajoute que ces restrictions ne peuvent être établies que pour répondre aux exigences d</w:t>
      </w:r>
      <w:r w:rsidR="00E16237" w:rsidRPr="005F28B2">
        <w:rPr>
          <w:lang w:val="fr-FR"/>
        </w:rPr>
        <w:t>’</w:t>
      </w:r>
      <w:r w:rsidRPr="005F28B2">
        <w:rPr>
          <w:lang w:val="fr-FR"/>
        </w:rPr>
        <w:t>un État civil et démocratique</w:t>
      </w:r>
      <w:r w:rsidR="00E16237" w:rsidRPr="005F28B2">
        <w:rPr>
          <w:lang w:val="fr-FR"/>
        </w:rPr>
        <w:t>,</w:t>
      </w:r>
      <w:r w:rsidRPr="005F28B2">
        <w:rPr>
          <w:lang w:val="fr-FR"/>
        </w:rPr>
        <w:t xml:space="preserve"> et en vue de sauvegarder les droits d</w:t>
      </w:r>
      <w:r w:rsidR="00E16237" w:rsidRPr="005F28B2">
        <w:rPr>
          <w:lang w:val="fr-FR"/>
        </w:rPr>
        <w:t>’</w:t>
      </w:r>
      <w:r w:rsidRPr="005F28B2">
        <w:rPr>
          <w:lang w:val="fr-FR"/>
        </w:rPr>
        <w:t>autrui ou les impératifs de la sûreté publique</w:t>
      </w:r>
      <w:r w:rsidR="00E16237" w:rsidRPr="005F28B2">
        <w:rPr>
          <w:lang w:val="fr-FR"/>
        </w:rPr>
        <w:t>,</w:t>
      </w:r>
      <w:r w:rsidRPr="005F28B2">
        <w:rPr>
          <w:lang w:val="fr-FR"/>
        </w:rPr>
        <w:t xml:space="preserve"> de la défense nationale</w:t>
      </w:r>
      <w:r w:rsidR="00E16237" w:rsidRPr="005F28B2">
        <w:rPr>
          <w:lang w:val="fr-FR"/>
        </w:rPr>
        <w:t>,</w:t>
      </w:r>
      <w:r w:rsidRPr="005F28B2">
        <w:rPr>
          <w:lang w:val="fr-FR"/>
        </w:rPr>
        <w:t xml:space="preserve"> de la santé publique ou de la moralité publique</w:t>
      </w:r>
      <w:r w:rsidR="00E16237" w:rsidRPr="005F28B2">
        <w:rPr>
          <w:lang w:val="fr-FR"/>
        </w:rPr>
        <w:t>,</w:t>
      </w:r>
      <w:r w:rsidRPr="005F28B2">
        <w:rPr>
          <w:lang w:val="fr-FR"/>
        </w:rPr>
        <w:t xml:space="preserve"> tout en respectant la proportionnalité entre ces restrictions et leurs justifications et en précisant que les instances juridictionnelles veillent à la protection des droits et libertés contre toute atteinte (art. 49 de la Constitution). La Constitution a confié à la magistrature</w:t>
      </w:r>
      <w:r w:rsidR="00E16237" w:rsidRPr="005F28B2">
        <w:rPr>
          <w:lang w:val="fr-FR"/>
        </w:rPr>
        <w:t>,</w:t>
      </w:r>
      <w:r w:rsidRPr="005F28B2">
        <w:rPr>
          <w:lang w:val="fr-FR"/>
        </w:rPr>
        <w:t xml:space="preserve"> en tant que pouvoir indépendant</w:t>
      </w:r>
      <w:r w:rsidR="00E16237" w:rsidRPr="005F28B2">
        <w:rPr>
          <w:lang w:val="fr-FR"/>
        </w:rPr>
        <w:t>,</w:t>
      </w:r>
      <w:r w:rsidRPr="005F28B2">
        <w:rPr>
          <w:lang w:val="fr-FR"/>
        </w:rPr>
        <w:t xml:space="preserve"> la mission de garantir l</w:t>
      </w:r>
      <w:r w:rsidR="00E16237" w:rsidRPr="005F28B2">
        <w:rPr>
          <w:lang w:val="fr-FR"/>
        </w:rPr>
        <w:t>’</w:t>
      </w:r>
      <w:r w:rsidRPr="005F28B2">
        <w:rPr>
          <w:lang w:val="fr-FR"/>
        </w:rPr>
        <w:t>instauration de la justice</w:t>
      </w:r>
      <w:r w:rsidR="00E16237" w:rsidRPr="005F28B2">
        <w:rPr>
          <w:lang w:val="fr-FR"/>
        </w:rPr>
        <w:t>,</w:t>
      </w:r>
      <w:r w:rsidRPr="005F28B2">
        <w:rPr>
          <w:lang w:val="fr-FR"/>
        </w:rPr>
        <w:t xml:space="preserve"> la suprématie de la Constitution</w:t>
      </w:r>
      <w:r w:rsidR="00E16237" w:rsidRPr="005F28B2">
        <w:rPr>
          <w:lang w:val="fr-FR"/>
        </w:rPr>
        <w:t>,</w:t>
      </w:r>
      <w:r w:rsidRPr="005F28B2">
        <w:rPr>
          <w:lang w:val="fr-FR"/>
        </w:rPr>
        <w:t xml:space="preserve"> la souveraineté de la loi et la protection des droits et libertés (art. 102). Selon la Constitution</w:t>
      </w:r>
      <w:r w:rsidR="00E16237" w:rsidRPr="005F28B2">
        <w:rPr>
          <w:lang w:val="fr-FR"/>
        </w:rPr>
        <w:t>,</w:t>
      </w:r>
      <w:r w:rsidRPr="005F28B2">
        <w:rPr>
          <w:lang w:val="fr-FR"/>
        </w:rPr>
        <w:t xml:space="preserve"> la profession d</w:t>
      </w:r>
      <w:r w:rsidR="00E16237" w:rsidRPr="005F28B2">
        <w:rPr>
          <w:lang w:val="fr-FR"/>
        </w:rPr>
        <w:t>’</w:t>
      </w:r>
      <w:r w:rsidRPr="005F28B2">
        <w:rPr>
          <w:lang w:val="fr-FR"/>
        </w:rPr>
        <w:t>avocat est libre et indépendante et participe à l</w:t>
      </w:r>
      <w:r w:rsidR="00E16237" w:rsidRPr="005F28B2">
        <w:rPr>
          <w:lang w:val="fr-FR"/>
        </w:rPr>
        <w:t>’</w:t>
      </w:r>
      <w:r w:rsidRPr="005F28B2">
        <w:rPr>
          <w:lang w:val="fr-FR"/>
        </w:rPr>
        <w:t>instauration de la justice et à la défense des droits et libertés (art.</w:t>
      </w:r>
      <w:r w:rsidR="007D1D19" w:rsidRPr="005F28B2">
        <w:rPr>
          <w:lang w:val="fr-FR"/>
        </w:rPr>
        <w:t> </w:t>
      </w:r>
      <w:r w:rsidRPr="005F28B2">
        <w:rPr>
          <w:lang w:val="fr-FR"/>
        </w:rPr>
        <w:t>105). En outre</w:t>
      </w:r>
      <w:r w:rsidR="00E16237" w:rsidRPr="005F28B2">
        <w:rPr>
          <w:lang w:val="fr-FR"/>
        </w:rPr>
        <w:t>,</w:t>
      </w:r>
      <w:r w:rsidRPr="005F28B2">
        <w:rPr>
          <w:lang w:val="fr-FR"/>
        </w:rPr>
        <w:t xml:space="preserve"> en cas de saisine de la Cour constitutionnelle sur la base d</w:t>
      </w:r>
      <w:r w:rsidR="00E16237" w:rsidRPr="005F28B2">
        <w:rPr>
          <w:lang w:val="fr-FR"/>
        </w:rPr>
        <w:t>’</w:t>
      </w:r>
      <w:r w:rsidRPr="005F28B2">
        <w:rPr>
          <w:lang w:val="fr-FR"/>
        </w:rPr>
        <w:t>une exception d</w:t>
      </w:r>
      <w:r w:rsidR="00E16237" w:rsidRPr="005F28B2">
        <w:rPr>
          <w:lang w:val="fr-FR"/>
        </w:rPr>
        <w:t>’</w:t>
      </w:r>
      <w:r w:rsidRPr="005F28B2">
        <w:rPr>
          <w:lang w:val="fr-FR"/>
        </w:rPr>
        <w:t>inconstitutionnalité</w:t>
      </w:r>
      <w:r w:rsidR="00E16237" w:rsidRPr="005F28B2">
        <w:rPr>
          <w:lang w:val="fr-FR"/>
        </w:rPr>
        <w:t>,</w:t>
      </w:r>
      <w:r w:rsidRPr="005F28B2">
        <w:rPr>
          <w:lang w:val="fr-FR"/>
        </w:rPr>
        <w:t xml:space="preserve"> cette instance peut contribuer à la protection des droits et libertés (art. 123).</w:t>
      </w:r>
    </w:p>
    <w:p w:rsidR="009052AE" w:rsidRPr="005F28B2" w:rsidRDefault="00163041" w:rsidP="000361D7">
      <w:pPr>
        <w:pStyle w:val="H23G"/>
        <w:rPr>
          <w:rtl/>
          <w:lang w:val="fr-FR" w:bidi="fr-FR"/>
        </w:rPr>
      </w:pPr>
      <w:r w:rsidRPr="005F28B2">
        <w:rPr>
          <w:lang w:val="fr-FR"/>
        </w:rPr>
        <w:tab/>
      </w:r>
      <w:bookmarkStart w:id="12" w:name="_Toc478218486"/>
      <w:r w:rsidRPr="005F28B2">
        <w:rPr>
          <w:lang w:val="fr-FR"/>
        </w:rPr>
        <w:tab/>
        <w:t>Protection législative des droits de l</w:t>
      </w:r>
      <w:r w:rsidR="00E16237" w:rsidRPr="005F28B2">
        <w:rPr>
          <w:lang w:val="fr-FR"/>
        </w:rPr>
        <w:t>’</w:t>
      </w:r>
      <w:r w:rsidRPr="005F28B2">
        <w:rPr>
          <w:lang w:val="fr-FR"/>
        </w:rPr>
        <w:t>homme</w:t>
      </w:r>
      <w:bookmarkEnd w:id="12"/>
    </w:p>
    <w:p w:rsidR="009052AE" w:rsidRPr="005F28B2" w:rsidRDefault="00163041" w:rsidP="000361D7">
      <w:pPr>
        <w:pStyle w:val="SingleTxtG"/>
        <w:rPr>
          <w:lang w:val="fr-FR"/>
        </w:rPr>
      </w:pPr>
      <w:r w:rsidRPr="005F28B2">
        <w:rPr>
          <w:lang w:val="fr-FR"/>
        </w:rPr>
        <w:t>33.</w:t>
      </w:r>
      <w:r w:rsidRPr="005F28B2">
        <w:rPr>
          <w:lang w:val="fr-FR"/>
        </w:rPr>
        <w:tab/>
        <w:t>Le législateur tunisien a consacré un certain nombre de droits et libertés avant l</w:t>
      </w:r>
      <w:r w:rsidR="00E16237" w:rsidRPr="005F28B2">
        <w:rPr>
          <w:lang w:val="fr-FR"/>
        </w:rPr>
        <w:t>’</w:t>
      </w:r>
      <w:r w:rsidRPr="005F28B2">
        <w:rPr>
          <w:lang w:val="fr-FR"/>
        </w:rPr>
        <w:t>adoption de la Constitution de 2014 et a renforcé leur protection ultérieurement</w:t>
      </w:r>
      <w:r w:rsidR="00E16237" w:rsidRPr="005F28B2">
        <w:rPr>
          <w:lang w:val="fr-FR"/>
        </w:rPr>
        <w:t>,</w:t>
      </w:r>
      <w:r w:rsidRPr="005F28B2">
        <w:rPr>
          <w:lang w:val="fr-FR"/>
        </w:rPr>
        <w:t xml:space="preserve"> au moyen de l</w:t>
      </w:r>
      <w:r w:rsidR="00E16237" w:rsidRPr="005F28B2">
        <w:rPr>
          <w:lang w:val="fr-FR"/>
        </w:rPr>
        <w:t>’</w:t>
      </w:r>
      <w:r w:rsidRPr="005F28B2">
        <w:rPr>
          <w:lang w:val="fr-FR"/>
        </w:rPr>
        <w:t xml:space="preserve">adoption accélérée de plusieurs textes venant concrétiser les engagements de la Tunisie au titre des instruments internationaux ratifiés par le pays ou auxquels il a adhéré. </w:t>
      </w:r>
    </w:p>
    <w:p w:rsidR="009052AE" w:rsidRPr="005F28B2" w:rsidRDefault="00163041" w:rsidP="000361D7">
      <w:pPr>
        <w:pStyle w:val="H23G"/>
        <w:rPr>
          <w:rtl/>
          <w:lang w:val="fr-FR" w:bidi="fr-FR"/>
        </w:rPr>
      </w:pPr>
      <w:r w:rsidRPr="005F28B2">
        <w:rPr>
          <w:lang w:val="fr-FR"/>
        </w:rPr>
        <w:tab/>
      </w:r>
      <w:bookmarkStart w:id="13" w:name="_Toc478218487"/>
      <w:r w:rsidRPr="005F28B2">
        <w:rPr>
          <w:lang w:val="fr-FR"/>
        </w:rPr>
        <w:t>1.</w:t>
      </w:r>
      <w:r w:rsidRPr="005F28B2">
        <w:rPr>
          <w:lang w:val="fr-FR"/>
        </w:rPr>
        <w:tab/>
        <w:t>Protection légale des droits civils et politiques</w:t>
      </w:r>
      <w:bookmarkEnd w:id="13"/>
    </w:p>
    <w:p w:rsidR="009052AE" w:rsidRPr="005F28B2" w:rsidRDefault="00163041" w:rsidP="000361D7">
      <w:pPr>
        <w:pStyle w:val="SingleTxtG"/>
        <w:rPr>
          <w:lang w:val="fr-FR"/>
        </w:rPr>
      </w:pPr>
      <w:r w:rsidRPr="005F28B2">
        <w:rPr>
          <w:lang w:val="fr-FR"/>
        </w:rPr>
        <w:t>34.</w:t>
      </w:r>
      <w:r w:rsidRPr="005F28B2">
        <w:rPr>
          <w:lang w:val="fr-FR"/>
        </w:rPr>
        <w:tab/>
        <w:t>Le Code pénal adopté en 1913</w:t>
      </w:r>
      <w:r w:rsidRPr="005F28B2">
        <w:rPr>
          <w:rStyle w:val="Appelnotedebasdep"/>
          <w:lang w:val="fr-FR"/>
        </w:rPr>
        <w:footnoteReference w:id="11"/>
      </w:r>
      <w:r w:rsidRPr="005F28B2">
        <w:rPr>
          <w:lang w:val="fr-FR"/>
        </w:rPr>
        <w:t xml:space="preserve"> inclut les infractions passibles de sanction commises sur le territoire tunisien. Il s</w:t>
      </w:r>
      <w:r w:rsidR="00E16237" w:rsidRPr="005F28B2">
        <w:rPr>
          <w:lang w:val="fr-FR"/>
        </w:rPr>
        <w:t>’</w:t>
      </w:r>
      <w:r w:rsidRPr="005F28B2">
        <w:rPr>
          <w:lang w:val="fr-FR"/>
        </w:rPr>
        <w:t>agit de la réglementation pénale de droit commun relative aux incriminations et aux sanctions en Tunisie</w:t>
      </w:r>
      <w:r w:rsidR="00E16237" w:rsidRPr="005F28B2">
        <w:rPr>
          <w:lang w:val="fr-FR"/>
        </w:rPr>
        <w:t>,</w:t>
      </w:r>
      <w:r w:rsidRPr="005F28B2">
        <w:rPr>
          <w:lang w:val="fr-FR"/>
        </w:rPr>
        <w:t xml:space="preserve"> qui a subi un certain nombre de modifications substantielles en 2005</w:t>
      </w:r>
      <w:r w:rsidRPr="005F28B2">
        <w:rPr>
          <w:rStyle w:val="Appelnotedebasdep"/>
          <w:lang w:val="fr-FR"/>
        </w:rPr>
        <w:footnoteReference w:id="12"/>
      </w:r>
      <w:r w:rsidRPr="005F28B2">
        <w:rPr>
          <w:lang w:val="fr-FR"/>
        </w:rPr>
        <w:t>. Ce Code a été révisé plusieurs fois par différents textes</w:t>
      </w:r>
      <w:r w:rsidR="00E16237" w:rsidRPr="005F28B2">
        <w:rPr>
          <w:lang w:val="fr-FR"/>
        </w:rPr>
        <w:t>,</w:t>
      </w:r>
      <w:r w:rsidRPr="005F28B2">
        <w:rPr>
          <w:lang w:val="fr-FR"/>
        </w:rPr>
        <w:t xml:space="preserve"> notamment par la loi portant suppression de la peine d</w:t>
      </w:r>
      <w:r w:rsidR="00175BE9" w:rsidRPr="005F28B2">
        <w:rPr>
          <w:lang w:val="fr-FR"/>
        </w:rPr>
        <w:t>e travaux forcés adoptée en </w:t>
      </w:r>
      <w:r w:rsidRPr="005F28B2">
        <w:rPr>
          <w:lang w:val="fr-FR"/>
        </w:rPr>
        <w:t>1989</w:t>
      </w:r>
      <w:r w:rsidRPr="005F28B2">
        <w:rPr>
          <w:rStyle w:val="Appelnotedebasdep"/>
          <w:lang w:val="fr-FR"/>
        </w:rPr>
        <w:footnoteReference w:id="13"/>
      </w:r>
      <w:r w:rsidR="00E16237" w:rsidRPr="005F28B2">
        <w:rPr>
          <w:lang w:val="fr-FR"/>
        </w:rPr>
        <w:t>,</w:t>
      </w:r>
      <w:r w:rsidRPr="005F28B2">
        <w:rPr>
          <w:lang w:val="fr-FR"/>
        </w:rPr>
        <w:t xml:space="preserve"> ainsi que par la loi incriminant la torture en 1999</w:t>
      </w:r>
      <w:r w:rsidRPr="005F28B2">
        <w:rPr>
          <w:rStyle w:val="Appelnotedebasdep"/>
          <w:lang w:val="fr-FR"/>
        </w:rPr>
        <w:footnoteReference w:id="14"/>
      </w:r>
      <w:r w:rsidRPr="005F28B2">
        <w:rPr>
          <w:lang w:val="fr-FR"/>
        </w:rPr>
        <w:t xml:space="preserve">. Le Code pénal a également </w:t>
      </w:r>
      <w:r w:rsidRPr="005F28B2">
        <w:rPr>
          <w:lang w:val="fr-FR"/>
        </w:rPr>
        <w:lastRenderedPageBreak/>
        <w:t>été modifié et complété par un décret-loi de 2011</w:t>
      </w:r>
      <w:r w:rsidRPr="005F28B2">
        <w:rPr>
          <w:rStyle w:val="Appelnotedebasdep"/>
          <w:lang w:val="fr-FR"/>
        </w:rPr>
        <w:footnoteReference w:id="15"/>
      </w:r>
      <w:r w:rsidR="00E16237" w:rsidRPr="005F28B2">
        <w:rPr>
          <w:lang w:val="fr-FR"/>
        </w:rPr>
        <w:t>,</w:t>
      </w:r>
      <w:r w:rsidRPr="005F28B2">
        <w:rPr>
          <w:lang w:val="fr-FR"/>
        </w:rPr>
        <w:t xml:space="preserve"> ainsi que par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2010-40 pénalisant les actes de correction infligés à un enfant par des personnes ayant autorité sur lui</w:t>
      </w:r>
      <w:r w:rsidR="00E16237" w:rsidRPr="005F28B2">
        <w:rPr>
          <w:lang w:val="fr-FR"/>
        </w:rPr>
        <w:t>,</w:t>
      </w:r>
      <w:r w:rsidRPr="005F28B2">
        <w:rPr>
          <w:lang w:val="fr-FR"/>
        </w:rPr>
        <w:t xml:space="preserve"> telles que parents ou éducateurs</w:t>
      </w:r>
      <w:r w:rsidRPr="005F28B2">
        <w:rPr>
          <w:rStyle w:val="Appelnotedebasdep"/>
          <w:lang w:val="fr-FR"/>
        </w:rPr>
        <w:footnoteReference w:id="16"/>
      </w:r>
      <w:r w:rsidRPr="005F28B2">
        <w:rPr>
          <w:lang w:val="fr-FR"/>
        </w:rPr>
        <w:t xml:space="preserve">. </w:t>
      </w:r>
    </w:p>
    <w:p w:rsidR="009052AE" w:rsidRPr="005F28B2" w:rsidRDefault="00163041" w:rsidP="000361D7">
      <w:pPr>
        <w:pStyle w:val="SingleTxtG"/>
        <w:rPr>
          <w:lang w:val="fr-FR"/>
        </w:rPr>
      </w:pPr>
      <w:r w:rsidRPr="005F28B2">
        <w:rPr>
          <w:lang w:val="fr-FR"/>
        </w:rPr>
        <w:t>35.</w:t>
      </w:r>
      <w:r w:rsidRPr="005F28B2">
        <w:rPr>
          <w:lang w:val="fr-FR"/>
        </w:rPr>
        <w:tab/>
        <w:t>Le Code de procédure pénale promulgué en 1968</w:t>
      </w:r>
      <w:r w:rsidRPr="005F28B2">
        <w:rPr>
          <w:rStyle w:val="Appelnotedebasdep"/>
          <w:lang w:val="fr-FR"/>
        </w:rPr>
        <w:footnoteReference w:id="17"/>
      </w:r>
      <w:r w:rsidRPr="005F28B2">
        <w:rPr>
          <w:lang w:val="fr-FR"/>
        </w:rPr>
        <w:t xml:space="preserve"> constitue le droit commun de la procédure à suivre devant les juridictions pénales et régit les règles de la garde à vue</w:t>
      </w:r>
      <w:r w:rsidR="00E16237" w:rsidRPr="005F28B2">
        <w:rPr>
          <w:lang w:val="fr-FR"/>
        </w:rPr>
        <w:t>,</w:t>
      </w:r>
      <w:r w:rsidRPr="005F28B2">
        <w:rPr>
          <w:lang w:val="fr-FR"/>
        </w:rPr>
        <w:t xml:space="preserve"> des poursuites</w:t>
      </w:r>
      <w:r w:rsidR="00E16237" w:rsidRPr="005F28B2">
        <w:rPr>
          <w:lang w:val="fr-FR"/>
        </w:rPr>
        <w:t>,</w:t>
      </w:r>
      <w:r w:rsidRPr="005F28B2">
        <w:rPr>
          <w:lang w:val="fr-FR"/>
        </w:rPr>
        <w:t xml:space="preserve"> de l</w:t>
      </w:r>
      <w:r w:rsidR="00E16237" w:rsidRPr="005F28B2">
        <w:rPr>
          <w:lang w:val="fr-FR"/>
        </w:rPr>
        <w:t>’</w:t>
      </w:r>
      <w:r w:rsidRPr="005F28B2">
        <w:rPr>
          <w:lang w:val="fr-FR"/>
        </w:rPr>
        <w:t>instruction et du jugement. Ce texte précise les parties ayant vocation à intervenir dans le cadre d</w:t>
      </w:r>
      <w:r w:rsidR="00E16237" w:rsidRPr="005F28B2">
        <w:rPr>
          <w:lang w:val="fr-FR"/>
        </w:rPr>
        <w:t>’</w:t>
      </w:r>
      <w:r w:rsidRPr="005F28B2">
        <w:rPr>
          <w:lang w:val="fr-FR"/>
        </w:rPr>
        <w:t>un procès pénal (police judiciaire</w:t>
      </w:r>
      <w:r w:rsidR="00E16237" w:rsidRPr="005F28B2">
        <w:rPr>
          <w:lang w:val="fr-FR"/>
        </w:rPr>
        <w:t>,</w:t>
      </w:r>
      <w:r w:rsidRPr="005F28B2">
        <w:rPr>
          <w:lang w:val="fr-FR"/>
        </w:rPr>
        <w:t xml:space="preserve"> ministère public</w:t>
      </w:r>
      <w:r w:rsidR="00E16237" w:rsidRPr="005F28B2">
        <w:rPr>
          <w:lang w:val="fr-FR"/>
        </w:rPr>
        <w:t>,</w:t>
      </w:r>
      <w:r w:rsidRPr="005F28B2">
        <w:rPr>
          <w:lang w:val="fr-FR"/>
        </w:rPr>
        <w:t xml:space="preserve"> juges d</w:t>
      </w:r>
      <w:r w:rsidR="00E16237" w:rsidRPr="005F28B2">
        <w:rPr>
          <w:lang w:val="fr-FR"/>
        </w:rPr>
        <w:t>’</w:t>
      </w:r>
      <w:r w:rsidRPr="005F28B2">
        <w:rPr>
          <w:lang w:val="fr-FR"/>
        </w:rPr>
        <w:t>instruction et tribunaux pénaux) ainsi que leurs compétences respectives</w:t>
      </w:r>
      <w:r w:rsidR="00E16237" w:rsidRPr="005F28B2">
        <w:rPr>
          <w:lang w:val="fr-FR"/>
        </w:rPr>
        <w:t>,</w:t>
      </w:r>
      <w:r w:rsidRPr="005F28B2">
        <w:rPr>
          <w:lang w:val="fr-FR"/>
        </w:rPr>
        <w:t xml:space="preserve"> les garanties accordées au prévenu pendant la garde à vue</w:t>
      </w:r>
      <w:r w:rsidR="00E16237" w:rsidRPr="005F28B2">
        <w:rPr>
          <w:lang w:val="fr-FR"/>
        </w:rPr>
        <w:t>,</w:t>
      </w:r>
      <w:r w:rsidRPr="005F28B2">
        <w:rPr>
          <w:lang w:val="fr-FR"/>
        </w:rPr>
        <w:t xml:space="preserve"> la détention provisoire et au cours des différents stades de l</w:t>
      </w:r>
      <w:r w:rsidR="00E16237" w:rsidRPr="005F28B2">
        <w:rPr>
          <w:lang w:val="fr-FR"/>
        </w:rPr>
        <w:t>’</w:t>
      </w:r>
      <w:r w:rsidRPr="005F28B2">
        <w:rPr>
          <w:lang w:val="fr-FR"/>
        </w:rPr>
        <w:t>enquête</w:t>
      </w:r>
      <w:r w:rsidR="00E16237" w:rsidRPr="005F28B2">
        <w:rPr>
          <w:lang w:val="fr-FR"/>
        </w:rPr>
        <w:t>,</w:t>
      </w:r>
      <w:r w:rsidRPr="005F28B2">
        <w:rPr>
          <w:lang w:val="fr-FR"/>
        </w:rPr>
        <w:t xml:space="preserve"> de l</w:t>
      </w:r>
      <w:r w:rsidR="00E16237" w:rsidRPr="005F28B2">
        <w:rPr>
          <w:lang w:val="fr-FR"/>
        </w:rPr>
        <w:t>’</w:t>
      </w:r>
      <w:r w:rsidRPr="005F28B2">
        <w:rPr>
          <w:lang w:val="fr-FR"/>
        </w:rPr>
        <w:t>instruction et du jugement et détermine les conditions permettant de bénéficier de l</w:t>
      </w:r>
      <w:r w:rsidR="00E16237" w:rsidRPr="005F28B2">
        <w:rPr>
          <w:lang w:val="fr-FR"/>
        </w:rPr>
        <w:t>’</w:t>
      </w:r>
      <w:r w:rsidRPr="005F28B2">
        <w:rPr>
          <w:lang w:val="fr-FR"/>
        </w:rPr>
        <w:t>amnistie ou de la grâce</w:t>
      </w:r>
      <w:r w:rsidR="00E16237" w:rsidRPr="005F28B2">
        <w:rPr>
          <w:lang w:val="fr-FR"/>
        </w:rPr>
        <w:t>,</w:t>
      </w:r>
      <w:r w:rsidRPr="005F28B2">
        <w:rPr>
          <w:lang w:val="fr-FR"/>
        </w:rPr>
        <w:t xml:space="preserve"> ainsi que celles régissant l</w:t>
      </w:r>
      <w:r w:rsidR="00E16237" w:rsidRPr="005F28B2">
        <w:rPr>
          <w:lang w:val="fr-FR"/>
        </w:rPr>
        <w:t>’</w:t>
      </w:r>
      <w:r w:rsidRPr="005F28B2">
        <w:rPr>
          <w:lang w:val="fr-FR"/>
        </w:rPr>
        <w:t>extradition. Ce Code a fait l</w:t>
      </w:r>
      <w:r w:rsidR="00E16237" w:rsidRPr="005F28B2">
        <w:rPr>
          <w:lang w:val="fr-FR"/>
        </w:rPr>
        <w:t>’</w:t>
      </w:r>
      <w:r w:rsidRPr="005F28B2">
        <w:rPr>
          <w:lang w:val="fr-FR"/>
        </w:rPr>
        <w:t>objet de plusieurs modifications</w:t>
      </w:r>
      <w:r w:rsidR="00E16237" w:rsidRPr="005F28B2">
        <w:rPr>
          <w:lang w:val="fr-FR"/>
        </w:rPr>
        <w:t>,</w:t>
      </w:r>
      <w:r w:rsidRPr="005F28B2">
        <w:rPr>
          <w:lang w:val="fr-FR"/>
        </w:rPr>
        <w:t xml:space="preserve"> dont la dernière en date remonte à 2016</w:t>
      </w:r>
      <w:r w:rsidRPr="005F28B2">
        <w:rPr>
          <w:rStyle w:val="Appelnotedebasdep"/>
          <w:lang w:val="fr-FR"/>
        </w:rPr>
        <w:footnoteReference w:id="18"/>
      </w:r>
      <w:r w:rsidR="00E16237" w:rsidRPr="005F28B2">
        <w:rPr>
          <w:lang w:val="fr-FR"/>
        </w:rPr>
        <w:t>,</w:t>
      </w:r>
      <w:r w:rsidRPr="005F28B2">
        <w:rPr>
          <w:lang w:val="fr-FR"/>
        </w:rPr>
        <w:t xml:space="preserve"> visant à renforcer les garanties des prévenus pendant la garde à vue et la détention provisoire</w:t>
      </w:r>
      <w:r w:rsidR="00E16237" w:rsidRPr="005F28B2">
        <w:rPr>
          <w:lang w:val="fr-FR"/>
        </w:rPr>
        <w:t>,</w:t>
      </w:r>
      <w:r w:rsidRPr="005F28B2">
        <w:rPr>
          <w:lang w:val="fr-FR"/>
        </w:rPr>
        <w:t xml:space="preserve"> ainsi qu</w:t>
      </w:r>
      <w:r w:rsidR="00E16237" w:rsidRPr="005F28B2">
        <w:rPr>
          <w:lang w:val="fr-FR"/>
        </w:rPr>
        <w:t>’</w:t>
      </w:r>
      <w:r w:rsidRPr="005F28B2">
        <w:rPr>
          <w:lang w:val="fr-FR"/>
        </w:rPr>
        <w:t>à réduire la durée de garde à vue et à la soumettre à une autorisation du procureur de la République.</w:t>
      </w:r>
    </w:p>
    <w:p w:rsidR="009052AE" w:rsidRPr="005F28B2" w:rsidRDefault="00163041" w:rsidP="000361D7">
      <w:pPr>
        <w:pStyle w:val="SingleTxtG"/>
        <w:rPr>
          <w:lang w:val="fr-FR"/>
        </w:rPr>
      </w:pPr>
      <w:r w:rsidRPr="005F28B2">
        <w:rPr>
          <w:lang w:val="fr-FR"/>
        </w:rPr>
        <w:t>36.</w:t>
      </w:r>
      <w:r w:rsidRPr="005F28B2">
        <w:rPr>
          <w:lang w:val="fr-FR"/>
        </w:rPr>
        <w:tab/>
        <w:t>Afin de renforcer les garanties de l</w:t>
      </w:r>
      <w:r w:rsidR="00E16237" w:rsidRPr="005F28B2">
        <w:rPr>
          <w:lang w:val="fr-FR"/>
        </w:rPr>
        <w:t>’</w:t>
      </w:r>
      <w:r w:rsidRPr="005F28B2">
        <w:rPr>
          <w:lang w:val="fr-FR"/>
        </w:rPr>
        <w:t>accusé</w:t>
      </w:r>
      <w:r w:rsidR="00E16237" w:rsidRPr="005F28B2">
        <w:rPr>
          <w:lang w:val="fr-FR"/>
        </w:rPr>
        <w:t>,</w:t>
      </w:r>
      <w:r w:rsidRPr="005F28B2">
        <w:rPr>
          <w:lang w:val="fr-FR"/>
        </w:rPr>
        <w:t xml:space="preserve"> une loi permettant aux personnes dont l</w:t>
      </w:r>
      <w:r w:rsidR="00E16237" w:rsidRPr="005F28B2">
        <w:rPr>
          <w:lang w:val="fr-FR"/>
        </w:rPr>
        <w:t>’</w:t>
      </w:r>
      <w:r w:rsidRPr="005F28B2">
        <w:rPr>
          <w:lang w:val="fr-FR"/>
        </w:rPr>
        <w:t>innocence a été prouvée de demander réparation des préju</w:t>
      </w:r>
      <w:r w:rsidR="000361D7" w:rsidRPr="005F28B2">
        <w:rPr>
          <w:lang w:val="fr-FR"/>
        </w:rPr>
        <w:t>dices subis a été promulguée en </w:t>
      </w:r>
      <w:r w:rsidRPr="005F28B2">
        <w:rPr>
          <w:lang w:val="fr-FR"/>
        </w:rPr>
        <w:t>2002</w:t>
      </w:r>
      <w:r w:rsidRPr="005F28B2">
        <w:rPr>
          <w:rStyle w:val="Appelnotedebasdep"/>
          <w:lang w:val="fr-FR"/>
        </w:rPr>
        <w:footnoteReference w:id="19"/>
      </w:r>
      <w:r w:rsidRPr="005F28B2">
        <w:rPr>
          <w:lang w:val="fr-FR"/>
        </w:rPr>
        <w:t>.</w:t>
      </w:r>
    </w:p>
    <w:p w:rsidR="009052AE" w:rsidRPr="005F28B2" w:rsidRDefault="00163041" w:rsidP="000361D7">
      <w:pPr>
        <w:pStyle w:val="SingleTxtG"/>
        <w:rPr>
          <w:lang w:val="fr-FR"/>
        </w:rPr>
      </w:pPr>
      <w:r w:rsidRPr="005F28B2">
        <w:rPr>
          <w:spacing w:val="-4"/>
          <w:lang w:val="fr-FR"/>
        </w:rPr>
        <w:t>37.</w:t>
      </w:r>
      <w:r w:rsidRPr="005F28B2">
        <w:rPr>
          <w:spacing w:val="-4"/>
          <w:lang w:val="fr-FR"/>
        </w:rPr>
        <w:tab/>
        <w:t>Le décret-loi portant amnistie générale et consacrant le droit à la réintégration dans leur emploi et à l</w:t>
      </w:r>
      <w:r w:rsidR="00E16237" w:rsidRPr="005F28B2">
        <w:rPr>
          <w:spacing w:val="-4"/>
          <w:lang w:val="fr-FR"/>
        </w:rPr>
        <w:t>’</w:t>
      </w:r>
      <w:r w:rsidRPr="005F28B2">
        <w:rPr>
          <w:spacing w:val="-4"/>
          <w:lang w:val="fr-FR"/>
        </w:rPr>
        <w:t>indemnisation des victimes de violations et de poursuites judiciaires sous l</w:t>
      </w:r>
      <w:r w:rsidR="00E16237" w:rsidRPr="005F28B2">
        <w:rPr>
          <w:spacing w:val="-4"/>
          <w:lang w:val="fr-FR"/>
        </w:rPr>
        <w:t>’</w:t>
      </w:r>
      <w:r w:rsidRPr="005F28B2">
        <w:rPr>
          <w:spacing w:val="-4"/>
          <w:lang w:val="fr-FR"/>
        </w:rPr>
        <w:t>ancien régime</w:t>
      </w:r>
      <w:r w:rsidR="00E16237" w:rsidRPr="005F28B2">
        <w:rPr>
          <w:spacing w:val="-4"/>
          <w:lang w:val="fr-FR"/>
        </w:rPr>
        <w:t>,</w:t>
      </w:r>
      <w:r w:rsidRPr="005F28B2">
        <w:rPr>
          <w:spacing w:val="-4"/>
          <w:lang w:val="fr-FR"/>
        </w:rPr>
        <w:t xml:space="preserve"> notamment pour des motifs politiques ou en matière de libertés de la presse et d</w:t>
      </w:r>
      <w:r w:rsidR="00E16237" w:rsidRPr="005F28B2">
        <w:rPr>
          <w:spacing w:val="-4"/>
          <w:lang w:val="fr-FR"/>
        </w:rPr>
        <w:t>’</w:t>
      </w:r>
      <w:r w:rsidRPr="005F28B2">
        <w:rPr>
          <w:spacing w:val="-4"/>
          <w:lang w:val="fr-FR"/>
        </w:rPr>
        <w:t>expression</w:t>
      </w:r>
      <w:r w:rsidR="00E16237" w:rsidRPr="005F28B2">
        <w:rPr>
          <w:spacing w:val="-4"/>
          <w:lang w:val="fr-FR"/>
        </w:rPr>
        <w:t>,</w:t>
      </w:r>
      <w:r w:rsidRPr="005F28B2">
        <w:rPr>
          <w:spacing w:val="-4"/>
          <w:lang w:val="fr-FR"/>
        </w:rPr>
        <w:t xml:space="preserve"> a été promulgué en 2011</w:t>
      </w:r>
      <w:r w:rsidRPr="005F28B2">
        <w:rPr>
          <w:rStyle w:val="Appelnotedebasdep"/>
          <w:lang w:val="fr-FR"/>
        </w:rPr>
        <w:footnoteReference w:id="20"/>
      </w:r>
      <w:r w:rsidRPr="005F28B2">
        <w:rPr>
          <w:spacing w:val="-4"/>
          <w:lang w:val="fr-FR"/>
        </w:rPr>
        <w:t xml:space="preserve"> et renforcé par la loi relative à l</w:t>
      </w:r>
      <w:r w:rsidR="00E16237" w:rsidRPr="005F28B2">
        <w:rPr>
          <w:spacing w:val="-4"/>
          <w:lang w:val="fr-FR"/>
        </w:rPr>
        <w:t>’</w:t>
      </w:r>
      <w:r w:rsidRPr="005F28B2">
        <w:rPr>
          <w:spacing w:val="-4"/>
          <w:lang w:val="fr-FR"/>
        </w:rPr>
        <w:t>instauration de la justice transitionnelle</w:t>
      </w:r>
      <w:r w:rsidRPr="005F28B2">
        <w:rPr>
          <w:rStyle w:val="Appelnotedebasdep"/>
          <w:lang w:val="fr-FR"/>
        </w:rPr>
        <w:footnoteReference w:id="21"/>
      </w:r>
      <w:r w:rsidRPr="005F28B2">
        <w:rPr>
          <w:spacing w:val="-4"/>
          <w:lang w:val="fr-FR"/>
        </w:rPr>
        <w:t xml:space="preserve"> créant l</w:t>
      </w:r>
      <w:r w:rsidR="00E16237" w:rsidRPr="005F28B2">
        <w:rPr>
          <w:spacing w:val="-4"/>
          <w:lang w:val="fr-FR"/>
        </w:rPr>
        <w:t>’</w:t>
      </w:r>
      <w:r w:rsidRPr="005F28B2">
        <w:rPr>
          <w:spacing w:val="-4"/>
          <w:lang w:val="fr-FR"/>
        </w:rPr>
        <w:t>instance Vérité et Dignité chargée de mener des enquêtes sur les violations commises au cours de la période allant du 1</w:t>
      </w:r>
      <w:r w:rsidRPr="005F28B2">
        <w:rPr>
          <w:spacing w:val="-4"/>
          <w:vertAlign w:val="superscript"/>
          <w:lang w:val="fr-FR"/>
        </w:rPr>
        <w:t>er</w:t>
      </w:r>
      <w:r w:rsidRPr="005F28B2">
        <w:rPr>
          <w:spacing w:val="-4"/>
          <w:lang w:val="fr-FR"/>
        </w:rPr>
        <w:t xml:space="preserve"> juillet 1955 jusqu</w:t>
      </w:r>
      <w:r w:rsidR="00E16237" w:rsidRPr="005F28B2">
        <w:rPr>
          <w:spacing w:val="-4"/>
          <w:lang w:val="fr-FR"/>
        </w:rPr>
        <w:t>’</w:t>
      </w:r>
      <w:r w:rsidRPr="005F28B2">
        <w:rPr>
          <w:spacing w:val="-4"/>
          <w:lang w:val="fr-FR"/>
        </w:rPr>
        <w:t>à la date de sa promulgation</w:t>
      </w:r>
      <w:r w:rsidR="00E16237" w:rsidRPr="005F28B2">
        <w:rPr>
          <w:spacing w:val="-4"/>
          <w:lang w:val="fr-FR"/>
        </w:rPr>
        <w:t>,</w:t>
      </w:r>
      <w:r w:rsidRPr="005F28B2">
        <w:rPr>
          <w:spacing w:val="-4"/>
          <w:lang w:val="fr-FR"/>
        </w:rPr>
        <w:t xml:space="preserve"> de demander des comptes et de poursuivre les coupables</w:t>
      </w:r>
      <w:r w:rsidR="00E16237" w:rsidRPr="005F28B2">
        <w:rPr>
          <w:spacing w:val="-4"/>
          <w:lang w:val="fr-FR"/>
        </w:rPr>
        <w:t>,</w:t>
      </w:r>
      <w:r w:rsidRPr="005F28B2">
        <w:rPr>
          <w:spacing w:val="-4"/>
          <w:lang w:val="fr-FR"/>
        </w:rPr>
        <w:t xml:space="preserve"> ainsi que de veiller à la réparation et à l</w:t>
      </w:r>
      <w:r w:rsidR="00E16237" w:rsidRPr="005F28B2">
        <w:rPr>
          <w:spacing w:val="-4"/>
          <w:lang w:val="fr-FR"/>
        </w:rPr>
        <w:t>’</w:t>
      </w:r>
      <w:r w:rsidRPr="005F28B2">
        <w:rPr>
          <w:spacing w:val="-4"/>
          <w:lang w:val="fr-FR"/>
        </w:rPr>
        <w:t>indemnisation des victimes en vue de contribuer à la réconciliation nationale</w:t>
      </w:r>
      <w:r w:rsidR="00E16237" w:rsidRPr="005F28B2">
        <w:rPr>
          <w:spacing w:val="-4"/>
          <w:lang w:val="fr-FR"/>
        </w:rPr>
        <w:t>,</w:t>
      </w:r>
      <w:r w:rsidRPr="005F28B2">
        <w:rPr>
          <w:spacing w:val="-4"/>
          <w:lang w:val="fr-FR"/>
        </w:rPr>
        <w:t xml:space="preserve"> conformément aux principes onusiens de justice transitionnelle. </w:t>
      </w:r>
      <w:r w:rsidRPr="005F28B2">
        <w:rPr>
          <w:lang w:val="fr-FR"/>
        </w:rPr>
        <w:t>En ce qui concerne les droits politiques</w:t>
      </w:r>
      <w:r w:rsidR="00E16237" w:rsidRPr="005F28B2">
        <w:rPr>
          <w:lang w:val="fr-FR"/>
        </w:rPr>
        <w:t>,</w:t>
      </w:r>
      <w:r w:rsidRPr="005F28B2">
        <w:rPr>
          <w:lang w:val="fr-FR"/>
        </w:rPr>
        <w:t xml:space="preserve"> le Code électoral de 1969</w:t>
      </w:r>
      <w:r w:rsidR="00E16237" w:rsidRPr="005F28B2">
        <w:rPr>
          <w:lang w:val="fr-FR"/>
        </w:rPr>
        <w:t>,</w:t>
      </w:r>
      <w:r w:rsidRPr="005F28B2">
        <w:rPr>
          <w:lang w:val="fr-FR"/>
        </w:rPr>
        <w:t xml:space="preserve"> sur la base de la Constitution de 2014</w:t>
      </w:r>
      <w:r w:rsidR="00E16237" w:rsidRPr="005F28B2">
        <w:rPr>
          <w:lang w:val="fr-FR"/>
        </w:rPr>
        <w:t>,</w:t>
      </w:r>
      <w:r w:rsidRPr="005F28B2">
        <w:rPr>
          <w:lang w:val="fr-FR"/>
        </w:rPr>
        <w:t xml:space="preserve"> a été abrogé et remplacé par un nouveau texte</w:t>
      </w:r>
      <w:r w:rsidRPr="005F28B2">
        <w:rPr>
          <w:rStyle w:val="Appelnotedebasdep"/>
          <w:lang w:val="fr-FR"/>
        </w:rPr>
        <w:footnoteReference w:id="22"/>
      </w:r>
      <w:r w:rsidRPr="005F28B2">
        <w:rPr>
          <w:lang w:val="fr-FR"/>
        </w:rPr>
        <w:t xml:space="preserve"> définissant les conditions et procédures relatives aux élections</w:t>
      </w:r>
      <w:r w:rsidR="00E16237" w:rsidRPr="005F28B2">
        <w:rPr>
          <w:lang w:val="fr-FR"/>
        </w:rPr>
        <w:t>,</w:t>
      </w:r>
      <w:r w:rsidRPr="005F28B2">
        <w:rPr>
          <w:lang w:val="fr-FR"/>
        </w:rPr>
        <w:t xml:space="preserve"> aux candidatures aux élections présidentielles et législatives</w:t>
      </w:r>
      <w:r w:rsidR="00E16237" w:rsidRPr="005F28B2">
        <w:rPr>
          <w:lang w:val="fr-FR"/>
        </w:rPr>
        <w:t>,</w:t>
      </w:r>
      <w:r w:rsidRPr="005F28B2">
        <w:rPr>
          <w:lang w:val="fr-FR"/>
        </w:rPr>
        <w:t xml:space="preserve"> au mode de scrutin et aux campagnes électorales. </w:t>
      </w:r>
    </w:p>
    <w:p w:rsidR="009052AE" w:rsidRPr="005F28B2" w:rsidRDefault="00163041" w:rsidP="000361D7">
      <w:pPr>
        <w:pStyle w:val="SingleTxtG"/>
        <w:rPr>
          <w:lang w:val="fr-FR"/>
        </w:rPr>
      </w:pPr>
      <w:r w:rsidRPr="005F28B2">
        <w:rPr>
          <w:lang w:val="fr-FR"/>
        </w:rPr>
        <w:t>38.</w:t>
      </w:r>
      <w:r w:rsidRPr="005F28B2">
        <w:rPr>
          <w:lang w:val="fr-FR"/>
        </w:rPr>
        <w:tab/>
        <w:t xml:space="preserve">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 xml:space="preserve">2004-63 relative à la protection des données à caractère personnel constitue le premier texte comportant des dispositions régissant le traitement des données à caractère personnel par des tiers et les conditions prévues à cet effet. La loi </w:t>
      </w:r>
      <w:r w:rsidR="000361D7" w:rsidRPr="005F28B2">
        <w:rPr>
          <w:lang w:val="fr-FR"/>
        </w:rPr>
        <w:t>de </w:t>
      </w:r>
      <w:r w:rsidRPr="005F28B2">
        <w:rPr>
          <w:lang w:val="fr-FR"/>
        </w:rPr>
        <w:t>1968</w:t>
      </w:r>
      <w:r w:rsidRPr="005F28B2">
        <w:rPr>
          <w:rStyle w:val="Appelnotedebasdep"/>
          <w:lang w:val="fr-FR"/>
        </w:rPr>
        <w:footnoteReference w:id="23"/>
      </w:r>
      <w:r w:rsidRPr="005F28B2">
        <w:rPr>
          <w:lang w:val="fr-FR"/>
        </w:rPr>
        <w:t xml:space="preserve"> définit les conditions de séjour des étrangers en Tunisie</w:t>
      </w:r>
      <w:r w:rsidR="00E16237" w:rsidRPr="005F28B2">
        <w:rPr>
          <w:lang w:val="fr-FR"/>
        </w:rPr>
        <w:t>,</w:t>
      </w:r>
      <w:r w:rsidRPr="005F28B2">
        <w:rPr>
          <w:lang w:val="fr-FR"/>
        </w:rPr>
        <w:t xml:space="preserve"> notamment les conditions d</w:t>
      </w:r>
      <w:r w:rsidR="00E16237" w:rsidRPr="005F28B2">
        <w:rPr>
          <w:lang w:val="fr-FR"/>
        </w:rPr>
        <w:t>’</w:t>
      </w:r>
      <w:r w:rsidRPr="005F28B2">
        <w:rPr>
          <w:lang w:val="fr-FR"/>
        </w:rPr>
        <w:t>octroi d</w:t>
      </w:r>
      <w:r w:rsidR="00E16237" w:rsidRPr="005F28B2">
        <w:rPr>
          <w:lang w:val="fr-FR"/>
        </w:rPr>
        <w:t>’</w:t>
      </w:r>
      <w:r w:rsidRPr="005F28B2">
        <w:rPr>
          <w:lang w:val="fr-FR"/>
        </w:rPr>
        <w:t>un titre de séjour temporaire ou permanent. En outre</w:t>
      </w:r>
      <w:r w:rsidR="00E16237" w:rsidRPr="005F28B2">
        <w:rPr>
          <w:lang w:val="fr-FR"/>
        </w:rPr>
        <w:t>,</w:t>
      </w:r>
      <w:r w:rsidRPr="005F28B2">
        <w:rPr>
          <w:lang w:val="fr-FR"/>
        </w:rPr>
        <w:t xml:space="preserve"> le Code de la nationalité</w:t>
      </w:r>
      <w:r w:rsidRPr="005F28B2">
        <w:rPr>
          <w:rStyle w:val="Appelnotedebasdep"/>
          <w:lang w:val="fr-FR"/>
        </w:rPr>
        <w:footnoteReference w:id="24"/>
      </w:r>
      <w:r w:rsidR="00E16237" w:rsidRPr="005F28B2">
        <w:rPr>
          <w:lang w:val="fr-FR"/>
        </w:rPr>
        <w:t>,</w:t>
      </w:r>
      <w:r w:rsidRPr="005F28B2">
        <w:rPr>
          <w:lang w:val="fr-FR"/>
        </w:rPr>
        <w:t xml:space="preserve"> qui définit la manière dont un étranger peut acquérir la nationalité tunisienne </w:t>
      </w:r>
      <w:r w:rsidRPr="005F28B2">
        <w:rPr>
          <w:lang w:val="fr-FR"/>
        </w:rPr>
        <w:lastRenderedPageBreak/>
        <w:t>(par filiation ou par naturalisation) a été modifié dernièrement pour permettre à la mère tunisienne de transmettre sa nationalité à son enfant lorsque le père est étranger</w:t>
      </w:r>
      <w:r w:rsidRPr="005F28B2">
        <w:rPr>
          <w:rStyle w:val="Appelnotedebasdep"/>
          <w:lang w:val="fr-FR"/>
        </w:rPr>
        <w:footnoteReference w:id="25"/>
      </w:r>
      <w:r w:rsidRPr="005F28B2">
        <w:rPr>
          <w:lang w:val="fr-FR"/>
        </w:rPr>
        <w:t>.</w:t>
      </w:r>
    </w:p>
    <w:p w:rsidR="009052AE" w:rsidRPr="005F28B2" w:rsidRDefault="00163041" w:rsidP="000361D7">
      <w:pPr>
        <w:pStyle w:val="SingleTxtG"/>
        <w:rPr>
          <w:rtl/>
          <w:lang w:val="fr-FR" w:bidi="fr-FR"/>
        </w:rPr>
      </w:pPr>
      <w:r w:rsidRPr="005F28B2">
        <w:rPr>
          <w:lang w:val="fr-FR"/>
        </w:rPr>
        <w:t>39.</w:t>
      </w:r>
      <w:r w:rsidRPr="005F28B2">
        <w:rPr>
          <w:lang w:val="fr-FR"/>
        </w:rPr>
        <w:tab/>
        <w:t>Plusieurs textes régissant la liberté d</w:t>
      </w:r>
      <w:r w:rsidR="00E16237" w:rsidRPr="005F28B2">
        <w:rPr>
          <w:lang w:val="fr-FR"/>
        </w:rPr>
        <w:t>’</w:t>
      </w:r>
      <w:r w:rsidRPr="005F28B2">
        <w:rPr>
          <w:lang w:val="fr-FR"/>
        </w:rPr>
        <w:t>expression ont été promulgués après la révolution</w:t>
      </w:r>
      <w:r w:rsidR="00E16237" w:rsidRPr="005F28B2">
        <w:rPr>
          <w:lang w:val="fr-FR"/>
        </w:rPr>
        <w:t>,</w:t>
      </w:r>
      <w:r w:rsidRPr="005F28B2">
        <w:rPr>
          <w:lang w:val="fr-FR"/>
        </w:rPr>
        <w:t xml:space="preserve"> tels que le 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115 relatif à la liberté de la presse</w:t>
      </w:r>
      <w:r w:rsidR="00E16237" w:rsidRPr="005F28B2">
        <w:rPr>
          <w:lang w:val="fr-FR"/>
        </w:rPr>
        <w:t>,</w:t>
      </w:r>
      <w:r w:rsidRPr="005F28B2">
        <w:rPr>
          <w:lang w:val="fr-FR"/>
        </w:rPr>
        <w:t xml:space="preserve"> de l</w:t>
      </w:r>
      <w:r w:rsidR="00E16237" w:rsidRPr="005F28B2">
        <w:rPr>
          <w:lang w:val="fr-FR"/>
        </w:rPr>
        <w:t>’</w:t>
      </w:r>
      <w:r w:rsidRPr="005F28B2">
        <w:rPr>
          <w:lang w:val="fr-FR"/>
        </w:rPr>
        <w:t>impression et de l</w:t>
      </w:r>
      <w:r w:rsidR="00E16237" w:rsidRPr="005F28B2">
        <w:rPr>
          <w:lang w:val="fr-FR"/>
        </w:rPr>
        <w:t>’</w:t>
      </w:r>
      <w:r w:rsidRPr="005F28B2">
        <w:rPr>
          <w:lang w:val="fr-FR"/>
        </w:rPr>
        <w:t>édition</w:t>
      </w:r>
      <w:r w:rsidRPr="005F28B2">
        <w:rPr>
          <w:rStyle w:val="Appelnotedebasdep"/>
          <w:lang w:val="fr-FR"/>
        </w:rPr>
        <w:footnoteReference w:id="26"/>
      </w:r>
      <w:r w:rsidR="00E16237" w:rsidRPr="005F28B2">
        <w:rPr>
          <w:lang w:val="fr-FR"/>
        </w:rPr>
        <w:t>,</w:t>
      </w:r>
      <w:r w:rsidRPr="005F28B2">
        <w:rPr>
          <w:lang w:val="fr-FR"/>
        </w:rPr>
        <w:t xml:space="preserve"> le 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116 relatif à la liberté de la communication audiovisuelle et portant création d</w:t>
      </w:r>
      <w:r w:rsidR="00E16237" w:rsidRPr="005F28B2">
        <w:rPr>
          <w:lang w:val="fr-FR"/>
        </w:rPr>
        <w:t>’</w:t>
      </w:r>
      <w:r w:rsidRPr="005F28B2">
        <w:rPr>
          <w:lang w:val="fr-FR"/>
        </w:rPr>
        <w:t>une Haute autorité indépendante de la communication audiovisuelle (HAICA)</w:t>
      </w:r>
      <w:r w:rsidRPr="005F28B2">
        <w:rPr>
          <w:rStyle w:val="Appelnotedebasdep"/>
          <w:lang w:val="fr-FR"/>
        </w:rPr>
        <w:footnoteReference w:id="27"/>
      </w:r>
      <w:r w:rsidR="00E16237" w:rsidRPr="005F28B2">
        <w:rPr>
          <w:lang w:val="fr-FR"/>
        </w:rPr>
        <w:t>,</w:t>
      </w:r>
      <w:r w:rsidRPr="005F28B2">
        <w:rPr>
          <w:lang w:val="fr-FR"/>
        </w:rPr>
        <w:t xml:space="preserve"> ainsi que le 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41 relatif à l</w:t>
      </w:r>
      <w:r w:rsidR="00E16237" w:rsidRPr="005F28B2">
        <w:rPr>
          <w:lang w:val="fr-FR"/>
        </w:rPr>
        <w:t>’</w:t>
      </w:r>
      <w:r w:rsidRPr="005F28B2">
        <w:rPr>
          <w:lang w:val="fr-FR"/>
        </w:rPr>
        <w:t>accès aux documents administratifs des organismes publics</w:t>
      </w:r>
      <w:r w:rsidRPr="005F28B2">
        <w:rPr>
          <w:rStyle w:val="Appelnotedebasdep"/>
          <w:lang w:val="fr-FR"/>
        </w:rPr>
        <w:footnoteReference w:id="28"/>
      </w:r>
      <w:r w:rsidR="00E16237" w:rsidRPr="005F28B2">
        <w:rPr>
          <w:lang w:val="fr-FR"/>
        </w:rPr>
        <w:t>,</w:t>
      </w:r>
      <w:r w:rsidRPr="005F28B2">
        <w:rPr>
          <w:lang w:val="fr-FR"/>
        </w:rPr>
        <w:t xml:space="preserve"> lequel a été remplacé par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2016-22 relative au droit d</w:t>
      </w:r>
      <w:r w:rsidR="00E16237" w:rsidRPr="005F28B2">
        <w:rPr>
          <w:lang w:val="fr-FR"/>
        </w:rPr>
        <w:t>’</w:t>
      </w:r>
      <w:r w:rsidRPr="005F28B2">
        <w:rPr>
          <w:lang w:val="fr-FR"/>
        </w:rPr>
        <w:t>accès à l</w:t>
      </w:r>
      <w:r w:rsidR="00E16237" w:rsidRPr="005F28B2">
        <w:rPr>
          <w:lang w:val="fr-FR"/>
        </w:rPr>
        <w:t>’</w:t>
      </w:r>
      <w:r w:rsidRPr="005F28B2">
        <w:rPr>
          <w:lang w:val="fr-FR"/>
        </w:rPr>
        <w:t>information</w:t>
      </w:r>
      <w:r w:rsidRPr="005F28B2">
        <w:rPr>
          <w:rStyle w:val="Appelnotedebasdep"/>
          <w:lang w:val="fr-FR"/>
        </w:rPr>
        <w:footnoteReference w:id="29"/>
      </w:r>
      <w:r w:rsidR="00E16237" w:rsidRPr="005F28B2">
        <w:rPr>
          <w:lang w:val="fr-FR"/>
        </w:rPr>
        <w:t>,</w:t>
      </w:r>
      <w:r w:rsidRPr="005F28B2">
        <w:rPr>
          <w:lang w:val="fr-FR"/>
        </w:rPr>
        <w:t xml:space="preserve"> appelée à entrer en vigueur dans le délai d</w:t>
      </w:r>
      <w:r w:rsidR="00E16237" w:rsidRPr="005F28B2">
        <w:rPr>
          <w:lang w:val="fr-FR"/>
        </w:rPr>
        <w:t>’</w:t>
      </w:r>
      <w:r w:rsidRPr="005F28B2">
        <w:rPr>
          <w:lang w:val="fr-FR"/>
        </w:rPr>
        <w:t>une année à compter de la date de sa publication</w:t>
      </w:r>
      <w:r w:rsidR="00E16237" w:rsidRPr="005F28B2">
        <w:rPr>
          <w:lang w:val="fr-FR"/>
        </w:rPr>
        <w:t>,</w:t>
      </w:r>
      <w:r w:rsidRPr="005F28B2">
        <w:rPr>
          <w:lang w:val="fr-FR"/>
        </w:rPr>
        <w:t xml:space="preserve"> permettant ainsi à la Tunisie de respecter ses engagements internationaux en la matière.</w:t>
      </w:r>
    </w:p>
    <w:p w:rsidR="009052AE" w:rsidRPr="005F28B2" w:rsidRDefault="00163041" w:rsidP="000361D7">
      <w:pPr>
        <w:pStyle w:val="SingleTxtG"/>
        <w:rPr>
          <w:lang w:val="fr-FR"/>
        </w:rPr>
      </w:pPr>
      <w:r w:rsidRPr="005F28B2">
        <w:rPr>
          <w:lang w:val="fr-FR"/>
        </w:rPr>
        <w:t>40.</w:t>
      </w:r>
      <w:r w:rsidRPr="005F28B2">
        <w:rPr>
          <w:lang w:val="fr-FR"/>
        </w:rPr>
        <w:tab/>
        <w:t>Concernant les associations</w:t>
      </w:r>
      <w:r w:rsidR="00E16237" w:rsidRPr="005F28B2">
        <w:rPr>
          <w:lang w:val="fr-FR"/>
        </w:rPr>
        <w:t>,</w:t>
      </w:r>
      <w:r w:rsidRPr="005F28B2">
        <w:rPr>
          <w:lang w:val="fr-FR"/>
        </w:rPr>
        <w:t xml:space="preserve"> de nombreux textes ont été édictés</w:t>
      </w:r>
      <w:r w:rsidR="00E16237" w:rsidRPr="005F28B2">
        <w:rPr>
          <w:lang w:val="fr-FR"/>
        </w:rPr>
        <w:t>,</w:t>
      </w:r>
      <w:r w:rsidRPr="005F28B2">
        <w:rPr>
          <w:lang w:val="fr-FR"/>
        </w:rPr>
        <w:t xml:space="preserve"> dont les principaux sont le 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2011-88</w:t>
      </w:r>
      <w:r w:rsidRPr="005F28B2">
        <w:rPr>
          <w:rStyle w:val="Appelnotedebasdep"/>
          <w:lang w:val="fr-FR"/>
        </w:rPr>
        <w:footnoteReference w:id="30"/>
      </w:r>
      <w:r w:rsidRPr="005F28B2">
        <w:rPr>
          <w:lang w:val="fr-FR"/>
        </w:rPr>
        <w:t xml:space="preserve"> qui a abrogé et remplacé la loi de 1959</w:t>
      </w:r>
      <w:r w:rsidRPr="005F28B2">
        <w:rPr>
          <w:rStyle w:val="Appelnotedebasdep"/>
          <w:lang w:val="fr-FR"/>
        </w:rPr>
        <w:footnoteReference w:id="31"/>
      </w:r>
      <w:r w:rsidRPr="005F28B2">
        <w:rPr>
          <w:lang w:val="fr-FR"/>
        </w:rPr>
        <w:t xml:space="preserve"> et substitué au régime de l</w:t>
      </w:r>
      <w:r w:rsidR="00E16237" w:rsidRPr="005F28B2">
        <w:rPr>
          <w:lang w:val="fr-FR"/>
        </w:rPr>
        <w:t>’</w:t>
      </w:r>
      <w:r w:rsidRPr="005F28B2">
        <w:rPr>
          <w:lang w:val="fr-FR"/>
        </w:rPr>
        <w:t>autorisation celui de la déclaration pour la création de ces entités </w:t>
      </w:r>
      <w:r w:rsidR="00E16237" w:rsidRPr="005F28B2">
        <w:rPr>
          <w:lang w:val="fr-FR"/>
        </w:rPr>
        <w:t>;</w:t>
      </w:r>
      <w:r w:rsidRPr="005F28B2">
        <w:rPr>
          <w:lang w:val="fr-FR"/>
        </w:rPr>
        <w:t xml:space="preserve"> ainsi que le 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2011-87 portant organisation des partis politiques</w:t>
      </w:r>
      <w:r w:rsidRPr="005F28B2">
        <w:rPr>
          <w:rStyle w:val="Appelnotedebasdep"/>
          <w:lang w:val="fr-FR"/>
        </w:rPr>
        <w:footnoteReference w:id="32"/>
      </w:r>
      <w:r w:rsidR="00E16237" w:rsidRPr="005F28B2">
        <w:rPr>
          <w:lang w:val="fr-FR"/>
        </w:rPr>
        <w:t>,</w:t>
      </w:r>
      <w:r w:rsidRPr="005F28B2">
        <w:rPr>
          <w:lang w:val="fr-FR"/>
        </w:rPr>
        <w:t xml:space="preserve"> qui a abrogé à son tour la précédente loi de 1988</w:t>
      </w:r>
      <w:r w:rsidRPr="005F28B2">
        <w:rPr>
          <w:rStyle w:val="Appelnotedebasdep"/>
          <w:lang w:val="fr-FR"/>
        </w:rPr>
        <w:footnoteReference w:id="33"/>
      </w:r>
      <w:r w:rsidR="00E16237" w:rsidRPr="005F28B2">
        <w:rPr>
          <w:lang w:val="fr-FR"/>
        </w:rPr>
        <w:t>,</w:t>
      </w:r>
      <w:r w:rsidRPr="005F28B2">
        <w:rPr>
          <w:lang w:val="fr-FR"/>
        </w:rPr>
        <w:t xml:space="preserve"> introduisant ainsi une approche pluraliste et participative dans la vie politique et au sein de la société civile. </w:t>
      </w:r>
    </w:p>
    <w:p w:rsidR="009052AE" w:rsidRPr="005F28B2" w:rsidRDefault="00163041" w:rsidP="000361D7">
      <w:pPr>
        <w:pStyle w:val="H23G"/>
        <w:rPr>
          <w:rtl/>
          <w:lang w:val="fr-FR" w:bidi="fr-FR"/>
        </w:rPr>
      </w:pPr>
      <w:r w:rsidRPr="005F28B2">
        <w:rPr>
          <w:lang w:val="fr-FR"/>
        </w:rPr>
        <w:tab/>
      </w:r>
      <w:bookmarkStart w:id="14" w:name="_Toc478218488"/>
      <w:r w:rsidRPr="005F28B2">
        <w:rPr>
          <w:lang w:val="fr-FR"/>
        </w:rPr>
        <w:t>2.</w:t>
      </w:r>
      <w:r w:rsidRPr="005F28B2">
        <w:rPr>
          <w:lang w:val="fr-FR"/>
        </w:rPr>
        <w:tab/>
        <w:t>Protection légale des droits économiques</w:t>
      </w:r>
      <w:r w:rsidR="00E16237" w:rsidRPr="005F28B2">
        <w:rPr>
          <w:lang w:val="fr-FR"/>
        </w:rPr>
        <w:t>,</w:t>
      </w:r>
      <w:r w:rsidRPr="005F28B2">
        <w:rPr>
          <w:lang w:val="fr-FR"/>
        </w:rPr>
        <w:t xml:space="preserve"> sociaux et culturels</w:t>
      </w:r>
      <w:bookmarkEnd w:id="14"/>
    </w:p>
    <w:p w:rsidR="009052AE" w:rsidRPr="005F28B2" w:rsidRDefault="00163041" w:rsidP="00044209">
      <w:pPr>
        <w:pStyle w:val="SingleTxtG"/>
        <w:rPr>
          <w:rtl/>
          <w:lang w:val="fr-FR" w:bidi="fr-FR"/>
        </w:rPr>
      </w:pPr>
      <w:r w:rsidRPr="005F28B2">
        <w:rPr>
          <w:lang w:val="fr-FR"/>
        </w:rPr>
        <w:t>41.</w:t>
      </w:r>
      <w:r w:rsidRPr="005F28B2">
        <w:rPr>
          <w:lang w:val="fr-FR"/>
        </w:rPr>
        <w:tab/>
        <w:t>Plusieurs lois relatives à la protection des droits économiques</w:t>
      </w:r>
      <w:r w:rsidR="00E16237" w:rsidRPr="005F28B2">
        <w:rPr>
          <w:lang w:val="fr-FR"/>
        </w:rPr>
        <w:t>,</w:t>
      </w:r>
      <w:r w:rsidRPr="005F28B2">
        <w:rPr>
          <w:lang w:val="fr-FR"/>
        </w:rPr>
        <w:t xml:space="preserve"> sociaux et culturels ont été promulguées en Tunisie</w:t>
      </w:r>
      <w:r w:rsidR="00E16237" w:rsidRPr="005F28B2">
        <w:rPr>
          <w:lang w:val="fr-FR"/>
        </w:rPr>
        <w:t>,</w:t>
      </w:r>
      <w:r w:rsidRPr="005F28B2">
        <w:rPr>
          <w:lang w:val="fr-FR"/>
        </w:rPr>
        <w:t xml:space="preserve"> notamment dans les domaines suivants :</w:t>
      </w:r>
    </w:p>
    <w:p w:rsidR="009052AE" w:rsidRPr="005F28B2" w:rsidRDefault="00163041" w:rsidP="00044209">
      <w:pPr>
        <w:pStyle w:val="Bullet1G"/>
        <w:rPr>
          <w:lang w:val="fr-FR"/>
        </w:rPr>
      </w:pPr>
      <w:r w:rsidRPr="005F28B2">
        <w:rPr>
          <w:lang w:val="fr-FR"/>
        </w:rPr>
        <w:t>La sphère familiale</w:t>
      </w:r>
      <w:r w:rsidR="00E16237" w:rsidRPr="005F28B2">
        <w:rPr>
          <w:lang w:val="fr-FR"/>
        </w:rPr>
        <w:t>,</w:t>
      </w:r>
      <w:r w:rsidRPr="005F28B2">
        <w:rPr>
          <w:lang w:val="fr-FR"/>
        </w:rPr>
        <w:t xml:space="preserve"> couverte par le Code du statut personnel</w:t>
      </w:r>
      <w:r w:rsidR="00E16237" w:rsidRPr="005F28B2">
        <w:rPr>
          <w:lang w:val="fr-FR"/>
        </w:rPr>
        <w:t>,</w:t>
      </w:r>
      <w:r w:rsidR="00044209" w:rsidRPr="005F28B2">
        <w:rPr>
          <w:lang w:val="fr-FR"/>
        </w:rPr>
        <w:t xml:space="preserve"> en vigueur depuis </w:t>
      </w:r>
      <w:r w:rsidRPr="005F28B2">
        <w:rPr>
          <w:lang w:val="fr-FR"/>
        </w:rPr>
        <w:t>1956</w:t>
      </w:r>
      <w:r w:rsidRPr="005F28B2">
        <w:rPr>
          <w:rStyle w:val="Appelnotedebasdep"/>
          <w:lang w:val="fr-FR"/>
        </w:rPr>
        <w:footnoteReference w:id="34"/>
      </w:r>
      <w:r w:rsidR="00E16237" w:rsidRPr="005F28B2">
        <w:rPr>
          <w:lang w:val="fr-FR"/>
        </w:rPr>
        <w:t>,</w:t>
      </w:r>
      <w:r w:rsidRPr="005F28B2">
        <w:rPr>
          <w:lang w:val="fr-FR"/>
        </w:rPr>
        <w:t xml:space="preserve"> qui régit les relations entre conjoints au sein de la famille dans le sens d</w:t>
      </w:r>
      <w:r w:rsidR="00E16237" w:rsidRPr="005F28B2">
        <w:rPr>
          <w:lang w:val="fr-FR"/>
        </w:rPr>
        <w:t>’</w:t>
      </w:r>
      <w:r w:rsidRPr="005F28B2">
        <w:rPr>
          <w:lang w:val="fr-FR"/>
        </w:rPr>
        <w:t>une concrétisation des principes d</w:t>
      </w:r>
      <w:r w:rsidR="00E16237" w:rsidRPr="005F28B2">
        <w:rPr>
          <w:lang w:val="fr-FR"/>
        </w:rPr>
        <w:t>’</w:t>
      </w:r>
      <w:r w:rsidR="002C07AE" w:rsidRPr="005F28B2">
        <w:rPr>
          <w:lang w:val="fr-FR"/>
        </w:rPr>
        <w:t>égalité et de non-</w:t>
      </w:r>
      <w:r w:rsidRPr="005F28B2">
        <w:rPr>
          <w:lang w:val="fr-FR"/>
        </w:rPr>
        <w:t>discrimination. Ce texte a fait l</w:t>
      </w:r>
      <w:r w:rsidR="00E16237" w:rsidRPr="005F28B2">
        <w:rPr>
          <w:lang w:val="fr-FR"/>
        </w:rPr>
        <w:t>’</w:t>
      </w:r>
      <w:r w:rsidRPr="005F28B2">
        <w:rPr>
          <w:lang w:val="fr-FR"/>
        </w:rPr>
        <w:t>objet de nombreuse</w:t>
      </w:r>
      <w:r w:rsidR="00C24D3E" w:rsidRPr="005F28B2">
        <w:rPr>
          <w:lang w:val="fr-FR"/>
        </w:rPr>
        <w:t>s</w:t>
      </w:r>
      <w:r w:rsidRPr="005F28B2">
        <w:rPr>
          <w:lang w:val="fr-FR"/>
        </w:rPr>
        <w:t xml:space="preserve"> modifications</w:t>
      </w:r>
      <w:r w:rsidR="00E16237" w:rsidRPr="005F28B2">
        <w:rPr>
          <w:lang w:val="fr-FR"/>
        </w:rPr>
        <w:t>,</w:t>
      </w:r>
      <w:r w:rsidRPr="005F28B2">
        <w:rPr>
          <w:lang w:val="fr-FR"/>
        </w:rPr>
        <w:t xml:space="preserve"> dont la principale remonte à 1993</w:t>
      </w:r>
      <w:r w:rsidRPr="005F28B2">
        <w:rPr>
          <w:rStyle w:val="Appelnotedebasdep"/>
          <w:lang w:val="fr-FR"/>
        </w:rPr>
        <w:footnoteReference w:id="35"/>
      </w:r>
      <w:r w:rsidRPr="005F28B2">
        <w:rPr>
          <w:vertAlign w:val="superscript"/>
          <w:lang w:val="fr-FR"/>
        </w:rPr>
        <w:t xml:space="preserve"> </w:t>
      </w:r>
      <w:r w:rsidRPr="005F28B2">
        <w:rPr>
          <w:lang w:val="fr-FR"/>
        </w:rPr>
        <w:t>et a</w:t>
      </w:r>
      <w:r w:rsidRPr="005F28B2">
        <w:rPr>
          <w:vertAlign w:val="superscript"/>
          <w:lang w:val="fr-FR"/>
        </w:rPr>
        <w:t xml:space="preserve"> </w:t>
      </w:r>
      <w:r w:rsidRPr="005F28B2">
        <w:rPr>
          <w:lang w:val="fr-FR"/>
        </w:rPr>
        <w:t>introduit davantage d</w:t>
      </w:r>
      <w:r w:rsidR="00E16237" w:rsidRPr="005F28B2">
        <w:rPr>
          <w:lang w:val="fr-FR"/>
        </w:rPr>
        <w:t>’</w:t>
      </w:r>
      <w:r w:rsidRPr="005F28B2">
        <w:rPr>
          <w:lang w:val="fr-FR"/>
        </w:rPr>
        <w:t>égalité entre hommes et femmes dans la répartition des tâches et responsabilités familiales.</w:t>
      </w:r>
    </w:p>
    <w:p w:rsidR="009052AE" w:rsidRPr="005F28B2" w:rsidRDefault="00163041" w:rsidP="00044209">
      <w:pPr>
        <w:pStyle w:val="Bullet1G"/>
        <w:rPr>
          <w:lang w:val="fr-FR"/>
        </w:rPr>
      </w:pPr>
      <w:r w:rsidRPr="005F28B2">
        <w:rPr>
          <w:lang w:val="fr-FR"/>
        </w:rPr>
        <w:t>Le secteur de la santé</w:t>
      </w:r>
      <w:r w:rsidR="00E16237" w:rsidRPr="005F28B2">
        <w:rPr>
          <w:lang w:val="fr-FR"/>
        </w:rPr>
        <w:t>,</w:t>
      </w:r>
      <w:r w:rsidRPr="005F28B2">
        <w:rPr>
          <w:lang w:val="fr-FR"/>
        </w:rPr>
        <w:t xml:space="preserve"> régi par la loi relative à l</w:t>
      </w:r>
      <w:r w:rsidR="00E16237" w:rsidRPr="005F28B2">
        <w:rPr>
          <w:lang w:val="fr-FR"/>
        </w:rPr>
        <w:t>’</w:t>
      </w:r>
      <w:r w:rsidRPr="005F28B2">
        <w:rPr>
          <w:lang w:val="fr-FR"/>
        </w:rPr>
        <w:t>organisation sanitaire</w:t>
      </w:r>
      <w:r w:rsidRPr="005F28B2">
        <w:rPr>
          <w:rStyle w:val="Appelnotedebasdep"/>
          <w:lang w:val="fr-FR"/>
        </w:rPr>
        <w:footnoteReference w:id="36"/>
      </w:r>
      <w:r w:rsidR="00E16237" w:rsidRPr="005F28B2">
        <w:rPr>
          <w:lang w:val="fr-FR"/>
        </w:rPr>
        <w:t>,</w:t>
      </w:r>
      <w:r w:rsidRPr="005F28B2">
        <w:rPr>
          <w:lang w:val="fr-FR"/>
        </w:rPr>
        <w:t xml:space="preserve"> ainsi que par le texte relatif aux maladies transmissibles</w:t>
      </w:r>
      <w:r w:rsidRPr="005F28B2">
        <w:rPr>
          <w:rStyle w:val="Appelnotedebasdep"/>
          <w:lang w:val="fr-FR"/>
        </w:rPr>
        <w:footnoteReference w:id="37"/>
      </w:r>
      <w:r w:rsidRPr="005F28B2">
        <w:rPr>
          <w:lang w:val="fr-FR"/>
        </w:rPr>
        <w:t>. L</w:t>
      </w:r>
      <w:r w:rsidR="00E16237" w:rsidRPr="005F28B2">
        <w:rPr>
          <w:lang w:val="fr-FR"/>
        </w:rPr>
        <w:t>’</w:t>
      </w:r>
      <w:r w:rsidRPr="005F28B2">
        <w:rPr>
          <w:lang w:val="fr-FR"/>
        </w:rPr>
        <w:t>éducation et l</w:t>
      </w:r>
      <w:r w:rsidR="00E16237" w:rsidRPr="005F28B2">
        <w:rPr>
          <w:lang w:val="fr-FR"/>
        </w:rPr>
        <w:t>’</w:t>
      </w:r>
      <w:r w:rsidRPr="005F28B2">
        <w:rPr>
          <w:lang w:val="fr-FR"/>
        </w:rPr>
        <w:t>enseignement sont pour leur part organisés par la loi d</w:t>
      </w:r>
      <w:r w:rsidR="00E16237" w:rsidRPr="005F28B2">
        <w:rPr>
          <w:lang w:val="fr-FR"/>
        </w:rPr>
        <w:t>’</w:t>
      </w:r>
      <w:r w:rsidRPr="005F28B2">
        <w:rPr>
          <w:lang w:val="fr-FR"/>
        </w:rPr>
        <w:t>orientation relative à l</w:t>
      </w:r>
      <w:r w:rsidR="00E16237" w:rsidRPr="005F28B2">
        <w:rPr>
          <w:lang w:val="fr-FR"/>
        </w:rPr>
        <w:t>’</w:t>
      </w:r>
      <w:r w:rsidRPr="005F28B2">
        <w:rPr>
          <w:lang w:val="fr-FR"/>
        </w:rPr>
        <w:t>éducation et à l</w:t>
      </w:r>
      <w:r w:rsidR="00E16237" w:rsidRPr="005F28B2">
        <w:rPr>
          <w:lang w:val="fr-FR"/>
        </w:rPr>
        <w:t>’</w:t>
      </w:r>
      <w:r w:rsidRPr="005F28B2">
        <w:rPr>
          <w:lang w:val="fr-FR"/>
        </w:rPr>
        <w:t>enseignement scolaire de 2002</w:t>
      </w:r>
      <w:r w:rsidRPr="005F28B2">
        <w:rPr>
          <w:rStyle w:val="Appelnotedebasdep"/>
          <w:lang w:val="fr-FR"/>
        </w:rPr>
        <w:footnoteReference w:id="38"/>
      </w:r>
      <w:r w:rsidR="00E16237" w:rsidRPr="005F28B2">
        <w:rPr>
          <w:lang w:val="fr-FR"/>
        </w:rPr>
        <w:t>,</w:t>
      </w:r>
      <w:r w:rsidRPr="005F28B2">
        <w:rPr>
          <w:lang w:val="fr-FR"/>
        </w:rPr>
        <w:t xml:space="preserve"> ainsi que par la loi d</w:t>
      </w:r>
      <w:r w:rsidR="00E16237" w:rsidRPr="005F28B2">
        <w:rPr>
          <w:lang w:val="fr-FR"/>
        </w:rPr>
        <w:t>’</w:t>
      </w:r>
      <w:r w:rsidRPr="005F28B2">
        <w:rPr>
          <w:lang w:val="fr-FR"/>
        </w:rPr>
        <w:t>orientation relative à la formation professionnelle</w:t>
      </w:r>
      <w:r w:rsidRPr="005F28B2">
        <w:rPr>
          <w:rStyle w:val="Appelnotedebasdep"/>
          <w:lang w:val="fr-FR"/>
        </w:rPr>
        <w:footnoteReference w:id="39"/>
      </w:r>
      <w:r w:rsidRPr="005F28B2">
        <w:rPr>
          <w:lang w:val="fr-FR"/>
        </w:rPr>
        <w:t>.</w:t>
      </w:r>
    </w:p>
    <w:p w:rsidR="009052AE" w:rsidRPr="005F28B2" w:rsidRDefault="00163041" w:rsidP="00044209">
      <w:pPr>
        <w:pStyle w:val="Bullet1G"/>
        <w:rPr>
          <w:lang w:val="fr-FR"/>
        </w:rPr>
      </w:pPr>
      <w:r w:rsidRPr="005F28B2">
        <w:rPr>
          <w:lang w:val="fr-FR"/>
        </w:rPr>
        <w:t>Le domaine de la protection sociale des catégories vulnérables</w:t>
      </w:r>
      <w:r w:rsidR="00E16237" w:rsidRPr="005F28B2">
        <w:rPr>
          <w:lang w:val="fr-FR"/>
        </w:rPr>
        <w:t>,</w:t>
      </w:r>
      <w:r w:rsidRPr="005F28B2">
        <w:rPr>
          <w:lang w:val="fr-FR"/>
        </w:rPr>
        <w:t xml:space="preserve"> couvert par la loi d</w:t>
      </w:r>
      <w:r w:rsidR="00E16237" w:rsidRPr="005F28B2">
        <w:rPr>
          <w:lang w:val="fr-FR"/>
        </w:rPr>
        <w:t>’</w:t>
      </w:r>
      <w:r w:rsidRPr="005F28B2">
        <w:rPr>
          <w:lang w:val="fr-FR"/>
        </w:rPr>
        <w:t>orientation relative à la promotion et à la protection des personnes handicapées</w:t>
      </w:r>
      <w:r w:rsidRPr="005F28B2">
        <w:rPr>
          <w:rStyle w:val="Appelnotedebasdep"/>
          <w:lang w:val="fr-FR"/>
        </w:rPr>
        <w:footnoteReference w:id="40"/>
      </w:r>
      <w:r w:rsidR="00E16237" w:rsidRPr="005F28B2">
        <w:rPr>
          <w:lang w:val="fr-FR"/>
        </w:rPr>
        <w:t>,</w:t>
      </w:r>
      <w:r w:rsidRPr="005F28B2">
        <w:rPr>
          <w:lang w:val="fr-FR"/>
        </w:rPr>
        <w:t xml:space="preserve"> </w:t>
      </w:r>
      <w:r w:rsidRPr="005F28B2">
        <w:rPr>
          <w:lang w:val="fr-FR"/>
        </w:rPr>
        <w:lastRenderedPageBreak/>
        <w:t>la loi relative à la protection des personnes âgées</w:t>
      </w:r>
      <w:r w:rsidRPr="005F28B2">
        <w:rPr>
          <w:rStyle w:val="Appelnotedebasdep"/>
          <w:lang w:val="fr-FR"/>
        </w:rPr>
        <w:footnoteReference w:id="41"/>
      </w:r>
      <w:r w:rsidRPr="005F28B2">
        <w:rPr>
          <w:lang w:val="fr-FR"/>
        </w:rPr>
        <w:t xml:space="preserve"> et le Code de protection de l</w:t>
      </w:r>
      <w:r w:rsidR="00E16237" w:rsidRPr="005F28B2">
        <w:rPr>
          <w:lang w:val="fr-FR"/>
        </w:rPr>
        <w:t>’</w:t>
      </w:r>
      <w:r w:rsidRPr="005F28B2">
        <w:rPr>
          <w:lang w:val="fr-FR"/>
        </w:rPr>
        <w:t>enfant</w:t>
      </w:r>
      <w:r w:rsidRPr="005F28B2">
        <w:rPr>
          <w:rStyle w:val="Appelnotedebasdep"/>
          <w:lang w:val="fr-FR"/>
        </w:rPr>
        <w:footnoteReference w:id="42"/>
      </w:r>
      <w:r w:rsidR="00E16237" w:rsidRPr="005F28B2">
        <w:rPr>
          <w:lang w:val="fr-FR"/>
        </w:rPr>
        <w:t>,</w:t>
      </w:r>
      <w:r w:rsidRPr="005F28B2">
        <w:rPr>
          <w:lang w:val="fr-FR"/>
        </w:rPr>
        <w:t xml:space="preserve"> l</w:t>
      </w:r>
      <w:r w:rsidR="00E16237" w:rsidRPr="005F28B2">
        <w:rPr>
          <w:lang w:val="fr-FR"/>
        </w:rPr>
        <w:t>’</w:t>
      </w:r>
      <w:r w:rsidRPr="005F28B2">
        <w:rPr>
          <w:lang w:val="fr-FR"/>
        </w:rPr>
        <w:t>ensemble étant conforme aux dispositions de la Convention relative aux droits de l</w:t>
      </w:r>
      <w:r w:rsidR="00E16237" w:rsidRPr="005F28B2">
        <w:rPr>
          <w:lang w:val="fr-FR"/>
        </w:rPr>
        <w:t>’</w:t>
      </w:r>
      <w:r w:rsidRPr="005F28B2">
        <w:rPr>
          <w:lang w:val="fr-FR"/>
        </w:rPr>
        <w:t>enfant</w:t>
      </w:r>
      <w:r w:rsidR="00E16237" w:rsidRPr="005F28B2">
        <w:rPr>
          <w:lang w:val="fr-FR"/>
        </w:rPr>
        <w:t>,</w:t>
      </w:r>
      <w:r w:rsidRPr="005F28B2">
        <w:rPr>
          <w:lang w:val="fr-FR"/>
        </w:rPr>
        <w:t xml:space="preserve"> étant précisé que ce cadre législatif a été renforcé par la protection des enfants nés de parents inconnus</w:t>
      </w:r>
      <w:r w:rsidRPr="005F28B2">
        <w:rPr>
          <w:rStyle w:val="Appelnotedebasdep"/>
          <w:lang w:val="fr-FR"/>
        </w:rPr>
        <w:footnoteReference w:id="43"/>
      </w:r>
      <w:r w:rsidRPr="005F28B2">
        <w:rPr>
          <w:lang w:val="fr-FR"/>
        </w:rPr>
        <w:t xml:space="preserve">. </w:t>
      </w:r>
    </w:p>
    <w:p w:rsidR="009052AE" w:rsidRPr="005F28B2" w:rsidRDefault="00163041" w:rsidP="00044209">
      <w:pPr>
        <w:pStyle w:val="Bullet1G"/>
        <w:rPr>
          <w:rtl/>
          <w:lang w:val="fr-FR" w:bidi="fr-FR"/>
        </w:rPr>
      </w:pPr>
      <w:r w:rsidRPr="005F28B2">
        <w:rPr>
          <w:lang w:val="fr-FR"/>
        </w:rPr>
        <w:t>Le secteur de l</w:t>
      </w:r>
      <w:r w:rsidR="00E16237" w:rsidRPr="005F28B2">
        <w:rPr>
          <w:lang w:val="fr-FR"/>
        </w:rPr>
        <w:t>’</w:t>
      </w:r>
      <w:r w:rsidRPr="005F28B2">
        <w:rPr>
          <w:lang w:val="fr-FR"/>
        </w:rPr>
        <w:t>emploi</w:t>
      </w:r>
      <w:r w:rsidR="00E16237" w:rsidRPr="005F28B2">
        <w:rPr>
          <w:lang w:val="fr-FR"/>
        </w:rPr>
        <w:t>,</w:t>
      </w:r>
      <w:r w:rsidRPr="005F28B2">
        <w:rPr>
          <w:lang w:val="fr-FR"/>
        </w:rPr>
        <w:t xml:space="preserve"> réglementé par le Code du travail et ses modifications ultérieures</w:t>
      </w:r>
      <w:r w:rsidR="00E16237" w:rsidRPr="005F28B2">
        <w:rPr>
          <w:lang w:val="fr-FR"/>
        </w:rPr>
        <w:t>,</w:t>
      </w:r>
      <w:r w:rsidRPr="005F28B2">
        <w:rPr>
          <w:lang w:val="fr-FR"/>
        </w:rPr>
        <w:t xml:space="preserve"> notamment celles résultant de la loi de 1993</w:t>
      </w:r>
      <w:r w:rsidRPr="005F28B2">
        <w:rPr>
          <w:rStyle w:val="Appelnotedebasdep"/>
          <w:lang w:val="fr-FR"/>
        </w:rPr>
        <w:footnoteReference w:id="44"/>
      </w:r>
      <w:r w:rsidRPr="005F28B2">
        <w:rPr>
          <w:lang w:val="fr-FR"/>
        </w:rPr>
        <w:t xml:space="preserve"> portant introduction d</w:t>
      </w:r>
      <w:r w:rsidR="00E16237" w:rsidRPr="005F28B2">
        <w:rPr>
          <w:lang w:val="fr-FR"/>
        </w:rPr>
        <w:t>’</w:t>
      </w:r>
      <w:r w:rsidRPr="005F28B2">
        <w:rPr>
          <w:lang w:val="fr-FR"/>
        </w:rPr>
        <w:t>un</w:t>
      </w:r>
      <w:r w:rsidR="0017491D" w:rsidRPr="005F28B2">
        <w:rPr>
          <w:lang w:val="fr-FR"/>
        </w:rPr>
        <w:t>e disposition concernant la non-</w:t>
      </w:r>
      <w:r w:rsidRPr="005F28B2">
        <w:rPr>
          <w:lang w:val="fr-FR"/>
        </w:rPr>
        <w:t>discrimination entre les hommes et les femmes</w:t>
      </w:r>
      <w:r w:rsidR="00E16237" w:rsidRPr="005F28B2">
        <w:rPr>
          <w:lang w:val="fr-FR"/>
        </w:rPr>
        <w:t>,</w:t>
      </w:r>
      <w:r w:rsidRPr="005F28B2">
        <w:rPr>
          <w:lang w:val="fr-FR"/>
        </w:rPr>
        <w:t xml:space="preserve"> ainsi que de la loi portant statut général des personnels de l</w:t>
      </w:r>
      <w:r w:rsidR="00E16237" w:rsidRPr="005F28B2">
        <w:rPr>
          <w:lang w:val="fr-FR"/>
        </w:rPr>
        <w:t>’</w:t>
      </w:r>
      <w:r w:rsidRPr="005F28B2">
        <w:rPr>
          <w:lang w:val="fr-FR"/>
        </w:rPr>
        <w:t>État</w:t>
      </w:r>
      <w:r w:rsidR="00E16237" w:rsidRPr="005F28B2">
        <w:rPr>
          <w:lang w:val="fr-FR"/>
        </w:rPr>
        <w:t>,</w:t>
      </w:r>
      <w:r w:rsidRPr="005F28B2">
        <w:rPr>
          <w:lang w:val="fr-FR"/>
        </w:rPr>
        <w:t xml:space="preserve"> des collectivités publiques locales et des établissements publics à caractère administratif</w:t>
      </w:r>
      <w:r w:rsidRPr="005F28B2">
        <w:rPr>
          <w:vertAlign w:val="superscript"/>
          <w:lang w:val="fr-FR"/>
        </w:rPr>
        <w:t>41</w:t>
      </w:r>
      <w:r w:rsidRPr="005F28B2">
        <w:rPr>
          <w:lang w:val="fr-FR"/>
        </w:rPr>
        <w:t xml:space="preserve">. </w:t>
      </w:r>
    </w:p>
    <w:p w:rsidR="009052AE" w:rsidRPr="005F28B2" w:rsidRDefault="00163041" w:rsidP="00B300E8">
      <w:pPr>
        <w:pStyle w:val="H1G"/>
        <w:rPr>
          <w:lang w:val="fr-FR"/>
        </w:rPr>
      </w:pPr>
      <w:r w:rsidRPr="005F28B2">
        <w:rPr>
          <w:lang w:val="fr-FR"/>
        </w:rPr>
        <w:tab/>
      </w:r>
      <w:bookmarkStart w:id="15" w:name="_Toc478218489"/>
      <w:r w:rsidRPr="005F28B2">
        <w:rPr>
          <w:lang w:val="fr-FR"/>
        </w:rPr>
        <w:t>C.</w:t>
      </w:r>
      <w:r w:rsidRPr="005F28B2">
        <w:rPr>
          <w:lang w:val="fr-FR"/>
        </w:rPr>
        <w:tab/>
        <w:t>Cadre institutionnel de la protection des droits de l</w:t>
      </w:r>
      <w:r w:rsidR="00E16237" w:rsidRPr="005F28B2">
        <w:rPr>
          <w:lang w:val="fr-FR"/>
        </w:rPr>
        <w:t>’</w:t>
      </w:r>
      <w:r w:rsidRPr="005F28B2">
        <w:rPr>
          <w:lang w:val="fr-FR"/>
        </w:rPr>
        <w:t>homme</w:t>
      </w:r>
      <w:bookmarkEnd w:id="15"/>
    </w:p>
    <w:p w:rsidR="009052AE" w:rsidRPr="005F28B2" w:rsidRDefault="00163041" w:rsidP="00044209">
      <w:pPr>
        <w:pStyle w:val="H23G"/>
        <w:rPr>
          <w:lang w:val="fr-FR"/>
        </w:rPr>
      </w:pPr>
      <w:r w:rsidRPr="005F28B2">
        <w:rPr>
          <w:lang w:val="fr-FR"/>
        </w:rPr>
        <w:tab/>
      </w:r>
      <w:bookmarkStart w:id="16" w:name="_Toc478218490"/>
      <w:r w:rsidRPr="005F28B2">
        <w:rPr>
          <w:rFonts w:eastAsia="Times New Roman Bold"/>
          <w:lang w:val="fr-FR"/>
        </w:rPr>
        <w:tab/>
        <w:t xml:space="preserve">Les </w:t>
      </w:r>
      <w:r w:rsidRPr="005F28B2">
        <w:rPr>
          <w:lang w:val="fr-FR"/>
        </w:rPr>
        <w:t>Instances constitutionnelles indépendantes</w:t>
      </w:r>
      <w:bookmarkEnd w:id="16"/>
    </w:p>
    <w:p w:rsidR="009052AE" w:rsidRPr="005F28B2" w:rsidRDefault="00163041" w:rsidP="00044209">
      <w:pPr>
        <w:pStyle w:val="SingleTxtG"/>
        <w:rPr>
          <w:lang w:val="fr-FR"/>
        </w:rPr>
      </w:pPr>
      <w:r w:rsidRPr="005F28B2">
        <w:rPr>
          <w:lang w:val="fr-FR"/>
        </w:rPr>
        <w:t>42.</w:t>
      </w:r>
      <w:r w:rsidRPr="005F28B2">
        <w:rPr>
          <w:lang w:val="fr-FR"/>
        </w:rPr>
        <w:tab/>
        <w:t>La Constitution de 2014 a consacré un chapitre entier aux instances constitutionnelles indépendantes et a imposé à toutes les institutions publiques le devoir de faciliter l</w:t>
      </w:r>
      <w:r w:rsidR="00E16237" w:rsidRPr="005F28B2">
        <w:rPr>
          <w:lang w:val="fr-FR"/>
        </w:rPr>
        <w:t>’</w:t>
      </w:r>
      <w:r w:rsidRPr="005F28B2">
        <w:rPr>
          <w:lang w:val="fr-FR"/>
        </w:rPr>
        <w:t>accomplissement de leurs missions. Les instances constitutionnelles indépendantes œuvrent au renforcement de la démocratie et sont dotées à cet effet de la personnalité juridique et de l</w:t>
      </w:r>
      <w:r w:rsidR="00E16237" w:rsidRPr="005F28B2">
        <w:rPr>
          <w:lang w:val="fr-FR"/>
        </w:rPr>
        <w:t>’</w:t>
      </w:r>
      <w:r w:rsidRPr="005F28B2">
        <w:rPr>
          <w:lang w:val="fr-FR"/>
        </w:rPr>
        <w:t>autonomie financière et administrative. Leurs membres sont élus par l</w:t>
      </w:r>
      <w:r w:rsidR="00E16237" w:rsidRPr="005F28B2">
        <w:rPr>
          <w:lang w:val="fr-FR"/>
        </w:rPr>
        <w:t>’</w:t>
      </w:r>
      <w:r w:rsidRPr="005F28B2">
        <w:rPr>
          <w:lang w:val="fr-FR"/>
        </w:rPr>
        <w:t>Assemblée des représentants du peuple à une majorité qualifiée. La Constitution a précisé la composition de chacune de ces Instances</w:t>
      </w:r>
      <w:r w:rsidR="00E16237" w:rsidRPr="005F28B2">
        <w:rPr>
          <w:lang w:val="fr-FR"/>
        </w:rPr>
        <w:t>,</w:t>
      </w:r>
      <w:r w:rsidRPr="005F28B2">
        <w:rPr>
          <w:lang w:val="fr-FR"/>
        </w:rPr>
        <w:t xml:space="preserve"> les conditions d</w:t>
      </w:r>
      <w:r w:rsidR="00E16237" w:rsidRPr="005F28B2">
        <w:rPr>
          <w:lang w:val="fr-FR"/>
        </w:rPr>
        <w:t>’</w:t>
      </w:r>
      <w:r w:rsidRPr="005F28B2">
        <w:rPr>
          <w:lang w:val="fr-FR"/>
        </w:rPr>
        <w:t>éligibilité de leurs membres</w:t>
      </w:r>
      <w:r w:rsidR="00E16237" w:rsidRPr="005F28B2">
        <w:rPr>
          <w:lang w:val="fr-FR"/>
        </w:rPr>
        <w:t>,</w:t>
      </w:r>
      <w:r w:rsidRPr="005F28B2">
        <w:rPr>
          <w:lang w:val="fr-FR"/>
        </w:rPr>
        <w:t xml:space="preserve"> la durée de leur mandat et les conditions de son renouvellement. Il s</w:t>
      </w:r>
      <w:r w:rsidR="00E16237" w:rsidRPr="005F28B2">
        <w:rPr>
          <w:lang w:val="fr-FR"/>
        </w:rPr>
        <w:t>’</w:t>
      </w:r>
      <w:r w:rsidRPr="005F28B2">
        <w:rPr>
          <w:lang w:val="fr-FR"/>
        </w:rPr>
        <w:t xml:space="preserve">agit des entités suivantes : </w:t>
      </w:r>
    </w:p>
    <w:p w:rsidR="009052AE" w:rsidRPr="005F28B2" w:rsidRDefault="00163041" w:rsidP="005A096F">
      <w:pPr>
        <w:pStyle w:val="H4G"/>
        <w:rPr>
          <w:lang w:val="fr-FR"/>
        </w:rPr>
      </w:pPr>
      <w:r w:rsidRPr="005F28B2">
        <w:rPr>
          <w:lang w:val="fr-FR"/>
        </w:rPr>
        <w:tab/>
      </w:r>
      <w:r w:rsidRPr="005F28B2">
        <w:rPr>
          <w:lang w:val="fr-FR"/>
        </w:rPr>
        <w:tab/>
      </w:r>
      <w:bookmarkStart w:id="17" w:name="_Toc478218491"/>
      <w:r w:rsidRPr="005F28B2">
        <w:rPr>
          <w:lang w:val="fr-FR"/>
        </w:rPr>
        <w:t>L</w:t>
      </w:r>
      <w:r w:rsidR="00E16237" w:rsidRPr="005F28B2">
        <w:rPr>
          <w:lang w:val="fr-FR"/>
        </w:rPr>
        <w:t>’</w:t>
      </w:r>
      <w:r w:rsidRPr="005F28B2">
        <w:rPr>
          <w:lang w:val="fr-FR"/>
        </w:rPr>
        <w:t>Instance supérieure indépendante pour les élections</w:t>
      </w:r>
      <w:bookmarkEnd w:id="17"/>
    </w:p>
    <w:p w:rsidR="009052AE" w:rsidRPr="005F28B2" w:rsidRDefault="00163041" w:rsidP="00044209">
      <w:pPr>
        <w:pStyle w:val="SingleTxtG"/>
        <w:rPr>
          <w:lang w:val="fr-FR"/>
        </w:rPr>
      </w:pPr>
      <w:r w:rsidRPr="005F28B2">
        <w:rPr>
          <w:lang w:val="fr-FR"/>
        </w:rPr>
        <w:t>43.</w:t>
      </w:r>
      <w:r w:rsidRPr="005F28B2">
        <w:rPr>
          <w:lang w:val="fr-FR"/>
        </w:rPr>
        <w:tab/>
        <w:t>Elle a été créée après la révolution de 2011 en vue de superviser les élections de l</w:t>
      </w:r>
      <w:r w:rsidR="00E16237" w:rsidRPr="005F28B2">
        <w:rPr>
          <w:lang w:val="fr-FR"/>
        </w:rPr>
        <w:t>’</w:t>
      </w:r>
      <w:r w:rsidRPr="005F28B2">
        <w:rPr>
          <w:lang w:val="fr-FR"/>
        </w:rPr>
        <w:t>Assemblée nationale constituante et sa mission devait cesser après la proclamation des résultats définitifs des élections du 23 octobre 2011. Elle a été chargée de la préparation des élections</w:t>
      </w:r>
      <w:r w:rsidR="00E16237" w:rsidRPr="005F28B2">
        <w:rPr>
          <w:lang w:val="fr-FR"/>
        </w:rPr>
        <w:t>,</w:t>
      </w:r>
      <w:r w:rsidRPr="005F28B2">
        <w:rPr>
          <w:lang w:val="fr-FR"/>
        </w:rPr>
        <w:t xml:space="preserve"> de leur organisation et de leur contrôle</w:t>
      </w:r>
      <w:r w:rsidR="00E16237" w:rsidRPr="005F28B2">
        <w:rPr>
          <w:lang w:val="fr-FR"/>
        </w:rPr>
        <w:t>,</w:t>
      </w:r>
      <w:r w:rsidRPr="005F28B2">
        <w:rPr>
          <w:lang w:val="fr-FR"/>
        </w:rPr>
        <w:t xml:space="preserve"> ainsi que de garantir la régularité</w:t>
      </w:r>
      <w:r w:rsidR="00E16237" w:rsidRPr="005F28B2">
        <w:rPr>
          <w:lang w:val="fr-FR"/>
        </w:rPr>
        <w:t>,</w:t>
      </w:r>
      <w:r w:rsidRPr="005F28B2">
        <w:rPr>
          <w:lang w:val="fr-FR"/>
        </w:rPr>
        <w:t xml:space="preserve"> l</w:t>
      </w:r>
      <w:r w:rsidR="00E16237" w:rsidRPr="005F28B2">
        <w:rPr>
          <w:lang w:val="fr-FR"/>
        </w:rPr>
        <w:t>’</w:t>
      </w:r>
      <w:r w:rsidRPr="005F28B2">
        <w:rPr>
          <w:lang w:val="fr-FR"/>
        </w:rPr>
        <w:t>intégrité et la transparence du processus électoral. Une loi organique adoptée en 2012 a procédé à une restructuration de cette Instance et l</w:t>
      </w:r>
      <w:r w:rsidR="00E16237" w:rsidRPr="005F28B2">
        <w:rPr>
          <w:lang w:val="fr-FR"/>
        </w:rPr>
        <w:t>’</w:t>
      </w:r>
      <w:r w:rsidRPr="005F28B2">
        <w:rPr>
          <w:lang w:val="fr-FR"/>
        </w:rPr>
        <w:t>a chargée de veiller à la tenue d</w:t>
      </w:r>
      <w:r w:rsidR="00E16237" w:rsidRPr="005F28B2">
        <w:rPr>
          <w:lang w:val="fr-FR"/>
        </w:rPr>
        <w:t>’</w:t>
      </w:r>
      <w:r w:rsidRPr="005F28B2">
        <w:rPr>
          <w:lang w:val="fr-FR"/>
        </w:rPr>
        <w:t>élections et de référendums démocratiques libres</w:t>
      </w:r>
      <w:r w:rsidR="00E16237" w:rsidRPr="005F28B2">
        <w:rPr>
          <w:lang w:val="fr-FR"/>
        </w:rPr>
        <w:t>,</w:t>
      </w:r>
      <w:r w:rsidRPr="005F28B2">
        <w:rPr>
          <w:lang w:val="fr-FR"/>
        </w:rPr>
        <w:t xml:space="preserve"> pluralistes</w:t>
      </w:r>
      <w:r w:rsidR="00E16237" w:rsidRPr="005F28B2">
        <w:rPr>
          <w:lang w:val="fr-FR"/>
        </w:rPr>
        <w:t>,</w:t>
      </w:r>
      <w:r w:rsidRPr="005F28B2">
        <w:rPr>
          <w:lang w:val="fr-FR"/>
        </w:rPr>
        <w:t xml:space="preserve"> honnêtes et transparents</w:t>
      </w:r>
      <w:r w:rsidR="00E16237" w:rsidRPr="005F28B2">
        <w:rPr>
          <w:lang w:val="fr-FR"/>
        </w:rPr>
        <w:t>,</w:t>
      </w:r>
      <w:r w:rsidRPr="005F28B2">
        <w:rPr>
          <w:lang w:val="fr-FR"/>
        </w:rPr>
        <w:t xml:space="preserve"> notamment en matière de renouvellement des mandats législatifs et présidentiels. L</w:t>
      </w:r>
      <w:r w:rsidR="00E16237" w:rsidRPr="005F28B2">
        <w:rPr>
          <w:lang w:val="fr-FR"/>
        </w:rPr>
        <w:t>’</w:t>
      </w:r>
      <w:r w:rsidRPr="005F28B2">
        <w:rPr>
          <w:lang w:val="fr-FR"/>
        </w:rPr>
        <w:t>Instance supérieure indépendante pour les élections est une entité publique indépendante dotée de la personnalité morale et de l</w:t>
      </w:r>
      <w:r w:rsidR="00E16237" w:rsidRPr="005F28B2">
        <w:rPr>
          <w:lang w:val="fr-FR"/>
        </w:rPr>
        <w:t>’</w:t>
      </w:r>
      <w:r w:rsidRPr="005F28B2">
        <w:rPr>
          <w:lang w:val="fr-FR"/>
        </w:rPr>
        <w:t>autonomie financière et administrative. Elle est composée d</w:t>
      </w:r>
      <w:r w:rsidR="00E16237" w:rsidRPr="005F28B2">
        <w:rPr>
          <w:lang w:val="fr-FR"/>
        </w:rPr>
        <w:t>’</w:t>
      </w:r>
      <w:r w:rsidRPr="005F28B2">
        <w:rPr>
          <w:lang w:val="fr-FR"/>
        </w:rPr>
        <w:t>une commission centrale de 16 membres siégeant à la capitale (Tunis) et de sous-commissions au niveau de chaque circonscription électorale</w:t>
      </w:r>
      <w:r w:rsidR="00E16237" w:rsidRPr="005F28B2">
        <w:rPr>
          <w:lang w:val="fr-FR"/>
        </w:rPr>
        <w:t>,</w:t>
      </w:r>
      <w:r w:rsidRPr="005F28B2">
        <w:rPr>
          <w:lang w:val="fr-FR"/>
        </w:rPr>
        <w:t xml:space="preserve"> dont les sièges sont situés dans les chefs-lieux des gouvernorats et auprès des missions diplomatiques. La composition et la structure des sous-commissions sont fixées par la commission centrale. L</w:t>
      </w:r>
      <w:r w:rsidR="00E16237" w:rsidRPr="005F28B2">
        <w:rPr>
          <w:lang w:val="fr-FR"/>
        </w:rPr>
        <w:t>’</w:t>
      </w:r>
      <w:r w:rsidRPr="005F28B2">
        <w:rPr>
          <w:lang w:val="fr-FR"/>
        </w:rPr>
        <w:t>Instance a été intégrée dans la Constitution de 2014 en tant qu</w:t>
      </w:r>
      <w:r w:rsidR="00E16237" w:rsidRPr="005F28B2">
        <w:rPr>
          <w:lang w:val="fr-FR"/>
        </w:rPr>
        <w:t>’</w:t>
      </w:r>
      <w:r w:rsidRPr="005F28B2">
        <w:rPr>
          <w:lang w:val="fr-FR"/>
        </w:rPr>
        <w:t>instance constitutionnelle indépendante.</w:t>
      </w:r>
    </w:p>
    <w:p w:rsidR="009052AE" w:rsidRPr="005F28B2" w:rsidRDefault="00163041" w:rsidP="00686BD4">
      <w:pPr>
        <w:pStyle w:val="H4G"/>
        <w:rPr>
          <w:rtl/>
          <w:lang w:val="fr-FR" w:bidi="fr-FR"/>
        </w:rPr>
      </w:pPr>
      <w:r w:rsidRPr="005F28B2">
        <w:rPr>
          <w:lang w:val="fr-FR"/>
        </w:rPr>
        <w:tab/>
      </w:r>
      <w:r w:rsidRPr="005F28B2">
        <w:rPr>
          <w:lang w:val="fr-FR"/>
        </w:rPr>
        <w:tab/>
      </w:r>
      <w:bookmarkStart w:id="18" w:name="_Toc478218492"/>
      <w:r w:rsidRPr="005F28B2">
        <w:rPr>
          <w:lang w:val="fr-FR"/>
        </w:rPr>
        <w:t>L</w:t>
      </w:r>
      <w:r w:rsidR="00E16237" w:rsidRPr="005F28B2">
        <w:rPr>
          <w:lang w:val="fr-FR"/>
        </w:rPr>
        <w:t>’</w:t>
      </w:r>
      <w:r w:rsidRPr="005F28B2">
        <w:rPr>
          <w:lang w:val="fr-FR"/>
        </w:rPr>
        <w:t>Instance de la communication audiovisuelle</w:t>
      </w:r>
      <w:bookmarkEnd w:id="18"/>
    </w:p>
    <w:p w:rsidR="009052AE" w:rsidRPr="005F28B2" w:rsidRDefault="00163041" w:rsidP="00044209">
      <w:pPr>
        <w:pStyle w:val="SingleTxtG"/>
        <w:rPr>
          <w:rtl/>
          <w:lang w:val="fr-FR" w:bidi="fr-FR"/>
        </w:rPr>
      </w:pPr>
      <w:r w:rsidRPr="005F28B2">
        <w:rPr>
          <w:lang w:val="fr-FR"/>
        </w:rPr>
        <w:t>44.</w:t>
      </w:r>
      <w:r w:rsidRPr="005F28B2">
        <w:rPr>
          <w:lang w:val="fr-FR"/>
        </w:rPr>
        <w:tab/>
        <w:t>Elle est chargée de la régulation et du développement du secteur de la communication audiovisuelle. Elle veille à garantir la liberté d</w:t>
      </w:r>
      <w:r w:rsidR="00E16237" w:rsidRPr="005F28B2">
        <w:rPr>
          <w:lang w:val="fr-FR"/>
        </w:rPr>
        <w:t>’</w:t>
      </w:r>
      <w:r w:rsidRPr="005F28B2">
        <w:rPr>
          <w:lang w:val="fr-FR"/>
        </w:rPr>
        <w:t>expression et d</w:t>
      </w:r>
      <w:r w:rsidR="00E16237" w:rsidRPr="005F28B2">
        <w:rPr>
          <w:lang w:val="fr-FR"/>
        </w:rPr>
        <w:t>’</w:t>
      </w:r>
      <w:r w:rsidRPr="005F28B2">
        <w:rPr>
          <w:lang w:val="fr-FR"/>
        </w:rPr>
        <w:t>information</w:t>
      </w:r>
      <w:r w:rsidR="00E16237" w:rsidRPr="005F28B2">
        <w:rPr>
          <w:lang w:val="fr-FR"/>
        </w:rPr>
        <w:t>,</w:t>
      </w:r>
      <w:r w:rsidRPr="005F28B2">
        <w:rPr>
          <w:lang w:val="fr-FR"/>
        </w:rPr>
        <w:t xml:space="preserve"> le droit d</w:t>
      </w:r>
      <w:r w:rsidR="00E16237" w:rsidRPr="005F28B2">
        <w:rPr>
          <w:lang w:val="fr-FR"/>
        </w:rPr>
        <w:t>’</w:t>
      </w:r>
      <w:r w:rsidRPr="005F28B2">
        <w:rPr>
          <w:lang w:val="fr-FR"/>
        </w:rPr>
        <w:t>accès à l</w:t>
      </w:r>
      <w:r w:rsidR="00E16237" w:rsidRPr="005F28B2">
        <w:rPr>
          <w:lang w:val="fr-FR"/>
        </w:rPr>
        <w:t>’</w:t>
      </w:r>
      <w:r w:rsidRPr="005F28B2">
        <w:rPr>
          <w:lang w:val="fr-FR"/>
        </w:rPr>
        <w:t>information et l</w:t>
      </w:r>
      <w:r w:rsidR="00E16237" w:rsidRPr="005F28B2">
        <w:rPr>
          <w:lang w:val="fr-FR"/>
        </w:rPr>
        <w:t>’</w:t>
      </w:r>
      <w:r w:rsidRPr="005F28B2">
        <w:rPr>
          <w:lang w:val="fr-FR"/>
        </w:rPr>
        <w:t>instauration d</w:t>
      </w:r>
      <w:r w:rsidR="00E16237" w:rsidRPr="005F28B2">
        <w:rPr>
          <w:lang w:val="fr-FR"/>
        </w:rPr>
        <w:t>’</w:t>
      </w:r>
      <w:r w:rsidRPr="005F28B2">
        <w:rPr>
          <w:lang w:val="fr-FR"/>
        </w:rPr>
        <w:t xml:space="preserve">un paysage médiatique pluraliste et </w:t>
      </w:r>
      <w:r w:rsidRPr="005F28B2">
        <w:rPr>
          <w:lang w:val="fr-FR"/>
        </w:rPr>
        <w:lastRenderedPageBreak/>
        <w:t>intègre. Elle a été créée en 2011 et incorporée à son tour dans la Constitution de 2014 en tant qu</w:t>
      </w:r>
      <w:r w:rsidR="00E16237" w:rsidRPr="005F28B2">
        <w:rPr>
          <w:lang w:val="fr-FR"/>
        </w:rPr>
        <w:t>’</w:t>
      </w:r>
      <w:r w:rsidRPr="005F28B2">
        <w:rPr>
          <w:lang w:val="fr-FR"/>
        </w:rPr>
        <w:t>instance constitutionnelle indépendante. Elle est dotée de compétences réglementaires et disciplinaires dans le domaine de l</w:t>
      </w:r>
      <w:r w:rsidR="00E16237" w:rsidRPr="005F28B2">
        <w:rPr>
          <w:lang w:val="fr-FR"/>
        </w:rPr>
        <w:t>’</w:t>
      </w:r>
      <w:r w:rsidRPr="005F28B2">
        <w:rPr>
          <w:lang w:val="fr-FR"/>
        </w:rPr>
        <w:t>audiovisuel et de compétences consultatives en matière de réglementation relative à la communication audiovisuelle. Elle exerce ses prérogatives en toute indépendance</w:t>
      </w:r>
      <w:r w:rsidR="00E16237" w:rsidRPr="005F28B2">
        <w:rPr>
          <w:lang w:val="fr-FR"/>
        </w:rPr>
        <w:t>,</w:t>
      </w:r>
      <w:r w:rsidRPr="005F28B2">
        <w:rPr>
          <w:lang w:val="fr-FR"/>
        </w:rPr>
        <w:t xml:space="preserve"> sans intervention d</w:t>
      </w:r>
      <w:r w:rsidR="00E16237" w:rsidRPr="005F28B2">
        <w:rPr>
          <w:lang w:val="fr-FR"/>
        </w:rPr>
        <w:t>’</w:t>
      </w:r>
      <w:r w:rsidRPr="005F28B2">
        <w:rPr>
          <w:lang w:val="fr-FR"/>
        </w:rPr>
        <w:t>une quelconque partie susceptible d</w:t>
      </w:r>
      <w:r w:rsidR="00E16237" w:rsidRPr="005F28B2">
        <w:rPr>
          <w:lang w:val="fr-FR"/>
        </w:rPr>
        <w:t>’</w:t>
      </w:r>
      <w:r w:rsidRPr="005F28B2">
        <w:rPr>
          <w:lang w:val="fr-FR"/>
        </w:rPr>
        <w:t xml:space="preserve">influer sur ses membres ou ses activités. </w:t>
      </w:r>
    </w:p>
    <w:p w:rsidR="009052AE" w:rsidRPr="005F28B2" w:rsidRDefault="00163041" w:rsidP="00686BD4">
      <w:pPr>
        <w:pStyle w:val="H4G"/>
        <w:rPr>
          <w:rtl/>
          <w:lang w:val="fr-FR" w:bidi="fr-FR"/>
        </w:rPr>
      </w:pPr>
      <w:r w:rsidRPr="005F28B2">
        <w:rPr>
          <w:lang w:val="fr-FR"/>
        </w:rPr>
        <w:tab/>
      </w:r>
      <w:r w:rsidRPr="005F28B2">
        <w:rPr>
          <w:lang w:val="fr-FR"/>
        </w:rPr>
        <w:tab/>
      </w:r>
      <w:bookmarkStart w:id="19" w:name="_Toc478218493"/>
      <w:r w:rsidRPr="005F28B2">
        <w:rPr>
          <w:lang w:val="fr-FR"/>
        </w:rPr>
        <w:t>La Commission de la bonne gouvernance et de la lutte contre la corruption</w:t>
      </w:r>
      <w:bookmarkEnd w:id="19"/>
    </w:p>
    <w:p w:rsidR="009052AE" w:rsidRPr="005F28B2" w:rsidRDefault="00163041" w:rsidP="00044209">
      <w:pPr>
        <w:pStyle w:val="SingleTxtG"/>
        <w:rPr>
          <w:lang w:val="fr-FR"/>
        </w:rPr>
      </w:pPr>
      <w:r w:rsidRPr="005F28B2">
        <w:rPr>
          <w:lang w:val="fr-FR"/>
        </w:rPr>
        <w:t>45.</w:t>
      </w:r>
      <w:r w:rsidRPr="005F28B2">
        <w:rPr>
          <w:lang w:val="fr-FR"/>
        </w:rPr>
        <w:tab/>
        <w:t xml:space="preserve">Elle a été instaurée par le décret-loi cadre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2011-120</w:t>
      </w:r>
      <w:r w:rsidRPr="005F28B2">
        <w:rPr>
          <w:rStyle w:val="Appelnotedebasdep"/>
          <w:lang w:val="fr-FR"/>
        </w:rPr>
        <w:footnoteReference w:id="45"/>
      </w:r>
      <w:r w:rsidRPr="005F28B2">
        <w:rPr>
          <w:lang w:val="fr-FR"/>
        </w:rPr>
        <w:t xml:space="preserve"> sous le nom d</w:t>
      </w:r>
      <w:r w:rsidR="00E16237" w:rsidRPr="005F28B2">
        <w:rPr>
          <w:lang w:val="fr-FR"/>
        </w:rPr>
        <w:t>’</w:t>
      </w:r>
      <w:r w:rsidRPr="005F28B2">
        <w:rPr>
          <w:lang w:val="fr-FR"/>
        </w:rPr>
        <w:t>« Instance nationale de lutte contre la corruption » et a remplacé la Commission nationale d</w:t>
      </w:r>
      <w:r w:rsidR="00E16237" w:rsidRPr="005F28B2">
        <w:rPr>
          <w:lang w:val="fr-FR"/>
        </w:rPr>
        <w:t>’</w:t>
      </w:r>
      <w:r w:rsidRPr="005F28B2">
        <w:rPr>
          <w:lang w:val="fr-FR"/>
        </w:rPr>
        <w:t>investigation sur les affaires de corruption et de malversation</w:t>
      </w:r>
      <w:r w:rsidRPr="005F28B2">
        <w:rPr>
          <w:vertAlign w:val="superscript"/>
          <w:lang w:val="fr-FR"/>
        </w:rPr>
        <w:t>46</w:t>
      </w:r>
      <w:r w:rsidRPr="005F28B2">
        <w:rPr>
          <w:lang w:val="fr-FR"/>
        </w:rPr>
        <w:t>. Elle a été intégrée dans la Constitution de 2014 qui l</w:t>
      </w:r>
      <w:r w:rsidR="00E16237" w:rsidRPr="005F28B2">
        <w:rPr>
          <w:lang w:val="fr-FR"/>
        </w:rPr>
        <w:t>’</w:t>
      </w:r>
      <w:r w:rsidRPr="005F28B2">
        <w:rPr>
          <w:lang w:val="fr-FR"/>
        </w:rPr>
        <w:t>a chargée de participer aux politiques de bonne gouvernance</w:t>
      </w:r>
      <w:r w:rsidR="00E16237" w:rsidRPr="005F28B2">
        <w:rPr>
          <w:lang w:val="fr-FR"/>
        </w:rPr>
        <w:t>,</w:t>
      </w:r>
      <w:r w:rsidRPr="005F28B2">
        <w:rPr>
          <w:lang w:val="fr-FR"/>
        </w:rPr>
        <w:t xml:space="preserve"> d</w:t>
      </w:r>
      <w:r w:rsidR="00E16237" w:rsidRPr="005F28B2">
        <w:rPr>
          <w:lang w:val="fr-FR"/>
        </w:rPr>
        <w:t>’</w:t>
      </w:r>
      <w:r w:rsidRPr="005F28B2">
        <w:rPr>
          <w:lang w:val="fr-FR"/>
        </w:rPr>
        <w:t>interdiction de la corruption et de lutte contre cette pratique et d</w:t>
      </w:r>
      <w:r w:rsidR="00E16237" w:rsidRPr="005F28B2">
        <w:rPr>
          <w:lang w:val="fr-FR"/>
        </w:rPr>
        <w:t>’</w:t>
      </w:r>
      <w:r w:rsidRPr="005F28B2">
        <w:rPr>
          <w:lang w:val="fr-FR"/>
        </w:rPr>
        <w:t>assurer le suivi de la mise en œuvre de ces politiques</w:t>
      </w:r>
      <w:r w:rsidR="00E16237" w:rsidRPr="005F28B2">
        <w:rPr>
          <w:lang w:val="fr-FR"/>
        </w:rPr>
        <w:t>,</w:t>
      </w:r>
      <w:r w:rsidRPr="005F28B2">
        <w:rPr>
          <w:lang w:val="fr-FR"/>
        </w:rPr>
        <w:t xml:space="preserve"> ainsi que de la promotion de la culture de la bonne gouvernance et de la lutte contre la corruption en vue de consolider les principes de transparence</w:t>
      </w:r>
      <w:r w:rsidR="00E16237" w:rsidRPr="005F28B2">
        <w:rPr>
          <w:lang w:val="fr-FR"/>
        </w:rPr>
        <w:t>,</w:t>
      </w:r>
      <w:r w:rsidRPr="005F28B2">
        <w:rPr>
          <w:lang w:val="fr-FR"/>
        </w:rPr>
        <w:t xml:space="preserve"> d</w:t>
      </w:r>
      <w:r w:rsidR="00E16237" w:rsidRPr="005F28B2">
        <w:rPr>
          <w:lang w:val="fr-FR"/>
        </w:rPr>
        <w:t>’</w:t>
      </w:r>
      <w:r w:rsidRPr="005F28B2">
        <w:rPr>
          <w:lang w:val="fr-FR"/>
        </w:rPr>
        <w:t>intégrité et de responsabilité en tant que fondements de l</w:t>
      </w:r>
      <w:r w:rsidR="00E16237" w:rsidRPr="005F28B2">
        <w:rPr>
          <w:lang w:val="fr-FR"/>
        </w:rPr>
        <w:t>’</w:t>
      </w:r>
      <w:r w:rsidRPr="005F28B2">
        <w:rPr>
          <w:lang w:val="fr-FR"/>
        </w:rPr>
        <w:t>instauration d</w:t>
      </w:r>
      <w:r w:rsidR="00E16237" w:rsidRPr="005F28B2">
        <w:rPr>
          <w:lang w:val="fr-FR"/>
        </w:rPr>
        <w:t>’</w:t>
      </w:r>
      <w:r w:rsidRPr="005F28B2">
        <w:rPr>
          <w:lang w:val="fr-FR"/>
        </w:rPr>
        <w:t>un dispositif institutionnel garantissant des droits économiques</w:t>
      </w:r>
      <w:r w:rsidR="00E16237" w:rsidRPr="005F28B2">
        <w:rPr>
          <w:lang w:val="fr-FR"/>
        </w:rPr>
        <w:t>,</w:t>
      </w:r>
      <w:r w:rsidRPr="005F28B2">
        <w:rPr>
          <w:lang w:val="fr-FR"/>
        </w:rPr>
        <w:t xml:space="preserve"> sociaux</w:t>
      </w:r>
      <w:r w:rsidR="00E16237" w:rsidRPr="005F28B2">
        <w:rPr>
          <w:lang w:val="fr-FR"/>
        </w:rPr>
        <w:t>,</w:t>
      </w:r>
      <w:r w:rsidRPr="005F28B2">
        <w:rPr>
          <w:lang w:val="fr-FR"/>
        </w:rPr>
        <w:t xml:space="preserve"> politiques et culturels universels et indivisibles</w:t>
      </w:r>
      <w:r w:rsidR="00E16237" w:rsidRPr="005F28B2">
        <w:rPr>
          <w:lang w:val="fr-FR"/>
        </w:rPr>
        <w:t>,</w:t>
      </w:r>
      <w:r w:rsidRPr="005F28B2">
        <w:rPr>
          <w:lang w:val="fr-FR"/>
        </w:rPr>
        <w:t xml:space="preserve"> tels qu</w:t>
      </w:r>
      <w:r w:rsidR="00E16237" w:rsidRPr="005F28B2">
        <w:rPr>
          <w:lang w:val="fr-FR"/>
        </w:rPr>
        <w:t>’</w:t>
      </w:r>
      <w:r w:rsidRPr="005F28B2">
        <w:rPr>
          <w:lang w:val="fr-FR"/>
        </w:rPr>
        <w:t>énoncés par les instruments internationaux ratifiés par la Tunisie. Elle s</w:t>
      </w:r>
      <w:r w:rsidR="00E16237" w:rsidRPr="005F28B2">
        <w:rPr>
          <w:lang w:val="fr-FR"/>
        </w:rPr>
        <w:t>’</w:t>
      </w:r>
      <w:r w:rsidRPr="005F28B2">
        <w:rPr>
          <w:lang w:val="fr-FR"/>
        </w:rPr>
        <w:t>acquitte</w:t>
      </w:r>
      <w:r w:rsidR="00E16237" w:rsidRPr="005F28B2">
        <w:rPr>
          <w:lang w:val="fr-FR"/>
        </w:rPr>
        <w:t>,</w:t>
      </w:r>
      <w:r w:rsidRPr="005F28B2">
        <w:rPr>
          <w:lang w:val="fr-FR"/>
        </w:rPr>
        <w:t xml:space="preserve"> d</w:t>
      </w:r>
      <w:r w:rsidR="00E16237" w:rsidRPr="005F28B2">
        <w:rPr>
          <w:lang w:val="fr-FR"/>
        </w:rPr>
        <w:t>’</w:t>
      </w:r>
      <w:r w:rsidRPr="005F28B2">
        <w:rPr>
          <w:lang w:val="fr-FR"/>
        </w:rPr>
        <w:t>une manière générale</w:t>
      </w:r>
      <w:r w:rsidR="00E16237" w:rsidRPr="005F28B2">
        <w:rPr>
          <w:lang w:val="fr-FR"/>
        </w:rPr>
        <w:t>,</w:t>
      </w:r>
      <w:r w:rsidRPr="005F28B2">
        <w:rPr>
          <w:lang w:val="fr-FR"/>
        </w:rPr>
        <w:t xml:space="preserve"> de toutes les tâches se rapportant à la lutte contre la corruption et à l</w:t>
      </w:r>
      <w:r w:rsidR="00E16237" w:rsidRPr="005F28B2">
        <w:rPr>
          <w:lang w:val="fr-FR"/>
        </w:rPr>
        <w:t>’</w:t>
      </w:r>
      <w:r w:rsidRPr="005F28B2">
        <w:rPr>
          <w:lang w:val="fr-FR"/>
        </w:rPr>
        <w:t>instauration d</w:t>
      </w:r>
      <w:r w:rsidR="00E16237" w:rsidRPr="005F28B2">
        <w:rPr>
          <w:lang w:val="fr-FR"/>
        </w:rPr>
        <w:t>’</w:t>
      </w:r>
      <w:r w:rsidRPr="005F28B2">
        <w:rPr>
          <w:lang w:val="fr-FR"/>
        </w:rPr>
        <w:t>une bonne gouvernance. L</w:t>
      </w:r>
      <w:r w:rsidR="00E16237" w:rsidRPr="005F28B2">
        <w:rPr>
          <w:lang w:val="fr-FR"/>
        </w:rPr>
        <w:t>’</w:t>
      </w:r>
      <w:r w:rsidRPr="005F28B2">
        <w:rPr>
          <w:lang w:val="fr-FR"/>
        </w:rPr>
        <w:t xml:space="preserve">Instance </w:t>
      </w:r>
      <w:r w:rsidR="005F28B2" w:rsidRPr="005F28B2">
        <w:rPr>
          <w:lang w:val="fr-FR"/>
        </w:rPr>
        <w:t>œuvre</w:t>
      </w:r>
      <w:r w:rsidRPr="005F28B2">
        <w:rPr>
          <w:lang w:val="fr-FR"/>
        </w:rPr>
        <w:t xml:space="preserve"> à collaborer avec ses homologues dans le monde et avec les organisations internationales spécialisées avec lesquelles elle peut conclure des accords de coopération dans les domaines relevant de ses compétences. Elle peut également échanger des documents</w:t>
      </w:r>
      <w:r w:rsidR="00E16237" w:rsidRPr="005F28B2">
        <w:rPr>
          <w:lang w:val="fr-FR"/>
        </w:rPr>
        <w:t>,</w:t>
      </w:r>
      <w:r w:rsidRPr="005F28B2">
        <w:rPr>
          <w:lang w:val="fr-FR"/>
        </w:rPr>
        <w:t xml:space="preserve"> études et données avec ces entités</w:t>
      </w:r>
      <w:r w:rsidR="00E16237" w:rsidRPr="005F28B2">
        <w:rPr>
          <w:lang w:val="fr-FR"/>
        </w:rPr>
        <w:t>,</w:t>
      </w:r>
      <w:r w:rsidRPr="005F28B2">
        <w:rPr>
          <w:lang w:val="fr-FR"/>
        </w:rPr>
        <w:t xml:space="preserve"> ce qui devrait permettre de signaler rapidement les infractions de corruption et de contribuer à les prévenir et à les détecter.</w:t>
      </w:r>
    </w:p>
    <w:p w:rsidR="009052AE" w:rsidRPr="005F28B2" w:rsidRDefault="00163041" w:rsidP="00686BD4">
      <w:pPr>
        <w:pStyle w:val="H4G"/>
        <w:rPr>
          <w:lang w:val="fr-FR"/>
        </w:rPr>
      </w:pPr>
      <w:r w:rsidRPr="005F28B2">
        <w:rPr>
          <w:lang w:val="fr-FR"/>
        </w:rPr>
        <w:tab/>
      </w:r>
      <w:r w:rsidRPr="005F28B2">
        <w:rPr>
          <w:lang w:val="fr-FR"/>
        </w:rPr>
        <w:tab/>
      </w:r>
      <w:bookmarkStart w:id="20" w:name="_Toc478218494"/>
      <w:r w:rsidRPr="005F28B2">
        <w:rPr>
          <w:lang w:val="fr-FR"/>
        </w:rPr>
        <w:t>L</w:t>
      </w:r>
      <w:r w:rsidR="00E16237" w:rsidRPr="005F28B2">
        <w:rPr>
          <w:lang w:val="fr-FR"/>
        </w:rPr>
        <w:t>’</w:t>
      </w:r>
      <w:r w:rsidRPr="005F28B2">
        <w:rPr>
          <w:lang w:val="fr-FR"/>
        </w:rPr>
        <w:t>Instance du développement durable et des droits des générations futures</w:t>
      </w:r>
      <w:bookmarkEnd w:id="20"/>
    </w:p>
    <w:p w:rsidR="009052AE" w:rsidRPr="005F28B2" w:rsidRDefault="00163041" w:rsidP="00044209">
      <w:pPr>
        <w:pStyle w:val="SingleTxtG"/>
        <w:rPr>
          <w:rtl/>
          <w:lang w:val="fr-FR" w:bidi="fr-FR"/>
        </w:rPr>
      </w:pPr>
      <w:r w:rsidRPr="005F28B2">
        <w:rPr>
          <w:lang w:val="fr-FR"/>
        </w:rPr>
        <w:t>46.</w:t>
      </w:r>
      <w:r w:rsidRPr="005F28B2">
        <w:rPr>
          <w:lang w:val="fr-FR"/>
        </w:rPr>
        <w:tab/>
        <w:t>Elle est obligatoirement consultée à propos des projets de lois relatifs aux questions commerciales</w:t>
      </w:r>
      <w:r w:rsidR="00E16237" w:rsidRPr="005F28B2">
        <w:rPr>
          <w:lang w:val="fr-FR"/>
        </w:rPr>
        <w:t>,</w:t>
      </w:r>
      <w:r w:rsidRPr="005F28B2">
        <w:rPr>
          <w:lang w:val="fr-FR"/>
        </w:rPr>
        <w:t xml:space="preserve"> sociales et environnementales</w:t>
      </w:r>
      <w:r w:rsidR="00E16237" w:rsidRPr="005F28B2">
        <w:rPr>
          <w:lang w:val="fr-FR"/>
        </w:rPr>
        <w:t>,</w:t>
      </w:r>
      <w:r w:rsidRPr="005F28B2">
        <w:rPr>
          <w:lang w:val="fr-FR"/>
        </w:rPr>
        <w:t xml:space="preserve"> ainsi qu</w:t>
      </w:r>
      <w:r w:rsidR="00E16237" w:rsidRPr="005F28B2">
        <w:rPr>
          <w:lang w:val="fr-FR"/>
        </w:rPr>
        <w:t>’</w:t>
      </w:r>
      <w:r w:rsidRPr="005F28B2">
        <w:rPr>
          <w:lang w:val="fr-FR"/>
        </w:rPr>
        <w:t>en matière de plans de développement.</w:t>
      </w:r>
    </w:p>
    <w:p w:rsidR="009052AE" w:rsidRPr="005F28B2" w:rsidRDefault="00163041" w:rsidP="00686BD4">
      <w:pPr>
        <w:pStyle w:val="H4G"/>
        <w:rPr>
          <w:lang w:val="fr-FR"/>
        </w:rPr>
      </w:pPr>
      <w:r w:rsidRPr="005F28B2">
        <w:rPr>
          <w:lang w:val="fr-FR"/>
        </w:rPr>
        <w:tab/>
      </w:r>
      <w:r w:rsidRPr="005F28B2">
        <w:rPr>
          <w:lang w:val="fr-FR"/>
        </w:rPr>
        <w:tab/>
      </w:r>
      <w:bookmarkStart w:id="21" w:name="_Toc478218495"/>
      <w:r w:rsidRPr="005F28B2">
        <w:rPr>
          <w:lang w:val="fr-FR"/>
        </w:rPr>
        <w:t>L</w:t>
      </w:r>
      <w:r w:rsidR="00E16237" w:rsidRPr="005F28B2">
        <w:rPr>
          <w:lang w:val="fr-FR"/>
        </w:rPr>
        <w:t>’</w:t>
      </w:r>
      <w:r w:rsidRPr="005F28B2">
        <w:rPr>
          <w:lang w:val="fr-FR"/>
        </w:rPr>
        <w:t>Instance des droits de l</w:t>
      </w:r>
      <w:r w:rsidR="00E16237" w:rsidRPr="005F28B2">
        <w:rPr>
          <w:lang w:val="fr-FR"/>
        </w:rPr>
        <w:t>’</w:t>
      </w:r>
      <w:r w:rsidRPr="005F28B2">
        <w:rPr>
          <w:lang w:val="fr-FR"/>
        </w:rPr>
        <w:t>Homme</w:t>
      </w:r>
      <w:bookmarkEnd w:id="21"/>
    </w:p>
    <w:p w:rsidR="009052AE" w:rsidRPr="005F28B2" w:rsidRDefault="00163041" w:rsidP="00044209">
      <w:pPr>
        <w:pStyle w:val="SingleTxtG"/>
        <w:rPr>
          <w:lang w:val="fr-FR"/>
        </w:rPr>
      </w:pPr>
      <w:r w:rsidRPr="005F28B2">
        <w:rPr>
          <w:lang w:val="fr-FR"/>
        </w:rPr>
        <w:t>47.</w:t>
      </w:r>
      <w:r w:rsidRPr="005F28B2">
        <w:rPr>
          <w:lang w:val="fr-FR"/>
        </w:rPr>
        <w:tab/>
        <w:t>Se reporter à la rubrique consacrée aux institutions nationales</w:t>
      </w:r>
      <w:r w:rsidR="00E16237" w:rsidRPr="005F28B2">
        <w:rPr>
          <w:lang w:val="fr-FR"/>
        </w:rPr>
        <w:t>,</w:t>
      </w:r>
      <w:r w:rsidRPr="005F28B2">
        <w:rPr>
          <w:lang w:val="fr-FR"/>
        </w:rPr>
        <w:t xml:space="preserve"> page</w:t>
      </w:r>
      <w:r w:rsidR="00B300E8" w:rsidRPr="005F28B2">
        <w:rPr>
          <w:lang w:val="fr-FR"/>
        </w:rPr>
        <w:t> </w:t>
      </w:r>
      <w:r w:rsidRPr="005F28B2">
        <w:rPr>
          <w:lang w:val="fr-FR"/>
        </w:rPr>
        <w:t>24</w:t>
      </w:r>
      <w:r w:rsidR="00B300E8" w:rsidRPr="005F28B2">
        <w:rPr>
          <w:lang w:val="fr-FR"/>
        </w:rPr>
        <w:t xml:space="preserve"> du</w:t>
      </w:r>
      <w:r w:rsidR="00044209" w:rsidRPr="005F28B2">
        <w:rPr>
          <w:lang w:val="fr-FR"/>
        </w:rPr>
        <w:t xml:space="preserve"> paragraphe </w:t>
      </w:r>
      <w:r w:rsidRPr="005F28B2">
        <w:rPr>
          <w:lang w:val="fr-FR"/>
        </w:rPr>
        <w:t xml:space="preserve">82. </w:t>
      </w:r>
    </w:p>
    <w:p w:rsidR="009052AE" w:rsidRPr="005F28B2" w:rsidRDefault="00163041" w:rsidP="00044209">
      <w:pPr>
        <w:pStyle w:val="H23G"/>
        <w:rPr>
          <w:lang w:val="fr-FR"/>
        </w:rPr>
      </w:pPr>
      <w:r w:rsidRPr="005F28B2">
        <w:rPr>
          <w:lang w:val="fr-FR"/>
        </w:rPr>
        <w:tab/>
      </w:r>
      <w:bookmarkStart w:id="22" w:name="_Toc478218496"/>
      <w:r w:rsidRPr="005F28B2">
        <w:rPr>
          <w:rFonts w:eastAsia="Times New Roman Bold"/>
          <w:lang w:val="fr-FR"/>
        </w:rPr>
        <w:tab/>
      </w:r>
      <w:r w:rsidRPr="005F28B2">
        <w:rPr>
          <w:lang w:val="fr-FR"/>
        </w:rPr>
        <w:t>Autres instances indépendantes</w:t>
      </w:r>
      <w:bookmarkEnd w:id="22"/>
    </w:p>
    <w:p w:rsidR="009052AE" w:rsidRPr="005F28B2" w:rsidRDefault="00163041" w:rsidP="00044209">
      <w:pPr>
        <w:pStyle w:val="SingleTxtG"/>
        <w:rPr>
          <w:lang w:val="fr-FR"/>
        </w:rPr>
      </w:pPr>
      <w:r w:rsidRPr="005F28B2">
        <w:rPr>
          <w:lang w:val="fr-FR"/>
        </w:rPr>
        <w:t>48.</w:t>
      </w:r>
      <w:r w:rsidRPr="005F28B2">
        <w:rPr>
          <w:lang w:val="fr-FR"/>
        </w:rPr>
        <w:tab/>
        <w:t>La protection des droits de l</w:t>
      </w:r>
      <w:r w:rsidR="00E16237" w:rsidRPr="005F28B2">
        <w:rPr>
          <w:lang w:val="fr-FR"/>
        </w:rPr>
        <w:t>’</w:t>
      </w:r>
      <w:r w:rsidRPr="005F28B2">
        <w:rPr>
          <w:lang w:val="fr-FR"/>
        </w:rPr>
        <w:t>homme n</w:t>
      </w:r>
      <w:r w:rsidR="00E16237" w:rsidRPr="005F28B2">
        <w:rPr>
          <w:lang w:val="fr-FR"/>
        </w:rPr>
        <w:t>’</w:t>
      </w:r>
      <w:r w:rsidRPr="005F28B2">
        <w:rPr>
          <w:lang w:val="fr-FR"/>
        </w:rPr>
        <w:t>est pas l</w:t>
      </w:r>
      <w:r w:rsidR="00E16237" w:rsidRPr="005F28B2">
        <w:rPr>
          <w:lang w:val="fr-FR"/>
        </w:rPr>
        <w:t>’</w:t>
      </w:r>
      <w:r w:rsidRPr="005F28B2">
        <w:rPr>
          <w:lang w:val="fr-FR"/>
        </w:rPr>
        <w:t>apanage des instances constitutionnelles et il existe d</w:t>
      </w:r>
      <w:r w:rsidR="00E16237" w:rsidRPr="005F28B2">
        <w:rPr>
          <w:lang w:val="fr-FR"/>
        </w:rPr>
        <w:t>’</w:t>
      </w:r>
      <w:r w:rsidRPr="005F28B2">
        <w:rPr>
          <w:lang w:val="fr-FR"/>
        </w:rPr>
        <w:t>autres organismes indépendants non inclus dans la Constitution</w:t>
      </w:r>
      <w:r w:rsidR="00E16237" w:rsidRPr="005F28B2">
        <w:rPr>
          <w:lang w:val="fr-FR"/>
        </w:rPr>
        <w:t>,</w:t>
      </w:r>
      <w:r w:rsidRPr="005F28B2">
        <w:rPr>
          <w:lang w:val="fr-FR"/>
        </w:rPr>
        <w:t xml:space="preserve"> tels que l</w:t>
      </w:r>
      <w:r w:rsidR="00E16237" w:rsidRPr="005F28B2">
        <w:rPr>
          <w:lang w:val="fr-FR"/>
        </w:rPr>
        <w:t>’</w:t>
      </w:r>
      <w:r w:rsidRPr="005F28B2">
        <w:rPr>
          <w:lang w:val="fr-FR"/>
        </w:rPr>
        <w:t>Instance nationale pour la prévention de la torture et l</w:t>
      </w:r>
      <w:r w:rsidR="00E16237" w:rsidRPr="005F28B2">
        <w:rPr>
          <w:lang w:val="fr-FR"/>
        </w:rPr>
        <w:t>’</w:t>
      </w:r>
      <w:r w:rsidRPr="005F28B2">
        <w:rPr>
          <w:lang w:val="fr-FR"/>
        </w:rPr>
        <w:t xml:space="preserve">Instance vérité et dignité. </w:t>
      </w:r>
    </w:p>
    <w:p w:rsidR="009052AE" w:rsidRPr="005F28B2" w:rsidRDefault="00163041" w:rsidP="00686BD4">
      <w:pPr>
        <w:pStyle w:val="H4G"/>
        <w:rPr>
          <w:rtl/>
          <w:lang w:val="fr-FR" w:bidi="fr-FR"/>
        </w:rPr>
      </w:pPr>
      <w:r w:rsidRPr="005F28B2">
        <w:rPr>
          <w:lang w:val="fr-FR"/>
        </w:rPr>
        <w:tab/>
      </w:r>
      <w:r w:rsidRPr="005F28B2">
        <w:rPr>
          <w:lang w:val="fr-FR"/>
        </w:rPr>
        <w:tab/>
      </w:r>
      <w:bookmarkStart w:id="23" w:name="_Toc478218497"/>
      <w:r w:rsidRPr="005F28B2">
        <w:rPr>
          <w:lang w:val="fr-FR"/>
        </w:rPr>
        <w:t>L</w:t>
      </w:r>
      <w:r w:rsidR="00E16237" w:rsidRPr="005F28B2">
        <w:rPr>
          <w:lang w:val="fr-FR"/>
        </w:rPr>
        <w:t>’</w:t>
      </w:r>
      <w:r w:rsidRPr="005F28B2">
        <w:rPr>
          <w:lang w:val="fr-FR"/>
        </w:rPr>
        <w:t>Instance nationale pour la prévention de la torture</w:t>
      </w:r>
      <w:bookmarkEnd w:id="23"/>
    </w:p>
    <w:p w:rsidR="009052AE" w:rsidRPr="005F28B2" w:rsidRDefault="00163041" w:rsidP="00044209">
      <w:pPr>
        <w:pStyle w:val="SingleTxtG"/>
        <w:rPr>
          <w:rtl/>
          <w:lang w:val="fr-FR" w:bidi="fr-FR"/>
        </w:rPr>
      </w:pPr>
      <w:r w:rsidRPr="005F28B2">
        <w:rPr>
          <w:lang w:val="fr-FR"/>
        </w:rPr>
        <w:t>49.</w:t>
      </w:r>
      <w:r w:rsidRPr="005F28B2">
        <w:rPr>
          <w:lang w:val="fr-FR"/>
        </w:rPr>
        <w:tab/>
        <w:t>L</w:t>
      </w:r>
      <w:r w:rsidR="00E16237" w:rsidRPr="005F28B2">
        <w:rPr>
          <w:lang w:val="fr-FR"/>
        </w:rPr>
        <w:t>’</w:t>
      </w:r>
      <w:r w:rsidRPr="005F28B2">
        <w:rPr>
          <w:lang w:val="fr-FR"/>
        </w:rPr>
        <w:t xml:space="preserve">instance nationale pour la prévention de la torture a été créée par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2013-43 et chargée de concrétiser les engagements de la Tunisie au titre du Protocole facultatif se rapportant à la Convention contre la torture ratifié par le pays. Il s</w:t>
      </w:r>
      <w:r w:rsidR="00E16237" w:rsidRPr="005F28B2">
        <w:rPr>
          <w:lang w:val="fr-FR"/>
        </w:rPr>
        <w:t>’</w:t>
      </w:r>
      <w:r w:rsidRPr="005F28B2">
        <w:rPr>
          <w:lang w:val="fr-FR"/>
        </w:rPr>
        <w:t>agit d</w:t>
      </w:r>
      <w:r w:rsidR="00E16237" w:rsidRPr="005F28B2">
        <w:rPr>
          <w:lang w:val="fr-FR"/>
        </w:rPr>
        <w:t>’</w:t>
      </w:r>
      <w:r w:rsidRPr="005F28B2">
        <w:rPr>
          <w:lang w:val="fr-FR"/>
        </w:rPr>
        <w:t>une instance publique indépendante dotée de la personnalité morale et de l</w:t>
      </w:r>
      <w:r w:rsidR="00E16237" w:rsidRPr="005F28B2">
        <w:rPr>
          <w:lang w:val="fr-FR"/>
        </w:rPr>
        <w:t>’</w:t>
      </w:r>
      <w:r w:rsidRPr="005F28B2">
        <w:rPr>
          <w:lang w:val="fr-FR"/>
        </w:rPr>
        <w:t>autonomie administrative et financière. Les qualités exigées de ses 16 membres sont l</w:t>
      </w:r>
      <w:r w:rsidR="00E16237" w:rsidRPr="005F28B2">
        <w:rPr>
          <w:lang w:val="fr-FR"/>
        </w:rPr>
        <w:t>’</w:t>
      </w:r>
      <w:r w:rsidRPr="005F28B2">
        <w:rPr>
          <w:lang w:val="fr-FR"/>
        </w:rPr>
        <w:t>intégrité</w:t>
      </w:r>
      <w:r w:rsidR="00E16237" w:rsidRPr="005F28B2">
        <w:rPr>
          <w:lang w:val="fr-FR"/>
        </w:rPr>
        <w:t>,</w:t>
      </w:r>
      <w:r w:rsidRPr="005F28B2">
        <w:rPr>
          <w:lang w:val="fr-FR"/>
        </w:rPr>
        <w:t xml:space="preserve"> l</w:t>
      </w:r>
      <w:r w:rsidR="00E16237" w:rsidRPr="005F28B2">
        <w:rPr>
          <w:lang w:val="fr-FR"/>
        </w:rPr>
        <w:t>’</w:t>
      </w:r>
      <w:r w:rsidRPr="005F28B2">
        <w:rPr>
          <w:lang w:val="fr-FR"/>
        </w:rPr>
        <w:t>indépendance et l</w:t>
      </w:r>
      <w:r w:rsidR="00E16237" w:rsidRPr="005F28B2">
        <w:rPr>
          <w:lang w:val="fr-FR"/>
        </w:rPr>
        <w:t>’</w:t>
      </w:r>
      <w:r w:rsidRPr="005F28B2">
        <w:rPr>
          <w:lang w:val="fr-FR"/>
        </w:rPr>
        <w:t>impartialité</w:t>
      </w:r>
      <w:r w:rsidR="00E16237" w:rsidRPr="005F28B2">
        <w:rPr>
          <w:lang w:val="fr-FR"/>
        </w:rPr>
        <w:t>,</w:t>
      </w:r>
      <w:r w:rsidRPr="005F28B2">
        <w:rPr>
          <w:lang w:val="fr-FR"/>
        </w:rPr>
        <w:t xml:space="preserve"> étant précisé que 6 d</w:t>
      </w:r>
      <w:r w:rsidR="00E16237" w:rsidRPr="005F28B2">
        <w:rPr>
          <w:lang w:val="fr-FR"/>
        </w:rPr>
        <w:t>’</w:t>
      </w:r>
      <w:r w:rsidRPr="005F28B2">
        <w:rPr>
          <w:lang w:val="fr-FR"/>
        </w:rPr>
        <w:t xml:space="preserve">entre eux doivent représenter les organisations et associations de la société civile agissant dans le domaine de la protection </w:t>
      </w:r>
      <w:r w:rsidRPr="005F28B2">
        <w:rPr>
          <w:lang w:val="fr-FR"/>
        </w:rPr>
        <w:lastRenderedPageBreak/>
        <w:t>des droits de l</w:t>
      </w:r>
      <w:r w:rsidR="00E16237" w:rsidRPr="005F28B2">
        <w:rPr>
          <w:lang w:val="fr-FR"/>
        </w:rPr>
        <w:t>’</w:t>
      </w:r>
      <w:r w:rsidRPr="005F28B2">
        <w:rPr>
          <w:lang w:val="fr-FR"/>
        </w:rPr>
        <w:t>homme et que des médecins et psychiatres doivent également figurer</w:t>
      </w:r>
      <w:r w:rsidR="00E16237" w:rsidRPr="005F28B2">
        <w:rPr>
          <w:lang w:val="fr-FR"/>
        </w:rPr>
        <w:t>,</w:t>
      </w:r>
      <w:r w:rsidRPr="005F28B2">
        <w:rPr>
          <w:lang w:val="fr-FR"/>
        </w:rPr>
        <w:t xml:space="preserve"> </w:t>
      </w:r>
      <w:r w:rsidRPr="005F28B2">
        <w:rPr>
          <w:i/>
          <w:lang w:val="fr-FR"/>
        </w:rPr>
        <w:t>ès qualité</w:t>
      </w:r>
      <w:r w:rsidR="00E16237" w:rsidRPr="005F28B2">
        <w:rPr>
          <w:lang w:val="fr-FR"/>
        </w:rPr>
        <w:t>,</w:t>
      </w:r>
      <w:r w:rsidRPr="005F28B2">
        <w:rPr>
          <w:lang w:val="fr-FR"/>
        </w:rPr>
        <w:t xml:space="preserve"> au nombre de ses membres pour garantir la détection de toutes traces de torture morale et physique conformément à l</w:t>
      </w:r>
      <w:r w:rsidR="00E16237" w:rsidRPr="005F28B2">
        <w:rPr>
          <w:lang w:val="fr-FR"/>
        </w:rPr>
        <w:t>’</w:t>
      </w:r>
      <w:r w:rsidR="00755707" w:rsidRPr="005F28B2">
        <w:rPr>
          <w:lang w:val="fr-FR"/>
        </w:rPr>
        <w:t>article </w:t>
      </w:r>
      <w:r w:rsidRPr="005F28B2">
        <w:rPr>
          <w:lang w:val="fr-FR"/>
        </w:rPr>
        <w:t xml:space="preserve">23 de la Constitution. </w:t>
      </w:r>
    </w:p>
    <w:p w:rsidR="009052AE" w:rsidRPr="005F28B2" w:rsidRDefault="00163041" w:rsidP="00044209">
      <w:pPr>
        <w:pStyle w:val="SingleTxtG"/>
        <w:rPr>
          <w:rtl/>
          <w:lang w:val="fr-FR" w:bidi="fr-FR"/>
        </w:rPr>
      </w:pPr>
      <w:r w:rsidRPr="005F28B2">
        <w:rPr>
          <w:lang w:val="fr-FR"/>
        </w:rPr>
        <w:t>50.</w:t>
      </w:r>
      <w:r w:rsidRPr="005F28B2">
        <w:rPr>
          <w:lang w:val="fr-FR"/>
        </w:rPr>
        <w:tab/>
        <w:t>Les membres de l</w:t>
      </w:r>
      <w:r w:rsidR="00E16237" w:rsidRPr="005F28B2">
        <w:rPr>
          <w:lang w:val="fr-FR"/>
        </w:rPr>
        <w:t>’</w:t>
      </w:r>
      <w:r w:rsidRPr="005F28B2">
        <w:rPr>
          <w:lang w:val="fr-FR"/>
        </w:rPr>
        <w:t>Instance sont choisis sur la base du principe de parité</w:t>
      </w:r>
      <w:r w:rsidR="00E16237" w:rsidRPr="005F28B2">
        <w:rPr>
          <w:lang w:val="fr-FR"/>
        </w:rPr>
        <w:t>,</w:t>
      </w:r>
      <w:r w:rsidRPr="005F28B2">
        <w:rPr>
          <w:lang w:val="fr-FR"/>
        </w:rPr>
        <w:t xml:space="preserve"> ce qui influe sur la manière dont cette entité aborde les cas des personnes privées de liberté</w:t>
      </w:r>
      <w:r w:rsidR="00E16237" w:rsidRPr="005F28B2">
        <w:rPr>
          <w:lang w:val="fr-FR"/>
        </w:rPr>
        <w:t>,</w:t>
      </w:r>
      <w:r w:rsidRPr="005F28B2">
        <w:rPr>
          <w:lang w:val="fr-FR"/>
        </w:rPr>
        <w:t xml:space="preserve"> en fonction de leur sexe. Les membres de l</w:t>
      </w:r>
      <w:r w:rsidR="00E16237" w:rsidRPr="005F28B2">
        <w:rPr>
          <w:lang w:val="fr-FR"/>
        </w:rPr>
        <w:t>’</w:t>
      </w:r>
      <w:r w:rsidRPr="005F28B2">
        <w:rPr>
          <w:lang w:val="fr-FR"/>
        </w:rPr>
        <w:t>instance sont considérés comme faisant partie d</w:t>
      </w:r>
      <w:r w:rsidR="00E16237" w:rsidRPr="005F28B2">
        <w:rPr>
          <w:lang w:val="fr-FR"/>
        </w:rPr>
        <w:t>’</w:t>
      </w:r>
      <w:r w:rsidRPr="005F28B2">
        <w:rPr>
          <w:lang w:val="fr-FR"/>
        </w:rPr>
        <w:t>une autorité administrative et jouissent à ce titre de l</w:t>
      </w:r>
      <w:r w:rsidR="00E16237" w:rsidRPr="005F28B2">
        <w:rPr>
          <w:lang w:val="fr-FR"/>
        </w:rPr>
        <w:t>’</w:t>
      </w:r>
      <w:r w:rsidRPr="005F28B2">
        <w:rPr>
          <w:lang w:val="fr-FR"/>
        </w:rPr>
        <w:t>immunité</w:t>
      </w:r>
      <w:r w:rsidR="00E16237" w:rsidRPr="005F28B2">
        <w:rPr>
          <w:lang w:val="fr-FR"/>
        </w:rPr>
        <w:t>,</w:t>
      </w:r>
      <w:r w:rsidRPr="005F28B2">
        <w:rPr>
          <w:lang w:val="fr-FR"/>
        </w:rPr>
        <w:t xml:space="preserve"> y compris après la fin de leur mandat</w:t>
      </w:r>
      <w:r w:rsidR="00E16237" w:rsidRPr="005F28B2">
        <w:rPr>
          <w:lang w:val="fr-FR"/>
        </w:rPr>
        <w:t>,</w:t>
      </w:r>
      <w:r w:rsidRPr="005F28B2">
        <w:rPr>
          <w:lang w:val="fr-FR"/>
        </w:rPr>
        <w:t xml:space="preserve"> dans la mesure où ni le président ni aucun membre ne peuvent être poursuivis ou arrêtés en raison d</w:t>
      </w:r>
      <w:r w:rsidR="00E16237" w:rsidRPr="005F28B2">
        <w:rPr>
          <w:lang w:val="fr-FR"/>
        </w:rPr>
        <w:t>’</w:t>
      </w:r>
      <w:r w:rsidRPr="005F28B2">
        <w:rPr>
          <w:lang w:val="fr-FR"/>
        </w:rPr>
        <w:t>opinions ou d</w:t>
      </w:r>
      <w:r w:rsidR="00E16237" w:rsidRPr="005F28B2">
        <w:rPr>
          <w:lang w:val="fr-FR"/>
        </w:rPr>
        <w:t>’</w:t>
      </w:r>
      <w:r w:rsidRPr="005F28B2">
        <w:rPr>
          <w:lang w:val="fr-FR"/>
        </w:rPr>
        <w:t>actes se rapportant à l</w:t>
      </w:r>
      <w:r w:rsidR="00E16237" w:rsidRPr="005F28B2">
        <w:rPr>
          <w:lang w:val="fr-FR"/>
        </w:rPr>
        <w:t>’</w:t>
      </w:r>
      <w:r w:rsidRPr="005F28B2">
        <w:rPr>
          <w:lang w:val="fr-FR"/>
        </w:rPr>
        <w:t>exercice de leurs fonctions</w:t>
      </w:r>
      <w:r w:rsidR="00E16237" w:rsidRPr="005F28B2">
        <w:rPr>
          <w:lang w:val="fr-FR"/>
        </w:rPr>
        <w:t>,</w:t>
      </w:r>
      <w:r w:rsidRPr="005F28B2">
        <w:rPr>
          <w:lang w:val="fr-FR"/>
        </w:rPr>
        <w:t xml:space="preserve"> même après l</w:t>
      </w:r>
      <w:r w:rsidR="00E16237" w:rsidRPr="005F28B2">
        <w:rPr>
          <w:lang w:val="fr-FR"/>
        </w:rPr>
        <w:t>’</w:t>
      </w:r>
      <w:r w:rsidRPr="005F28B2">
        <w:rPr>
          <w:lang w:val="fr-FR"/>
        </w:rPr>
        <w:t>expiration de leur mandat. En outre</w:t>
      </w:r>
      <w:r w:rsidR="00E16237" w:rsidRPr="005F28B2">
        <w:rPr>
          <w:lang w:val="fr-FR"/>
        </w:rPr>
        <w:t>,</w:t>
      </w:r>
      <w:r w:rsidRPr="005F28B2">
        <w:rPr>
          <w:lang w:val="fr-FR"/>
        </w:rPr>
        <w:t xml:space="preserve"> ils ne peuvent être poursuivis ou arrêtés pour crime ou délit</w:t>
      </w:r>
      <w:r w:rsidR="00E16237" w:rsidRPr="005F28B2">
        <w:rPr>
          <w:lang w:val="fr-FR"/>
        </w:rPr>
        <w:t>,</w:t>
      </w:r>
      <w:r w:rsidRPr="005F28B2">
        <w:rPr>
          <w:lang w:val="fr-FR"/>
        </w:rPr>
        <w:t xml:space="preserve"> tant que l</w:t>
      </w:r>
      <w:r w:rsidR="00E16237" w:rsidRPr="005F28B2">
        <w:rPr>
          <w:lang w:val="fr-FR"/>
        </w:rPr>
        <w:t>’</w:t>
      </w:r>
      <w:r w:rsidRPr="005F28B2">
        <w:rPr>
          <w:lang w:val="fr-FR"/>
        </w:rPr>
        <w:t>Instance ne lève pas l</w:t>
      </w:r>
      <w:r w:rsidR="00E16237" w:rsidRPr="005F28B2">
        <w:rPr>
          <w:lang w:val="fr-FR"/>
        </w:rPr>
        <w:t>’</w:t>
      </w:r>
      <w:r w:rsidRPr="005F28B2">
        <w:rPr>
          <w:lang w:val="fr-FR"/>
        </w:rPr>
        <w:t>immunité qui les couvre à la majorité de ses membres. De plus</w:t>
      </w:r>
      <w:r w:rsidR="00E16237" w:rsidRPr="005F28B2">
        <w:rPr>
          <w:lang w:val="fr-FR"/>
        </w:rPr>
        <w:t>,</w:t>
      </w:r>
      <w:r w:rsidRPr="005F28B2">
        <w:rPr>
          <w:lang w:val="fr-FR"/>
        </w:rPr>
        <w:t xml:space="preserve"> sur requête de l</w:t>
      </w:r>
      <w:r w:rsidR="00E16237" w:rsidRPr="005F28B2">
        <w:rPr>
          <w:lang w:val="fr-FR"/>
        </w:rPr>
        <w:t>’</w:t>
      </w:r>
      <w:r w:rsidRPr="005F28B2">
        <w:rPr>
          <w:lang w:val="fr-FR"/>
        </w:rPr>
        <w:t>Instance</w:t>
      </w:r>
      <w:r w:rsidR="00E16237" w:rsidRPr="005F28B2">
        <w:rPr>
          <w:lang w:val="fr-FR"/>
        </w:rPr>
        <w:t>,</w:t>
      </w:r>
      <w:r w:rsidRPr="005F28B2">
        <w:rPr>
          <w:lang w:val="fr-FR"/>
        </w:rPr>
        <w:t xml:space="preserve"> il doit être mis fin à l</w:t>
      </w:r>
      <w:r w:rsidR="00E16237" w:rsidRPr="005F28B2">
        <w:rPr>
          <w:lang w:val="fr-FR"/>
        </w:rPr>
        <w:t>’</w:t>
      </w:r>
      <w:r w:rsidRPr="005F28B2">
        <w:rPr>
          <w:lang w:val="fr-FR"/>
        </w:rPr>
        <w:t>éventuelle détention de l</w:t>
      </w:r>
      <w:r w:rsidR="00E16237" w:rsidRPr="005F28B2">
        <w:rPr>
          <w:lang w:val="fr-FR"/>
        </w:rPr>
        <w:t>’</w:t>
      </w:r>
      <w:r w:rsidRPr="005F28B2">
        <w:rPr>
          <w:lang w:val="fr-FR"/>
        </w:rPr>
        <w:t xml:space="preserve">un de ses membres même en cas de flagrant délit. </w:t>
      </w:r>
    </w:p>
    <w:p w:rsidR="009052AE" w:rsidRPr="005F28B2" w:rsidRDefault="00163041" w:rsidP="00044209">
      <w:pPr>
        <w:pStyle w:val="SingleTxtG"/>
        <w:rPr>
          <w:rtl/>
          <w:lang w:val="fr-FR" w:bidi="fr-FR"/>
        </w:rPr>
      </w:pPr>
      <w:r w:rsidRPr="005F28B2">
        <w:rPr>
          <w:lang w:val="fr-FR"/>
        </w:rPr>
        <w:t>51.</w:t>
      </w:r>
      <w:r w:rsidRPr="005F28B2">
        <w:rPr>
          <w:lang w:val="fr-FR"/>
        </w:rPr>
        <w:tab/>
        <w:t>L</w:t>
      </w:r>
      <w:r w:rsidR="00E16237" w:rsidRPr="005F28B2">
        <w:rPr>
          <w:lang w:val="fr-FR"/>
        </w:rPr>
        <w:t>’</w:t>
      </w:r>
      <w:r w:rsidRPr="005F28B2">
        <w:rPr>
          <w:lang w:val="fr-FR"/>
        </w:rPr>
        <w:t>Instance nationale pour la prévention de la torture dispose d</w:t>
      </w:r>
      <w:r w:rsidR="00E16237" w:rsidRPr="005F28B2">
        <w:rPr>
          <w:lang w:val="fr-FR"/>
        </w:rPr>
        <w:t>’</w:t>
      </w:r>
      <w:r w:rsidRPr="005F28B2">
        <w:rPr>
          <w:lang w:val="fr-FR"/>
        </w:rPr>
        <w:t>un large mandat l</w:t>
      </w:r>
      <w:r w:rsidR="00E16237" w:rsidRPr="005F28B2">
        <w:rPr>
          <w:lang w:val="fr-FR"/>
        </w:rPr>
        <w:t>’</w:t>
      </w:r>
      <w:r w:rsidRPr="005F28B2">
        <w:rPr>
          <w:lang w:val="fr-FR"/>
        </w:rPr>
        <w:t>autorisant à visiter tous les lieux de détention</w:t>
      </w:r>
      <w:r w:rsidR="00E16237" w:rsidRPr="005F28B2">
        <w:rPr>
          <w:lang w:val="fr-FR"/>
        </w:rPr>
        <w:t>,</w:t>
      </w:r>
      <w:r w:rsidRPr="005F28B2">
        <w:rPr>
          <w:lang w:val="fr-FR"/>
        </w:rPr>
        <w:t xml:space="preserve"> notamment les prisons civiles</w:t>
      </w:r>
      <w:r w:rsidR="00E16237" w:rsidRPr="005F28B2">
        <w:rPr>
          <w:lang w:val="fr-FR"/>
        </w:rPr>
        <w:t>,</w:t>
      </w:r>
      <w:r w:rsidRPr="005F28B2">
        <w:rPr>
          <w:lang w:val="fr-FR"/>
        </w:rPr>
        <w:t xml:space="preserve"> les centres de rééducation pour les délinquants mineurs</w:t>
      </w:r>
      <w:r w:rsidR="00E16237" w:rsidRPr="005F28B2">
        <w:rPr>
          <w:lang w:val="fr-FR"/>
        </w:rPr>
        <w:t>,</w:t>
      </w:r>
      <w:r w:rsidRPr="005F28B2">
        <w:rPr>
          <w:lang w:val="fr-FR"/>
        </w:rPr>
        <w:t xml:space="preserve"> les centres d</w:t>
      </w:r>
      <w:r w:rsidR="00E16237" w:rsidRPr="005F28B2">
        <w:rPr>
          <w:lang w:val="fr-FR"/>
        </w:rPr>
        <w:t>’</w:t>
      </w:r>
      <w:r w:rsidRPr="005F28B2">
        <w:rPr>
          <w:lang w:val="fr-FR"/>
        </w:rPr>
        <w:t>hébergement et d</w:t>
      </w:r>
      <w:r w:rsidR="00E16237" w:rsidRPr="005F28B2">
        <w:rPr>
          <w:lang w:val="fr-FR"/>
        </w:rPr>
        <w:t>’</w:t>
      </w:r>
      <w:r w:rsidRPr="005F28B2">
        <w:rPr>
          <w:lang w:val="fr-FR"/>
        </w:rPr>
        <w:t>observation des mineurs</w:t>
      </w:r>
      <w:r w:rsidR="00E16237" w:rsidRPr="005F28B2">
        <w:rPr>
          <w:lang w:val="fr-FR"/>
        </w:rPr>
        <w:t>,</w:t>
      </w:r>
      <w:r w:rsidRPr="005F28B2">
        <w:rPr>
          <w:lang w:val="fr-FR"/>
        </w:rPr>
        <w:t xml:space="preserve"> les centres de garde à vue</w:t>
      </w:r>
      <w:r w:rsidR="00E16237" w:rsidRPr="005F28B2">
        <w:rPr>
          <w:lang w:val="fr-FR"/>
        </w:rPr>
        <w:t>,</w:t>
      </w:r>
      <w:r w:rsidRPr="005F28B2">
        <w:rPr>
          <w:lang w:val="fr-FR"/>
        </w:rPr>
        <w:t xml:space="preserve"> les établissement de psychothérapie</w:t>
      </w:r>
      <w:r w:rsidR="00E16237" w:rsidRPr="005F28B2">
        <w:rPr>
          <w:lang w:val="fr-FR"/>
        </w:rPr>
        <w:t>,</w:t>
      </w:r>
      <w:r w:rsidRPr="005F28B2">
        <w:rPr>
          <w:lang w:val="fr-FR"/>
        </w:rPr>
        <w:t xml:space="preserve"> les centres d</w:t>
      </w:r>
      <w:r w:rsidR="00E16237" w:rsidRPr="005F28B2">
        <w:rPr>
          <w:lang w:val="fr-FR"/>
        </w:rPr>
        <w:t>’</w:t>
      </w:r>
      <w:r w:rsidRPr="005F28B2">
        <w:rPr>
          <w:lang w:val="fr-FR"/>
        </w:rPr>
        <w:t>hébergement des réfugiés et des demandeurs d</w:t>
      </w:r>
      <w:r w:rsidR="00E16237" w:rsidRPr="005F28B2">
        <w:rPr>
          <w:lang w:val="fr-FR"/>
        </w:rPr>
        <w:t>’</w:t>
      </w:r>
      <w:r w:rsidRPr="005F28B2">
        <w:rPr>
          <w:lang w:val="fr-FR"/>
        </w:rPr>
        <w:t>asile</w:t>
      </w:r>
      <w:r w:rsidR="00E16237" w:rsidRPr="005F28B2">
        <w:rPr>
          <w:lang w:val="fr-FR"/>
        </w:rPr>
        <w:t>,</w:t>
      </w:r>
      <w:r w:rsidRPr="005F28B2">
        <w:rPr>
          <w:lang w:val="fr-FR"/>
        </w:rPr>
        <w:t xml:space="preserve"> les centres d</w:t>
      </w:r>
      <w:r w:rsidR="00E16237" w:rsidRPr="005F28B2">
        <w:rPr>
          <w:lang w:val="fr-FR"/>
        </w:rPr>
        <w:t>’</w:t>
      </w:r>
      <w:r w:rsidRPr="005F28B2">
        <w:rPr>
          <w:lang w:val="fr-FR"/>
        </w:rPr>
        <w:t>immigrés</w:t>
      </w:r>
      <w:r w:rsidR="00E16237" w:rsidRPr="005F28B2">
        <w:rPr>
          <w:lang w:val="fr-FR"/>
        </w:rPr>
        <w:t>,</w:t>
      </w:r>
      <w:r w:rsidRPr="005F28B2">
        <w:rPr>
          <w:lang w:val="fr-FR"/>
        </w:rPr>
        <w:t xml:space="preserve"> les centres de mise en quarantaine</w:t>
      </w:r>
      <w:r w:rsidR="00E16237" w:rsidRPr="005F28B2">
        <w:rPr>
          <w:lang w:val="fr-FR"/>
        </w:rPr>
        <w:t>,</w:t>
      </w:r>
      <w:r w:rsidRPr="005F28B2">
        <w:rPr>
          <w:lang w:val="fr-FR"/>
        </w:rPr>
        <w:t xml:space="preserve"> les zones de transit dans les ports et aéroports</w:t>
      </w:r>
      <w:r w:rsidR="00E16237" w:rsidRPr="005F28B2">
        <w:rPr>
          <w:lang w:val="fr-FR"/>
        </w:rPr>
        <w:t>,</w:t>
      </w:r>
      <w:r w:rsidRPr="005F28B2">
        <w:rPr>
          <w:lang w:val="fr-FR"/>
        </w:rPr>
        <w:t xml:space="preserve"> les centres de discipline et tous les véhicules utilisés pour le transport des personnes privées de liberté. Les membres de cette instance peuvent s</w:t>
      </w:r>
      <w:r w:rsidR="00E16237" w:rsidRPr="005F28B2">
        <w:rPr>
          <w:lang w:val="fr-FR"/>
        </w:rPr>
        <w:t>’</w:t>
      </w:r>
      <w:r w:rsidRPr="005F28B2">
        <w:rPr>
          <w:lang w:val="fr-FR"/>
        </w:rPr>
        <w:t>entretenir en privé et sans témoins avec les personnes privées de liberté ou toutes autres personnes susceptibles de leur fournir des informations</w:t>
      </w:r>
      <w:r w:rsidR="00E16237" w:rsidRPr="005F28B2">
        <w:rPr>
          <w:lang w:val="fr-FR"/>
        </w:rPr>
        <w:t>,</w:t>
      </w:r>
      <w:r w:rsidRPr="005F28B2">
        <w:rPr>
          <w:lang w:val="fr-FR"/>
        </w:rPr>
        <w:t xml:space="preserve"> soit directement</w:t>
      </w:r>
      <w:r w:rsidR="00E16237" w:rsidRPr="005F28B2">
        <w:rPr>
          <w:lang w:val="fr-FR"/>
        </w:rPr>
        <w:t>,</w:t>
      </w:r>
      <w:r w:rsidRPr="005F28B2">
        <w:rPr>
          <w:lang w:val="fr-FR"/>
        </w:rPr>
        <w:t xml:space="preserve"> soit avec l</w:t>
      </w:r>
      <w:r w:rsidR="00E16237" w:rsidRPr="005F28B2">
        <w:rPr>
          <w:lang w:val="fr-FR"/>
        </w:rPr>
        <w:t>’</w:t>
      </w:r>
      <w:r w:rsidRPr="005F28B2">
        <w:rPr>
          <w:lang w:val="fr-FR"/>
        </w:rPr>
        <w:t>aide d</w:t>
      </w:r>
      <w:r w:rsidR="00E16237" w:rsidRPr="005F28B2">
        <w:rPr>
          <w:lang w:val="fr-FR"/>
        </w:rPr>
        <w:t>’</w:t>
      </w:r>
      <w:r w:rsidRPr="005F28B2">
        <w:rPr>
          <w:lang w:val="fr-FR"/>
        </w:rPr>
        <w:t>un interprète assermenté le cas échéant. Elle dispose donc de vastes pouvoirs lui permettant d</w:t>
      </w:r>
      <w:r w:rsidR="00E16237" w:rsidRPr="005F28B2">
        <w:rPr>
          <w:lang w:val="fr-FR"/>
        </w:rPr>
        <w:t>’</w:t>
      </w:r>
      <w:r w:rsidRPr="005F28B2">
        <w:rPr>
          <w:lang w:val="fr-FR"/>
        </w:rPr>
        <w:t>agir sans restrictions notables</w:t>
      </w:r>
      <w:r w:rsidR="00E16237" w:rsidRPr="005F28B2">
        <w:rPr>
          <w:lang w:val="fr-FR"/>
        </w:rPr>
        <w:t>,</w:t>
      </w:r>
      <w:r w:rsidRPr="005F28B2">
        <w:rPr>
          <w:lang w:val="fr-FR"/>
        </w:rPr>
        <w:t xml:space="preserve"> dans la mesure où les autorités concernées ne peuvent s</w:t>
      </w:r>
      <w:r w:rsidR="00E16237" w:rsidRPr="005F28B2">
        <w:rPr>
          <w:lang w:val="fr-FR"/>
        </w:rPr>
        <w:t>’</w:t>
      </w:r>
      <w:r w:rsidRPr="005F28B2">
        <w:rPr>
          <w:lang w:val="fr-FR"/>
        </w:rPr>
        <w:t>opposer à une visite périodique ou inopinée d</w:t>
      </w:r>
      <w:r w:rsidR="00E16237" w:rsidRPr="005F28B2">
        <w:rPr>
          <w:lang w:val="fr-FR"/>
        </w:rPr>
        <w:t>’</w:t>
      </w:r>
      <w:r w:rsidRPr="005F28B2">
        <w:rPr>
          <w:lang w:val="fr-FR"/>
        </w:rPr>
        <w:t>un lieu déterminé que pour des raisons pressantes et impérieuses liées à la défense nationale</w:t>
      </w:r>
      <w:r w:rsidR="00E16237" w:rsidRPr="005F28B2">
        <w:rPr>
          <w:lang w:val="fr-FR"/>
        </w:rPr>
        <w:t>,</w:t>
      </w:r>
      <w:r w:rsidRPr="005F28B2">
        <w:rPr>
          <w:lang w:val="fr-FR"/>
        </w:rPr>
        <w:t xml:space="preserve"> à la sécurité publique</w:t>
      </w:r>
      <w:r w:rsidR="00E16237" w:rsidRPr="005F28B2">
        <w:rPr>
          <w:lang w:val="fr-FR"/>
        </w:rPr>
        <w:t>,</w:t>
      </w:r>
      <w:r w:rsidRPr="005F28B2">
        <w:rPr>
          <w:lang w:val="fr-FR"/>
        </w:rPr>
        <w:t xml:space="preserve"> à des catastrophes naturelles ou à des troubles graves là où la visite doit avoir lieu et empêchant provisoirement son déroulement</w:t>
      </w:r>
      <w:r w:rsidR="00E16237" w:rsidRPr="005F28B2">
        <w:rPr>
          <w:lang w:val="fr-FR"/>
        </w:rPr>
        <w:t>,</w:t>
      </w:r>
      <w:r w:rsidRPr="005F28B2">
        <w:rPr>
          <w:lang w:val="fr-FR"/>
        </w:rPr>
        <w:t xml:space="preserve"> par décision écrite motivée immédiatement transmise au Président de l</w:t>
      </w:r>
      <w:r w:rsidR="00E16237" w:rsidRPr="005F28B2">
        <w:rPr>
          <w:lang w:val="fr-FR"/>
        </w:rPr>
        <w:t>’</w:t>
      </w:r>
      <w:r w:rsidRPr="005F28B2">
        <w:rPr>
          <w:lang w:val="fr-FR"/>
        </w:rPr>
        <w:t>Instance et mentionnant obligatoirement la durée de l</w:t>
      </w:r>
      <w:r w:rsidR="00E16237" w:rsidRPr="005F28B2">
        <w:rPr>
          <w:lang w:val="fr-FR"/>
        </w:rPr>
        <w:t>’</w:t>
      </w:r>
      <w:r w:rsidRPr="005F28B2">
        <w:rPr>
          <w:lang w:val="fr-FR"/>
        </w:rPr>
        <w:t>interdiction provisoire</w:t>
      </w:r>
      <w:r w:rsidR="00E16237" w:rsidRPr="005F28B2">
        <w:rPr>
          <w:lang w:val="fr-FR"/>
        </w:rPr>
        <w:t>,</w:t>
      </w:r>
      <w:r w:rsidRPr="005F28B2">
        <w:rPr>
          <w:lang w:val="fr-FR"/>
        </w:rPr>
        <w:t xml:space="preserve"> étant précisé que toute infraction aux dispositions précitées est passible de poursuites disciplinaires. Les membres de l</w:t>
      </w:r>
      <w:r w:rsidR="00E16237" w:rsidRPr="005F28B2">
        <w:rPr>
          <w:lang w:val="fr-FR"/>
        </w:rPr>
        <w:t>’</w:t>
      </w:r>
      <w:r w:rsidRPr="005F28B2">
        <w:rPr>
          <w:lang w:val="fr-FR"/>
        </w:rPr>
        <w:t>instance ont récemment été élus par l</w:t>
      </w:r>
      <w:r w:rsidR="00E16237" w:rsidRPr="005F28B2">
        <w:rPr>
          <w:lang w:val="fr-FR"/>
        </w:rPr>
        <w:t>’</w:t>
      </w:r>
      <w:r w:rsidRPr="005F28B2">
        <w:rPr>
          <w:lang w:val="fr-FR"/>
        </w:rPr>
        <w:t xml:space="preserve">Assemblée des représentants du peuple et ont entamé leurs travaux. </w:t>
      </w:r>
    </w:p>
    <w:p w:rsidR="009052AE" w:rsidRPr="005F28B2" w:rsidRDefault="00163041" w:rsidP="00686BD4">
      <w:pPr>
        <w:pStyle w:val="H4G"/>
        <w:rPr>
          <w:rtl/>
          <w:lang w:val="fr-FR" w:bidi="fr-FR"/>
        </w:rPr>
      </w:pPr>
      <w:r w:rsidRPr="005F28B2">
        <w:rPr>
          <w:lang w:val="fr-FR"/>
        </w:rPr>
        <w:tab/>
      </w:r>
      <w:r w:rsidRPr="005F28B2">
        <w:rPr>
          <w:lang w:val="fr-FR"/>
        </w:rPr>
        <w:tab/>
      </w:r>
      <w:bookmarkStart w:id="24" w:name="_Toc478218498"/>
      <w:r w:rsidRPr="005F28B2">
        <w:rPr>
          <w:lang w:val="fr-FR"/>
        </w:rPr>
        <w:t>L</w:t>
      </w:r>
      <w:r w:rsidR="00E16237" w:rsidRPr="005F28B2">
        <w:rPr>
          <w:lang w:val="fr-FR"/>
        </w:rPr>
        <w:t>’</w:t>
      </w:r>
      <w:r w:rsidRPr="005F28B2">
        <w:rPr>
          <w:lang w:val="fr-FR"/>
        </w:rPr>
        <w:t>Instance Vérité et Dignité</w:t>
      </w:r>
      <w:bookmarkEnd w:id="24"/>
    </w:p>
    <w:p w:rsidR="009052AE" w:rsidRPr="005F28B2" w:rsidRDefault="00163041" w:rsidP="00044209">
      <w:pPr>
        <w:pStyle w:val="SingleTxtG"/>
        <w:rPr>
          <w:rtl/>
          <w:lang w:val="fr-FR" w:bidi="fr-FR"/>
        </w:rPr>
      </w:pPr>
      <w:r w:rsidRPr="005F28B2">
        <w:rPr>
          <w:lang w:val="fr-FR"/>
        </w:rPr>
        <w:t>52.</w:t>
      </w:r>
      <w:r w:rsidRPr="005F28B2">
        <w:rPr>
          <w:lang w:val="fr-FR"/>
        </w:rPr>
        <w:tab/>
        <w:t>Sur la base des principes des Nations unies relatifs à la justice transitionnelle que tous les États sortant d</w:t>
      </w:r>
      <w:r w:rsidR="00E16237" w:rsidRPr="005F28B2">
        <w:rPr>
          <w:lang w:val="fr-FR"/>
        </w:rPr>
        <w:t>’</w:t>
      </w:r>
      <w:r w:rsidRPr="005F28B2">
        <w:rPr>
          <w:lang w:val="fr-FR"/>
        </w:rPr>
        <w:t>une dictature devraient suivre et compte tenu des répercussions et conséquences cumulées résultant d</w:t>
      </w:r>
      <w:r w:rsidR="00E16237" w:rsidRPr="005F28B2">
        <w:rPr>
          <w:lang w:val="fr-FR"/>
        </w:rPr>
        <w:t>’</w:t>
      </w:r>
      <w:r w:rsidRPr="005F28B2">
        <w:rPr>
          <w:lang w:val="fr-FR"/>
        </w:rPr>
        <w:t>un lourd héritage d</w:t>
      </w:r>
      <w:r w:rsidR="00E16237" w:rsidRPr="005F28B2">
        <w:rPr>
          <w:lang w:val="fr-FR"/>
        </w:rPr>
        <w:t>’</w:t>
      </w:r>
      <w:r w:rsidRPr="005F28B2">
        <w:rPr>
          <w:lang w:val="fr-FR"/>
        </w:rPr>
        <w:t>abus et d</w:t>
      </w:r>
      <w:r w:rsidR="00E16237" w:rsidRPr="005F28B2">
        <w:rPr>
          <w:lang w:val="fr-FR"/>
        </w:rPr>
        <w:t>’</w:t>
      </w:r>
      <w:r w:rsidRPr="005F28B2">
        <w:rPr>
          <w:lang w:val="fr-FR"/>
        </w:rPr>
        <w:t>exactions</w:t>
      </w:r>
      <w:r w:rsidR="00E16237" w:rsidRPr="005F28B2">
        <w:rPr>
          <w:lang w:val="fr-FR"/>
        </w:rPr>
        <w:t>,</w:t>
      </w:r>
      <w:r w:rsidRPr="005F28B2">
        <w:rPr>
          <w:lang w:val="fr-FR"/>
        </w:rPr>
        <w:t xml:space="preserve"> la Tunisie a promulgué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2013-53 du 24 décembre 2013 relative à l</w:t>
      </w:r>
      <w:r w:rsidR="00E16237" w:rsidRPr="005F28B2">
        <w:rPr>
          <w:lang w:val="fr-FR"/>
        </w:rPr>
        <w:t>’</w:t>
      </w:r>
      <w:r w:rsidRPr="005F28B2">
        <w:rPr>
          <w:lang w:val="fr-FR"/>
        </w:rPr>
        <w:t>instauration de la justice transitionnelle et à son organisation. L</w:t>
      </w:r>
      <w:r w:rsidR="00E16237" w:rsidRPr="005F28B2">
        <w:rPr>
          <w:lang w:val="fr-FR"/>
        </w:rPr>
        <w:t>’</w:t>
      </w:r>
      <w:r w:rsidRPr="005F28B2">
        <w:rPr>
          <w:lang w:val="fr-FR"/>
        </w:rPr>
        <w:t>un des objectifs de ce texte est l</w:t>
      </w:r>
      <w:r w:rsidR="00E16237" w:rsidRPr="005F28B2">
        <w:rPr>
          <w:lang w:val="fr-FR"/>
        </w:rPr>
        <w:t>’</w:t>
      </w:r>
      <w:r w:rsidRPr="005F28B2">
        <w:rPr>
          <w:lang w:val="fr-FR"/>
        </w:rPr>
        <w:t>application des principes de redevabilité et de reddition des comptes qui désignent l</w:t>
      </w:r>
      <w:r w:rsidR="00E16237" w:rsidRPr="005F28B2">
        <w:rPr>
          <w:lang w:val="fr-FR"/>
        </w:rPr>
        <w:t>’</w:t>
      </w:r>
      <w:r w:rsidRPr="005F28B2">
        <w:rPr>
          <w:lang w:val="fr-FR"/>
        </w:rPr>
        <w:t>ensemble des mécanismes empêchant l</w:t>
      </w:r>
      <w:r w:rsidR="00E16237" w:rsidRPr="005F28B2">
        <w:rPr>
          <w:lang w:val="fr-FR"/>
        </w:rPr>
        <w:t>’</w:t>
      </w:r>
      <w:r w:rsidRPr="005F28B2">
        <w:rPr>
          <w:lang w:val="fr-FR"/>
        </w:rPr>
        <w:t>impunité ou la soustraction à la responsabilité. Des chambres spécialisées ont été créées à cet effet pour statuer sur les affaires d</w:t>
      </w:r>
      <w:r w:rsidR="00E16237" w:rsidRPr="005F28B2">
        <w:rPr>
          <w:lang w:val="fr-FR"/>
        </w:rPr>
        <w:t>’</w:t>
      </w:r>
      <w:r w:rsidRPr="005F28B2">
        <w:rPr>
          <w:lang w:val="fr-FR"/>
        </w:rPr>
        <w:t>atteintes graves aux droits de l</w:t>
      </w:r>
      <w:r w:rsidR="00E16237" w:rsidRPr="005F28B2">
        <w:rPr>
          <w:lang w:val="fr-FR"/>
        </w:rPr>
        <w:t>’</w:t>
      </w:r>
      <w:r w:rsidRPr="005F28B2">
        <w:rPr>
          <w:lang w:val="fr-FR"/>
        </w:rPr>
        <w:t>homme au sens des instruments internationaux ratifiés et des dispositions de la loi précitée</w:t>
      </w:r>
      <w:r w:rsidR="00E16237" w:rsidRPr="005F28B2">
        <w:rPr>
          <w:lang w:val="fr-FR"/>
        </w:rPr>
        <w:t>,</w:t>
      </w:r>
      <w:r w:rsidRPr="005F28B2">
        <w:rPr>
          <w:lang w:val="fr-FR"/>
        </w:rPr>
        <w:t xml:space="preserve"> tels que l</w:t>
      </w:r>
      <w:r w:rsidR="00E16237" w:rsidRPr="005F28B2">
        <w:rPr>
          <w:lang w:val="fr-FR"/>
        </w:rPr>
        <w:t>’</w:t>
      </w:r>
      <w:r w:rsidRPr="005F28B2">
        <w:rPr>
          <w:lang w:val="fr-FR"/>
        </w:rPr>
        <w:t>homicide volontaire</w:t>
      </w:r>
      <w:r w:rsidR="00E16237" w:rsidRPr="005F28B2">
        <w:rPr>
          <w:lang w:val="fr-FR"/>
        </w:rPr>
        <w:t>,</w:t>
      </w:r>
      <w:r w:rsidRPr="005F28B2">
        <w:rPr>
          <w:lang w:val="fr-FR"/>
        </w:rPr>
        <w:t xml:space="preserve"> le viol et toute autre forme de violence sexuelle</w:t>
      </w:r>
      <w:r w:rsidR="00E16237" w:rsidRPr="005F28B2">
        <w:rPr>
          <w:lang w:val="fr-FR"/>
        </w:rPr>
        <w:t>,</w:t>
      </w:r>
      <w:r w:rsidRPr="005F28B2">
        <w:rPr>
          <w:lang w:val="fr-FR"/>
        </w:rPr>
        <w:t xml:space="preserve"> la torture</w:t>
      </w:r>
      <w:r w:rsidR="00E16237" w:rsidRPr="005F28B2">
        <w:rPr>
          <w:lang w:val="fr-FR"/>
        </w:rPr>
        <w:t>,</w:t>
      </w:r>
      <w:r w:rsidRPr="005F28B2">
        <w:rPr>
          <w:lang w:val="fr-FR"/>
        </w:rPr>
        <w:t xml:space="preserve"> la disparition forcée et la peine de mort prononcée sans les garanties d</w:t>
      </w:r>
      <w:r w:rsidR="00E16237" w:rsidRPr="005F28B2">
        <w:rPr>
          <w:lang w:val="fr-FR"/>
        </w:rPr>
        <w:t>’</w:t>
      </w:r>
      <w:r w:rsidRPr="005F28B2">
        <w:rPr>
          <w:lang w:val="fr-FR"/>
        </w:rPr>
        <w:t>un procès équitable. Même si la réconciliation constitue l</w:t>
      </w:r>
      <w:r w:rsidR="00E16237" w:rsidRPr="005F28B2">
        <w:rPr>
          <w:lang w:val="fr-FR"/>
        </w:rPr>
        <w:t>’</w:t>
      </w:r>
      <w:r w:rsidRPr="005F28B2">
        <w:rPr>
          <w:lang w:val="fr-FR"/>
        </w:rPr>
        <w:t>un des objectifs de la loi relative à la justice transitionnelle</w:t>
      </w:r>
      <w:r w:rsidR="00E16237" w:rsidRPr="005F28B2">
        <w:rPr>
          <w:lang w:val="fr-FR"/>
        </w:rPr>
        <w:t>,</w:t>
      </w:r>
      <w:r w:rsidRPr="005F28B2">
        <w:rPr>
          <w:lang w:val="fr-FR"/>
        </w:rPr>
        <w:t xml:space="preserve"> celle-ci n</w:t>
      </w:r>
      <w:r w:rsidR="00E16237" w:rsidRPr="005F28B2">
        <w:rPr>
          <w:lang w:val="fr-FR"/>
        </w:rPr>
        <w:t>’</w:t>
      </w:r>
      <w:r w:rsidRPr="005F28B2">
        <w:rPr>
          <w:lang w:val="fr-FR"/>
        </w:rPr>
        <w:t>implique pas l</w:t>
      </w:r>
      <w:r w:rsidR="00E16237" w:rsidRPr="005F28B2">
        <w:rPr>
          <w:lang w:val="fr-FR"/>
        </w:rPr>
        <w:t>’</w:t>
      </w:r>
      <w:r w:rsidRPr="005F28B2">
        <w:rPr>
          <w:lang w:val="fr-FR"/>
        </w:rPr>
        <w:t>impunité ni que des comptes ne soient pas demandés aux personnes responsables des atteintes graves aux droits de l</w:t>
      </w:r>
      <w:r w:rsidR="00E16237" w:rsidRPr="005F28B2">
        <w:rPr>
          <w:lang w:val="fr-FR"/>
        </w:rPr>
        <w:t>’</w:t>
      </w:r>
      <w:r w:rsidRPr="005F28B2">
        <w:rPr>
          <w:lang w:val="fr-FR"/>
        </w:rPr>
        <w:t>homme commises entre juillet 1955 (début de l</w:t>
      </w:r>
      <w:r w:rsidR="00E16237" w:rsidRPr="005F28B2">
        <w:rPr>
          <w:lang w:val="fr-FR"/>
        </w:rPr>
        <w:t>’</w:t>
      </w:r>
      <w:r w:rsidRPr="005F28B2">
        <w:rPr>
          <w:lang w:val="fr-FR"/>
        </w:rPr>
        <w:t>indépendance du pays) jusqu</w:t>
      </w:r>
      <w:r w:rsidR="00E16237" w:rsidRPr="005F28B2">
        <w:rPr>
          <w:lang w:val="fr-FR"/>
        </w:rPr>
        <w:t>’</w:t>
      </w:r>
      <w:r w:rsidRPr="005F28B2">
        <w:rPr>
          <w:lang w:val="fr-FR"/>
        </w:rPr>
        <w:t>à la date de promulgation du texte (24 décembre 2013). L</w:t>
      </w:r>
      <w:r w:rsidR="00E16237" w:rsidRPr="005F28B2">
        <w:rPr>
          <w:lang w:val="fr-FR"/>
        </w:rPr>
        <w:t>’</w:t>
      </w:r>
      <w:r w:rsidRPr="005F28B2">
        <w:rPr>
          <w:lang w:val="fr-FR"/>
        </w:rPr>
        <w:t>Assemblée nationale constituante a élu les membres de l</w:t>
      </w:r>
      <w:r w:rsidR="00E16237" w:rsidRPr="005F28B2">
        <w:rPr>
          <w:lang w:val="fr-FR"/>
        </w:rPr>
        <w:t>’</w:t>
      </w:r>
      <w:r w:rsidRPr="005F28B2">
        <w:rPr>
          <w:lang w:val="fr-FR"/>
        </w:rPr>
        <w:t>Instance Vérité et Dignité et le Ministère de la justice</w:t>
      </w:r>
      <w:r w:rsidR="00E16237" w:rsidRPr="005F28B2">
        <w:rPr>
          <w:lang w:val="fr-FR"/>
        </w:rPr>
        <w:t>,</w:t>
      </w:r>
      <w:r w:rsidRPr="005F28B2">
        <w:rPr>
          <w:lang w:val="fr-FR"/>
        </w:rPr>
        <w:t xml:space="preserve"> des droits de l</w:t>
      </w:r>
      <w:r w:rsidR="00E16237" w:rsidRPr="005F28B2">
        <w:rPr>
          <w:lang w:val="fr-FR"/>
        </w:rPr>
        <w:t>’</w:t>
      </w:r>
      <w:r w:rsidRPr="005F28B2">
        <w:rPr>
          <w:lang w:val="fr-FR"/>
        </w:rPr>
        <w:t xml:space="preserve">homme et de la </w:t>
      </w:r>
      <w:r w:rsidRPr="005F28B2">
        <w:rPr>
          <w:lang w:val="fr-FR"/>
        </w:rPr>
        <w:lastRenderedPageBreak/>
        <w:t>justice transitionnelle a organisé une Conférence internationale à ce sujet (9 au 11 juin 2014) en présence du Rapporteur spécial des Nations Unies sur la promotion de la vérité</w:t>
      </w:r>
      <w:r w:rsidR="00E16237" w:rsidRPr="005F28B2">
        <w:rPr>
          <w:lang w:val="fr-FR"/>
        </w:rPr>
        <w:t>,</w:t>
      </w:r>
      <w:r w:rsidRPr="005F28B2">
        <w:rPr>
          <w:lang w:val="fr-FR"/>
        </w:rPr>
        <w:t xml:space="preserve"> de la justice</w:t>
      </w:r>
      <w:r w:rsidR="00E16237" w:rsidRPr="005F28B2">
        <w:rPr>
          <w:lang w:val="fr-FR"/>
        </w:rPr>
        <w:t>,</w:t>
      </w:r>
      <w:r w:rsidRPr="005F28B2">
        <w:rPr>
          <w:lang w:val="fr-FR"/>
        </w:rPr>
        <w:t xml:space="preserve"> de la réparation et des garanties de non-répétition</w:t>
      </w:r>
      <w:r w:rsidR="00E16237" w:rsidRPr="005F28B2">
        <w:rPr>
          <w:lang w:val="fr-FR"/>
        </w:rPr>
        <w:t>,</w:t>
      </w:r>
      <w:r w:rsidRPr="005F28B2">
        <w:rPr>
          <w:lang w:val="fr-FR"/>
        </w:rPr>
        <w:t xml:space="preserve"> M. Pablo de Greiff. La loi relative à la justice transitionnelle a défini la victime comme toute personne ayant subi un préjudice suite à une violation commise à son encontre au sens de ses dispositions</w:t>
      </w:r>
      <w:r w:rsidR="00E16237" w:rsidRPr="005F28B2">
        <w:rPr>
          <w:lang w:val="fr-FR"/>
        </w:rPr>
        <w:t>,</w:t>
      </w:r>
      <w:r w:rsidRPr="005F28B2">
        <w:rPr>
          <w:lang w:val="fr-FR"/>
        </w:rPr>
        <w:t xml:space="preserve"> qu</w:t>
      </w:r>
      <w:r w:rsidR="00E16237" w:rsidRPr="005F28B2">
        <w:rPr>
          <w:lang w:val="fr-FR"/>
        </w:rPr>
        <w:t>’</w:t>
      </w:r>
      <w:r w:rsidRPr="005F28B2">
        <w:rPr>
          <w:lang w:val="fr-FR"/>
        </w:rPr>
        <w:t>il s</w:t>
      </w:r>
      <w:r w:rsidR="00E16237" w:rsidRPr="005F28B2">
        <w:rPr>
          <w:lang w:val="fr-FR"/>
        </w:rPr>
        <w:t>’</w:t>
      </w:r>
      <w:r w:rsidRPr="005F28B2">
        <w:rPr>
          <w:lang w:val="fr-FR"/>
        </w:rPr>
        <w:t>agisse d</w:t>
      </w:r>
      <w:r w:rsidR="00E16237" w:rsidRPr="005F28B2">
        <w:rPr>
          <w:lang w:val="fr-FR"/>
        </w:rPr>
        <w:t>’</w:t>
      </w:r>
      <w:r w:rsidRPr="005F28B2">
        <w:rPr>
          <w:lang w:val="fr-FR"/>
        </w:rPr>
        <w:t>un individu</w:t>
      </w:r>
      <w:r w:rsidR="00E16237" w:rsidRPr="005F28B2">
        <w:rPr>
          <w:lang w:val="fr-FR"/>
        </w:rPr>
        <w:t>,</w:t>
      </w:r>
      <w:r w:rsidRPr="005F28B2">
        <w:rPr>
          <w:lang w:val="fr-FR"/>
        </w:rPr>
        <w:t xml:space="preserve"> d</w:t>
      </w:r>
      <w:r w:rsidR="00E16237" w:rsidRPr="005F28B2">
        <w:rPr>
          <w:lang w:val="fr-FR"/>
        </w:rPr>
        <w:t>’</w:t>
      </w:r>
      <w:r w:rsidRPr="005F28B2">
        <w:rPr>
          <w:lang w:val="fr-FR"/>
        </w:rPr>
        <w:t>un groupe d</w:t>
      </w:r>
      <w:r w:rsidR="00E16237" w:rsidRPr="005F28B2">
        <w:rPr>
          <w:lang w:val="fr-FR"/>
        </w:rPr>
        <w:t>’</w:t>
      </w:r>
      <w:r w:rsidRPr="005F28B2">
        <w:rPr>
          <w:lang w:val="fr-FR"/>
        </w:rPr>
        <w:t>individus ou d</w:t>
      </w:r>
      <w:r w:rsidR="00E16237" w:rsidRPr="005F28B2">
        <w:rPr>
          <w:lang w:val="fr-FR"/>
        </w:rPr>
        <w:t>’</w:t>
      </w:r>
      <w:r w:rsidRPr="005F28B2">
        <w:rPr>
          <w:lang w:val="fr-FR"/>
        </w:rPr>
        <w:t>une personne morale. Sont également considérés comme étant des victimes les membres de la famille ayant subi un préjudice dû à leurs liens de parenté avec la victime au sens des règles de droit commun</w:t>
      </w:r>
      <w:r w:rsidR="00E16237" w:rsidRPr="005F28B2">
        <w:rPr>
          <w:lang w:val="fr-FR"/>
        </w:rPr>
        <w:t>,</w:t>
      </w:r>
      <w:r w:rsidRPr="005F28B2">
        <w:rPr>
          <w:lang w:val="fr-FR"/>
        </w:rPr>
        <w:t xml:space="preserve"> ainsi que toute personne ayant subi un préjudice lors de son intervention pour aider la victime ou empêcher son agression. Cette définition inclut toute région ayant subi la marginalisation ou l</w:t>
      </w:r>
      <w:r w:rsidR="00E16237" w:rsidRPr="005F28B2">
        <w:rPr>
          <w:lang w:val="fr-FR"/>
        </w:rPr>
        <w:t>’</w:t>
      </w:r>
      <w:r w:rsidRPr="005F28B2">
        <w:rPr>
          <w:lang w:val="fr-FR"/>
        </w:rPr>
        <w:t>exclusion systématique. De même</w:t>
      </w:r>
      <w:r w:rsidR="00E16237" w:rsidRPr="005F28B2">
        <w:rPr>
          <w:lang w:val="fr-FR"/>
        </w:rPr>
        <w:t>,</w:t>
      </w:r>
      <w:r w:rsidRPr="005F28B2">
        <w:rPr>
          <w:lang w:val="fr-FR"/>
        </w:rPr>
        <w:t xml:space="preserve"> la loi reconnaît que la réparation des préjudices subis du fait des atteintes aux droits de l</w:t>
      </w:r>
      <w:r w:rsidR="00E16237" w:rsidRPr="005F28B2">
        <w:rPr>
          <w:lang w:val="fr-FR"/>
        </w:rPr>
        <w:t>’</w:t>
      </w:r>
      <w:r w:rsidRPr="005F28B2">
        <w:rPr>
          <w:lang w:val="fr-FR"/>
        </w:rPr>
        <w:t>homme est un droit garanti par la loi aux victimes et dispose que l</w:t>
      </w:r>
      <w:r w:rsidR="00E16237" w:rsidRPr="005F28B2">
        <w:rPr>
          <w:lang w:val="fr-FR"/>
        </w:rPr>
        <w:t>’</w:t>
      </w:r>
      <w:r w:rsidRPr="005F28B2">
        <w:rPr>
          <w:lang w:val="fr-FR"/>
        </w:rPr>
        <w:t>État</w:t>
      </w:r>
      <w:r w:rsidR="00E16237" w:rsidRPr="005F28B2">
        <w:rPr>
          <w:lang w:val="fr-FR"/>
        </w:rPr>
        <w:t>,</w:t>
      </w:r>
      <w:r w:rsidRPr="005F28B2">
        <w:rPr>
          <w:lang w:val="fr-FR"/>
        </w:rPr>
        <w:t xml:space="preserve"> dans la limite de ses ressources et moyens</w:t>
      </w:r>
      <w:r w:rsidR="00E16237" w:rsidRPr="005F28B2">
        <w:rPr>
          <w:lang w:val="fr-FR"/>
        </w:rPr>
        <w:t>,</w:t>
      </w:r>
      <w:r w:rsidRPr="005F28B2">
        <w:rPr>
          <w:lang w:val="fr-FR"/>
        </w:rPr>
        <w:t xml:space="preserve"> a le devoir de leur accorder un dédommagement suffisant</w:t>
      </w:r>
      <w:r w:rsidR="00E16237" w:rsidRPr="005F28B2">
        <w:rPr>
          <w:lang w:val="fr-FR"/>
        </w:rPr>
        <w:t>,</w:t>
      </w:r>
      <w:r w:rsidRPr="005F28B2">
        <w:rPr>
          <w:lang w:val="fr-FR"/>
        </w:rPr>
        <w:t xml:space="preserve"> efficace et adéquat en fonction de la gravité des violations et de la situation de chaque victime. Toujours selon le texte</w:t>
      </w:r>
      <w:r w:rsidR="00E16237" w:rsidRPr="005F28B2">
        <w:rPr>
          <w:lang w:val="fr-FR"/>
        </w:rPr>
        <w:t>,</w:t>
      </w:r>
      <w:r w:rsidRPr="005F28B2">
        <w:rPr>
          <w:lang w:val="fr-FR"/>
        </w:rPr>
        <w:t xml:space="preserve"> la réparation du préjudice est un régime individuel ou collectif basé sur l</w:t>
      </w:r>
      <w:r w:rsidR="00E16237" w:rsidRPr="005F28B2">
        <w:rPr>
          <w:lang w:val="fr-FR"/>
        </w:rPr>
        <w:t>’</w:t>
      </w:r>
      <w:r w:rsidRPr="005F28B2">
        <w:rPr>
          <w:lang w:val="fr-FR"/>
        </w:rPr>
        <w:t>indemnisation matérielle et morale</w:t>
      </w:r>
      <w:r w:rsidR="00E16237" w:rsidRPr="005F28B2">
        <w:rPr>
          <w:lang w:val="fr-FR"/>
        </w:rPr>
        <w:t>,</w:t>
      </w:r>
      <w:r w:rsidRPr="005F28B2">
        <w:rPr>
          <w:lang w:val="fr-FR"/>
        </w:rPr>
        <w:t xml:space="preserve"> le rétablissement de la dignité</w:t>
      </w:r>
      <w:r w:rsidR="00E16237" w:rsidRPr="005F28B2">
        <w:rPr>
          <w:lang w:val="fr-FR"/>
        </w:rPr>
        <w:t>,</w:t>
      </w:r>
      <w:r w:rsidRPr="005F28B2">
        <w:rPr>
          <w:lang w:val="fr-FR"/>
        </w:rPr>
        <w:t xml:space="preserve"> le pardon</w:t>
      </w:r>
      <w:r w:rsidR="00E16237" w:rsidRPr="005F28B2">
        <w:rPr>
          <w:lang w:val="fr-FR"/>
        </w:rPr>
        <w:t>,</w:t>
      </w:r>
      <w:r w:rsidRPr="005F28B2">
        <w:rPr>
          <w:lang w:val="fr-FR"/>
        </w:rPr>
        <w:t xml:space="preserve"> la restitution des droits</w:t>
      </w:r>
      <w:r w:rsidR="00E16237" w:rsidRPr="005F28B2">
        <w:rPr>
          <w:lang w:val="fr-FR"/>
        </w:rPr>
        <w:t>,</w:t>
      </w:r>
      <w:r w:rsidRPr="005F28B2">
        <w:rPr>
          <w:lang w:val="fr-FR"/>
        </w:rPr>
        <w:t xml:space="preserve"> la réhabilitation et la réinsertion</w:t>
      </w:r>
      <w:r w:rsidR="00E16237" w:rsidRPr="005F28B2">
        <w:rPr>
          <w:lang w:val="fr-FR"/>
        </w:rPr>
        <w:t>,</w:t>
      </w:r>
      <w:r w:rsidRPr="005F28B2">
        <w:rPr>
          <w:lang w:val="fr-FR"/>
        </w:rPr>
        <w:t xml:space="preserve"> en tenant compte de la situation des personnes âgées</w:t>
      </w:r>
      <w:r w:rsidR="00E16237" w:rsidRPr="005F28B2">
        <w:rPr>
          <w:lang w:val="fr-FR"/>
        </w:rPr>
        <w:t>,</w:t>
      </w:r>
      <w:r w:rsidRPr="005F28B2">
        <w:rPr>
          <w:lang w:val="fr-FR"/>
        </w:rPr>
        <w:t xml:space="preserve"> des femmes</w:t>
      </w:r>
      <w:r w:rsidR="00E16237" w:rsidRPr="005F28B2">
        <w:rPr>
          <w:lang w:val="fr-FR"/>
        </w:rPr>
        <w:t>,</w:t>
      </w:r>
      <w:r w:rsidRPr="005F28B2">
        <w:rPr>
          <w:lang w:val="fr-FR"/>
        </w:rPr>
        <w:t xml:space="preserve"> des enfants</w:t>
      </w:r>
      <w:r w:rsidR="00E16237" w:rsidRPr="005F28B2">
        <w:rPr>
          <w:lang w:val="fr-FR"/>
        </w:rPr>
        <w:t>,</w:t>
      </w:r>
      <w:r w:rsidRPr="005F28B2">
        <w:rPr>
          <w:lang w:val="fr-FR"/>
        </w:rPr>
        <w:t xml:space="preserve"> des personnes handicapées</w:t>
      </w:r>
      <w:r w:rsidR="00E16237" w:rsidRPr="005F28B2">
        <w:rPr>
          <w:lang w:val="fr-FR"/>
        </w:rPr>
        <w:t>,</w:t>
      </w:r>
      <w:r w:rsidRPr="005F28B2">
        <w:rPr>
          <w:lang w:val="fr-FR"/>
        </w:rPr>
        <w:t xml:space="preserve"> des catégories ayant des besoins spécifiques</w:t>
      </w:r>
      <w:r w:rsidR="00E16237" w:rsidRPr="005F28B2">
        <w:rPr>
          <w:lang w:val="fr-FR"/>
        </w:rPr>
        <w:t>,</w:t>
      </w:r>
      <w:r w:rsidRPr="005F28B2">
        <w:rPr>
          <w:lang w:val="fr-FR"/>
        </w:rPr>
        <w:t xml:space="preserve"> des personnes malades et des catégories vulnérables. En outre</w:t>
      </w:r>
      <w:r w:rsidR="00E16237" w:rsidRPr="005F28B2">
        <w:rPr>
          <w:lang w:val="fr-FR"/>
        </w:rPr>
        <w:t>,</w:t>
      </w:r>
      <w:r w:rsidRPr="005F28B2">
        <w:rPr>
          <w:lang w:val="fr-FR"/>
        </w:rPr>
        <w:t xml:space="preserve"> la loi impose à l</w:t>
      </w:r>
      <w:r w:rsidR="00E16237" w:rsidRPr="005F28B2">
        <w:rPr>
          <w:lang w:val="fr-FR"/>
        </w:rPr>
        <w:t>’</w:t>
      </w:r>
      <w:r w:rsidRPr="005F28B2">
        <w:rPr>
          <w:lang w:val="fr-FR"/>
        </w:rPr>
        <w:t>État la fourniture d</w:t>
      </w:r>
      <w:r w:rsidR="00E16237" w:rsidRPr="005F28B2">
        <w:rPr>
          <w:lang w:val="fr-FR"/>
        </w:rPr>
        <w:t>’</w:t>
      </w:r>
      <w:r w:rsidRPr="005F28B2">
        <w:rPr>
          <w:lang w:val="fr-FR"/>
        </w:rPr>
        <w:t>une assistance immédiate et d</w:t>
      </w:r>
      <w:r w:rsidR="00E16237" w:rsidRPr="005F28B2">
        <w:rPr>
          <w:lang w:val="fr-FR"/>
        </w:rPr>
        <w:t>’</w:t>
      </w:r>
      <w:r w:rsidRPr="005F28B2">
        <w:rPr>
          <w:lang w:val="fr-FR"/>
        </w:rPr>
        <w:t>une indemnisation provisoire aux victimes qui en ont besoin</w:t>
      </w:r>
      <w:r w:rsidR="00E16237" w:rsidRPr="005F28B2">
        <w:rPr>
          <w:lang w:val="fr-FR"/>
        </w:rPr>
        <w:t>,</w:t>
      </w:r>
      <w:r w:rsidRPr="005F28B2">
        <w:rPr>
          <w:lang w:val="fr-FR"/>
        </w:rPr>
        <w:t xml:space="preserve"> notamment les personnes âgées</w:t>
      </w:r>
      <w:r w:rsidR="00E16237" w:rsidRPr="005F28B2">
        <w:rPr>
          <w:lang w:val="fr-FR"/>
        </w:rPr>
        <w:t>,</w:t>
      </w:r>
      <w:r w:rsidRPr="005F28B2">
        <w:rPr>
          <w:lang w:val="fr-FR"/>
        </w:rPr>
        <w:t xml:space="preserve"> les femmes</w:t>
      </w:r>
      <w:r w:rsidR="00E16237" w:rsidRPr="005F28B2">
        <w:rPr>
          <w:lang w:val="fr-FR"/>
        </w:rPr>
        <w:t>,</w:t>
      </w:r>
      <w:r w:rsidRPr="005F28B2">
        <w:rPr>
          <w:lang w:val="fr-FR"/>
        </w:rPr>
        <w:t xml:space="preserve"> les enfants</w:t>
      </w:r>
      <w:r w:rsidR="00E16237" w:rsidRPr="005F28B2">
        <w:rPr>
          <w:lang w:val="fr-FR"/>
        </w:rPr>
        <w:t>,</w:t>
      </w:r>
      <w:r w:rsidRPr="005F28B2">
        <w:rPr>
          <w:lang w:val="fr-FR"/>
        </w:rPr>
        <w:t xml:space="preserve"> les personnes handicapées et celles ayant des besoins spéciaux</w:t>
      </w:r>
      <w:r w:rsidR="00E16237" w:rsidRPr="005F28B2">
        <w:rPr>
          <w:lang w:val="fr-FR"/>
        </w:rPr>
        <w:t>,</w:t>
      </w:r>
      <w:r w:rsidRPr="005F28B2">
        <w:rPr>
          <w:lang w:val="fr-FR"/>
        </w:rPr>
        <w:t xml:space="preserve"> les malades et les catégories vulnérables</w:t>
      </w:r>
      <w:r w:rsidR="00E16237" w:rsidRPr="005F28B2">
        <w:rPr>
          <w:lang w:val="fr-FR"/>
        </w:rPr>
        <w:t>,</w:t>
      </w:r>
      <w:r w:rsidRPr="005F28B2">
        <w:rPr>
          <w:lang w:val="fr-FR"/>
        </w:rPr>
        <w:t xml:space="preserve"> et ce</w:t>
      </w:r>
      <w:r w:rsidR="00E16237" w:rsidRPr="005F28B2">
        <w:rPr>
          <w:lang w:val="fr-FR"/>
        </w:rPr>
        <w:t>,</w:t>
      </w:r>
      <w:r w:rsidRPr="005F28B2">
        <w:rPr>
          <w:lang w:val="fr-FR"/>
        </w:rPr>
        <w:t xml:space="preserve"> sans attendre les décisions et jugements prononçant l</w:t>
      </w:r>
      <w:r w:rsidR="00E16237" w:rsidRPr="005F28B2">
        <w:rPr>
          <w:lang w:val="fr-FR"/>
        </w:rPr>
        <w:t>’</w:t>
      </w:r>
      <w:r w:rsidRPr="005F28B2">
        <w:rPr>
          <w:lang w:val="fr-FR"/>
        </w:rPr>
        <w:t>indemnisation du préjudice. Le texte impose aussi la prise en charge par l</w:t>
      </w:r>
      <w:r w:rsidR="00E16237" w:rsidRPr="005F28B2">
        <w:rPr>
          <w:lang w:val="fr-FR"/>
        </w:rPr>
        <w:t>’</w:t>
      </w:r>
      <w:r w:rsidRPr="005F28B2">
        <w:rPr>
          <w:lang w:val="fr-FR"/>
        </w:rPr>
        <w:t>État des frais de justice dans toutes les affaires relatives aux droits de l</w:t>
      </w:r>
      <w:r w:rsidR="00E16237" w:rsidRPr="005F28B2">
        <w:rPr>
          <w:lang w:val="fr-FR"/>
        </w:rPr>
        <w:t>’</w:t>
      </w:r>
      <w:r w:rsidRPr="005F28B2">
        <w:rPr>
          <w:lang w:val="fr-FR"/>
        </w:rPr>
        <w:t>homme au sens de la loi</w:t>
      </w:r>
      <w:r w:rsidR="00E16237" w:rsidRPr="005F28B2">
        <w:rPr>
          <w:lang w:val="fr-FR"/>
        </w:rPr>
        <w:t>,</w:t>
      </w:r>
      <w:r w:rsidRPr="005F28B2">
        <w:rPr>
          <w:lang w:val="fr-FR"/>
        </w:rPr>
        <w:t xml:space="preserve"> et ce</w:t>
      </w:r>
      <w:r w:rsidR="00E16237" w:rsidRPr="005F28B2">
        <w:rPr>
          <w:lang w:val="fr-FR"/>
        </w:rPr>
        <w:t>,</w:t>
      </w:r>
      <w:r w:rsidRPr="005F28B2">
        <w:rPr>
          <w:lang w:val="fr-FR"/>
        </w:rPr>
        <w:t xml:space="preserve"> conformément aux textes relatifs à l</w:t>
      </w:r>
      <w:r w:rsidR="00E16237" w:rsidRPr="005F28B2">
        <w:rPr>
          <w:lang w:val="fr-FR"/>
        </w:rPr>
        <w:t>’</w:t>
      </w:r>
      <w:r w:rsidRPr="005F28B2">
        <w:rPr>
          <w:lang w:val="fr-FR"/>
        </w:rPr>
        <w:t>octroi de l</w:t>
      </w:r>
      <w:r w:rsidR="00E16237" w:rsidRPr="005F28B2">
        <w:rPr>
          <w:lang w:val="fr-FR"/>
        </w:rPr>
        <w:t>’</w:t>
      </w:r>
      <w:r w:rsidRPr="005F28B2">
        <w:rPr>
          <w:lang w:val="fr-FR"/>
        </w:rPr>
        <w:t>aide judiciaire et à l</w:t>
      </w:r>
      <w:r w:rsidR="00E16237" w:rsidRPr="005F28B2">
        <w:rPr>
          <w:lang w:val="fr-FR"/>
        </w:rPr>
        <w:t>’</w:t>
      </w:r>
      <w:r w:rsidRPr="005F28B2">
        <w:rPr>
          <w:lang w:val="fr-FR"/>
        </w:rPr>
        <w:t>aide juridictionnelle auprès du tribunal administratif.</w:t>
      </w:r>
    </w:p>
    <w:p w:rsidR="009052AE" w:rsidRPr="005F28B2" w:rsidRDefault="00163041" w:rsidP="00044209">
      <w:pPr>
        <w:pStyle w:val="H23G"/>
        <w:rPr>
          <w:rtl/>
          <w:lang w:val="fr-FR" w:bidi="fr-FR"/>
        </w:rPr>
      </w:pPr>
      <w:r w:rsidRPr="005F28B2">
        <w:rPr>
          <w:lang w:val="fr-FR"/>
        </w:rPr>
        <w:tab/>
      </w:r>
      <w:bookmarkStart w:id="25" w:name="_Toc478218499"/>
      <w:r w:rsidRPr="005F28B2">
        <w:rPr>
          <w:rFonts w:eastAsia="Times New Roman Bold"/>
          <w:lang w:val="fr-FR"/>
        </w:rPr>
        <w:tab/>
      </w:r>
      <w:r w:rsidRPr="005F28B2">
        <w:rPr>
          <w:lang w:val="fr-FR"/>
        </w:rPr>
        <w:t>Les voies de recours disponibles</w:t>
      </w:r>
      <w:bookmarkEnd w:id="25"/>
    </w:p>
    <w:p w:rsidR="009052AE" w:rsidRPr="005F28B2" w:rsidRDefault="00163041" w:rsidP="00044209">
      <w:pPr>
        <w:pStyle w:val="SingleTxtG"/>
        <w:rPr>
          <w:lang w:val="fr-FR"/>
        </w:rPr>
      </w:pPr>
      <w:r w:rsidRPr="005F28B2">
        <w:rPr>
          <w:lang w:val="fr-FR"/>
        </w:rPr>
        <w:t>53.</w:t>
      </w:r>
      <w:r w:rsidRPr="005F28B2">
        <w:rPr>
          <w:lang w:val="fr-FR"/>
        </w:rPr>
        <w:tab/>
        <w:t>En cas de violation de leurs droits</w:t>
      </w:r>
      <w:r w:rsidR="00E16237" w:rsidRPr="005F28B2">
        <w:rPr>
          <w:lang w:val="fr-FR"/>
        </w:rPr>
        <w:t>,</w:t>
      </w:r>
      <w:r w:rsidRPr="005F28B2">
        <w:rPr>
          <w:lang w:val="fr-FR"/>
        </w:rPr>
        <w:t xml:space="preserve"> les victimes ont la possibilité de s</w:t>
      </w:r>
      <w:r w:rsidR="00E16237" w:rsidRPr="005F28B2">
        <w:rPr>
          <w:lang w:val="fr-FR"/>
        </w:rPr>
        <w:t>’</w:t>
      </w:r>
      <w:r w:rsidRPr="005F28B2">
        <w:rPr>
          <w:lang w:val="fr-FR"/>
        </w:rPr>
        <w:t>adresser à la justice au moyen des voies de recours disponibles pour violation des droits consacrés par la Constitution ou énoncés par les Conventions auxquelles la Tunisie est partie. Ces recours sont exercés devant la juridiction constitutionnelle</w:t>
      </w:r>
      <w:r w:rsidR="00E16237" w:rsidRPr="005F28B2">
        <w:rPr>
          <w:lang w:val="fr-FR"/>
        </w:rPr>
        <w:t>,</w:t>
      </w:r>
      <w:r w:rsidRPr="005F28B2">
        <w:rPr>
          <w:lang w:val="fr-FR"/>
        </w:rPr>
        <w:t xml:space="preserve"> mais également devant les tribunaux judiciaires ou administratifs</w:t>
      </w:r>
      <w:r w:rsidR="00E16237" w:rsidRPr="005F28B2">
        <w:rPr>
          <w:lang w:val="fr-FR"/>
        </w:rPr>
        <w:t>,</w:t>
      </w:r>
      <w:r w:rsidRPr="005F28B2">
        <w:rPr>
          <w:lang w:val="fr-FR"/>
        </w:rPr>
        <w:t xml:space="preserve"> selon la nature du droit violé. </w:t>
      </w:r>
    </w:p>
    <w:p w:rsidR="009052AE" w:rsidRPr="005F28B2" w:rsidRDefault="00163041" w:rsidP="00044209">
      <w:pPr>
        <w:pStyle w:val="SingleTxtG"/>
        <w:rPr>
          <w:lang w:val="fr-FR"/>
        </w:rPr>
      </w:pPr>
      <w:r w:rsidRPr="005F28B2">
        <w:rPr>
          <w:lang w:val="fr-FR"/>
        </w:rPr>
        <w:t>54.</w:t>
      </w:r>
      <w:r w:rsidRPr="005F28B2">
        <w:rPr>
          <w:lang w:val="fr-FR"/>
        </w:rPr>
        <w:tab/>
        <w:t xml:space="preserve">La loi tunisienne ouvre la possibilité de demander réparation au titre de la responsabilité civile et de se constituer partie civile en matière pénale. </w:t>
      </w:r>
    </w:p>
    <w:p w:rsidR="009052AE" w:rsidRPr="005F28B2" w:rsidRDefault="00163041" w:rsidP="00044209">
      <w:pPr>
        <w:pStyle w:val="SingleTxtG"/>
        <w:rPr>
          <w:lang w:val="fr-FR"/>
        </w:rPr>
      </w:pPr>
      <w:r w:rsidRPr="005F28B2">
        <w:rPr>
          <w:lang w:val="fr-FR"/>
        </w:rPr>
        <w:t>55.</w:t>
      </w:r>
      <w:r w:rsidRPr="005F28B2">
        <w:rPr>
          <w:lang w:val="fr-FR"/>
        </w:rPr>
        <w:tab/>
        <w:t>L</w:t>
      </w:r>
      <w:r w:rsidR="00E16237" w:rsidRPr="005F28B2">
        <w:rPr>
          <w:lang w:val="fr-FR"/>
        </w:rPr>
        <w:t>’</w:t>
      </w:r>
      <w:r w:rsidR="00755707" w:rsidRPr="005F28B2">
        <w:rPr>
          <w:lang w:val="fr-FR"/>
        </w:rPr>
        <w:t>article </w:t>
      </w:r>
      <w:r w:rsidRPr="005F28B2">
        <w:rPr>
          <w:lang w:val="fr-FR"/>
        </w:rPr>
        <w:t>premier du Code de procédure pénale pose le principe général régissant la réparation et l</w:t>
      </w:r>
      <w:r w:rsidR="00E16237" w:rsidRPr="005F28B2">
        <w:rPr>
          <w:lang w:val="fr-FR"/>
        </w:rPr>
        <w:t>’</w:t>
      </w:r>
      <w:r w:rsidRPr="005F28B2">
        <w:rPr>
          <w:lang w:val="fr-FR"/>
        </w:rPr>
        <w:t>indemnisation des préjudices subis par les victimes</w:t>
      </w:r>
      <w:r w:rsidR="00E16237" w:rsidRPr="005F28B2">
        <w:rPr>
          <w:lang w:val="fr-FR"/>
        </w:rPr>
        <w:t>,</w:t>
      </w:r>
      <w:r w:rsidRPr="005F28B2">
        <w:rPr>
          <w:lang w:val="fr-FR"/>
        </w:rPr>
        <w:t xml:space="preserve"> selon lequel toute infraction donne ouverture à une action publique ayant pour but l</w:t>
      </w:r>
      <w:r w:rsidR="00E16237" w:rsidRPr="005F28B2">
        <w:rPr>
          <w:lang w:val="fr-FR"/>
        </w:rPr>
        <w:t>’</w:t>
      </w:r>
      <w:r w:rsidRPr="005F28B2">
        <w:rPr>
          <w:lang w:val="fr-FR"/>
        </w:rPr>
        <w:t>application des peines et</w:t>
      </w:r>
      <w:r w:rsidR="00E16237" w:rsidRPr="005F28B2">
        <w:rPr>
          <w:lang w:val="fr-FR"/>
        </w:rPr>
        <w:t>,</w:t>
      </w:r>
      <w:r w:rsidRPr="005F28B2">
        <w:rPr>
          <w:lang w:val="fr-FR"/>
        </w:rPr>
        <w:t xml:space="preserve"> si un dommage a été causé</w:t>
      </w:r>
      <w:r w:rsidR="00E16237" w:rsidRPr="005F28B2">
        <w:rPr>
          <w:lang w:val="fr-FR"/>
        </w:rPr>
        <w:t>,</w:t>
      </w:r>
      <w:r w:rsidRPr="005F28B2">
        <w:rPr>
          <w:lang w:val="fr-FR"/>
        </w:rPr>
        <w:t xml:space="preserve"> à une action civile en réparation de ce dommage. Ce principe s</w:t>
      </w:r>
      <w:r w:rsidR="00E16237" w:rsidRPr="005F28B2">
        <w:rPr>
          <w:lang w:val="fr-FR"/>
        </w:rPr>
        <w:t>’</w:t>
      </w:r>
      <w:r w:rsidRPr="005F28B2">
        <w:rPr>
          <w:lang w:val="fr-FR"/>
        </w:rPr>
        <w:t>applique à toutes les infractions</w:t>
      </w:r>
      <w:r w:rsidR="00E16237" w:rsidRPr="005F28B2">
        <w:rPr>
          <w:lang w:val="fr-FR"/>
        </w:rPr>
        <w:t>,</w:t>
      </w:r>
      <w:r w:rsidRPr="005F28B2">
        <w:rPr>
          <w:lang w:val="fr-FR"/>
        </w:rPr>
        <w:t xml:space="preserve"> incluant les atteintes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et donne la possibilité à toute personne ayant subi un préjudice personnel et directement causé par l</w:t>
      </w:r>
      <w:r w:rsidR="00E16237" w:rsidRPr="005F28B2">
        <w:rPr>
          <w:lang w:val="fr-FR"/>
        </w:rPr>
        <w:t>’</w:t>
      </w:r>
      <w:r w:rsidRPr="005F28B2">
        <w:rPr>
          <w:lang w:val="fr-FR"/>
        </w:rPr>
        <w:t>infraction de se constituer partie civile parallèlement à l</w:t>
      </w:r>
      <w:r w:rsidR="00E16237" w:rsidRPr="005F28B2">
        <w:rPr>
          <w:lang w:val="fr-FR"/>
        </w:rPr>
        <w:t>’</w:t>
      </w:r>
      <w:r w:rsidRPr="005F28B2">
        <w:rPr>
          <w:lang w:val="fr-FR"/>
        </w:rPr>
        <w:t xml:space="preserve">action publique en engageant une action civile autonome devant un tribunal civil. </w:t>
      </w:r>
    </w:p>
    <w:p w:rsidR="009052AE" w:rsidRPr="005F28B2" w:rsidRDefault="00163041" w:rsidP="00044209">
      <w:pPr>
        <w:pStyle w:val="SingleTxtG"/>
        <w:rPr>
          <w:rtl/>
          <w:lang w:val="fr-FR" w:bidi="fr-FR"/>
        </w:rPr>
      </w:pPr>
      <w:r w:rsidRPr="005F28B2">
        <w:rPr>
          <w:lang w:val="fr-FR"/>
        </w:rPr>
        <w:t>56.</w:t>
      </w:r>
      <w:r w:rsidRPr="005F28B2">
        <w:rPr>
          <w:lang w:val="fr-FR"/>
        </w:rPr>
        <w:tab/>
        <w:t xml:space="preserve">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2013-53 relative à l</w:t>
      </w:r>
      <w:r w:rsidR="00E16237" w:rsidRPr="005F28B2">
        <w:rPr>
          <w:lang w:val="fr-FR"/>
        </w:rPr>
        <w:t>’</w:t>
      </w:r>
      <w:r w:rsidRPr="005F28B2">
        <w:rPr>
          <w:lang w:val="fr-FR"/>
        </w:rPr>
        <w:t>instauration de la justice transitionnelle et à son organisation est considérée comme le fondement juridique des demandes en réparation et en indemnisation des préjudices en vue du rétablissement de la dignité des victimes de violations des droits de l</w:t>
      </w:r>
      <w:r w:rsidR="00E16237" w:rsidRPr="005F28B2">
        <w:rPr>
          <w:lang w:val="fr-FR"/>
        </w:rPr>
        <w:t>’</w:t>
      </w:r>
      <w:r w:rsidRPr="005F28B2">
        <w:rPr>
          <w:lang w:val="fr-FR"/>
        </w:rPr>
        <w:t>homme commises au cours de la période allant du 1</w:t>
      </w:r>
      <w:r w:rsidRPr="005F28B2">
        <w:rPr>
          <w:vertAlign w:val="superscript"/>
          <w:lang w:val="fr-FR"/>
        </w:rPr>
        <w:t>er</w:t>
      </w:r>
      <w:r w:rsidRPr="005F28B2">
        <w:rPr>
          <w:lang w:val="fr-FR"/>
        </w:rPr>
        <w:t xml:space="preserve"> juillet 1955 jusqu</w:t>
      </w:r>
      <w:r w:rsidR="00E16237" w:rsidRPr="005F28B2">
        <w:rPr>
          <w:lang w:val="fr-FR"/>
        </w:rPr>
        <w:t>’</w:t>
      </w:r>
      <w:r w:rsidRPr="005F28B2">
        <w:rPr>
          <w:lang w:val="fr-FR"/>
        </w:rPr>
        <w:t>à la date de promulgation de la loi (24 décembre 2013). Des informations détaillées à ce sujet sont disponibles au paragraphe consacré à l</w:t>
      </w:r>
      <w:r w:rsidR="00E16237" w:rsidRPr="005F28B2">
        <w:rPr>
          <w:lang w:val="fr-FR"/>
        </w:rPr>
        <w:t>’</w:t>
      </w:r>
      <w:r w:rsidRPr="005F28B2">
        <w:rPr>
          <w:lang w:val="fr-FR"/>
        </w:rPr>
        <w:t>Instance vérité et dignité.</w:t>
      </w:r>
    </w:p>
    <w:p w:rsidR="009052AE" w:rsidRPr="005F28B2" w:rsidRDefault="00163041" w:rsidP="00686BD4">
      <w:pPr>
        <w:pStyle w:val="H4G"/>
        <w:rPr>
          <w:rtl/>
          <w:lang w:val="fr-FR" w:bidi="fr-FR"/>
        </w:rPr>
      </w:pPr>
      <w:r w:rsidRPr="005F28B2">
        <w:rPr>
          <w:lang w:val="fr-FR"/>
        </w:rPr>
        <w:lastRenderedPageBreak/>
        <w:tab/>
      </w:r>
      <w:r w:rsidRPr="005F28B2">
        <w:rPr>
          <w:lang w:val="fr-FR"/>
        </w:rPr>
        <w:tab/>
      </w:r>
      <w:bookmarkStart w:id="26" w:name="_Toc478218500"/>
      <w:r w:rsidRPr="005F28B2">
        <w:rPr>
          <w:lang w:val="fr-FR"/>
        </w:rPr>
        <w:t>La Cour constitutionnelle</w:t>
      </w:r>
      <w:bookmarkEnd w:id="26"/>
    </w:p>
    <w:p w:rsidR="009052AE" w:rsidRPr="005F28B2" w:rsidRDefault="00163041" w:rsidP="00044209">
      <w:pPr>
        <w:pStyle w:val="SingleTxtG"/>
        <w:rPr>
          <w:rtl/>
          <w:lang w:val="fr-FR" w:bidi="fr-FR"/>
        </w:rPr>
      </w:pPr>
      <w:r w:rsidRPr="005F28B2">
        <w:rPr>
          <w:lang w:val="fr-FR"/>
        </w:rPr>
        <w:t>57.</w:t>
      </w:r>
      <w:r w:rsidRPr="005F28B2">
        <w:rPr>
          <w:lang w:val="fr-FR"/>
        </w:rPr>
        <w:tab/>
        <w:t>La Cour constitutionnelle fait partie des grandes in</w:t>
      </w:r>
      <w:r w:rsidR="00B300E8" w:rsidRPr="005F28B2">
        <w:rPr>
          <w:lang w:val="fr-FR"/>
        </w:rPr>
        <w:t>novations de la Constitution de </w:t>
      </w:r>
      <w:r w:rsidRPr="005F28B2">
        <w:rPr>
          <w:lang w:val="fr-FR"/>
        </w:rPr>
        <w:t>2014 et vient remplacer l</w:t>
      </w:r>
      <w:r w:rsidR="00E16237" w:rsidRPr="005F28B2">
        <w:rPr>
          <w:lang w:val="fr-FR"/>
        </w:rPr>
        <w:t>’</w:t>
      </w:r>
      <w:r w:rsidRPr="005F28B2">
        <w:rPr>
          <w:lang w:val="fr-FR"/>
        </w:rPr>
        <w:t>ancien Conseil constitutionnel mis en place en 1990</w:t>
      </w:r>
      <w:r w:rsidRPr="005F28B2">
        <w:rPr>
          <w:rStyle w:val="Appelnotedebasdep"/>
          <w:lang w:val="fr-FR"/>
        </w:rPr>
        <w:footnoteReference w:id="46"/>
      </w:r>
      <w:r w:rsidRPr="005F28B2">
        <w:rPr>
          <w:lang w:val="fr-FR"/>
        </w:rPr>
        <w:t xml:space="preserve"> qui n</w:t>
      </w:r>
      <w:r w:rsidR="00E16237" w:rsidRPr="005F28B2">
        <w:rPr>
          <w:lang w:val="fr-FR"/>
        </w:rPr>
        <w:t>’</w:t>
      </w:r>
      <w:r w:rsidRPr="005F28B2">
        <w:rPr>
          <w:lang w:val="fr-FR"/>
        </w:rPr>
        <w:t>avait qu</w:t>
      </w:r>
      <w:r w:rsidR="00E16237" w:rsidRPr="005F28B2">
        <w:rPr>
          <w:lang w:val="fr-FR"/>
        </w:rPr>
        <w:t>’</w:t>
      </w:r>
      <w:r w:rsidRPr="005F28B2">
        <w:rPr>
          <w:lang w:val="fr-FR"/>
        </w:rPr>
        <w:t>un rôle consultatif et qui avait été dissous après la révolution (2011). Conformément aux dispositions constitutionnelles</w:t>
      </w:r>
      <w:r w:rsidR="00E16237" w:rsidRPr="005F28B2">
        <w:rPr>
          <w:lang w:val="fr-FR"/>
        </w:rPr>
        <w:t>,</w:t>
      </w:r>
      <w:r w:rsidRPr="005F28B2">
        <w:rPr>
          <w:lang w:val="fr-FR"/>
        </w:rPr>
        <w:t xml:space="preserve">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2015-50</w:t>
      </w:r>
      <w:r w:rsidRPr="005F28B2">
        <w:rPr>
          <w:rStyle w:val="Appelnotedebasdep"/>
          <w:lang w:val="fr-FR"/>
        </w:rPr>
        <w:footnoteReference w:id="47"/>
      </w:r>
      <w:r w:rsidRPr="005F28B2">
        <w:rPr>
          <w:lang w:val="fr-FR"/>
        </w:rPr>
        <w:t xml:space="preserve"> a institué la Cour constitutionnelle en tant qu</w:t>
      </w:r>
      <w:r w:rsidR="00E16237" w:rsidRPr="005F28B2">
        <w:rPr>
          <w:lang w:val="fr-FR"/>
        </w:rPr>
        <w:t>’</w:t>
      </w:r>
      <w:r w:rsidRPr="005F28B2">
        <w:rPr>
          <w:lang w:val="fr-FR"/>
        </w:rPr>
        <w:t>instance juridictionnelle indépendante garante de la suprématie de la Constitution et protectrice du régime républicain démocratique et des droits et libertés</w:t>
      </w:r>
      <w:r w:rsidR="00E16237" w:rsidRPr="005F28B2">
        <w:rPr>
          <w:lang w:val="fr-FR"/>
        </w:rPr>
        <w:t>,</w:t>
      </w:r>
      <w:r w:rsidRPr="005F28B2">
        <w:rPr>
          <w:lang w:val="fr-FR"/>
        </w:rPr>
        <w:t xml:space="preserve"> appelée à exercer les compétences et prérogatives prévues par la Constitution et énoncées par la loi</w:t>
      </w:r>
      <w:r w:rsidR="00E16237" w:rsidRPr="005F28B2">
        <w:rPr>
          <w:lang w:val="fr-FR"/>
        </w:rPr>
        <w:t>,</w:t>
      </w:r>
      <w:r w:rsidRPr="005F28B2">
        <w:rPr>
          <w:lang w:val="fr-FR"/>
        </w:rPr>
        <w:t xml:space="preserve"> ayant son siège à Tunis.</w:t>
      </w:r>
    </w:p>
    <w:p w:rsidR="009052AE" w:rsidRPr="005F28B2" w:rsidRDefault="00163041" w:rsidP="00686BD4">
      <w:pPr>
        <w:pStyle w:val="H4G"/>
        <w:rPr>
          <w:rtl/>
          <w:lang w:val="fr-FR" w:bidi="fr-FR"/>
        </w:rPr>
      </w:pPr>
      <w:r w:rsidRPr="005F28B2">
        <w:rPr>
          <w:lang w:val="fr-FR"/>
        </w:rPr>
        <w:tab/>
      </w:r>
      <w:r w:rsidRPr="005F28B2">
        <w:rPr>
          <w:lang w:val="fr-FR"/>
        </w:rPr>
        <w:tab/>
      </w:r>
      <w:bookmarkStart w:id="27" w:name="_Toc478218501"/>
      <w:r w:rsidRPr="005F28B2">
        <w:rPr>
          <w:lang w:val="fr-FR"/>
        </w:rPr>
        <w:t>Les tribunaux judiciaires</w:t>
      </w:r>
      <w:bookmarkEnd w:id="27"/>
    </w:p>
    <w:p w:rsidR="009052AE" w:rsidRPr="005F28B2" w:rsidRDefault="00163041" w:rsidP="00044209">
      <w:pPr>
        <w:pStyle w:val="SingleTxtG"/>
        <w:rPr>
          <w:rtl/>
          <w:lang w:val="fr-FR" w:bidi="fr-FR"/>
        </w:rPr>
      </w:pPr>
      <w:r w:rsidRPr="005F28B2">
        <w:rPr>
          <w:lang w:val="fr-FR"/>
        </w:rPr>
        <w:t>58.</w:t>
      </w:r>
      <w:r w:rsidRPr="005F28B2">
        <w:rPr>
          <w:lang w:val="fr-FR"/>
        </w:rPr>
        <w:tab/>
        <w:t>Conformément à la Constitution</w:t>
      </w:r>
      <w:r w:rsidR="00E16237" w:rsidRPr="005F28B2">
        <w:rPr>
          <w:lang w:val="fr-FR"/>
        </w:rPr>
        <w:t>,</w:t>
      </w:r>
      <w:r w:rsidRPr="005F28B2">
        <w:rPr>
          <w:lang w:val="fr-FR"/>
        </w:rPr>
        <w:t xml:space="preserve"> la magistrature veille à garantir les droits et libertés et à instaurer la justice. L</w:t>
      </w:r>
      <w:r w:rsidR="00E16237" w:rsidRPr="005F28B2">
        <w:rPr>
          <w:lang w:val="fr-FR"/>
        </w:rPr>
        <w:t>’</w:t>
      </w:r>
      <w:r w:rsidRPr="005F28B2">
        <w:rPr>
          <w:lang w:val="fr-FR"/>
        </w:rPr>
        <w:t>organisation juridictionnelle tunisienne comprend plusieurs catégories de juridictions </w:t>
      </w:r>
      <w:r w:rsidR="00E16237" w:rsidRPr="005F28B2">
        <w:rPr>
          <w:lang w:val="fr-FR"/>
        </w:rPr>
        <w:t>;</w:t>
      </w:r>
      <w:r w:rsidRPr="005F28B2">
        <w:rPr>
          <w:lang w:val="fr-FR"/>
        </w:rPr>
        <w:t xml:space="preserve"> certaines ont une compétence générale et d</w:t>
      </w:r>
      <w:r w:rsidR="00E16237" w:rsidRPr="005F28B2">
        <w:rPr>
          <w:lang w:val="fr-FR"/>
        </w:rPr>
        <w:t>’</w:t>
      </w:r>
      <w:r w:rsidRPr="005F28B2">
        <w:rPr>
          <w:lang w:val="fr-FR"/>
        </w:rPr>
        <w:t>autres une compétence limitée. L</w:t>
      </w:r>
      <w:hyperlink r:id="rId11" w:tgtFrame="_blank" w:history="1">
        <w:r w:rsidRPr="005F28B2">
          <w:rPr>
            <w:lang w:val="fr-FR"/>
          </w:rPr>
          <w:t>e</w:t>
        </w:r>
      </w:hyperlink>
      <w:r w:rsidRPr="005F28B2">
        <w:rPr>
          <w:lang w:val="fr-FR"/>
        </w:rPr>
        <w:t xml:space="preserve"> Chapitre V de la Constitution de 2014 relatif au pouvoir juridictionnel constitue le fondement juridique du prononcé des jugements par les tribunaux</w:t>
      </w:r>
      <w:r w:rsidR="00E16237" w:rsidRPr="005F28B2">
        <w:rPr>
          <w:lang w:val="fr-FR"/>
        </w:rPr>
        <w:t>,</w:t>
      </w:r>
      <w:r w:rsidRPr="005F28B2">
        <w:rPr>
          <w:lang w:val="fr-FR"/>
        </w:rPr>
        <w:t xml:space="preserve"> de l</w:t>
      </w:r>
      <w:r w:rsidR="00E16237" w:rsidRPr="005F28B2">
        <w:rPr>
          <w:lang w:val="fr-FR"/>
        </w:rPr>
        <w:t>’</w:t>
      </w:r>
      <w:r w:rsidRPr="005F28B2">
        <w:rPr>
          <w:lang w:val="fr-FR"/>
        </w:rPr>
        <w:t>indépendance de la magistrature</w:t>
      </w:r>
      <w:r w:rsidR="00E16237" w:rsidRPr="005F28B2">
        <w:rPr>
          <w:lang w:val="fr-FR"/>
        </w:rPr>
        <w:t>,</w:t>
      </w:r>
      <w:r w:rsidRPr="005F28B2">
        <w:rPr>
          <w:lang w:val="fr-FR"/>
        </w:rPr>
        <w:t xml:space="preserve"> de la nomination des magistrats</w:t>
      </w:r>
      <w:r w:rsidR="00E16237" w:rsidRPr="005F28B2">
        <w:rPr>
          <w:lang w:val="fr-FR"/>
        </w:rPr>
        <w:t>,</w:t>
      </w:r>
      <w:r w:rsidRPr="005F28B2">
        <w:rPr>
          <w:lang w:val="fr-FR"/>
        </w:rPr>
        <w:t xml:space="preserve"> des nécessaires garanties dont ils bénéficient et de la composition du Conseil supérieur de la magistrature</w:t>
      </w:r>
      <w:r w:rsidR="00E16237" w:rsidRPr="005F28B2">
        <w:rPr>
          <w:lang w:val="fr-FR"/>
        </w:rPr>
        <w:t>,</w:t>
      </w:r>
      <w:r w:rsidRPr="005F28B2">
        <w:rPr>
          <w:lang w:val="fr-FR"/>
        </w:rPr>
        <w:t xml:space="preserve"> du Tribunal administratif et de la Cour des comptes. </w:t>
      </w:r>
    </w:p>
    <w:p w:rsidR="009052AE" w:rsidRPr="005F28B2" w:rsidRDefault="00163041" w:rsidP="00044209">
      <w:pPr>
        <w:pStyle w:val="H23G"/>
        <w:rPr>
          <w:rtl/>
          <w:lang w:val="fr-FR" w:bidi="fr-FR"/>
        </w:rPr>
      </w:pPr>
      <w:r w:rsidRPr="005F28B2">
        <w:rPr>
          <w:lang w:val="fr-FR"/>
        </w:rPr>
        <w:tab/>
      </w:r>
      <w:bookmarkStart w:id="28" w:name="_Toc478218502"/>
      <w:r w:rsidRPr="005F28B2">
        <w:rPr>
          <w:lang w:val="fr-FR"/>
        </w:rPr>
        <w:tab/>
        <w:t>La justice judiciaire</w:t>
      </w:r>
      <w:bookmarkEnd w:id="28"/>
    </w:p>
    <w:p w:rsidR="009052AE" w:rsidRPr="005F28B2" w:rsidRDefault="00163041" w:rsidP="00044209">
      <w:pPr>
        <w:pStyle w:val="SingleTxtG"/>
        <w:rPr>
          <w:rtl/>
          <w:lang w:val="fr-FR" w:bidi="fr-FR"/>
        </w:rPr>
      </w:pPr>
      <w:r w:rsidRPr="005F28B2">
        <w:rPr>
          <w:lang w:val="fr-FR"/>
        </w:rPr>
        <w:t>59.</w:t>
      </w:r>
      <w:r w:rsidRPr="005F28B2">
        <w:rPr>
          <w:lang w:val="fr-FR"/>
        </w:rPr>
        <w:tab/>
        <w:t>La Constitution de 2014 dispose que la justice judiciaire se compose d</w:t>
      </w:r>
      <w:r w:rsidR="00E16237" w:rsidRPr="005F28B2">
        <w:rPr>
          <w:lang w:val="fr-FR"/>
        </w:rPr>
        <w:t>’</w:t>
      </w:r>
      <w:r w:rsidRPr="005F28B2">
        <w:rPr>
          <w:lang w:val="fr-FR"/>
        </w:rPr>
        <w:t>une Cour de cassation</w:t>
      </w:r>
      <w:r w:rsidR="00E16237" w:rsidRPr="005F28B2">
        <w:rPr>
          <w:lang w:val="fr-FR"/>
        </w:rPr>
        <w:t>,</w:t>
      </w:r>
      <w:r w:rsidRPr="005F28B2">
        <w:rPr>
          <w:lang w:val="fr-FR"/>
        </w:rPr>
        <w:t xml:space="preserve"> de tribunaux de second degré et de tribunaux de première instance. Elle dispose également que le ministère public fait partie de la justice judiciaire et bénéficie des mêmes garanties constitutionnelles. Les magistrats du ministère public exercent les fonctions qui leur sont dévolues par la loi dans le cadre de la politique pénale de l</w:t>
      </w:r>
      <w:r w:rsidR="00E16237" w:rsidRPr="005F28B2">
        <w:rPr>
          <w:lang w:val="fr-FR"/>
        </w:rPr>
        <w:t>’</w:t>
      </w:r>
      <w:r w:rsidRPr="005F28B2">
        <w:rPr>
          <w:lang w:val="fr-FR"/>
        </w:rPr>
        <w:t>État et conformément aux procédures fixées par la loi. En attendant l</w:t>
      </w:r>
      <w:r w:rsidR="00E16237" w:rsidRPr="005F28B2">
        <w:rPr>
          <w:lang w:val="fr-FR"/>
        </w:rPr>
        <w:t>’</w:t>
      </w:r>
      <w:r w:rsidRPr="005F28B2">
        <w:rPr>
          <w:lang w:val="fr-FR"/>
        </w:rPr>
        <w:t>adoption d</w:t>
      </w:r>
      <w:r w:rsidR="00E16237" w:rsidRPr="005F28B2">
        <w:rPr>
          <w:lang w:val="fr-FR"/>
        </w:rPr>
        <w:t>’</w:t>
      </w:r>
      <w:r w:rsidRPr="005F28B2">
        <w:rPr>
          <w:lang w:val="fr-FR"/>
        </w:rPr>
        <w:t>une loi compatible avec la nouvelle Constitution</w:t>
      </w:r>
      <w:r w:rsidR="00E16237" w:rsidRPr="005F28B2">
        <w:rPr>
          <w:lang w:val="fr-FR"/>
        </w:rPr>
        <w:t>,</w:t>
      </w:r>
      <w:r w:rsidRPr="005F28B2">
        <w:rPr>
          <w:lang w:val="fr-FR"/>
        </w:rPr>
        <w:t xml:space="preserve"> les tribunaux judiciaires sont actuellement soumis aux dispositions de la loi de 1967</w:t>
      </w:r>
      <w:r w:rsidRPr="005F28B2">
        <w:rPr>
          <w:rStyle w:val="Appelnotedebasdep"/>
          <w:lang w:val="fr-FR"/>
        </w:rPr>
        <w:footnoteReference w:id="48"/>
      </w:r>
      <w:r w:rsidRPr="005F28B2">
        <w:rPr>
          <w:lang w:val="fr-FR"/>
        </w:rPr>
        <w:t>. Ils sont compétents pour statuer sur toutes les affaires civiles et pénales que la loi ne confie pas à d</w:t>
      </w:r>
      <w:r w:rsidR="00E16237" w:rsidRPr="005F28B2">
        <w:rPr>
          <w:lang w:val="fr-FR"/>
        </w:rPr>
        <w:t>’</w:t>
      </w:r>
      <w:r w:rsidRPr="005F28B2">
        <w:rPr>
          <w:lang w:val="fr-FR"/>
        </w:rPr>
        <w:t>autres instances juridictionnelles. Le Ministère de la justice a élaboré une série de guides des procédures applicables devant les différents tribunaux</w:t>
      </w:r>
      <w:r w:rsidR="00E16237" w:rsidRPr="005F28B2">
        <w:rPr>
          <w:lang w:val="fr-FR"/>
        </w:rPr>
        <w:t>,</w:t>
      </w:r>
      <w:r w:rsidRPr="005F28B2">
        <w:rPr>
          <w:lang w:val="fr-FR"/>
        </w:rPr>
        <w:t xml:space="preserve"> disponibles sur son site officiel</w:t>
      </w:r>
      <w:r w:rsidR="00E16237" w:rsidRPr="005F28B2">
        <w:rPr>
          <w:lang w:val="fr-FR"/>
        </w:rPr>
        <w:t>,</w:t>
      </w:r>
      <w:r w:rsidRPr="005F28B2">
        <w:rPr>
          <w:lang w:val="fr-FR"/>
        </w:rPr>
        <w:t xml:space="preserve"> en vue de diffuser l</w:t>
      </w:r>
      <w:r w:rsidR="00E16237" w:rsidRPr="005F28B2">
        <w:rPr>
          <w:lang w:val="fr-FR"/>
        </w:rPr>
        <w:t>’</w:t>
      </w:r>
      <w:r w:rsidRPr="005F28B2">
        <w:rPr>
          <w:lang w:val="fr-FR"/>
        </w:rPr>
        <w:t>information judiciaire et faciliter l</w:t>
      </w:r>
      <w:r w:rsidR="00E16237" w:rsidRPr="005F28B2">
        <w:rPr>
          <w:lang w:val="fr-FR"/>
        </w:rPr>
        <w:t>’</w:t>
      </w:r>
      <w:r w:rsidRPr="005F28B2">
        <w:rPr>
          <w:lang w:val="fr-FR"/>
        </w:rPr>
        <w:t>accès des justiciables à la justice et aux différents degrés de juridiction. Le système judiciaire compte 142 juridictions réparties comme suit :</w:t>
      </w:r>
    </w:p>
    <w:p w:rsidR="009052AE" w:rsidRPr="005F28B2" w:rsidRDefault="00163041" w:rsidP="00686BD4">
      <w:pPr>
        <w:pStyle w:val="H4G"/>
        <w:rPr>
          <w:lang w:val="fr-FR"/>
        </w:rPr>
      </w:pPr>
      <w:r w:rsidRPr="005F28B2">
        <w:rPr>
          <w:lang w:val="fr-FR"/>
        </w:rPr>
        <w:tab/>
      </w:r>
      <w:r w:rsidRPr="005F28B2">
        <w:rPr>
          <w:lang w:val="fr-FR"/>
        </w:rPr>
        <w:tab/>
      </w:r>
      <w:bookmarkStart w:id="29" w:name="_Toc478218503"/>
      <w:r w:rsidRPr="005F28B2">
        <w:rPr>
          <w:lang w:val="fr-FR"/>
        </w:rPr>
        <w:t>La Cour de cassation</w:t>
      </w:r>
      <w:bookmarkEnd w:id="29"/>
    </w:p>
    <w:p w:rsidR="009052AE" w:rsidRPr="005F28B2" w:rsidRDefault="00163041" w:rsidP="00044209">
      <w:pPr>
        <w:pStyle w:val="SingleTxtG"/>
        <w:rPr>
          <w:rtl/>
          <w:lang w:val="fr-FR" w:bidi="fr-FR"/>
        </w:rPr>
      </w:pPr>
      <w:r w:rsidRPr="005F28B2">
        <w:rPr>
          <w:lang w:val="fr-FR"/>
        </w:rPr>
        <w:t>60.</w:t>
      </w:r>
      <w:r w:rsidRPr="005F28B2">
        <w:rPr>
          <w:lang w:val="fr-FR"/>
        </w:rPr>
        <w:tab/>
        <w:t>La Cour de cassation a été désignée en tant qu</w:t>
      </w:r>
      <w:r w:rsidR="00E16237" w:rsidRPr="005F28B2">
        <w:rPr>
          <w:lang w:val="fr-FR"/>
        </w:rPr>
        <w:t>’</w:t>
      </w:r>
      <w:r w:rsidRPr="005F28B2">
        <w:rPr>
          <w:lang w:val="fr-FR"/>
        </w:rPr>
        <w:t>institution suprême de l</w:t>
      </w:r>
      <w:r w:rsidR="00E16237" w:rsidRPr="005F28B2">
        <w:rPr>
          <w:lang w:val="fr-FR"/>
        </w:rPr>
        <w:t>’</w:t>
      </w:r>
      <w:r w:rsidRPr="005F28B2">
        <w:rPr>
          <w:lang w:val="fr-FR"/>
        </w:rPr>
        <w:t xml:space="preserve">ordre judiciaire par </w:t>
      </w:r>
      <w:hyperlink r:id="rId12" w:tgtFrame="_blank" w:history="1">
        <w:r w:rsidRPr="005F28B2">
          <w:rPr>
            <w:lang w:val="fr-FR"/>
          </w:rPr>
          <w:t>le décret du 3 août 1956</w:t>
        </w:r>
      </w:hyperlink>
      <w:r w:rsidRPr="005F28B2">
        <w:rPr>
          <w:lang w:val="fr-FR"/>
        </w:rPr>
        <w:t>. Ses compétences sont les suivantes :</w:t>
      </w:r>
    </w:p>
    <w:p w:rsidR="009052AE" w:rsidRPr="005F28B2" w:rsidRDefault="00163041" w:rsidP="004F42F0">
      <w:pPr>
        <w:pStyle w:val="Bullet1G"/>
        <w:rPr>
          <w:lang w:val="fr-FR"/>
        </w:rPr>
      </w:pPr>
      <w:r w:rsidRPr="005F28B2">
        <w:rPr>
          <w:lang w:val="fr-FR"/>
        </w:rPr>
        <w:t>En matière civile</w:t>
      </w:r>
      <w:r w:rsidR="00E16237" w:rsidRPr="005F28B2">
        <w:rPr>
          <w:lang w:val="fr-FR"/>
        </w:rPr>
        <w:t>,</w:t>
      </w:r>
      <w:r w:rsidRPr="005F28B2">
        <w:rPr>
          <w:lang w:val="fr-FR"/>
        </w:rPr>
        <w:t xml:space="preserve"> elle examine les décisions rendues en dernier ressort dans</w:t>
      </w:r>
      <w:r w:rsidR="001E52AA" w:rsidRPr="005F28B2">
        <w:rPr>
          <w:lang w:val="fr-FR"/>
        </w:rPr>
        <w:t xml:space="preserve"> </w:t>
      </w:r>
      <w:r w:rsidRPr="005F28B2">
        <w:rPr>
          <w:lang w:val="fr-FR"/>
        </w:rPr>
        <w:t>7</w:t>
      </w:r>
      <w:r w:rsidR="001E52AA" w:rsidRPr="005F28B2">
        <w:rPr>
          <w:lang w:val="fr-FR"/>
        </w:rPr>
        <w:t> </w:t>
      </w:r>
      <w:r w:rsidRPr="005F28B2">
        <w:rPr>
          <w:lang w:val="fr-FR"/>
        </w:rPr>
        <w:t>cas déterminés par l</w:t>
      </w:r>
      <w:r w:rsidR="00E16237" w:rsidRPr="005F28B2">
        <w:rPr>
          <w:lang w:val="fr-FR"/>
        </w:rPr>
        <w:t>’</w:t>
      </w:r>
      <w:r w:rsidR="00755707" w:rsidRPr="005F28B2">
        <w:rPr>
          <w:lang w:val="fr-FR"/>
        </w:rPr>
        <w:t>article </w:t>
      </w:r>
      <w:r w:rsidRPr="005F28B2">
        <w:rPr>
          <w:lang w:val="fr-FR"/>
        </w:rPr>
        <w:t>175 du code de procédure civile et commerciale</w:t>
      </w:r>
      <w:r w:rsidR="00E16237" w:rsidRPr="005F28B2">
        <w:rPr>
          <w:lang w:val="fr-FR"/>
        </w:rPr>
        <w:t>,</w:t>
      </w:r>
      <w:r w:rsidRPr="005F28B2">
        <w:rPr>
          <w:lang w:val="fr-FR"/>
        </w:rPr>
        <w:t xml:space="preserve"> notamment en cas de violation de la loi. Elle est également compétente en matière de règlement de juges et de prise à partie</w:t>
      </w:r>
      <w:r w:rsidR="00E305E2" w:rsidRPr="005F28B2">
        <w:rPr>
          <w:lang w:val="fr-FR"/>
        </w:rPr>
        <w:t> ;</w:t>
      </w:r>
      <w:r w:rsidRPr="005F28B2">
        <w:rPr>
          <w:lang w:val="fr-FR"/>
        </w:rPr>
        <w:t xml:space="preserve"> </w:t>
      </w:r>
    </w:p>
    <w:p w:rsidR="009052AE" w:rsidRPr="005F28B2" w:rsidRDefault="00163041" w:rsidP="004F42F0">
      <w:pPr>
        <w:pStyle w:val="Bullet1G"/>
        <w:rPr>
          <w:lang w:val="fr-FR"/>
        </w:rPr>
      </w:pPr>
      <w:r w:rsidRPr="005F28B2">
        <w:rPr>
          <w:lang w:val="fr-FR"/>
        </w:rPr>
        <w:t>E</w:t>
      </w:r>
      <w:r w:rsidRPr="005F28B2">
        <w:rPr>
          <w:lang w:val="fr-FR" w:bidi="ar-TN"/>
        </w:rPr>
        <w:t>n matière pénale</w:t>
      </w:r>
      <w:r w:rsidR="00E16237" w:rsidRPr="005F28B2">
        <w:rPr>
          <w:lang w:val="fr-FR" w:bidi="ar-TN"/>
        </w:rPr>
        <w:t>,</w:t>
      </w:r>
      <w:r w:rsidRPr="005F28B2">
        <w:rPr>
          <w:lang w:val="fr-FR" w:bidi="ar-TN"/>
        </w:rPr>
        <w:t xml:space="preserve"> </w:t>
      </w:r>
      <w:r w:rsidRPr="005F28B2">
        <w:rPr>
          <w:lang w:val="fr-FR"/>
        </w:rPr>
        <w:t>elle est compétente</w:t>
      </w:r>
      <w:r w:rsidR="00E16237" w:rsidRPr="005F28B2">
        <w:rPr>
          <w:lang w:val="fr-FR"/>
        </w:rPr>
        <w:t>,</w:t>
      </w:r>
      <w:r w:rsidRPr="005F28B2">
        <w:rPr>
          <w:lang w:val="fr-FR"/>
        </w:rPr>
        <w:t xml:space="preserve"> selon l</w:t>
      </w:r>
      <w:r w:rsidR="00E16237" w:rsidRPr="005F28B2">
        <w:rPr>
          <w:lang w:val="fr-FR"/>
        </w:rPr>
        <w:t>’</w:t>
      </w:r>
      <w:r w:rsidR="00755707" w:rsidRPr="005F28B2">
        <w:rPr>
          <w:lang w:val="fr-FR"/>
        </w:rPr>
        <w:t>article </w:t>
      </w:r>
      <w:r w:rsidRPr="005F28B2">
        <w:rPr>
          <w:lang w:val="fr-FR"/>
        </w:rPr>
        <w:t>258 du code de procédure pénale</w:t>
      </w:r>
      <w:r w:rsidR="00E16237" w:rsidRPr="005F28B2">
        <w:rPr>
          <w:lang w:val="fr-FR"/>
        </w:rPr>
        <w:t>,</w:t>
      </w:r>
      <w:r w:rsidRPr="005F28B2">
        <w:rPr>
          <w:lang w:val="fr-FR"/>
        </w:rPr>
        <w:t xml:space="preserve"> pour connaître des pourvois en cassation contre les décisions rendues sur le </w:t>
      </w:r>
      <w:r w:rsidRPr="005F28B2">
        <w:rPr>
          <w:lang w:val="fr-FR"/>
        </w:rPr>
        <w:lastRenderedPageBreak/>
        <w:t>fond et en dernier ressort</w:t>
      </w:r>
      <w:r w:rsidR="00E16237" w:rsidRPr="005F28B2">
        <w:rPr>
          <w:lang w:val="fr-FR"/>
        </w:rPr>
        <w:t>,</w:t>
      </w:r>
      <w:r w:rsidRPr="005F28B2">
        <w:rPr>
          <w:lang w:val="fr-FR"/>
        </w:rPr>
        <w:t xml:space="preserve"> même exécutées</w:t>
      </w:r>
      <w:r w:rsidR="00E16237" w:rsidRPr="005F28B2">
        <w:rPr>
          <w:lang w:val="fr-FR"/>
        </w:rPr>
        <w:t>,</w:t>
      </w:r>
      <w:r w:rsidRPr="005F28B2">
        <w:rPr>
          <w:lang w:val="fr-FR"/>
        </w:rPr>
        <w:t xml:space="preserve"> pour incompétence</w:t>
      </w:r>
      <w:r w:rsidR="00E16237" w:rsidRPr="005F28B2">
        <w:rPr>
          <w:lang w:val="fr-FR"/>
        </w:rPr>
        <w:t>,</w:t>
      </w:r>
      <w:r w:rsidRPr="005F28B2">
        <w:rPr>
          <w:lang w:val="fr-FR"/>
        </w:rPr>
        <w:t xml:space="preserve"> excès de pouvoir</w:t>
      </w:r>
      <w:r w:rsidR="00E16237" w:rsidRPr="005F28B2">
        <w:rPr>
          <w:lang w:val="fr-FR"/>
        </w:rPr>
        <w:t>,</w:t>
      </w:r>
      <w:r w:rsidRPr="005F28B2">
        <w:rPr>
          <w:lang w:val="fr-FR"/>
        </w:rPr>
        <w:t xml:space="preserve"> violation ou erreur dans l</w:t>
      </w:r>
      <w:r w:rsidR="00E16237" w:rsidRPr="005F28B2">
        <w:rPr>
          <w:lang w:val="fr-FR"/>
        </w:rPr>
        <w:t>’</w:t>
      </w:r>
      <w:r w:rsidRPr="005F28B2">
        <w:rPr>
          <w:lang w:val="fr-FR"/>
        </w:rPr>
        <w:t xml:space="preserve">application de la loi. </w:t>
      </w:r>
    </w:p>
    <w:p w:rsidR="009052AE" w:rsidRPr="005F28B2" w:rsidRDefault="00163041" w:rsidP="004F42F0">
      <w:pPr>
        <w:pStyle w:val="SingleTxtG"/>
        <w:rPr>
          <w:rtl/>
          <w:lang w:val="fr-FR" w:bidi="fr-FR"/>
        </w:rPr>
      </w:pPr>
      <w:r w:rsidRPr="005F28B2">
        <w:rPr>
          <w:lang w:val="fr-FR"/>
        </w:rPr>
        <w:t>61.</w:t>
      </w:r>
      <w:r w:rsidRPr="005F28B2">
        <w:rPr>
          <w:lang w:val="fr-FR"/>
        </w:rPr>
        <w:tab/>
        <w:t>Elle est également compétente en matière de règlement de juges et de renvoi d</w:t>
      </w:r>
      <w:r w:rsidR="00E16237" w:rsidRPr="005F28B2">
        <w:rPr>
          <w:lang w:val="fr-FR"/>
        </w:rPr>
        <w:t>’</w:t>
      </w:r>
      <w:r w:rsidRPr="005F28B2">
        <w:rPr>
          <w:lang w:val="fr-FR"/>
        </w:rPr>
        <w:t>un tribunal à un autre. Elle statue</w:t>
      </w:r>
      <w:r w:rsidR="00E16237" w:rsidRPr="005F28B2">
        <w:rPr>
          <w:lang w:val="fr-FR"/>
        </w:rPr>
        <w:t>,</w:t>
      </w:r>
      <w:r w:rsidRPr="005F28B2">
        <w:rPr>
          <w:lang w:val="fr-FR"/>
        </w:rPr>
        <w:t xml:space="preserve"> toutes chambres réunies</w:t>
      </w:r>
      <w:r w:rsidR="00E16237" w:rsidRPr="005F28B2">
        <w:rPr>
          <w:lang w:val="fr-FR"/>
        </w:rPr>
        <w:t>,</w:t>
      </w:r>
      <w:r w:rsidRPr="005F28B2">
        <w:rPr>
          <w:lang w:val="fr-FR"/>
        </w:rPr>
        <w:t xml:space="preserve"> chaque fois qu</w:t>
      </w:r>
      <w:r w:rsidR="00E16237" w:rsidRPr="005F28B2">
        <w:rPr>
          <w:lang w:val="fr-FR"/>
        </w:rPr>
        <w:t>’</w:t>
      </w:r>
      <w:r w:rsidRPr="005F28B2">
        <w:rPr>
          <w:lang w:val="fr-FR"/>
        </w:rPr>
        <w:t>il s</w:t>
      </w:r>
      <w:r w:rsidR="00E16237" w:rsidRPr="005F28B2">
        <w:rPr>
          <w:lang w:val="fr-FR"/>
        </w:rPr>
        <w:t>’</w:t>
      </w:r>
      <w:r w:rsidRPr="005F28B2">
        <w:rPr>
          <w:lang w:val="fr-FR"/>
        </w:rPr>
        <w:t>agit d</w:t>
      </w:r>
      <w:r w:rsidR="00E16237" w:rsidRPr="005F28B2">
        <w:rPr>
          <w:lang w:val="fr-FR"/>
        </w:rPr>
        <w:t>’</w:t>
      </w:r>
      <w:r w:rsidRPr="005F28B2">
        <w:rPr>
          <w:lang w:val="fr-FR"/>
        </w:rPr>
        <w:t>assurer l</w:t>
      </w:r>
      <w:r w:rsidR="00E16237" w:rsidRPr="005F28B2">
        <w:rPr>
          <w:lang w:val="fr-FR"/>
        </w:rPr>
        <w:t>’</w:t>
      </w:r>
      <w:r w:rsidRPr="005F28B2">
        <w:rPr>
          <w:lang w:val="fr-FR"/>
        </w:rPr>
        <w:t>unité de la jurisprudence entre les différentes chambres ou en cas de faute grave</w:t>
      </w:r>
      <w:r w:rsidR="00E16237" w:rsidRPr="005F28B2">
        <w:rPr>
          <w:lang w:val="fr-FR"/>
        </w:rPr>
        <w:t>,</w:t>
      </w:r>
      <w:r w:rsidRPr="005F28B2">
        <w:rPr>
          <w:lang w:val="fr-FR"/>
        </w:rPr>
        <w:t xml:space="preserve"> dans ce cas</w:t>
      </w:r>
      <w:r w:rsidR="00E16237" w:rsidRPr="005F28B2">
        <w:rPr>
          <w:lang w:val="fr-FR"/>
        </w:rPr>
        <w:t>,</w:t>
      </w:r>
      <w:r w:rsidRPr="005F28B2">
        <w:rPr>
          <w:lang w:val="fr-FR"/>
        </w:rPr>
        <w:t xml:space="preserve"> elle se compose du premier président</w:t>
      </w:r>
      <w:r w:rsidR="00E16237" w:rsidRPr="005F28B2">
        <w:rPr>
          <w:lang w:val="fr-FR"/>
        </w:rPr>
        <w:t>,</w:t>
      </w:r>
      <w:r w:rsidRPr="005F28B2">
        <w:rPr>
          <w:lang w:val="fr-FR"/>
        </w:rPr>
        <w:t xml:space="preserve"> des président de chambres et du conseiller le plus ancien de chaque chambre et siège en présence du procureur général et d</w:t>
      </w:r>
      <w:r w:rsidR="00E16237" w:rsidRPr="005F28B2">
        <w:rPr>
          <w:lang w:val="fr-FR"/>
        </w:rPr>
        <w:t>’</w:t>
      </w:r>
      <w:r w:rsidRPr="005F28B2">
        <w:rPr>
          <w:lang w:val="fr-FR"/>
        </w:rPr>
        <w:t>un greffier.</w:t>
      </w:r>
    </w:p>
    <w:p w:rsidR="009052AE" w:rsidRPr="005F28B2" w:rsidRDefault="00163041" w:rsidP="00686BD4">
      <w:pPr>
        <w:pStyle w:val="H4G"/>
        <w:rPr>
          <w:rtl/>
          <w:lang w:val="fr-FR" w:bidi="fr-FR"/>
        </w:rPr>
      </w:pPr>
      <w:r w:rsidRPr="005F28B2">
        <w:rPr>
          <w:lang w:val="fr-FR"/>
        </w:rPr>
        <w:tab/>
      </w:r>
      <w:r w:rsidRPr="005F28B2">
        <w:rPr>
          <w:lang w:val="fr-FR"/>
        </w:rPr>
        <w:tab/>
      </w:r>
      <w:bookmarkStart w:id="30" w:name="_Toc478218504"/>
      <w:r w:rsidRPr="005F28B2">
        <w:rPr>
          <w:lang w:val="fr-FR"/>
        </w:rPr>
        <w:t>Les cours d</w:t>
      </w:r>
      <w:r w:rsidR="00E16237" w:rsidRPr="005F28B2">
        <w:rPr>
          <w:lang w:val="fr-FR"/>
        </w:rPr>
        <w:t>’</w:t>
      </w:r>
      <w:r w:rsidRPr="005F28B2">
        <w:rPr>
          <w:lang w:val="fr-FR"/>
        </w:rPr>
        <w:t>appel</w:t>
      </w:r>
      <w:bookmarkEnd w:id="30"/>
    </w:p>
    <w:p w:rsidR="009052AE" w:rsidRPr="005F28B2" w:rsidRDefault="00163041" w:rsidP="004F42F0">
      <w:pPr>
        <w:pStyle w:val="SingleTxtG"/>
        <w:rPr>
          <w:lang w:val="fr-FR"/>
        </w:rPr>
      </w:pPr>
      <w:r w:rsidRPr="005F28B2">
        <w:rPr>
          <w:lang w:val="fr-FR"/>
        </w:rPr>
        <w:t>62.</w:t>
      </w:r>
      <w:r w:rsidRPr="005F28B2">
        <w:rPr>
          <w:lang w:val="fr-FR"/>
        </w:rPr>
        <w:tab/>
        <w:t>Il existe en Tunisie 12 cours d</w:t>
      </w:r>
      <w:r w:rsidR="00E16237" w:rsidRPr="005F28B2">
        <w:rPr>
          <w:lang w:val="fr-FR"/>
        </w:rPr>
        <w:t>’</w:t>
      </w:r>
      <w:r w:rsidRPr="005F28B2">
        <w:rPr>
          <w:lang w:val="fr-FR"/>
        </w:rPr>
        <w:t>appel</w:t>
      </w:r>
      <w:r w:rsidR="00E16237" w:rsidRPr="005F28B2">
        <w:rPr>
          <w:lang w:val="fr-FR"/>
        </w:rPr>
        <w:t>,</w:t>
      </w:r>
      <w:r w:rsidRPr="005F28B2">
        <w:rPr>
          <w:lang w:val="fr-FR"/>
        </w:rPr>
        <w:t xml:space="preserve"> les deux dernières ayant été créées en 2013</w:t>
      </w:r>
      <w:r w:rsidRPr="005F28B2">
        <w:rPr>
          <w:rStyle w:val="Appelnotedebasdep"/>
          <w:lang w:val="fr-FR"/>
        </w:rPr>
        <w:footnoteReference w:id="49"/>
      </w:r>
      <w:r w:rsidRPr="005F28B2">
        <w:rPr>
          <w:lang w:val="fr-FR"/>
        </w:rPr>
        <w:t xml:space="preserve"> </w:t>
      </w:r>
      <w:r w:rsidRPr="005F28B2">
        <w:rPr>
          <w:rStyle w:val="Appelnotedebasdep"/>
          <w:lang w:val="fr-FR"/>
        </w:rPr>
        <w:footnoteReference w:id="50"/>
      </w:r>
      <w:r w:rsidRPr="005F28B2">
        <w:rPr>
          <w:lang w:val="fr-FR"/>
        </w:rPr>
        <w:t>. Leurs compétences sont les suivantes :</w:t>
      </w:r>
    </w:p>
    <w:p w:rsidR="009052AE" w:rsidRPr="005F28B2" w:rsidRDefault="00163041" w:rsidP="004F42F0">
      <w:pPr>
        <w:pStyle w:val="Bullet1G"/>
        <w:rPr>
          <w:rtl/>
          <w:lang w:val="fr-FR" w:bidi="fr-FR"/>
        </w:rPr>
      </w:pPr>
      <w:r w:rsidRPr="005F28B2">
        <w:rPr>
          <w:lang w:val="fr-FR"/>
        </w:rPr>
        <w:t>En matière civile</w:t>
      </w:r>
      <w:r w:rsidR="00E16237" w:rsidRPr="005F28B2">
        <w:rPr>
          <w:lang w:val="fr-FR"/>
        </w:rPr>
        <w:t>,</w:t>
      </w:r>
      <w:r w:rsidRPr="005F28B2">
        <w:rPr>
          <w:lang w:val="fr-FR"/>
        </w:rPr>
        <w:t xml:space="preserve"> les cours d</w:t>
      </w:r>
      <w:r w:rsidR="00E16237" w:rsidRPr="005F28B2">
        <w:rPr>
          <w:lang w:val="fr-FR"/>
        </w:rPr>
        <w:t>’</w:t>
      </w:r>
      <w:r w:rsidRPr="005F28B2">
        <w:rPr>
          <w:lang w:val="fr-FR"/>
        </w:rPr>
        <w:t>appel sont compétentes pour connaître de l</w:t>
      </w:r>
      <w:r w:rsidR="00E16237" w:rsidRPr="005F28B2">
        <w:rPr>
          <w:lang w:val="fr-FR"/>
        </w:rPr>
        <w:t>’</w:t>
      </w:r>
      <w:r w:rsidRPr="005F28B2">
        <w:rPr>
          <w:lang w:val="fr-FR"/>
        </w:rPr>
        <w:t>appel des jugements rendus en premier ressort par les tribunaux de première instance de leur circonscription</w:t>
      </w:r>
      <w:r w:rsidR="00E16237" w:rsidRPr="005F28B2">
        <w:rPr>
          <w:lang w:val="fr-FR"/>
        </w:rPr>
        <w:t>,</w:t>
      </w:r>
      <w:r w:rsidRPr="005F28B2">
        <w:rPr>
          <w:lang w:val="fr-FR"/>
        </w:rPr>
        <w:t xml:space="preserve"> ainsi que de l</w:t>
      </w:r>
      <w:r w:rsidR="00E16237" w:rsidRPr="005F28B2">
        <w:rPr>
          <w:lang w:val="fr-FR"/>
        </w:rPr>
        <w:t>’</w:t>
      </w:r>
      <w:r w:rsidRPr="005F28B2">
        <w:rPr>
          <w:lang w:val="fr-FR"/>
        </w:rPr>
        <w:t>appel des ordonnances de référé et des injonctions de payer rendues par les présidents des tribunaux de première instance</w:t>
      </w:r>
      <w:r w:rsidR="00F1203B" w:rsidRPr="005F28B2">
        <w:rPr>
          <w:lang w:val="fr-FR"/>
        </w:rPr>
        <w:t> ;</w:t>
      </w:r>
      <w:r w:rsidRPr="005F28B2">
        <w:rPr>
          <w:lang w:val="fr-FR"/>
        </w:rPr>
        <w:t xml:space="preserve"> </w:t>
      </w:r>
    </w:p>
    <w:p w:rsidR="009052AE" w:rsidRPr="005F28B2" w:rsidRDefault="00163041" w:rsidP="004F42F0">
      <w:pPr>
        <w:pStyle w:val="Bullet1G"/>
        <w:rPr>
          <w:lang w:val="fr-FR"/>
        </w:rPr>
      </w:pPr>
      <w:r w:rsidRPr="005F28B2">
        <w:rPr>
          <w:lang w:val="fr-FR"/>
        </w:rPr>
        <w:t>E</w:t>
      </w:r>
      <w:r w:rsidRPr="005F28B2">
        <w:rPr>
          <w:lang w:val="fr-FR" w:bidi="ar-TN"/>
        </w:rPr>
        <w:t>n matière pénale</w:t>
      </w:r>
      <w:r w:rsidR="00E16237" w:rsidRPr="005F28B2">
        <w:rPr>
          <w:lang w:val="fr-FR" w:bidi="ar-TN"/>
        </w:rPr>
        <w:t>,</w:t>
      </w:r>
      <w:r w:rsidRPr="005F28B2">
        <w:rPr>
          <w:lang w:val="fr-FR" w:bidi="ar-TN"/>
        </w:rPr>
        <w:t xml:space="preserve"> </w:t>
      </w:r>
      <w:r w:rsidRPr="005F28B2">
        <w:rPr>
          <w:lang w:val="fr-FR"/>
        </w:rPr>
        <w:t>elles connaissent en dernier ressort par voie d</w:t>
      </w:r>
      <w:r w:rsidR="00E16237" w:rsidRPr="005F28B2">
        <w:rPr>
          <w:lang w:val="fr-FR"/>
        </w:rPr>
        <w:t>’</w:t>
      </w:r>
      <w:r w:rsidRPr="005F28B2">
        <w:rPr>
          <w:lang w:val="fr-FR"/>
        </w:rPr>
        <w:t>appel des délits et des crimes jugés par les tribunaux de première instance</w:t>
      </w:r>
      <w:r w:rsidR="00F1203B" w:rsidRPr="005F28B2">
        <w:rPr>
          <w:lang w:val="fr-FR"/>
        </w:rPr>
        <w:t> ;</w:t>
      </w:r>
    </w:p>
    <w:p w:rsidR="009052AE" w:rsidRPr="005F28B2" w:rsidRDefault="00163041" w:rsidP="004F42F0">
      <w:pPr>
        <w:pStyle w:val="Bullet1G"/>
        <w:rPr>
          <w:lang w:val="fr-FR"/>
        </w:rPr>
      </w:pPr>
      <w:r w:rsidRPr="005F28B2">
        <w:rPr>
          <w:lang w:val="fr-FR"/>
        </w:rPr>
        <w:t>Chaque cour d</w:t>
      </w:r>
      <w:r w:rsidR="00E16237" w:rsidRPr="005F28B2">
        <w:rPr>
          <w:lang w:val="fr-FR"/>
        </w:rPr>
        <w:t>’</w:t>
      </w:r>
      <w:r w:rsidRPr="005F28B2">
        <w:rPr>
          <w:lang w:val="fr-FR"/>
        </w:rPr>
        <w:t>appel comprend au moins une chambre d</w:t>
      </w:r>
      <w:r w:rsidR="00E16237" w:rsidRPr="005F28B2">
        <w:rPr>
          <w:lang w:val="fr-FR"/>
        </w:rPr>
        <w:t>’</w:t>
      </w:r>
      <w:r w:rsidRPr="005F28B2">
        <w:rPr>
          <w:lang w:val="fr-FR"/>
        </w:rPr>
        <w:t>accusation qui peut être saisie par ordonnance de renvoi émise par le juge d</w:t>
      </w:r>
      <w:r w:rsidR="00E16237" w:rsidRPr="005F28B2">
        <w:rPr>
          <w:lang w:val="fr-FR"/>
        </w:rPr>
        <w:t>’</w:t>
      </w:r>
      <w:r w:rsidRPr="005F28B2">
        <w:rPr>
          <w:lang w:val="fr-FR"/>
        </w:rPr>
        <w:t>instruction et compétente pour connaître des recours interjetés contre les ordonnances des juges d</w:t>
      </w:r>
      <w:r w:rsidR="00E16237" w:rsidRPr="005F28B2">
        <w:rPr>
          <w:lang w:val="fr-FR"/>
        </w:rPr>
        <w:t>’</w:t>
      </w:r>
      <w:r w:rsidRPr="005F28B2">
        <w:rPr>
          <w:lang w:val="fr-FR"/>
        </w:rPr>
        <w:t>instruction</w:t>
      </w:r>
      <w:r w:rsidR="00F1203B" w:rsidRPr="005F28B2">
        <w:rPr>
          <w:lang w:val="fr-FR"/>
        </w:rPr>
        <w:t> ;</w:t>
      </w:r>
    </w:p>
    <w:p w:rsidR="009052AE" w:rsidRPr="005F28B2" w:rsidRDefault="00163041" w:rsidP="004F42F0">
      <w:pPr>
        <w:pStyle w:val="Bullet1G"/>
        <w:rPr>
          <w:lang w:val="fr-FR"/>
        </w:rPr>
      </w:pPr>
      <w:r w:rsidRPr="005F28B2">
        <w:rPr>
          <w:lang w:val="fr-FR"/>
        </w:rPr>
        <w:t>En matière administrative</w:t>
      </w:r>
      <w:r w:rsidR="00E16237" w:rsidRPr="005F28B2">
        <w:rPr>
          <w:lang w:val="fr-FR"/>
        </w:rPr>
        <w:t>,</w:t>
      </w:r>
      <w:r w:rsidRPr="005F28B2">
        <w:rPr>
          <w:lang w:val="fr-FR"/>
        </w:rPr>
        <w:t xml:space="preserve"> les cours d</w:t>
      </w:r>
      <w:r w:rsidR="00E16237" w:rsidRPr="005F28B2">
        <w:rPr>
          <w:lang w:val="fr-FR"/>
        </w:rPr>
        <w:t>’</w:t>
      </w:r>
      <w:r w:rsidRPr="005F28B2">
        <w:rPr>
          <w:lang w:val="fr-FR"/>
        </w:rPr>
        <w:t>appel sont compétentes en tant que tribunaux de second degré pour connaître des recours contre les décisions des organismes professionnels</w:t>
      </w:r>
      <w:r w:rsidR="00E16237" w:rsidRPr="005F28B2">
        <w:rPr>
          <w:lang w:val="fr-FR"/>
        </w:rPr>
        <w:t>,</w:t>
      </w:r>
      <w:r w:rsidRPr="005F28B2">
        <w:rPr>
          <w:lang w:val="fr-FR"/>
        </w:rPr>
        <w:t xml:space="preserve"> tels que l</w:t>
      </w:r>
      <w:r w:rsidR="00E16237" w:rsidRPr="005F28B2">
        <w:rPr>
          <w:lang w:val="fr-FR"/>
        </w:rPr>
        <w:t>’</w:t>
      </w:r>
      <w:r w:rsidRPr="005F28B2">
        <w:rPr>
          <w:lang w:val="fr-FR"/>
        </w:rPr>
        <w:t>ordre des avocats </w:t>
      </w:r>
      <w:r w:rsidR="00E16237" w:rsidRPr="005F28B2">
        <w:rPr>
          <w:lang w:val="fr-FR"/>
        </w:rPr>
        <w:t>;</w:t>
      </w:r>
      <w:r w:rsidRPr="005F28B2">
        <w:rPr>
          <w:lang w:val="fr-FR"/>
        </w:rPr>
        <w:t xml:space="preserve"> et en tant que tribunaux de premier degré en matière d</w:t>
      </w:r>
      <w:r w:rsidR="00E16237" w:rsidRPr="005F28B2">
        <w:rPr>
          <w:lang w:val="fr-FR"/>
        </w:rPr>
        <w:t>’</w:t>
      </w:r>
      <w:r w:rsidRPr="005F28B2">
        <w:rPr>
          <w:lang w:val="fr-FR"/>
        </w:rPr>
        <w:t>actions intentées contre les titres exécutoires de recouvrement forcé</w:t>
      </w:r>
      <w:r w:rsidR="00E16237" w:rsidRPr="005F28B2">
        <w:rPr>
          <w:lang w:val="fr-FR"/>
        </w:rPr>
        <w:t>,</w:t>
      </w:r>
      <w:r w:rsidRPr="005F28B2">
        <w:rPr>
          <w:lang w:val="fr-FR"/>
        </w:rPr>
        <w:t xml:space="preserve"> ainsi que dans diverses autres matières fiscales. </w:t>
      </w:r>
    </w:p>
    <w:p w:rsidR="009052AE" w:rsidRPr="005F28B2" w:rsidRDefault="00163041" w:rsidP="00686BD4">
      <w:pPr>
        <w:pStyle w:val="H4G"/>
        <w:rPr>
          <w:rtl/>
          <w:lang w:val="fr-FR" w:bidi="fr-FR"/>
        </w:rPr>
      </w:pPr>
      <w:r w:rsidRPr="005F28B2">
        <w:rPr>
          <w:lang w:val="fr-FR"/>
        </w:rPr>
        <w:tab/>
      </w:r>
      <w:r w:rsidRPr="005F28B2">
        <w:rPr>
          <w:lang w:val="fr-FR"/>
        </w:rPr>
        <w:tab/>
      </w:r>
      <w:bookmarkStart w:id="31" w:name="_Toc478218505"/>
      <w:r w:rsidRPr="005F28B2">
        <w:rPr>
          <w:lang w:val="fr-FR"/>
        </w:rPr>
        <w:t>Les tribunaux de première instance</w:t>
      </w:r>
      <w:bookmarkEnd w:id="31"/>
    </w:p>
    <w:p w:rsidR="009052AE" w:rsidRPr="005F28B2" w:rsidRDefault="00163041" w:rsidP="004F42F0">
      <w:pPr>
        <w:pStyle w:val="SingleTxtG"/>
        <w:rPr>
          <w:rtl/>
          <w:lang w:val="fr-FR" w:bidi="fr-FR"/>
        </w:rPr>
      </w:pPr>
      <w:r w:rsidRPr="005F28B2">
        <w:rPr>
          <w:lang w:val="fr-FR"/>
        </w:rPr>
        <w:t>63.</w:t>
      </w:r>
      <w:r w:rsidRPr="005F28B2">
        <w:rPr>
          <w:lang w:val="fr-FR"/>
        </w:rPr>
        <w:tab/>
        <w:t>Il existe 28 tribunaux de première instance répartis dans les différentes circonscriptions des cours d</w:t>
      </w:r>
      <w:r w:rsidR="00E16237" w:rsidRPr="005F28B2">
        <w:rPr>
          <w:lang w:val="fr-FR"/>
        </w:rPr>
        <w:t>’</w:t>
      </w:r>
      <w:r w:rsidRPr="005F28B2">
        <w:rPr>
          <w:lang w:val="fr-FR"/>
        </w:rPr>
        <w:t>appel et dont la compétence territoriale s</w:t>
      </w:r>
      <w:r w:rsidR="00E16237" w:rsidRPr="005F28B2">
        <w:rPr>
          <w:lang w:val="fr-FR"/>
        </w:rPr>
        <w:t>’</w:t>
      </w:r>
      <w:r w:rsidRPr="005F28B2">
        <w:rPr>
          <w:lang w:val="fr-FR"/>
        </w:rPr>
        <w:t>étend à l</w:t>
      </w:r>
      <w:r w:rsidR="00E16237" w:rsidRPr="005F28B2">
        <w:rPr>
          <w:lang w:val="fr-FR"/>
        </w:rPr>
        <w:t>’</w:t>
      </w:r>
      <w:r w:rsidRPr="005F28B2">
        <w:rPr>
          <w:lang w:val="fr-FR"/>
        </w:rPr>
        <w:t>ensemble d</w:t>
      </w:r>
      <w:r w:rsidR="00E16237" w:rsidRPr="005F28B2">
        <w:rPr>
          <w:lang w:val="fr-FR"/>
        </w:rPr>
        <w:t>’</w:t>
      </w:r>
      <w:r w:rsidRPr="005F28B2">
        <w:rPr>
          <w:lang w:val="fr-FR"/>
        </w:rPr>
        <w:t>un gouvernorat ou à un certain nombre de délégations lorsqu</w:t>
      </w:r>
      <w:r w:rsidR="00E16237" w:rsidRPr="005F28B2">
        <w:rPr>
          <w:lang w:val="fr-FR"/>
        </w:rPr>
        <w:t>’</w:t>
      </w:r>
      <w:r w:rsidRPr="005F28B2">
        <w:rPr>
          <w:lang w:val="fr-FR"/>
        </w:rPr>
        <w:t>un seul gouvernorat compte plus d</w:t>
      </w:r>
      <w:r w:rsidR="00E16237" w:rsidRPr="005F28B2">
        <w:rPr>
          <w:lang w:val="fr-FR"/>
        </w:rPr>
        <w:t>’</w:t>
      </w:r>
      <w:r w:rsidRPr="005F28B2">
        <w:rPr>
          <w:lang w:val="fr-FR"/>
        </w:rPr>
        <w:t>un tribunal en son sein.</w:t>
      </w:r>
    </w:p>
    <w:p w:rsidR="009052AE" w:rsidRPr="005F28B2" w:rsidRDefault="00163041" w:rsidP="004F42F0">
      <w:pPr>
        <w:pStyle w:val="SingleTxtG"/>
        <w:rPr>
          <w:rtl/>
          <w:lang w:val="fr-FR" w:bidi="fr-FR"/>
        </w:rPr>
      </w:pPr>
      <w:r w:rsidRPr="005F28B2">
        <w:rPr>
          <w:lang w:val="fr-FR"/>
        </w:rPr>
        <w:t>64.</w:t>
      </w:r>
      <w:r w:rsidRPr="005F28B2">
        <w:rPr>
          <w:lang w:val="fr-FR"/>
        </w:rPr>
        <w:tab/>
        <w:t>Compétence d</w:t>
      </w:r>
      <w:r w:rsidR="00E16237" w:rsidRPr="005F28B2">
        <w:rPr>
          <w:lang w:val="fr-FR"/>
        </w:rPr>
        <w:t>’</w:t>
      </w:r>
      <w:r w:rsidRPr="005F28B2">
        <w:rPr>
          <w:lang w:val="fr-FR"/>
        </w:rPr>
        <w:t>attribution :</w:t>
      </w:r>
    </w:p>
    <w:p w:rsidR="009052AE" w:rsidRPr="005F28B2" w:rsidRDefault="00163041" w:rsidP="004F42F0">
      <w:pPr>
        <w:pStyle w:val="Bullet1G"/>
        <w:rPr>
          <w:rtl/>
          <w:lang w:val="fr-FR" w:bidi="fr-FR"/>
        </w:rPr>
      </w:pPr>
      <w:r w:rsidRPr="005F28B2">
        <w:rPr>
          <w:lang w:val="fr-FR"/>
        </w:rPr>
        <w:t>En matière civile</w:t>
      </w:r>
      <w:r w:rsidR="00E16237" w:rsidRPr="005F28B2">
        <w:rPr>
          <w:lang w:val="fr-FR"/>
        </w:rPr>
        <w:t>,</w:t>
      </w:r>
      <w:r w:rsidRPr="005F28B2">
        <w:rPr>
          <w:lang w:val="fr-FR"/>
        </w:rPr>
        <w:t xml:space="preserve"> les tribunaux de première instance connaissent en premier ressort de toutes les actions</w:t>
      </w:r>
      <w:r w:rsidR="00E16237" w:rsidRPr="005F28B2">
        <w:rPr>
          <w:lang w:val="fr-FR"/>
        </w:rPr>
        <w:t>,</w:t>
      </w:r>
      <w:r w:rsidRPr="005F28B2">
        <w:rPr>
          <w:lang w:val="fr-FR"/>
        </w:rPr>
        <w:t xml:space="preserve"> sauf dispositions contraires expresses de la loi et statuent en tant que juridictions d</w:t>
      </w:r>
      <w:r w:rsidR="00E16237" w:rsidRPr="005F28B2">
        <w:rPr>
          <w:lang w:val="fr-FR"/>
        </w:rPr>
        <w:t>’</w:t>
      </w:r>
      <w:r w:rsidRPr="005F28B2">
        <w:rPr>
          <w:lang w:val="fr-FR"/>
        </w:rPr>
        <w:t>appel des jugements rendus en premier ressort par les juges cantonaux de leur circonscription ou mal qualifiés en dernier ressort</w:t>
      </w:r>
      <w:r w:rsidR="00E16237" w:rsidRPr="005F28B2">
        <w:rPr>
          <w:lang w:val="fr-FR"/>
        </w:rPr>
        <w:t>,</w:t>
      </w:r>
      <w:r w:rsidRPr="005F28B2">
        <w:rPr>
          <w:lang w:val="fr-FR"/>
        </w:rPr>
        <w:t xml:space="preserve"> de même qu</w:t>
      </w:r>
      <w:r w:rsidR="00E16237" w:rsidRPr="005F28B2">
        <w:rPr>
          <w:lang w:val="fr-FR"/>
        </w:rPr>
        <w:t>’</w:t>
      </w:r>
      <w:r w:rsidRPr="005F28B2">
        <w:rPr>
          <w:lang w:val="fr-FR"/>
        </w:rPr>
        <w:t>ils sont compétents pour se prononcer sur les sentences prononcées par les conseils de prud</w:t>
      </w:r>
      <w:r w:rsidR="00E16237" w:rsidRPr="005F28B2">
        <w:rPr>
          <w:lang w:val="fr-FR"/>
        </w:rPr>
        <w:t>’</w:t>
      </w:r>
      <w:r w:rsidRPr="005F28B2">
        <w:rPr>
          <w:lang w:val="fr-FR"/>
        </w:rPr>
        <w:t>hommes</w:t>
      </w:r>
      <w:r w:rsidR="00F1203B" w:rsidRPr="005F28B2">
        <w:rPr>
          <w:lang w:val="fr-FR"/>
        </w:rPr>
        <w:t> ;</w:t>
      </w:r>
    </w:p>
    <w:p w:rsidR="009052AE" w:rsidRPr="005F28B2" w:rsidRDefault="00163041" w:rsidP="004F42F0">
      <w:pPr>
        <w:pStyle w:val="Bullet1G"/>
        <w:rPr>
          <w:rtl/>
          <w:lang w:val="fr-FR" w:bidi="fr-FR"/>
        </w:rPr>
      </w:pPr>
      <w:r w:rsidRPr="005F28B2">
        <w:rPr>
          <w:lang w:val="fr-FR"/>
        </w:rPr>
        <w:t>En matière pénale</w:t>
      </w:r>
      <w:r w:rsidR="00E16237" w:rsidRPr="005F28B2">
        <w:rPr>
          <w:lang w:val="fr-FR"/>
        </w:rPr>
        <w:t>,</w:t>
      </w:r>
      <w:r w:rsidRPr="005F28B2">
        <w:rPr>
          <w:lang w:val="fr-FR"/>
        </w:rPr>
        <w:t xml:space="preserve"> les tribunaux de première instance connaissent en premier ressort de tous les délits</w:t>
      </w:r>
      <w:r w:rsidR="00E16237" w:rsidRPr="005F28B2">
        <w:rPr>
          <w:lang w:val="fr-FR"/>
        </w:rPr>
        <w:t>,</w:t>
      </w:r>
      <w:r w:rsidRPr="005F28B2">
        <w:rPr>
          <w:lang w:val="fr-FR"/>
        </w:rPr>
        <w:t xml:space="preserve"> à l</w:t>
      </w:r>
      <w:r w:rsidR="00E16237" w:rsidRPr="005F28B2">
        <w:rPr>
          <w:lang w:val="fr-FR"/>
        </w:rPr>
        <w:t>’</w:t>
      </w:r>
      <w:r w:rsidRPr="005F28B2">
        <w:rPr>
          <w:lang w:val="fr-FR"/>
        </w:rPr>
        <w:t>exception de ceux qui sont de la compétence du juge cantonal</w:t>
      </w:r>
      <w:r w:rsidR="00F1203B" w:rsidRPr="005F28B2">
        <w:rPr>
          <w:lang w:val="fr-FR"/>
        </w:rPr>
        <w:t> ;</w:t>
      </w:r>
    </w:p>
    <w:p w:rsidR="009052AE" w:rsidRPr="005F28B2" w:rsidRDefault="00163041" w:rsidP="00F1203B">
      <w:pPr>
        <w:pStyle w:val="Bullet1G"/>
        <w:rPr>
          <w:lang w:val="fr-FR"/>
        </w:rPr>
      </w:pPr>
      <w:r w:rsidRPr="005F28B2">
        <w:rPr>
          <w:lang w:val="fr-FR"/>
        </w:rPr>
        <w:t>Ils statuent en dernier ressort en tant que juridictions d</w:t>
      </w:r>
      <w:r w:rsidR="00E16237" w:rsidRPr="005F28B2">
        <w:rPr>
          <w:lang w:val="fr-FR"/>
        </w:rPr>
        <w:t>’</w:t>
      </w:r>
      <w:r w:rsidRPr="005F28B2">
        <w:rPr>
          <w:lang w:val="fr-FR"/>
        </w:rPr>
        <w:t>appel des jugements rendus par les juges cantonaux de leur ressort. Les tribunaux de première instance du siège d</w:t>
      </w:r>
      <w:r w:rsidR="00E16237" w:rsidRPr="005F28B2">
        <w:rPr>
          <w:lang w:val="fr-FR"/>
        </w:rPr>
        <w:t>’</w:t>
      </w:r>
      <w:r w:rsidRPr="005F28B2">
        <w:rPr>
          <w:lang w:val="fr-FR"/>
        </w:rPr>
        <w:t>une cour d</w:t>
      </w:r>
      <w:r w:rsidR="00E16237" w:rsidRPr="005F28B2">
        <w:rPr>
          <w:lang w:val="fr-FR"/>
        </w:rPr>
        <w:t>’</w:t>
      </w:r>
      <w:r w:rsidRPr="005F28B2">
        <w:rPr>
          <w:lang w:val="fr-FR"/>
        </w:rPr>
        <w:t xml:space="preserve">appel connaissent également en premier ressort des crimes </w:t>
      </w:r>
      <w:r w:rsidR="00127D06" w:rsidRPr="005F28B2">
        <w:rPr>
          <w:lang w:val="fr-FR"/>
        </w:rPr>
        <w:t>(art. </w:t>
      </w:r>
      <w:r w:rsidRPr="005F28B2">
        <w:rPr>
          <w:lang w:val="fr-FR"/>
        </w:rPr>
        <w:t>124</w:t>
      </w:r>
      <w:r w:rsidR="00E16237" w:rsidRPr="005F28B2">
        <w:rPr>
          <w:lang w:val="fr-FR"/>
        </w:rPr>
        <w:t>,</w:t>
      </w:r>
      <w:r w:rsidRPr="005F28B2">
        <w:rPr>
          <w:lang w:val="fr-FR"/>
        </w:rPr>
        <w:t xml:space="preserve"> nouveau</w:t>
      </w:r>
      <w:r w:rsidR="00E16237" w:rsidRPr="005F28B2">
        <w:rPr>
          <w:lang w:val="fr-FR"/>
        </w:rPr>
        <w:t>,</w:t>
      </w:r>
      <w:r w:rsidRPr="005F28B2">
        <w:rPr>
          <w:lang w:val="fr-FR"/>
        </w:rPr>
        <w:t xml:space="preserve"> du code de procédure pénale). </w:t>
      </w:r>
    </w:p>
    <w:p w:rsidR="009052AE" w:rsidRPr="005F28B2" w:rsidRDefault="00163041" w:rsidP="00686BD4">
      <w:pPr>
        <w:pStyle w:val="H4G"/>
        <w:rPr>
          <w:rtl/>
          <w:lang w:val="fr-FR" w:bidi="fr-FR"/>
        </w:rPr>
      </w:pPr>
      <w:r w:rsidRPr="005F28B2">
        <w:rPr>
          <w:lang w:val="fr-FR"/>
        </w:rPr>
        <w:lastRenderedPageBreak/>
        <w:tab/>
      </w:r>
      <w:r w:rsidRPr="005F28B2">
        <w:rPr>
          <w:lang w:val="fr-FR"/>
        </w:rPr>
        <w:tab/>
      </w:r>
      <w:bookmarkStart w:id="32" w:name="_Toc478218506"/>
      <w:r w:rsidRPr="005F28B2">
        <w:rPr>
          <w:lang w:val="fr-FR"/>
        </w:rPr>
        <w:t>Les tribunaux cantonaux</w:t>
      </w:r>
      <w:bookmarkEnd w:id="32"/>
    </w:p>
    <w:p w:rsidR="009052AE" w:rsidRPr="005F28B2" w:rsidRDefault="00163041" w:rsidP="004F42F0">
      <w:pPr>
        <w:pStyle w:val="SingleTxtG"/>
        <w:rPr>
          <w:lang w:val="fr-FR"/>
        </w:rPr>
      </w:pPr>
      <w:r w:rsidRPr="005F28B2">
        <w:rPr>
          <w:lang w:val="fr-FR"/>
        </w:rPr>
        <w:t>65.</w:t>
      </w:r>
      <w:r w:rsidRPr="005F28B2">
        <w:rPr>
          <w:lang w:val="fr-FR"/>
        </w:rPr>
        <w:tab/>
        <w:t>Il existe 85 tribunaux cantonaux répartis dans les différentes circonscriptions des tribunaux de première instance. Leur compétence territoriale a été fixée en 2009</w:t>
      </w:r>
      <w:r w:rsidRPr="005F28B2">
        <w:rPr>
          <w:rStyle w:val="Appelnotedebasdep"/>
          <w:lang w:val="fr-FR"/>
        </w:rPr>
        <w:footnoteReference w:id="51"/>
      </w:r>
      <w:r w:rsidRPr="005F28B2">
        <w:rPr>
          <w:lang w:val="fr-FR"/>
        </w:rPr>
        <w:t xml:space="preserve"> et ils connaissent en général de toutes les affaires qui n</w:t>
      </w:r>
      <w:r w:rsidR="00E16237" w:rsidRPr="005F28B2">
        <w:rPr>
          <w:lang w:val="fr-FR"/>
        </w:rPr>
        <w:t>’</w:t>
      </w:r>
      <w:r w:rsidRPr="005F28B2">
        <w:rPr>
          <w:lang w:val="fr-FR"/>
        </w:rPr>
        <w:t xml:space="preserve">ont pas été confiées </w:t>
      </w:r>
      <w:r w:rsidRPr="005F28B2">
        <w:rPr>
          <w:lang w:val="fr-FR" w:bidi="ar-TN"/>
        </w:rPr>
        <w:t>aux tribunaux de première instance</w:t>
      </w:r>
      <w:r w:rsidR="00E16237" w:rsidRPr="005F28B2">
        <w:rPr>
          <w:lang w:val="fr-FR" w:bidi="ar-TN"/>
        </w:rPr>
        <w:t>,</w:t>
      </w:r>
      <w:r w:rsidRPr="005F28B2">
        <w:rPr>
          <w:lang w:val="fr-FR" w:bidi="ar-TN"/>
        </w:rPr>
        <w:t xml:space="preserve"> de même qu</w:t>
      </w:r>
      <w:r w:rsidR="00E16237" w:rsidRPr="005F28B2">
        <w:rPr>
          <w:lang w:val="fr-FR" w:bidi="ar-TN"/>
        </w:rPr>
        <w:t>’</w:t>
      </w:r>
      <w:r w:rsidRPr="005F28B2">
        <w:rPr>
          <w:lang w:val="fr-FR" w:bidi="ar-TN"/>
        </w:rPr>
        <w:t>ils exercent toute autre compétence que peut leur attribuer la loi.</w:t>
      </w:r>
      <w:r w:rsidRPr="005F28B2">
        <w:rPr>
          <w:lang w:val="fr-FR"/>
        </w:rPr>
        <w:t xml:space="preserve"> </w:t>
      </w:r>
    </w:p>
    <w:p w:rsidR="009052AE" w:rsidRPr="005F28B2" w:rsidRDefault="00163041" w:rsidP="00686BD4">
      <w:pPr>
        <w:pStyle w:val="H4G"/>
        <w:rPr>
          <w:rtl/>
          <w:lang w:val="fr-FR" w:bidi="fr-FR"/>
        </w:rPr>
      </w:pPr>
      <w:r w:rsidRPr="005F28B2">
        <w:rPr>
          <w:lang w:val="fr-FR"/>
        </w:rPr>
        <w:tab/>
      </w:r>
      <w:r w:rsidRPr="005F28B2">
        <w:rPr>
          <w:lang w:val="fr-FR"/>
        </w:rPr>
        <w:tab/>
      </w:r>
      <w:bookmarkStart w:id="33" w:name="_Toc478218507"/>
      <w:r w:rsidRPr="005F28B2">
        <w:rPr>
          <w:lang w:val="fr-FR"/>
        </w:rPr>
        <w:t>Le tribunal immobilier</w:t>
      </w:r>
      <w:bookmarkEnd w:id="33"/>
    </w:p>
    <w:p w:rsidR="009052AE" w:rsidRPr="005F28B2" w:rsidRDefault="00163041" w:rsidP="004F42F0">
      <w:pPr>
        <w:pStyle w:val="SingleTxtG"/>
        <w:rPr>
          <w:lang w:val="fr-FR"/>
        </w:rPr>
      </w:pPr>
      <w:r w:rsidRPr="005F28B2">
        <w:rPr>
          <w:lang w:val="fr-FR"/>
        </w:rPr>
        <w:t>66.</w:t>
      </w:r>
      <w:r w:rsidRPr="005F28B2">
        <w:rPr>
          <w:lang w:val="fr-FR"/>
        </w:rPr>
        <w:tab/>
        <w:t>Appelé à l</w:t>
      </w:r>
      <w:r w:rsidR="00E16237" w:rsidRPr="005F28B2">
        <w:rPr>
          <w:lang w:val="fr-FR"/>
        </w:rPr>
        <w:t>’</w:t>
      </w:r>
      <w:r w:rsidRPr="005F28B2">
        <w:rPr>
          <w:lang w:val="fr-FR"/>
        </w:rPr>
        <w:t>origine tribunal mixte immobilier</w:t>
      </w:r>
      <w:r w:rsidRPr="005F28B2">
        <w:rPr>
          <w:rStyle w:val="Appelnotedebasdep"/>
          <w:lang w:val="fr-FR"/>
        </w:rPr>
        <w:footnoteReference w:id="52"/>
      </w:r>
      <w:r w:rsidR="00E16237" w:rsidRPr="005F28B2">
        <w:rPr>
          <w:lang w:val="fr-FR"/>
        </w:rPr>
        <w:t>,</w:t>
      </w:r>
      <w:r w:rsidRPr="005F28B2">
        <w:rPr>
          <w:lang w:val="fr-FR"/>
        </w:rPr>
        <w:t xml:space="preserve"> il n</w:t>
      </w:r>
      <w:r w:rsidR="00E16237" w:rsidRPr="005F28B2">
        <w:rPr>
          <w:lang w:val="fr-FR"/>
        </w:rPr>
        <w:t>’</w:t>
      </w:r>
      <w:r w:rsidRPr="005F28B2">
        <w:rPr>
          <w:lang w:val="fr-FR"/>
        </w:rPr>
        <w:t>a acquis sa dénomination actuelle de tribunal immobilier de Tunisie qu</w:t>
      </w:r>
      <w:r w:rsidR="00E16237" w:rsidRPr="005F28B2">
        <w:rPr>
          <w:lang w:val="fr-FR"/>
        </w:rPr>
        <w:t>’</w:t>
      </w:r>
      <w:r w:rsidRPr="005F28B2">
        <w:rPr>
          <w:lang w:val="fr-FR"/>
        </w:rPr>
        <w:t>en 1957</w:t>
      </w:r>
      <w:r w:rsidRPr="005F28B2">
        <w:rPr>
          <w:rStyle w:val="Appelnotedebasdep"/>
          <w:lang w:val="fr-FR"/>
        </w:rPr>
        <w:footnoteReference w:id="53"/>
      </w:r>
      <w:r w:rsidRPr="005F28B2">
        <w:rPr>
          <w:lang w:val="fr-FR"/>
        </w:rPr>
        <w:t xml:space="preserve"> et sa compétence s</w:t>
      </w:r>
      <w:r w:rsidR="00E16237" w:rsidRPr="005F28B2">
        <w:rPr>
          <w:lang w:val="fr-FR"/>
        </w:rPr>
        <w:t>’</w:t>
      </w:r>
      <w:r w:rsidRPr="005F28B2">
        <w:rPr>
          <w:lang w:val="fr-FR"/>
        </w:rPr>
        <w:t>étend à l</w:t>
      </w:r>
      <w:r w:rsidR="00E16237" w:rsidRPr="005F28B2">
        <w:rPr>
          <w:lang w:val="fr-FR"/>
        </w:rPr>
        <w:t>’</w:t>
      </w:r>
      <w:r w:rsidRPr="005F28B2">
        <w:rPr>
          <w:lang w:val="fr-FR"/>
        </w:rPr>
        <w:t>ensemble du territoire du pays</w:t>
      </w:r>
      <w:r w:rsidR="00E16237" w:rsidRPr="005F28B2">
        <w:rPr>
          <w:lang w:val="fr-FR"/>
        </w:rPr>
        <w:t>,</w:t>
      </w:r>
      <w:r w:rsidRPr="005F28B2">
        <w:rPr>
          <w:lang w:val="fr-FR"/>
        </w:rPr>
        <w:t xml:space="preserve"> étant précisé qu</w:t>
      </w:r>
      <w:r w:rsidR="00E16237" w:rsidRPr="005F28B2">
        <w:rPr>
          <w:lang w:val="fr-FR"/>
        </w:rPr>
        <w:t>’</w:t>
      </w:r>
      <w:r w:rsidRPr="005F28B2">
        <w:rPr>
          <w:lang w:val="fr-FR"/>
        </w:rPr>
        <w:t>il est doté d</w:t>
      </w:r>
      <w:r w:rsidR="00E16237" w:rsidRPr="005F28B2">
        <w:rPr>
          <w:lang w:val="fr-FR"/>
        </w:rPr>
        <w:t>’</w:t>
      </w:r>
      <w:r w:rsidR="00D22E11" w:rsidRPr="005F28B2">
        <w:rPr>
          <w:lang w:val="fr-FR"/>
        </w:rPr>
        <w:t>un siège principal et de 15 </w:t>
      </w:r>
      <w:r w:rsidRPr="005F28B2">
        <w:rPr>
          <w:lang w:val="fr-FR"/>
        </w:rPr>
        <w:t>sièges auxiliaires. Il est compétent pour statuer sur les questions suivantes :</w:t>
      </w:r>
    </w:p>
    <w:p w:rsidR="009052AE" w:rsidRPr="005F28B2" w:rsidRDefault="00163041" w:rsidP="004F42F0">
      <w:pPr>
        <w:pStyle w:val="Bullet1G"/>
        <w:rPr>
          <w:lang w:val="fr-FR"/>
        </w:rPr>
      </w:pPr>
      <w:r w:rsidRPr="005F28B2">
        <w:rPr>
          <w:lang w:val="fr-FR"/>
        </w:rPr>
        <w:t>L</w:t>
      </w:r>
      <w:r w:rsidR="00E16237" w:rsidRPr="005F28B2">
        <w:rPr>
          <w:lang w:val="fr-FR"/>
        </w:rPr>
        <w:t>’</w:t>
      </w:r>
      <w:r w:rsidRPr="005F28B2">
        <w:rPr>
          <w:lang w:val="fr-FR"/>
        </w:rPr>
        <w:t>immatriculation foncière facultative (sur requête des particuliers) et obligatoire (recensement cadastral) sur l</w:t>
      </w:r>
      <w:r w:rsidR="00E16237" w:rsidRPr="005F28B2">
        <w:rPr>
          <w:lang w:val="fr-FR"/>
        </w:rPr>
        <w:t>’</w:t>
      </w:r>
      <w:r w:rsidRPr="005F28B2">
        <w:rPr>
          <w:lang w:val="fr-FR"/>
        </w:rPr>
        <w:t>ensemble du territoire de la République</w:t>
      </w:r>
      <w:r w:rsidR="00CF6817" w:rsidRPr="005F28B2">
        <w:rPr>
          <w:lang w:val="fr-FR"/>
        </w:rPr>
        <w:t> ;</w:t>
      </w:r>
    </w:p>
    <w:p w:rsidR="009052AE" w:rsidRPr="005F28B2" w:rsidRDefault="00163041" w:rsidP="004F42F0">
      <w:pPr>
        <w:pStyle w:val="Bullet1G"/>
        <w:rPr>
          <w:lang w:val="fr-FR"/>
        </w:rPr>
      </w:pPr>
      <w:r w:rsidRPr="005F28B2">
        <w:rPr>
          <w:lang w:val="fr-FR"/>
        </w:rPr>
        <w:t>La mise à jour et le dégel des titres fonciers</w:t>
      </w:r>
      <w:r w:rsidR="00CF6817" w:rsidRPr="005F28B2">
        <w:rPr>
          <w:lang w:val="fr-FR"/>
        </w:rPr>
        <w:t> ;</w:t>
      </w:r>
    </w:p>
    <w:p w:rsidR="009052AE" w:rsidRPr="005F28B2" w:rsidRDefault="00163041" w:rsidP="004F42F0">
      <w:pPr>
        <w:pStyle w:val="Bullet1G"/>
        <w:rPr>
          <w:lang w:val="fr-FR"/>
        </w:rPr>
      </w:pPr>
      <w:r w:rsidRPr="005F28B2">
        <w:rPr>
          <w:lang w:val="fr-FR"/>
        </w:rPr>
        <w:t>Les demandes de révision et de rectification des jugements</w:t>
      </w:r>
      <w:r w:rsidR="00CF6817" w:rsidRPr="005F28B2">
        <w:rPr>
          <w:lang w:val="fr-FR"/>
        </w:rPr>
        <w:t> ;</w:t>
      </w:r>
    </w:p>
    <w:p w:rsidR="009052AE" w:rsidRPr="005F28B2" w:rsidRDefault="00163041" w:rsidP="004F42F0">
      <w:pPr>
        <w:pStyle w:val="Bullet1G"/>
        <w:rPr>
          <w:lang w:val="fr-FR"/>
        </w:rPr>
      </w:pPr>
      <w:r w:rsidRPr="005F28B2">
        <w:rPr>
          <w:lang w:val="fr-FR"/>
        </w:rPr>
        <w:t>Les recours contre les décisions des commissions régionales de mise à jour des titres ou celles du conservateur de la propriété foncière.</w:t>
      </w:r>
    </w:p>
    <w:p w:rsidR="009052AE" w:rsidRPr="005F28B2" w:rsidRDefault="00163041" w:rsidP="004F42F0">
      <w:pPr>
        <w:pStyle w:val="H23G"/>
        <w:rPr>
          <w:rtl/>
          <w:lang w:val="fr-FR" w:bidi="fr-FR"/>
        </w:rPr>
      </w:pPr>
      <w:r w:rsidRPr="005F28B2">
        <w:rPr>
          <w:lang w:val="fr-FR"/>
        </w:rPr>
        <w:tab/>
      </w:r>
      <w:bookmarkStart w:id="34" w:name="_Toc478218508"/>
      <w:r w:rsidRPr="005F28B2">
        <w:rPr>
          <w:rFonts w:eastAsia="Times New Roman Bold"/>
          <w:lang w:val="fr-FR"/>
        </w:rPr>
        <w:tab/>
      </w:r>
      <w:r w:rsidRPr="005F28B2">
        <w:rPr>
          <w:lang w:val="fr-FR"/>
        </w:rPr>
        <w:t>La justice administrative</w:t>
      </w:r>
      <w:bookmarkEnd w:id="34"/>
    </w:p>
    <w:p w:rsidR="009052AE" w:rsidRPr="005F28B2" w:rsidRDefault="00686BD4" w:rsidP="004F42F0">
      <w:pPr>
        <w:pStyle w:val="SingleTxtG"/>
        <w:rPr>
          <w:rtl/>
          <w:lang w:val="fr-FR" w:bidi="fr-FR"/>
        </w:rPr>
      </w:pPr>
      <w:r w:rsidRPr="005F28B2">
        <w:rPr>
          <w:lang w:val="fr-FR"/>
        </w:rPr>
        <w:t>67.</w:t>
      </w:r>
      <w:r w:rsidR="00C1453E" w:rsidRPr="005F28B2">
        <w:rPr>
          <w:lang w:val="fr-FR"/>
        </w:rPr>
        <w:tab/>
      </w:r>
      <w:r w:rsidR="00163041" w:rsidRPr="005F28B2">
        <w:rPr>
          <w:lang w:val="fr-FR"/>
        </w:rPr>
        <w:t>Selon la Constitution de 2014</w:t>
      </w:r>
      <w:r w:rsidR="00E16237" w:rsidRPr="005F28B2">
        <w:rPr>
          <w:lang w:val="fr-FR"/>
        </w:rPr>
        <w:t>,</w:t>
      </w:r>
      <w:r w:rsidR="00163041" w:rsidRPr="005F28B2">
        <w:rPr>
          <w:lang w:val="fr-FR"/>
        </w:rPr>
        <w:t xml:space="preserve"> la justice administrative est composée d</w:t>
      </w:r>
      <w:r w:rsidR="00E16237" w:rsidRPr="005F28B2">
        <w:rPr>
          <w:lang w:val="fr-FR"/>
        </w:rPr>
        <w:t>’</w:t>
      </w:r>
      <w:r w:rsidR="00163041" w:rsidRPr="005F28B2">
        <w:rPr>
          <w:lang w:val="fr-FR"/>
        </w:rPr>
        <w:t>une Haute Cour administrative</w:t>
      </w:r>
      <w:r w:rsidR="00E16237" w:rsidRPr="005F28B2">
        <w:rPr>
          <w:lang w:val="fr-FR"/>
        </w:rPr>
        <w:t>,</w:t>
      </w:r>
      <w:r w:rsidR="00163041" w:rsidRPr="005F28B2">
        <w:rPr>
          <w:lang w:val="fr-FR"/>
        </w:rPr>
        <w:t xml:space="preserve"> de cours administratives d</w:t>
      </w:r>
      <w:r w:rsidR="00E16237" w:rsidRPr="005F28B2">
        <w:rPr>
          <w:lang w:val="fr-FR"/>
        </w:rPr>
        <w:t>’</w:t>
      </w:r>
      <w:r w:rsidR="00163041" w:rsidRPr="005F28B2">
        <w:rPr>
          <w:lang w:val="fr-FR"/>
        </w:rPr>
        <w:t>appel et de tribunaux administratifs de première instance. La justice administrative est compétente pour connaître de l</w:t>
      </w:r>
      <w:r w:rsidR="00E16237" w:rsidRPr="005F28B2">
        <w:rPr>
          <w:lang w:val="fr-FR"/>
        </w:rPr>
        <w:t>’</w:t>
      </w:r>
      <w:r w:rsidR="00163041" w:rsidRPr="005F28B2">
        <w:rPr>
          <w:lang w:val="fr-FR"/>
        </w:rPr>
        <w:t>excès de pouvoir des actes administratifs</w:t>
      </w:r>
      <w:r w:rsidR="00E16237" w:rsidRPr="005F28B2">
        <w:rPr>
          <w:lang w:val="fr-FR"/>
        </w:rPr>
        <w:t>,</w:t>
      </w:r>
      <w:r w:rsidR="00163041" w:rsidRPr="005F28B2">
        <w:rPr>
          <w:lang w:val="fr-FR"/>
        </w:rPr>
        <w:t xml:space="preserve"> ainsi qu</w:t>
      </w:r>
      <w:r w:rsidR="00E16237" w:rsidRPr="005F28B2">
        <w:rPr>
          <w:lang w:val="fr-FR"/>
        </w:rPr>
        <w:t>’</w:t>
      </w:r>
      <w:r w:rsidR="00163041" w:rsidRPr="005F28B2">
        <w:rPr>
          <w:lang w:val="fr-FR"/>
        </w:rPr>
        <w:t>en matière de contentieux administratif. Elle exerce une fonction consultative conformément à la loi. En attendant la mise en conformité des textes actuels avec la Constitution</w:t>
      </w:r>
      <w:r w:rsidR="00E16237" w:rsidRPr="005F28B2">
        <w:rPr>
          <w:lang w:val="fr-FR"/>
        </w:rPr>
        <w:t>,</w:t>
      </w:r>
      <w:r w:rsidR="00163041" w:rsidRPr="005F28B2">
        <w:rPr>
          <w:lang w:val="fr-FR"/>
        </w:rPr>
        <w:t xml:space="preserve"> le Tribunal administratif demeure rattaché administrativement au Premier Ministère (désormais Présidence du Gouvernement) et son siège est à Tunis</w:t>
      </w:r>
      <w:r w:rsidR="00E16237" w:rsidRPr="005F28B2">
        <w:rPr>
          <w:lang w:val="fr-FR"/>
        </w:rPr>
        <w:t>,</w:t>
      </w:r>
      <w:r w:rsidR="00163041" w:rsidRPr="005F28B2">
        <w:rPr>
          <w:lang w:val="fr-FR"/>
        </w:rPr>
        <w:t xml:space="preserve"> conformément à la loi régissant son organisation</w:t>
      </w:r>
      <w:r w:rsidR="00E16237" w:rsidRPr="005F28B2">
        <w:rPr>
          <w:lang w:val="fr-FR"/>
        </w:rPr>
        <w:t>,</w:t>
      </w:r>
      <w:r w:rsidR="00163041" w:rsidRPr="005F28B2">
        <w:rPr>
          <w:lang w:val="fr-FR"/>
        </w:rPr>
        <w:t xml:space="preserve"> adoptée en 1972</w:t>
      </w:r>
      <w:r w:rsidR="00163041" w:rsidRPr="005F28B2">
        <w:rPr>
          <w:rStyle w:val="Appelnotedebasdep"/>
          <w:lang w:val="fr-FR"/>
        </w:rPr>
        <w:footnoteReference w:id="54"/>
      </w:r>
      <w:r w:rsidR="00163041" w:rsidRPr="005F28B2">
        <w:rPr>
          <w:lang w:val="fr-FR"/>
        </w:rPr>
        <w:t>. Les différentes voies de recours (première instance</w:t>
      </w:r>
      <w:r w:rsidR="00E16237" w:rsidRPr="005F28B2">
        <w:rPr>
          <w:lang w:val="fr-FR"/>
        </w:rPr>
        <w:t>,</w:t>
      </w:r>
      <w:r w:rsidR="00163041" w:rsidRPr="005F28B2">
        <w:rPr>
          <w:lang w:val="fr-FR"/>
        </w:rPr>
        <w:t xml:space="preserve"> appel et cassation) ont été renforcées devant la justice administrative</w:t>
      </w:r>
      <w:r w:rsidR="00E16237" w:rsidRPr="005F28B2">
        <w:rPr>
          <w:lang w:val="fr-FR"/>
        </w:rPr>
        <w:t>,</w:t>
      </w:r>
      <w:r w:rsidR="00163041" w:rsidRPr="005F28B2">
        <w:rPr>
          <w:lang w:val="fr-FR"/>
        </w:rPr>
        <w:t xml:space="preserve"> avec l</w:t>
      </w:r>
      <w:r w:rsidR="00E16237" w:rsidRPr="005F28B2">
        <w:rPr>
          <w:lang w:val="fr-FR"/>
        </w:rPr>
        <w:t>’</w:t>
      </w:r>
      <w:r w:rsidR="00163041" w:rsidRPr="005F28B2">
        <w:rPr>
          <w:lang w:val="fr-FR"/>
        </w:rPr>
        <w:t>instauration du double degré de juridiction en 1996 et la possibilité accordée aux personnes indigentes en 2011 de bénéficier de l</w:t>
      </w:r>
      <w:r w:rsidR="00E16237" w:rsidRPr="005F28B2">
        <w:rPr>
          <w:lang w:val="fr-FR"/>
        </w:rPr>
        <w:t>’</w:t>
      </w:r>
      <w:r w:rsidR="00163041" w:rsidRPr="005F28B2">
        <w:rPr>
          <w:lang w:val="fr-FR"/>
        </w:rPr>
        <w:t>aide juridictionnelle et d</w:t>
      </w:r>
      <w:r w:rsidR="00E16237" w:rsidRPr="005F28B2">
        <w:rPr>
          <w:lang w:val="fr-FR"/>
        </w:rPr>
        <w:t>’</w:t>
      </w:r>
      <w:r w:rsidR="00163041" w:rsidRPr="005F28B2">
        <w:rPr>
          <w:lang w:val="fr-FR"/>
        </w:rPr>
        <w:t>accéder plus facilement à la justice. Le Tribunal administratif est actuellement présidé par un Premier Président</w:t>
      </w:r>
      <w:r w:rsidR="00E16237" w:rsidRPr="005F28B2">
        <w:rPr>
          <w:lang w:val="fr-FR"/>
        </w:rPr>
        <w:t>,</w:t>
      </w:r>
      <w:r w:rsidR="00163041" w:rsidRPr="005F28B2">
        <w:rPr>
          <w:lang w:val="fr-FR"/>
        </w:rPr>
        <w:t xml:space="preserve"> assisté de commissaires d</w:t>
      </w:r>
      <w:r w:rsidR="00E16237" w:rsidRPr="005F28B2">
        <w:rPr>
          <w:lang w:val="fr-FR"/>
        </w:rPr>
        <w:t>’</w:t>
      </w:r>
      <w:r w:rsidR="00163041" w:rsidRPr="005F28B2">
        <w:rPr>
          <w:lang w:val="fr-FR"/>
        </w:rPr>
        <w:t>État et de commissaires d</w:t>
      </w:r>
      <w:r w:rsidR="00E16237" w:rsidRPr="005F28B2">
        <w:rPr>
          <w:lang w:val="fr-FR"/>
        </w:rPr>
        <w:t>’</w:t>
      </w:r>
      <w:r w:rsidR="00163041" w:rsidRPr="005F28B2">
        <w:rPr>
          <w:lang w:val="fr-FR"/>
        </w:rPr>
        <w:t>État généraux répartis au sein de 3 chambres de cassation</w:t>
      </w:r>
      <w:r w:rsidR="00E16237" w:rsidRPr="005F28B2">
        <w:rPr>
          <w:lang w:val="fr-FR"/>
        </w:rPr>
        <w:t>,</w:t>
      </w:r>
      <w:r w:rsidR="00163041" w:rsidRPr="005F28B2">
        <w:rPr>
          <w:lang w:val="fr-FR"/>
        </w:rPr>
        <w:t xml:space="preserve"> de 2 chambres consultatives</w:t>
      </w:r>
      <w:r w:rsidR="00E16237" w:rsidRPr="005F28B2">
        <w:rPr>
          <w:lang w:val="fr-FR"/>
        </w:rPr>
        <w:t>,</w:t>
      </w:r>
      <w:r w:rsidR="00163041" w:rsidRPr="005F28B2">
        <w:rPr>
          <w:lang w:val="fr-FR"/>
        </w:rPr>
        <w:t xml:space="preserve"> de 5 chambres d</w:t>
      </w:r>
      <w:r w:rsidR="00E16237" w:rsidRPr="005F28B2">
        <w:rPr>
          <w:lang w:val="fr-FR"/>
        </w:rPr>
        <w:t>’</w:t>
      </w:r>
      <w:r w:rsidR="00163041" w:rsidRPr="005F28B2">
        <w:rPr>
          <w:lang w:val="fr-FR"/>
        </w:rPr>
        <w:t>appel</w:t>
      </w:r>
      <w:r w:rsidR="00E16237" w:rsidRPr="005F28B2">
        <w:rPr>
          <w:lang w:val="fr-FR"/>
        </w:rPr>
        <w:t>,</w:t>
      </w:r>
      <w:r w:rsidR="00163041" w:rsidRPr="005F28B2">
        <w:rPr>
          <w:lang w:val="fr-FR"/>
        </w:rPr>
        <w:t xml:space="preserve"> de 7 chambres de première instance et de sections consultatives. </w:t>
      </w:r>
    </w:p>
    <w:p w:rsidR="009052AE" w:rsidRPr="005F28B2" w:rsidRDefault="00163041" w:rsidP="004F42F0">
      <w:pPr>
        <w:pStyle w:val="SingleTxtG"/>
        <w:rPr>
          <w:lang w:val="fr-FR"/>
        </w:rPr>
      </w:pPr>
      <w:r w:rsidRPr="005F28B2">
        <w:rPr>
          <w:lang w:val="fr-FR"/>
        </w:rPr>
        <w:t>68.</w:t>
      </w:r>
      <w:r w:rsidRPr="005F28B2">
        <w:rPr>
          <w:lang w:val="fr-FR"/>
        </w:rPr>
        <w:tab/>
        <w:t>Le tribunal administratif statue</w:t>
      </w:r>
      <w:r w:rsidR="00E16237" w:rsidRPr="005F28B2">
        <w:rPr>
          <w:lang w:val="fr-FR"/>
        </w:rPr>
        <w:t>,</w:t>
      </w:r>
      <w:r w:rsidRPr="005F28B2">
        <w:rPr>
          <w:lang w:val="fr-FR"/>
        </w:rPr>
        <w:t xml:space="preserve"> par le biais de ses différents organes juridictionnels</w:t>
      </w:r>
      <w:r w:rsidR="00E16237" w:rsidRPr="005F28B2">
        <w:rPr>
          <w:lang w:val="fr-FR"/>
        </w:rPr>
        <w:t>,</w:t>
      </w:r>
      <w:r w:rsidRPr="005F28B2">
        <w:rPr>
          <w:lang w:val="fr-FR"/>
        </w:rPr>
        <w:t xml:space="preserve"> sur tous les litiges à caractère administratif</w:t>
      </w:r>
      <w:r w:rsidR="00E16237" w:rsidRPr="005F28B2">
        <w:rPr>
          <w:lang w:val="fr-FR"/>
        </w:rPr>
        <w:t>,</w:t>
      </w:r>
      <w:r w:rsidRPr="005F28B2">
        <w:rPr>
          <w:lang w:val="fr-FR"/>
        </w:rPr>
        <w:t xml:space="preserve"> à l</w:t>
      </w:r>
      <w:r w:rsidR="00E16237" w:rsidRPr="005F28B2">
        <w:rPr>
          <w:lang w:val="fr-FR"/>
        </w:rPr>
        <w:t>’</w:t>
      </w:r>
      <w:r w:rsidRPr="005F28B2">
        <w:rPr>
          <w:lang w:val="fr-FR"/>
        </w:rPr>
        <w:t>exception des affaires attribuées à d</w:t>
      </w:r>
      <w:r w:rsidR="00E16237" w:rsidRPr="005F28B2">
        <w:rPr>
          <w:lang w:val="fr-FR"/>
        </w:rPr>
        <w:t>’</w:t>
      </w:r>
      <w:r w:rsidRPr="005F28B2">
        <w:rPr>
          <w:lang w:val="fr-FR"/>
        </w:rPr>
        <w:t>autres juridictions par une loi spéciale. À cet égard</w:t>
      </w:r>
      <w:r w:rsidR="00E16237" w:rsidRPr="005F28B2">
        <w:rPr>
          <w:lang w:val="fr-FR"/>
        </w:rPr>
        <w:t>,</w:t>
      </w:r>
      <w:r w:rsidRPr="005F28B2">
        <w:rPr>
          <w:lang w:val="fr-FR"/>
        </w:rPr>
        <w:t xml:space="preserve"> il est notamment compétent pour statuer sur les recours en excès de pouvoir tendant à l</w:t>
      </w:r>
      <w:r w:rsidR="00E16237" w:rsidRPr="005F28B2">
        <w:rPr>
          <w:lang w:val="fr-FR"/>
        </w:rPr>
        <w:t>’</w:t>
      </w:r>
      <w:r w:rsidRPr="005F28B2">
        <w:rPr>
          <w:lang w:val="fr-FR"/>
        </w:rPr>
        <w:t>annulation des actes administratifs et en matière de responsabilité de l</w:t>
      </w:r>
      <w:r w:rsidR="00E16237" w:rsidRPr="005F28B2">
        <w:rPr>
          <w:lang w:val="fr-FR"/>
        </w:rPr>
        <w:t>’</w:t>
      </w:r>
      <w:r w:rsidRPr="005F28B2">
        <w:rPr>
          <w:lang w:val="fr-FR"/>
        </w:rPr>
        <w:t>administration. Il statue par voie d</w:t>
      </w:r>
      <w:r w:rsidR="00E16237" w:rsidRPr="005F28B2">
        <w:rPr>
          <w:lang w:val="fr-FR"/>
        </w:rPr>
        <w:t>’</w:t>
      </w:r>
      <w:r w:rsidRPr="005F28B2">
        <w:rPr>
          <w:lang w:val="fr-FR"/>
        </w:rPr>
        <w:t>appel sur les décisions rendues par le Conseil de la concurrence et par le Conseil national des assurances et en tant que juridiction de cassation en matière de contentieux fiscal et de contentieux des ordres professionnels</w:t>
      </w:r>
      <w:r w:rsidR="00E16237" w:rsidRPr="005F28B2">
        <w:rPr>
          <w:lang w:val="fr-FR"/>
        </w:rPr>
        <w:t>,</w:t>
      </w:r>
      <w:r w:rsidRPr="005F28B2">
        <w:rPr>
          <w:lang w:val="fr-FR"/>
        </w:rPr>
        <w:t xml:space="preserve"> ainsi que sur les décisions rendues par la Commission bancaire. Il est </w:t>
      </w:r>
      <w:r w:rsidRPr="005F28B2">
        <w:rPr>
          <w:lang w:val="fr-FR"/>
        </w:rPr>
        <w:lastRenderedPageBreak/>
        <w:t>obligatoirement consulté sur les projets de décrets à caractère réglementaire et donne son avis sur les autres projets de lois et</w:t>
      </w:r>
      <w:r w:rsidR="00E16237" w:rsidRPr="005F28B2">
        <w:rPr>
          <w:lang w:val="fr-FR"/>
        </w:rPr>
        <w:t>,</w:t>
      </w:r>
      <w:r w:rsidRPr="005F28B2">
        <w:rPr>
          <w:lang w:val="fr-FR"/>
        </w:rPr>
        <w:t xml:space="preserve"> en général</w:t>
      </w:r>
      <w:r w:rsidR="00E16237" w:rsidRPr="005F28B2">
        <w:rPr>
          <w:lang w:val="fr-FR"/>
        </w:rPr>
        <w:t>,</w:t>
      </w:r>
      <w:r w:rsidRPr="005F28B2">
        <w:rPr>
          <w:lang w:val="fr-FR"/>
        </w:rPr>
        <w:t xml:space="preserve"> sur toutes les questions pour lesquelles son intervention est prévue par les dispositions législatives ou réglementaires ou qui lui sont soumises par le Gouvernement. </w:t>
      </w:r>
    </w:p>
    <w:p w:rsidR="009052AE" w:rsidRPr="005F28B2" w:rsidRDefault="00163041" w:rsidP="004F42F0">
      <w:pPr>
        <w:pStyle w:val="H23G"/>
        <w:rPr>
          <w:rtl/>
          <w:lang w:val="fr-FR" w:bidi="fr-FR"/>
        </w:rPr>
      </w:pPr>
      <w:r w:rsidRPr="005F28B2">
        <w:rPr>
          <w:lang w:val="fr-FR"/>
        </w:rPr>
        <w:tab/>
      </w:r>
      <w:bookmarkStart w:id="35" w:name="_Toc478218509"/>
      <w:r w:rsidRPr="005F28B2">
        <w:rPr>
          <w:rFonts w:eastAsia="Times New Roman Bold"/>
          <w:lang w:val="fr-FR"/>
        </w:rPr>
        <w:tab/>
      </w:r>
      <w:r w:rsidRPr="005F28B2">
        <w:rPr>
          <w:lang w:val="fr-FR"/>
        </w:rPr>
        <w:t>Le Conseil des conflits de compétences</w:t>
      </w:r>
      <w:bookmarkEnd w:id="35"/>
    </w:p>
    <w:p w:rsidR="009052AE" w:rsidRPr="005F28B2" w:rsidRDefault="00163041" w:rsidP="004F42F0">
      <w:pPr>
        <w:pStyle w:val="SingleTxtG"/>
        <w:rPr>
          <w:lang w:val="fr-FR"/>
        </w:rPr>
      </w:pPr>
      <w:r w:rsidRPr="005F28B2">
        <w:rPr>
          <w:lang w:val="fr-FR"/>
        </w:rPr>
        <w:t>69.</w:t>
      </w:r>
      <w:r w:rsidRPr="005F28B2">
        <w:rPr>
          <w:b/>
          <w:lang w:val="fr-FR"/>
        </w:rPr>
        <w:tab/>
      </w:r>
      <w:r w:rsidRPr="005F28B2">
        <w:rPr>
          <w:lang w:val="fr-FR"/>
        </w:rPr>
        <w:t xml:space="preserve">Un Conseil des conflits de compétence </w:t>
      </w:r>
      <w:hyperlink r:id="rId13" w:tgtFrame="_blank" w:history="1">
        <w:r w:rsidRPr="005F28B2">
          <w:rPr>
            <w:lang w:val="fr-FR"/>
          </w:rPr>
          <w:t>entre les tribunaux de l</w:t>
        </w:r>
        <w:r w:rsidR="00E16237" w:rsidRPr="005F28B2">
          <w:rPr>
            <w:lang w:val="fr-FR"/>
          </w:rPr>
          <w:t>’</w:t>
        </w:r>
        <w:r w:rsidRPr="005F28B2">
          <w:rPr>
            <w:lang w:val="fr-FR"/>
          </w:rPr>
          <w:t xml:space="preserve">ordre judiciaire et la justice administrative a été créé par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96-38 du 3 juin 1996</w:t>
        </w:r>
      </w:hyperlink>
      <w:r w:rsidRPr="005F28B2">
        <w:rPr>
          <w:lang w:val="fr-FR"/>
        </w:rPr>
        <w:t>. Il est présidé</w:t>
      </w:r>
      <w:r w:rsidR="00E16237" w:rsidRPr="005F28B2">
        <w:rPr>
          <w:lang w:val="fr-FR"/>
        </w:rPr>
        <w:t>,</w:t>
      </w:r>
      <w:r w:rsidRPr="005F28B2">
        <w:rPr>
          <w:lang w:val="fr-FR"/>
        </w:rPr>
        <w:t xml:space="preserve"> à tour de rôle</w:t>
      </w:r>
      <w:r w:rsidR="00E16237" w:rsidRPr="005F28B2">
        <w:rPr>
          <w:lang w:val="fr-FR"/>
        </w:rPr>
        <w:t>,</w:t>
      </w:r>
      <w:r w:rsidRPr="005F28B2">
        <w:rPr>
          <w:lang w:val="fr-FR"/>
        </w:rPr>
        <w:t xml:space="preserve"> par le Premier Président de la Cour de cassation et le Premier Président du Tribunal administratif et se compose de 6 membres</w:t>
      </w:r>
      <w:r w:rsidR="00E16237" w:rsidRPr="005F28B2">
        <w:rPr>
          <w:lang w:val="fr-FR"/>
        </w:rPr>
        <w:t>,</w:t>
      </w:r>
      <w:r w:rsidRPr="005F28B2">
        <w:rPr>
          <w:lang w:val="fr-FR"/>
        </w:rPr>
        <w:t xml:space="preserve"> choisis à parts égales parmi les Présidents de chambres et les conseillers en activité de la Cour de cassation et du Tribunal administratif.</w:t>
      </w:r>
    </w:p>
    <w:p w:rsidR="009052AE" w:rsidRPr="005F28B2" w:rsidRDefault="00163041" w:rsidP="004F42F0">
      <w:pPr>
        <w:pStyle w:val="H23G"/>
        <w:rPr>
          <w:rtl/>
          <w:lang w:val="fr-FR" w:bidi="fr-FR"/>
        </w:rPr>
      </w:pPr>
      <w:r w:rsidRPr="005F28B2">
        <w:rPr>
          <w:lang w:val="fr-FR"/>
        </w:rPr>
        <w:tab/>
      </w:r>
      <w:bookmarkStart w:id="36" w:name="_Toc478218510"/>
      <w:r w:rsidRPr="005F28B2">
        <w:rPr>
          <w:rFonts w:eastAsia="Times New Roman Bold"/>
          <w:lang w:val="fr-FR"/>
        </w:rPr>
        <w:tab/>
      </w:r>
      <w:r w:rsidRPr="005F28B2">
        <w:rPr>
          <w:lang w:val="fr-FR"/>
        </w:rPr>
        <w:t>La justice financière</w:t>
      </w:r>
      <w:bookmarkEnd w:id="36"/>
    </w:p>
    <w:p w:rsidR="009052AE" w:rsidRPr="005F28B2" w:rsidRDefault="00163041" w:rsidP="004F42F0">
      <w:pPr>
        <w:pStyle w:val="SingleTxtG"/>
        <w:rPr>
          <w:lang w:val="fr-FR"/>
        </w:rPr>
      </w:pPr>
      <w:r w:rsidRPr="005F28B2">
        <w:rPr>
          <w:lang w:val="fr-FR"/>
        </w:rPr>
        <w:t>70.</w:t>
      </w:r>
      <w:r w:rsidRPr="005F28B2">
        <w:rPr>
          <w:lang w:val="fr-FR"/>
        </w:rPr>
        <w:tab/>
        <w:t>Selon la Constitution de 2014</w:t>
      </w:r>
      <w:r w:rsidR="00E16237" w:rsidRPr="005F28B2">
        <w:rPr>
          <w:lang w:val="fr-FR"/>
        </w:rPr>
        <w:t>,</w:t>
      </w:r>
      <w:r w:rsidRPr="005F28B2">
        <w:rPr>
          <w:lang w:val="fr-FR"/>
        </w:rPr>
        <w:t xml:space="preserve"> la justice financière se compose de la Cour des comptes et de ses différents organes. La Cour des comptes est compétente en matière de contrôle de la bonne gestion des deniers publics conformément aux principes de légalité</w:t>
      </w:r>
      <w:r w:rsidR="00E16237" w:rsidRPr="005F28B2">
        <w:rPr>
          <w:lang w:val="fr-FR"/>
        </w:rPr>
        <w:t>,</w:t>
      </w:r>
      <w:r w:rsidRPr="005F28B2">
        <w:rPr>
          <w:lang w:val="fr-FR"/>
        </w:rPr>
        <w:t xml:space="preserve"> d</w:t>
      </w:r>
      <w:r w:rsidR="00E16237" w:rsidRPr="005F28B2">
        <w:rPr>
          <w:lang w:val="fr-FR"/>
        </w:rPr>
        <w:t>’</w:t>
      </w:r>
      <w:r w:rsidRPr="005F28B2">
        <w:rPr>
          <w:lang w:val="fr-FR"/>
        </w:rPr>
        <w:t>efficacité et de transparence. Elle juge les comptes des comptables publics</w:t>
      </w:r>
      <w:r w:rsidR="00E16237" w:rsidRPr="005F28B2">
        <w:rPr>
          <w:lang w:val="fr-FR"/>
        </w:rPr>
        <w:t>,</w:t>
      </w:r>
      <w:r w:rsidRPr="005F28B2">
        <w:rPr>
          <w:lang w:val="fr-FR"/>
        </w:rPr>
        <w:t xml:space="preserve"> évalue les modes de gestion et sanctionne les fautes y afférentes. Elle assiste les pouvoirs législatif et exécutif en matière de contrôle de l</w:t>
      </w:r>
      <w:r w:rsidR="00E16237" w:rsidRPr="005F28B2">
        <w:rPr>
          <w:lang w:val="fr-FR"/>
        </w:rPr>
        <w:t>’</w:t>
      </w:r>
      <w:r w:rsidRPr="005F28B2">
        <w:rPr>
          <w:lang w:val="fr-FR"/>
        </w:rPr>
        <w:t>exécution des lois de finances et de règlement du budget. En attendant la mise en conformité des lois régissant la justice financière avec la Constitution de 2014</w:t>
      </w:r>
      <w:r w:rsidR="00E16237" w:rsidRPr="005F28B2">
        <w:rPr>
          <w:lang w:val="fr-FR"/>
        </w:rPr>
        <w:t>,</w:t>
      </w:r>
      <w:r w:rsidRPr="005F28B2">
        <w:rPr>
          <w:lang w:val="fr-FR"/>
        </w:rPr>
        <w:t xml:space="preserve"> la Cour des comptes demeure rattachée administrativement au Premier Ministère (désormais Présidence du Gouvernement) comme elle l</w:t>
      </w:r>
      <w:r w:rsidR="00E16237" w:rsidRPr="005F28B2">
        <w:rPr>
          <w:lang w:val="fr-FR"/>
        </w:rPr>
        <w:t>’</w:t>
      </w:r>
      <w:r w:rsidR="004F42F0" w:rsidRPr="005F28B2">
        <w:rPr>
          <w:lang w:val="fr-FR"/>
        </w:rPr>
        <w:t>était depuis </w:t>
      </w:r>
      <w:r w:rsidRPr="005F28B2">
        <w:rPr>
          <w:lang w:val="fr-FR"/>
        </w:rPr>
        <w:t>1969</w:t>
      </w:r>
      <w:r w:rsidR="00E16237" w:rsidRPr="005F28B2">
        <w:rPr>
          <w:lang w:val="fr-FR"/>
        </w:rPr>
        <w:t>,</w:t>
      </w:r>
      <w:r w:rsidRPr="005F28B2">
        <w:rPr>
          <w:lang w:val="fr-FR"/>
        </w:rPr>
        <w:t xml:space="preserve"> son siège est à Tunis et elle dispose de chambres</w:t>
      </w:r>
      <w:r w:rsidRPr="005F28B2">
        <w:rPr>
          <w:rStyle w:val="Appelnotedebasdep"/>
          <w:lang w:val="fr-FR"/>
        </w:rPr>
        <w:footnoteReference w:id="55"/>
      </w:r>
      <w:r w:rsidRPr="005F28B2">
        <w:rPr>
          <w:lang w:val="fr-FR"/>
        </w:rPr>
        <w:t xml:space="preserve"> régionales à Sousse</w:t>
      </w:r>
      <w:r w:rsidR="00E16237" w:rsidRPr="005F28B2">
        <w:rPr>
          <w:lang w:val="fr-FR"/>
        </w:rPr>
        <w:t>,</w:t>
      </w:r>
      <w:r w:rsidRPr="005F28B2">
        <w:rPr>
          <w:lang w:val="fr-FR"/>
        </w:rPr>
        <w:t xml:space="preserve"> Gafsa et Sfax. Une Cour de discipline financière a été créé en 1985</w:t>
      </w:r>
      <w:r w:rsidRPr="005F28B2">
        <w:rPr>
          <w:vertAlign w:val="superscript"/>
          <w:lang w:val="fr-FR"/>
        </w:rPr>
        <w:t>(</w:t>
      </w:r>
      <w:r w:rsidRPr="005F28B2">
        <w:rPr>
          <w:rStyle w:val="Appelnotedebasdep"/>
          <w:lang w:val="fr-FR"/>
        </w:rPr>
        <w:footnoteReference w:id="56"/>
      </w:r>
      <w:r w:rsidRPr="005F28B2">
        <w:rPr>
          <w:vertAlign w:val="superscript"/>
          <w:lang w:val="fr-FR"/>
        </w:rPr>
        <w:t>)</w:t>
      </w:r>
      <w:r w:rsidRPr="005F28B2">
        <w:rPr>
          <w:lang w:val="fr-FR"/>
        </w:rPr>
        <w:t xml:space="preserve"> et chargée de juger les auteurs de fautes de gestion commises à l</w:t>
      </w:r>
      <w:r w:rsidR="00E16237" w:rsidRPr="005F28B2">
        <w:rPr>
          <w:lang w:val="fr-FR"/>
        </w:rPr>
        <w:t>’</w:t>
      </w:r>
      <w:r w:rsidRPr="005F28B2">
        <w:rPr>
          <w:lang w:val="fr-FR"/>
        </w:rPr>
        <w:t>égard de l</w:t>
      </w:r>
      <w:r w:rsidR="00E16237" w:rsidRPr="005F28B2">
        <w:rPr>
          <w:lang w:val="fr-FR"/>
        </w:rPr>
        <w:t>’</w:t>
      </w:r>
      <w:r w:rsidRPr="005F28B2">
        <w:rPr>
          <w:lang w:val="fr-FR"/>
        </w:rPr>
        <w:t>État</w:t>
      </w:r>
      <w:r w:rsidR="00E16237" w:rsidRPr="005F28B2">
        <w:rPr>
          <w:lang w:val="fr-FR"/>
        </w:rPr>
        <w:t>,</w:t>
      </w:r>
      <w:r w:rsidRPr="005F28B2">
        <w:rPr>
          <w:lang w:val="fr-FR"/>
        </w:rPr>
        <w:t xml:space="preserve"> des collectivités locales</w:t>
      </w:r>
      <w:r w:rsidR="00E16237" w:rsidRPr="005F28B2">
        <w:rPr>
          <w:lang w:val="fr-FR"/>
        </w:rPr>
        <w:t>,</w:t>
      </w:r>
      <w:r w:rsidRPr="005F28B2">
        <w:rPr>
          <w:lang w:val="fr-FR"/>
        </w:rPr>
        <w:t xml:space="preserve"> des établissements publics administratifs et des entreprises publiques. </w:t>
      </w:r>
    </w:p>
    <w:p w:rsidR="009052AE" w:rsidRPr="005F28B2" w:rsidRDefault="00163041" w:rsidP="00D74D40">
      <w:pPr>
        <w:pStyle w:val="H23G"/>
        <w:rPr>
          <w:rtl/>
          <w:lang w:val="fr-FR" w:bidi="fr-FR"/>
        </w:rPr>
      </w:pPr>
      <w:r w:rsidRPr="005F28B2">
        <w:rPr>
          <w:lang w:val="fr-FR"/>
        </w:rPr>
        <w:tab/>
      </w:r>
      <w:bookmarkStart w:id="37" w:name="_Toc478218511"/>
      <w:r w:rsidRPr="005F28B2">
        <w:rPr>
          <w:rFonts w:eastAsia="Times New Roman Bold"/>
          <w:lang w:val="fr-FR"/>
        </w:rPr>
        <w:tab/>
      </w:r>
      <w:r w:rsidRPr="005F28B2">
        <w:rPr>
          <w:lang w:val="fr-FR"/>
        </w:rPr>
        <w:t>La justice militaire</w:t>
      </w:r>
      <w:bookmarkEnd w:id="37"/>
    </w:p>
    <w:p w:rsidR="009052AE" w:rsidRPr="005F28B2" w:rsidRDefault="00163041" w:rsidP="00FB05A9">
      <w:pPr>
        <w:pStyle w:val="SingleTxtG"/>
        <w:rPr>
          <w:lang w:val="fr-FR"/>
        </w:rPr>
      </w:pPr>
      <w:r w:rsidRPr="005F28B2">
        <w:rPr>
          <w:lang w:val="fr-FR"/>
        </w:rPr>
        <w:t>71.</w:t>
      </w:r>
      <w:r w:rsidRPr="005F28B2">
        <w:rPr>
          <w:lang w:val="fr-FR"/>
        </w:rPr>
        <w:tab/>
        <w:t>Selon la Constitution de 2014</w:t>
      </w:r>
      <w:r w:rsidR="00E16237" w:rsidRPr="005F28B2">
        <w:rPr>
          <w:lang w:val="fr-FR"/>
        </w:rPr>
        <w:t>,</w:t>
      </w:r>
      <w:r w:rsidRPr="005F28B2">
        <w:rPr>
          <w:lang w:val="fr-FR"/>
        </w:rPr>
        <w:t xml:space="preserve"> les tribunaux militaires sont compétents pour connaître des infractions à caractère militaire et c</w:t>
      </w:r>
      <w:r w:rsidR="00E16237" w:rsidRPr="005F28B2">
        <w:rPr>
          <w:lang w:val="fr-FR"/>
        </w:rPr>
        <w:t>’</w:t>
      </w:r>
      <w:r w:rsidRPr="005F28B2">
        <w:rPr>
          <w:lang w:val="fr-FR"/>
        </w:rPr>
        <w:t>est la loi qui détermine leurs compétences</w:t>
      </w:r>
      <w:r w:rsidR="00E16237" w:rsidRPr="005F28B2">
        <w:rPr>
          <w:lang w:val="fr-FR"/>
        </w:rPr>
        <w:t>,</w:t>
      </w:r>
      <w:r w:rsidRPr="005F28B2">
        <w:rPr>
          <w:lang w:val="fr-FR"/>
        </w:rPr>
        <w:t xml:space="preserve"> leur composition</w:t>
      </w:r>
      <w:r w:rsidR="00E16237" w:rsidRPr="005F28B2">
        <w:rPr>
          <w:lang w:val="fr-FR"/>
        </w:rPr>
        <w:t>,</w:t>
      </w:r>
      <w:r w:rsidRPr="005F28B2">
        <w:rPr>
          <w:lang w:val="fr-FR"/>
        </w:rPr>
        <w:t xml:space="preserve"> leur organisation</w:t>
      </w:r>
      <w:r w:rsidR="00E16237" w:rsidRPr="005F28B2">
        <w:rPr>
          <w:lang w:val="fr-FR"/>
        </w:rPr>
        <w:t>,</w:t>
      </w:r>
      <w:r w:rsidRPr="005F28B2">
        <w:rPr>
          <w:lang w:val="fr-FR"/>
        </w:rPr>
        <w:t xml:space="preserve"> les procédures suivies devant eux et le statut général de leurs magistrats. En attendant la mise en conformité des lois régissant ces questions avec la nouvelle Constitution</w:t>
      </w:r>
      <w:r w:rsidR="00E16237" w:rsidRPr="005F28B2">
        <w:rPr>
          <w:lang w:val="fr-FR"/>
        </w:rPr>
        <w:t>,</w:t>
      </w:r>
      <w:r w:rsidRPr="005F28B2">
        <w:rPr>
          <w:lang w:val="fr-FR"/>
        </w:rPr>
        <w:t xml:space="preserve"> les tribunaux militaires demeurent rattachés au Ministère de la défense nationale et sont chargés de l</w:t>
      </w:r>
      <w:r w:rsidR="00E16237" w:rsidRPr="005F28B2">
        <w:rPr>
          <w:lang w:val="fr-FR"/>
        </w:rPr>
        <w:t>’</w:t>
      </w:r>
      <w:r w:rsidRPr="005F28B2">
        <w:rPr>
          <w:lang w:val="fr-FR"/>
        </w:rPr>
        <w:t>application des lois pénales spéciales relevant de leur juridiction. À cet égard</w:t>
      </w:r>
      <w:r w:rsidR="00E16237" w:rsidRPr="005F28B2">
        <w:rPr>
          <w:lang w:val="fr-FR"/>
        </w:rPr>
        <w:t>,</w:t>
      </w:r>
      <w:r w:rsidRPr="005F28B2">
        <w:rPr>
          <w:lang w:val="fr-FR"/>
        </w:rPr>
        <w:t xml:space="preserve"> les décrets-lois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 xml:space="preserve">2011-69 (modifiant et complétant le Code de justice militaire) 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2011-70 (organisation de la justice militaire et statut des magistrats militaires) du 26 juillet 2011 ont introduit d</w:t>
      </w:r>
      <w:r w:rsidR="00E16237" w:rsidRPr="005F28B2">
        <w:rPr>
          <w:lang w:val="fr-FR"/>
        </w:rPr>
        <w:t>’</w:t>
      </w:r>
      <w:r w:rsidRPr="005F28B2">
        <w:rPr>
          <w:lang w:val="fr-FR"/>
        </w:rPr>
        <w:t>importantes modifications visant à renforcer les garanties des prévenus et des victimes</w:t>
      </w:r>
      <w:r w:rsidR="00E16237" w:rsidRPr="005F28B2">
        <w:rPr>
          <w:lang w:val="fr-FR"/>
        </w:rPr>
        <w:t>,</w:t>
      </w:r>
      <w:r w:rsidRPr="005F28B2">
        <w:rPr>
          <w:lang w:val="fr-FR"/>
        </w:rPr>
        <w:t xml:space="preserve"> conformément à l</w:t>
      </w:r>
      <w:r w:rsidR="00E16237" w:rsidRPr="005F28B2">
        <w:rPr>
          <w:lang w:val="fr-FR"/>
        </w:rPr>
        <w:t>’</w:t>
      </w:r>
      <w:r w:rsidRPr="005F28B2">
        <w:rPr>
          <w:lang w:val="fr-FR"/>
        </w:rPr>
        <w:t>évolution sociétale dans ce domaine</w:t>
      </w:r>
      <w:r w:rsidR="00E16237" w:rsidRPr="005F28B2">
        <w:rPr>
          <w:lang w:val="fr-FR"/>
        </w:rPr>
        <w:t>,</w:t>
      </w:r>
      <w:r w:rsidRPr="005F28B2">
        <w:rPr>
          <w:lang w:val="fr-FR"/>
        </w:rPr>
        <w:t xml:space="preserve"> ainsi qu</w:t>
      </w:r>
      <w:r w:rsidR="00E16237" w:rsidRPr="005F28B2">
        <w:rPr>
          <w:lang w:val="fr-FR"/>
        </w:rPr>
        <w:t>’</w:t>
      </w:r>
      <w:r w:rsidRPr="005F28B2">
        <w:rPr>
          <w:lang w:val="fr-FR"/>
        </w:rPr>
        <w:t>à la conception actuelle de la justice pénale</w:t>
      </w:r>
      <w:r w:rsidR="00E16237" w:rsidRPr="005F28B2">
        <w:rPr>
          <w:lang w:val="fr-FR"/>
        </w:rPr>
        <w:t>,</w:t>
      </w:r>
      <w:r w:rsidRPr="005F28B2">
        <w:rPr>
          <w:lang w:val="fr-FR"/>
        </w:rPr>
        <w:t xml:space="preserve"> ce qui s</w:t>
      </w:r>
      <w:r w:rsidR="00E16237" w:rsidRPr="005F28B2">
        <w:rPr>
          <w:lang w:val="fr-FR"/>
        </w:rPr>
        <w:t>’</w:t>
      </w:r>
      <w:r w:rsidRPr="005F28B2">
        <w:rPr>
          <w:lang w:val="fr-FR"/>
        </w:rPr>
        <w:t>est traduit par l</w:t>
      </w:r>
      <w:r w:rsidR="00E16237" w:rsidRPr="005F28B2">
        <w:rPr>
          <w:lang w:val="fr-FR"/>
        </w:rPr>
        <w:t>’</w:t>
      </w:r>
      <w:r w:rsidRPr="005F28B2">
        <w:rPr>
          <w:lang w:val="fr-FR"/>
        </w:rPr>
        <w:t>adoption des mesures suivantes</w:t>
      </w:r>
      <w:r w:rsidRPr="005F28B2">
        <w:rPr>
          <w:rStyle w:val="Appelnotedebasdep"/>
          <w:lang w:val="fr-FR"/>
        </w:rPr>
        <w:footnoteReference w:id="57"/>
      </w:r>
      <w:r w:rsidR="00D22E11" w:rsidRPr="005F28B2">
        <w:rPr>
          <w:lang w:val="fr-FR"/>
        </w:rPr>
        <w:t xml:space="preserve"> </w:t>
      </w:r>
      <w:r w:rsidRPr="005F28B2">
        <w:rPr>
          <w:rStyle w:val="Appelnotedebasdep"/>
          <w:lang w:val="fr-FR"/>
        </w:rPr>
        <w:footnoteReference w:id="58"/>
      </w:r>
      <w:r w:rsidRPr="005F28B2">
        <w:rPr>
          <w:lang w:val="fr-FR"/>
        </w:rPr>
        <w:t> :</w:t>
      </w:r>
    </w:p>
    <w:p w:rsidR="009052AE" w:rsidRPr="005F28B2" w:rsidRDefault="00163041" w:rsidP="00FB05A9">
      <w:pPr>
        <w:pStyle w:val="Bullet1G"/>
        <w:rPr>
          <w:rtl/>
          <w:lang w:val="fr-FR" w:bidi="fr-FR"/>
        </w:rPr>
      </w:pPr>
      <w:r w:rsidRPr="005F28B2">
        <w:rPr>
          <w:lang w:val="fr-FR"/>
        </w:rPr>
        <w:t>La consécration du principe du double degré de juridiction devant les tribunaux militaires</w:t>
      </w:r>
      <w:r w:rsidR="00CF6817" w:rsidRPr="005F28B2">
        <w:rPr>
          <w:lang w:val="fr-FR"/>
        </w:rPr>
        <w:t> ;</w:t>
      </w:r>
    </w:p>
    <w:p w:rsidR="009052AE" w:rsidRPr="005F28B2" w:rsidRDefault="00163041" w:rsidP="00FB05A9">
      <w:pPr>
        <w:pStyle w:val="Bullet1G"/>
        <w:rPr>
          <w:rtl/>
          <w:lang w:val="fr-FR" w:bidi="fr-FR"/>
        </w:rPr>
      </w:pPr>
      <w:r w:rsidRPr="005F28B2">
        <w:rPr>
          <w:lang w:val="fr-FR"/>
        </w:rPr>
        <w:t>La possibilité de se constituer partie civile et d</w:t>
      </w:r>
      <w:r w:rsidR="00E16237" w:rsidRPr="005F28B2">
        <w:rPr>
          <w:lang w:val="fr-FR"/>
        </w:rPr>
        <w:t>’</w:t>
      </w:r>
      <w:r w:rsidRPr="005F28B2">
        <w:rPr>
          <w:lang w:val="fr-FR"/>
        </w:rPr>
        <w:t>engager une action en responsabilité devant les tribunaux militaires</w:t>
      </w:r>
      <w:r w:rsidR="00CF6817" w:rsidRPr="005F28B2">
        <w:rPr>
          <w:lang w:val="fr-FR"/>
        </w:rPr>
        <w:t> ;</w:t>
      </w:r>
      <w:r w:rsidRPr="005F28B2">
        <w:rPr>
          <w:lang w:val="fr-FR"/>
        </w:rPr>
        <w:t xml:space="preserve"> </w:t>
      </w:r>
    </w:p>
    <w:p w:rsidR="009052AE" w:rsidRPr="005F28B2" w:rsidRDefault="00163041" w:rsidP="00FB05A9">
      <w:pPr>
        <w:pStyle w:val="Bullet1G"/>
        <w:rPr>
          <w:rtl/>
          <w:lang w:val="fr-FR" w:bidi="fr-FR"/>
        </w:rPr>
      </w:pPr>
      <w:r w:rsidRPr="005F28B2">
        <w:rPr>
          <w:lang w:val="fr-FR"/>
        </w:rPr>
        <w:lastRenderedPageBreak/>
        <w:t>La possibilité d</w:t>
      </w:r>
      <w:r w:rsidR="00E16237" w:rsidRPr="005F28B2">
        <w:rPr>
          <w:lang w:val="fr-FR"/>
        </w:rPr>
        <w:t>’</w:t>
      </w:r>
      <w:r w:rsidRPr="005F28B2">
        <w:rPr>
          <w:lang w:val="fr-FR"/>
        </w:rPr>
        <w:t>interjeter appel de toutes les décisions rendues par le juge d</w:t>
      </w:r>
      <w:r w:rsidR="00E16237" w:rsidRPr="005F28B2">
        <w:rPr>
          <w:lang w:val="fr-FR"/>
        </w:rPr>
        <w:t>’</w:t>
      </w:r>
      <w:r w:rsidRPr="005F28B2">
        <w:rPr>
          <w:lang w:val="fr-FR"/>
        </w:rPr>
        <w:t>instruction militaire devant la chambre d</w:t>
      </w:r>
      <w:r w:rsidR="00E16237" w:rsidRPr="005F28B2">
        <w:rPr>
          <w:lang w:val="fr-FR"/>
        </w:rPr>
        <w:t>’</w:t>
      </w:r>
      <w:r w:rsidRPr="005F28B2">
        <w:rPr>
          <w:lang w:val="fr-FR"/>
        </w:rPr>
        <w:t>accusation</w:t>
      </w:r>
      <w:r w:rsidR="00CF6817" w:rsidRPr="005F28B2">
        <w:rPr>
          <w:lang w:val="fr-FR"/>
        </w:rPr>
        <w:t> ;</w:t>
      </w:r>
    </w:p>
    <w:p w:rsidR="009052AE" w:rsidRPr="005F28B2" w:rsidRDefault="00163041" w:rsidP="00FB05A9">
      <w:pPr>
        <w:pStyle w:val="Bullet1G"/>
        <w:rPr>
          <w:rtl/>
          <w:lang w:val="fr-FR" w:bidi="fr-FR"/>
        </w:rPr>
      </w:pPr>
      <w:r w:rsidRPr="005F28B2">
        <w:rPr>
          <w:lang w:val="fr-FR"/>
        </w:rPr>
        <w:t>L</w:t>
      </w:r>
      <w:r w:rsidR="00E16237" w:rsidRPr="005F28B2">
        <w:rPr>
          <w:lang w:val="fr-FR"/>
        </w:rPr>
        <w:t>’</w:t>
      </w:r>
      <w:r w:rsidRPr="005F28B2">
        <w:rPr>
          <w:lang w:val="fr-FR"/>
        </w:rPr>
        <w:t>alignement des délais de recours contre les décisions militaires sur ceux en vigueur devant les tribunaux judiciaire</w:t>
      </w:r>
      <w:r w:rsidR="00CF6817" w:rsidRPr="005F28B2">
        <w:rPr>
          <w:lang w:val="fr-FR"/>
        </w:rPr>
        <w:t> ;</w:t>
      </w:r>
    </w:p>
    <w:p w:rsidR="009052AE" w:rsidRPr="005F28B2" w:rsidRDefault="00163041" w:rsidP="00FB05A9">
      <w:pPr>
        <w:pStyle w:val="Bullet1G"/>
        <w:rPr>
          <w:rtl/>
          <w:lang w:val="fr-FR" w:bidi="fr-FR"/>
        </w:rPr>
      </w:pPr>
      <w:r w:rsidRPr="005F28B2">
        <w:rPr>
          <w:lang w:val="fr-FR"/>
        </w:rPr>
        <w:t>La suppression de l</w:t>
      </w:r>
      <w:r w:rsidR="00E16237" w:rsidRPr="005F28B2">
        <w:rPr>
          <w:lang w:val="fr-FR"/>
        </w:rPr>
        <w:t>’</w:t>
      </w:r>
      <w:r w:rsidRPr="005F28B2">
        <w:rPr>
          <w:lang w:val="fr-FR"/>
        </w:rPr>
        <w:t>ordre d</w:t>
      </w:r>
      <w:r w:rsidR="00E16237" w:rsidRPr="005F28B2">
        <w:rPr>
          <w:lang w:val="fr-FR"/>
        </w:rPr>
        <w:t>’</w:t>
      </w:r>
      <w:r w:rsidRPr="005F28B2">
        <w:rPr>
          <w:lang w:val="fr-FR"/>
        </w:rPr>
        <w:t>informer du Ministre de la défense.</w:t>
      </w:r>
    </w:p>
    <w:p w:rsidR="009052AE" w:rsidRPr="005F28B2" w:rsidRDefault="00163041" w:rsidP="00FB05A9">
      <w:pPr>
        <w:pStyle w:val="H23G"/>
        <w:rPr>
          <w:lang w:val="fr-FR"/>
        </w:rPr>
      </w:pPr>
      <w:r w:rsidRPr="005F28B2">
        <w:rPr>
          <w:lang w:val="fr-FR"/>
        </w:rPr>
        <w:tab/>
      </w:r>
      <w:r w:rsidRPr="005F28B2">
        <w:rPr>
          <w:lang w:val="fr-FR"/>
        </w:rPr>
        <w:tab/>
      </w:r>
      <w:bookmarkStart w:id="38" w:name="_Toc478218512"/>
      <w:r w:rsidRPr="005F28B2">
        <w:rPr>
          <w:lang w:val="fr-FR"/>
        </w:rPr>
        <w:t>Les instances non juridictionnelles</w:t>
      </w:r>
      <w:bookmarkEnd w:id="38"/>
    </w:p>
    <w:p w:rsidR="009052AE" w:rsidRPr="005F28B2" w:rsidRDefault="00163041" w:rsidP="00B626D6">
      <w:pPr>
        <w:pStyle w:val="SingleTxtG"/>
        <w:keepNext/>
        <w:rPr>
          <w:lang w:val="fr-FR"/>
        </w:rPr>
      </w:pPr>
      <w:r w:rsidRPr="005F28B2">
        <w:rPr>
          <w:lang w:val="fr-FR"/>
        </w:rPr>
        <w:t>72.</w:t>
      </w:r>
      <w:r w:rsidRPr="005F28B2">
        <w:rPr>
          <w:lang w:val="fr-FR"/>
        </w:rPr>
        <w:tab/>
        <w:t>Les instances non juridictionnelles incluent généralement diverses catégories de membres</w:t>
      </w:r>
      <w:r w:rsidR="00E16237" w:rsidRPr="005F28B2">
        <w:rPr>
          <w:lang w:val="fr-FR"/>
        </w:rPr>
        <w:t>,</w:t>
      </w:r>
      <w:r w:rsidRPr="005F28B2">
        <w:rPr>
          <w:lang w:val="fr-FR"/>
        </w:rPr>
        <w:t xml:space="preserve"> dont des magistrats de l</w:t>
      </w:r>
      <w:r w:rsidR="00E16237" w:rsidRPr="005F28B2">
        <w:rPr>
          <w:lang w:val="fr-FR"/>
        </w:rPr>
        <w:t>’</w:t>
      </w:r>
      <w:r w:rsidRPr="005F28B2">
        <w:rPr>
          <w:lang w:val="fr-FR"/>
        </w:rPr>
        <w:t>ordre judiciaire ou administratif</w:t>
      </w:r>
      <w:r w:rsidR="00E16237" w:rsidRPr="005F28B2">
        <w:rPr>
          <w:lang w:val="fr-FR"/>
        </w:rPr>
        <w:t>,</w:t>
      </w:r>
      <w:r w:rsidRPr="005F28B2">
        <w:rPr>
          <w:lang w:val="fr-FR"/>
        </w:rPr>
        <w:t xml:space="preserve"> outre des professionnels spécialisés dans les domaines de chacune de ces instances</w:t>
      </w:r>
      <w:r w:rsidR="00E16237" w:rsidRPr="005F28B2">
        <w:rPr>
          <w:lang w:val="fr-FR"/>
        </w:rPr>
        <w:t>,</w:t>
      </w:r>
      <w:r w:rsidRPr="005F28B2">
        <w:rPr>
          <w:lang w:val="fr-FR"/>
        </w:rPr>
        <w:t xml:space="preserve"> lesquelles sont les suivantes :</w:t>
      </w:r>
    </w:p>
    <w:p w:rsidR="009052AE" w:rsidRPr="005F28B2" w:rsidRDefault="00163041" w:rsidP="00FB05A9">
      <w:pPr>
        <w:pStyle w:val="SingleTxtG"/>
        <w:rPr>
          <w:lang w:val="fr-FR"/>
        </w:rPr>
      </w:pPr>
      <w:r w:rsidRPr="005F28B2">
        <w:rPr>
          <w:lang w:val="fr-FR"/>
        </w:rPr>
        <w:tab/>
        <w:t>a)</w:t>
      </w:r>
      <w:r w:rsidRPr="005F28B2">
        <w:rPr>
          <w:lang w:val="fr-FR"/>
        </w:rPr>
        <w:tab/>
        <w:t>La Commission bancaire</w:t>
      </w:r>
      <w:r w:rsidR="00E16237" w:rsidRPr="005F28B2">
        <w:rPr>
          <w:lang w:val="fr-FR"/>
        </w:rPr>
        <w:t>,</w:t>
      </w:r>
      <w:r w:rsidRPr="005F28B2">
        <w:rPr>
          <w:lang w:val="fr-FR"/>
        </w:rPr>
        <w:t xml:space="preserve"> créée en 1967</w:t>
      </w:r>
      <w:r w:rsidRPr="005F28B2">
        <w:rPr>
          <w:rStyle w:val="Appelnotedebasdep"/>
          <w:lang w:val="fr-FR"/>
        </w:rPr>
        <w:footnoteReference w:id="59"/>
      </w:r>
      <w:r w:rsidRPr="005F28B2">
        <w:rPr>
          <w:lang w:val="fr-FR"/>
        </w:rPr>
        <w:t xml:space="preserve"> et dont les missions générales dans son domaine de compétence ont été renforcées par l</w:t>
      </w:r>
      <w:r w:rsidR="00E16237" w:rsidRPr="005F28B2">
        <w:rPr>
          <w:lang w:val="fr-FR"/>
        </w:rPr>
        <w:t>’</w:t>
      </w:r>
      <w:r w:rsidRPr="005F28B2">
        <w:rPr>
          <w:lang w:val="fr-FR"/>
        </w:rPr>
        <w:t>attribution du pouvoir de prononcer des amendes à l</w:t>
      </w:r>
      <w:r w:rsidR="00E16237" w:rsidRPr="005F28B2">
        <w:rPr>
          <w:lang w:val="fr-FR"/>
        </w:rPr>
        <w:t>’</w:t>
      </w:r>
      <w:r w:rsidRPr="005F28B2">
        <w:rPr>
          <w:lang w:val="fr-FR"/>
        </w:rPr>
        <w:t>égard des auteurs d</w:t>
      </w:r>
      <w:r w:rsidR="00E16237" w:rsidRPr="005F28B2">
        <w:rPr>
          <w:lang w:val="fr-FR"/>
        </w:rPr>
        <w:t>’</w:t>
      </w:r>
      <w:r w:rsidRPr="005F28B2">
        <w:rPr>
          <w:lang w:val="fr-FR"/>
        </w:rPr>
        <w:t>infractions à la législation et à la réglementation régissant les activités bancaires</w:t>
      </w:r>
      <w:r w:rsidR="00CF6817" w:rsidRPr="005F28B2">
        <w:rPr>
          <w:lang w:val="fr-FR"/>
        </w:rPr>
        <w:t> ;</w:t>
      </w:r>
      <w:r w:rsidRPr="005F28B2">
        <w:rPr>
          <w:lang w:val="fr-FR"/>
        </w:rPr>
        <w:t xml:space="preserve"> </w:t>
      </w:r>
    </w:p>
    <w:p w:rsidR="009052AE" w:rsidRPr="005F28B2" w:rsidRDefault="00163041" w:rsidP="00FB05A9">
      <w:pPr>
        <w:pStyle w:val="SingleTxtG"/>
        <w:rPr>
          <w:lang w:val="fr-FR"/>
        </w:rPr>
      </w:pPr>
      <w:r w:rsidRPr="005F28B2">
        <w:rPr>
          <w:lang w:val="fr-FR"/>
        </w:rPr>
        <w:tab/>
        <w:t>b)</w:t>
      </w:r>
      <w:r w:rsidRPr="005F28B2">
        <w:rPr>
          <w:lang w:val="fr-FR"/>
        </w:rPr>
        <w:tab/>
        <w:t>Le Conseil de la concurrence</w:t>
      </w:r>
      <w:r w:rsidR="00E16237" w:rsidRPr="005F28B2">
        <w:rPr>
          <w:lang w:val="fr-FR"/>
        </w:rPr>
        <w:t>,</w:t>
      </w:r>
      <w:r w:rsidRPr="005F28B2">
        <w:rPr>
          <w:lang w:val="fr-FR"/>
        </w:rPr>
        <w:t xml:space="preserve"> institué en 1991</w:t>
      </w:r>
      <w:r w:rsidRPr="005F28B2">
        <w:rPr>
          <w:rStyle w:val="Appelnotedebasdep"/>
          <w:lang w:val="fr-FR"/>
        </w:rPr>
        <w:footnoteReference w:id="60"/>
      </w:r>
      <w:r w:rsidRPr="005F28B2">
        <w:rPr>
          <w:lang w:val="fr-FR"/>
        </w:rPr>
        <w:t xml:space="preserve"> et dont les missions générales dans son domaine de compétence ont été renforcées par l</w:t>
      </w:r>
      <w:r w:rsidR="00E16237" w:rsidRPr="005F28B2">
        <w:rPr>
          <w:lang w:val="fr-FR"/>
        </w:rPr>
        <w:t>’</w:t>
      </w:r>
      <w:r w:rsidRPr="005F28B2">
        <w:rPr>
          <w:lang w:val="fr-FR"/>
        </w:rPr>
        <w:t>attribution du pouvoir de prononcer des amendes à l</w:t>
      </w:r>
      <w:r w:rsidR="00E16237" w:rsidRPr="005F28B2">
        <w:rPr>
          <w:lang w:val="fr-FR"/>
        </w:rPr>
        <w:t>’</w:t>
      </w:r>
      <w:r w:rsidRPr="005F28B2">
        <w:rPr>
          <w:lang w:val="fr-FR"/>
        </w:rPr>
        <w:t>égard des auteurs d</w:t>
      </w:r>
      <w:r w:rsidR="00E16237" w:rsidRPr="005F28B2">
        <w:rPr>
          <w:lang w:val="fr-FR"/>
        </w:rPr>
        <w:t>’</w:t>
      </w:r>
      <w:r w:rsidRPr="005F28B2">
        <w:rPr>
          <w:lang w:val="fr-FR"/>
        </w:rPr>
        <w:t>infractions à la législation et à la réglementation régissant la concurrence et les prix</w:t>
      </w:r>
      <w:r w:rsidR="00CF6817" w:rsidRPr="005F28B2">
        <w:rPr>
          <w:lang w:val="fr-FR"/>
        </w:rPr>
        <w:t> ;</w:t>
      </w:r>
    </w:p>
    <w:p w:rsidR="009052AE" w:rsidRPr="005F28B2" w:rsidRDefault="00163041" w:rsidP="00FB05A9">
      <w:pPr>
        <w:pStyle w:val="SingleTxtG"/>
        <w:rPr>
          <w:rtl/>
          <w:lang w:val="fr-FR" w:bidi="fr-FR"/>
        </w:rPr>
      </w:pPr>
      <w:r w:rsidRPr="005F28B2">
        <w:rPr>
          <w:lang w:val="fr-FR"/>
        </w:rPr>
        <w:tab/>
        <w:t>c)</w:t>
      </w:r>
      <w:r w:rsidRPr="005F28B2">
        <w:rPr>
          <w:lang w:val="fr-FR"/>
        </w:rPr>
        <w:tab/>
        <w:t>Le Conseil du marché financier</w:t>
      </w:r>
      <w:r w:rsidR="00E16237" w:rsidRPr="005F28B2">
        <w:rPr>
          <w:lang w:val="fr-FR"/>
        </w:rPr>
        <w:t>,</w:t>
      </w:r>
      <w:r w:rsidRPr="005F28B2">
        <w:rPr>
          <w:lang w:val="fr-FR"/>
        </w:rPr>
        <w:t xml:space="preserve"> mis en place en 1994</w:t>
      </w:r>
      <w:r w:rsidRPr="005F28B2">
        <w:rPr>
          <w:rStyle w:val="Appelnotedebasdep"/>
          <w:lang w:val="fr-FR"/>
        </w:rPr>
        <w:footnoteReference w:id="61"/>
      </w:r>
      <w:r w:rsidRPr="005F28B2">
        <w:rPr>
          <w:lang w:val="fr-FR"/>
        </w:rPr>
        <w:t xml:space="preserve"> et dont les missions générales dans son domaine de compétence ont été renforcées par l</w:t>
      </w:r>
      <w:r w:rsidR="00E16237" w:rsidRPr="005F28B2">
        <w:rPr>
          <w:lang w:val="fr-FR"/>
        </w:rPr>
        <w:t>’</w:t>
      </w:r>
      <w:r w:rsidRPr="005F28B2">
        <w:rPr>
          <w:lang w:val="fr-FR"/>
        </w:rPr>
        <w:t>attribution du pouvoir de prononcer des amendes à l</w:t>
      </w:r>
      <w:r w:rsidR="00E16237" w:rsidRPr="005F28B2">
        <w:rPr>
          <w:lang w:val="fr-FR"/>
        </w:rPr>
        <w:t>’</w:t>
      </w:r>
      <w:r w:rsidRPr="005F28B2">
        <w:rPr>
          <w:lang w:val="fr-FR"/>
        </w:rPr>
        <w:t>égard des auteurs d</w:t>
      </w:r>
      <w:r w:rsidR="00E16237" w:rsidRPr="005F28B2">
        <w:rPr>
          <w:lang w:val="fr-FR"/>
        </w:rPr>
        <w:t>’</w:t>
      </w:r>
      <w:r w:rsidRPr="005F28B2">
        <w:rPr>
          <w:lang w:val="fr-FR"/>
        </w:rPr>
        <w:t>infractions à la législation et à la réglementation régissant le marché financier</w:t>
      </w:r>
      <w:r w:rsidR="00CF6817" w:rsidRPr="005F28B2">
        <w:rPr>
          <w:lang w:val="fr-FR"/>
        </w:rPr>
        <w:t> ;</w:t>
      </w:r>
    </w:p>
    <w:p w:rsidR="009052AE" w:rsidRPr="005F28B2" w:rsidRDefault="00163041" w:rsidP="00FB05A9">
      <w:pPr>
        <w:pStyle w:val="SingleTxtG"/>
        <w:rPr>
          <w:rtl/>
          <w:lang w:val="fr-FR" w:bidi="fr-FR"/>
        </w:rPr>
      </w:pPr>
      <w:r w:rsidRPr="005F28B2">
        <w:rPr>
          <w:lang w:val="fr-FR"/>
        </w:rPr>
        <w:tab/>
        <w:t>d)</w:t>
      </w:r>
      <w:r w:rsidRPr="005F28B2">
        <w:rPr>
          <w:lang w:val="fr-FR"/>
        </w:rPr>
        <w:tab/>
        <w:t>L</w:t>
      </w:r>
      <w:r w:rsidR="00E16237" w:rsidRPr="005F28B2">
        <w:rPr>
          <w:lang w:val="fr-FR"/>
        </w:rPr>
        <w:t>’</w:t>
      </w:r>
      <w:r w:rsidRPr="005F28B2">
        <w:rPr>
          <w:lang w:val="fr-FR"/>
        </w:rPr>
        <w:t>Instance nationale des télécommunications</w:t>
      </w:r>
      <w:r w:rsidR="00E16237" w:rsidRPr="005F28B2">
        <w:rPr>
          <w:lang w:val="fr-FR"/>
        </w:rPr>
        <w:t>,</w:t>
      </w:r>
      <w:r w:rsidRPr="005F28B2">
        <w:rPr>
          <w:lang w:val="fr-FR"/>
        </w:rPr>
        <w:t xml:space="preserve"> instaurée en 2001</w:t>
      </w:r>
      <w:r w:rsidRPr="005F28B2">
        <w:rPr>
          <w:rStyle w:val="Appelnotedebasdep"/>
          <w:lang w:val="fr-FR"/>
        </w:rPr>
        <w:footnoteReference w:id="62"/>
      </w:r>
      <w:r w:rsidRPr="005F28B2">
        <w:rPr>
          <w:lang w:val="fr-FR"/>
        </w:rPr>
        <w:t xml:space="preserve"> et dont les missions générales dans son domaine de compétence ont été renforcées par l</w:t>
      </w:r>
      <w:r w:rsidR="00E16237" w:rsidRPr="005F28B2">
        <w:rPr>
          <w:lang w:val="fr-FR"/>
        </w:rPr>
        <w:t>’</w:t>
      </w:r>
      <w:r w:rsidRPr="005F28B2">
        <w:rPr>
          <w:lang w:val="fr-FR"/>
        </w:rPr>
        <w:t>attribution du pouvoir de prononcer des amendes à l</w:t>
      </w:r>
      <w:r w:rsidR="00E16237" w:rsidRPr="005F28B2">
        <w:rPr>
          <w:lang w:val="fr-FR"/>
        </w:rPr>
        <w:t>’</w:t>
      </w:r>
      <w:r w:rsidRPr="005F28B2">
        <w:rPr>
          <w:lang w:val="fr-FR"/>
        </w:rPr>
        <w:t>égard des auteurs d</w:t>
      </w:r>
      <w:r w:rsidR="00E16237" w:rsidRPr="005F28B2">
        <w:rPr>
          <w:lang w:val="fr-FR"/>
        </w:rPr>
        <w:t>’</w:t>
      </w:r>
      <w:r w:rsidRPr="005F28B2">
        <w:rPr>
          <w:lang w:val="fr-FR"/>
        </w:rPr>
        <w:t>infractions à la législation et à la réglementation régissant les télécommunications</w:t>
      </w:r>
      <w:r w:rsidR="00CF6817" w:rsidRPr="005F28B2">
        <w:rPr>
          <w:lang w:val="fr-FR"/>
        </w:rPr>
        <w:t> ;</w:t>
      </w:r>
    </w:p>
    <w:p w:rsidR="009052AE" w:rsidRPr="005F28B2" w:rsidRDefault="00163041" w:rsidP="00FB05A9">
      <w:pPr>
        <w:pStyle w:val="SingleTxtG"/>
        <w:rPr>
          <w:rtl/>
          <w:lang w:val="fr-FR" w:bidi="fr-FR"/>
        </w:rPr>
      </w:pPr>
      <w:r w:rsidRPr="005F28B2">
        <w:rPr>
          <w:lang w:val="fr-FR"/>
        </w:rPr>
        <w:tab/>
        <w:t>e)</w:t>
      </w:r>
      <w:r w:rsidRPr="005F28B2">
        <w:rPr>
          <w:lang w:val="fr-FR"/>
        </w:rPr>
        <w:tab/>
        <w:t>La Commission tunisienne des analyses financières</w:t>
      </w:r>
      <w:r w:rsidR="00E16237" w:rsidRPr="005F28B2">
        <w:rPr>
          <w:lang w:val="fr-FR"/>
        </w:rPr>
        <w:t>,</w:t>
      </w:r>
      <w:r w:rsidRPr="005F28B2">
        <w:rPr>
          <w:lang w:val="fr-FR"/>
        </w:rPr>
        <w:t xml:space="preserve"> créée en 2003</w:t>
      </w:r>
      <w:r w:rsidRPr="005F28B2">
        <w:rPr>
          <w:rStyle w:val="Appelnotedebasdep"/>
          <w:lang w:val="fr-FR"/>
        </w:rPr>
        <w:footnoteReference w:id="63"/>
      </w:r>
      <w:r w:rsidRPr="005F28B2">
        <w:rPr>
          <w:lang w:val="fr-FR"/>
        </w:rPr>
        <w:t xml:space="preserve"> et consolidée par la loi organique de 2015</w:t>
      </w:r>
      <w:r w:rsidRPr="005F28B2">
        <w:rPr>
          <w:rStyle w:val="Appelnotedebasdep"/>
          <w:lang w:val="fr-FR"/>
        </w:rPr>
        <w:footnoteReference w:id="64"/>
      </w:r>
      <w:r w:rsidR="00E16237" w:rsidRPr="005F28B2">
        <w:rPr>
          <w:lang w:val="fr-FR"/>
        </w:rPr>
        <w:t>,</w:t>
      </w:r>
      <w:r w:rsidRPr="005F28B2">
        <w:rPr>
          <w:lang w:val="fr-FR"/>
        </w:rPr>
        <w:t xml:space="preserve"> dont les missions générales dans son domaine de compétence ont été renforcées par l</w:t>
      </w:r>
      <w:r w:rsidR="00E16237" w:rsidRPr="005F28B2">
        <w:rPr>
          <w:lang w:val="fr-FR"/>
        </w:rPr>
        <w:t>’</w:t>
      </w:r>
      <w:r w:rsidRPr="005F28B2">
        <w:rPr>
          <w:lang w:val="fr-FR"/>
        </w:rPr>
        <w:t>attribution de missions de recueil et de traitement des déclarations relatives aux opérations et transactions suspectes ou inhabituelles et de notification des suites données à ces notifications</w:t>
      </w:r>
      <w:r w:rsidR="00E16237" w:rsidRPr="005F28B2">
        <w:rPr>
          <w:lang w:val="fr-FR"/>
        </w:rPr>
        <w:t>,</w:t>
      </w:r>
      <w:r w:rsidRPr="005F28B2">
        <w:rPr>
          <w:lang w:val="fr-FR"/>
        </w:rPr>
        <w:t xml:space="preserve"> complétées par l</w:t>
      </w:r>
      <w:r w:rsidR="00E16237" w:rsidRPr="005F28B2">
        <w:rPr>
          <w:lang w:val="fr-FR"/>
        </w:rPr>
        <w:t>’</w:t>
      </w:r>
      <w:r w:rsidRPr="005F28B2">
        <w:rPr>
          <w:lang w:val="fr-FR"/>
        </w:rPr>
        <w:t>octroi de la possibilité d</w:t>
      </w:r>
      <w:r w:rsidR="00E16237" w:rsidRPr="005F28B2">
        <w:rPr>
          <w:lang w:val="fr-FR"/>
        </w:rPr>
        <w:t>’</w:t>
      </w:r>
      <w:r w:rsidRPr="005F28B2">
        <w:rPr>
          <w:lang w:val="fr-FR"/>
        </w:rPr>
        <w:t>ordonner</w:t>
      </w:r>
      <w:r w:rsidR="00E16237" w:rsidRPr="005F28B2">
        <w:rPr>
          <w:lang w:val="fr-FR"/>
        </w:rPr>
        <w:t>,</w:t>
      </w:r>
      <w:r w:rsidRPr="005F28B2">
        <w:rPr>
          <w:lang w:val="fr-FR"/>
        </w:rPr>
        <w:t xml:space="preserve"> à titre provisoire</w:t>
      </w:r>
      <w:r w:rsidR="00E16237" w:rsidRPr="005F28B2">
        <w:rPr>
          <w:lang w:val="fr-FR"/>
        </w:rPr>
        <w:t>,</w:t>
      </w:r>
      <w:r w:rsidRPr="005F28B2">
        <w:rPr>
          <w:lang w:val="fr-FR"/>
        </w:rPr>
        <w:t xml:space="preserve"> le gel des fonds objet desdites déclarations et leur dépôt sur un compte d</w:t>
      </w:r>
      <w:r w:rsidR="00E16237" w:rsidRPr="005F28B2">
        <w:rPr>
          <w:lang w:val="fr-FR"/>
        </w:rPr>
        <w:t>’</w:t>
      </w:r>
      <w:r w:rsidRPr="005F28B2">
        <w:rPr>
          <w:lang w:val="fr-FR"/>
        </w:rPr>
        <w:t>attente</w:t>
      </w:r>
      <w:r w:rsidR="00CF6817" w:rsidRPr="005F28B2">
        <w:rPr>
          <w:lang w:val="fr-FR"/>
        </w:rPr>
        <w:t> ;</w:t>
      </w:r>
    </w:p>
    <w:p w:rsidR="009052AE" w:rsidRPr="005F28B2" w:rsidRDefault="00163041" w:rsidP="00FB05A9">
      <w:pPr>
        <w:pStyle w:val="SingleTxtG"/>
        <w:rPr>
          <w:b/>
          <w:lang w:val="fr-FR"/>
        </w:rPr>
      </w:pPr>
      <w:r w:rsidRPr="005F28B2">
        <w:rPr>
          <w:lang w:val="fr-FR"/>
        </w:rPr>
        <w:tab/>
        <w:t>f)</w:t>
      </w:r>
      <w:r w:rsidRPr="005F28B2">
        <w:rPr>
          <w:lang w:val="fr-FR"/>
        </w:rPr>
        <w:tab/>
        <w:t>L</w:t>
      </w:r>
      <w:r w:rsidR="00E16237" w:rsidRPr="005F28B2">
        <w:rPr>
          <w:lang w:val="fr-FR"/>
        </w:rPr>
        <w:t>’</w:t>
      </w:r>
      <w:r w:rsidRPr="005F28B2">
        <w:rPr>
          <w:lang w:val="fr-FR"/>
        </w:rPr>
        <w:t>instance nationale de protection des données à caractère personnel</w:t>
      </w:r>
      <w:r w:rsidR="00E16237" w:rsidRPr="005F28B2">
        <w:rPr>
          <w:lang w:val="fr-FR"/>
        </w:rPr>
        <w:t>,</w:t>
      </w:r>
      <w:r w:rsidRPr="005F28B2">
        <w:rPr>
          <w:lang w:val="fr-FR"/>
        </w:rPr>
        <w:t xml:space="preserve"> créée par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2004-63 du 27 juillet 2004 portant sur la protection des données à caractère personnel qui lui a confié</w:t>
      </w:r>
      <w:r w:rsidR="00E16237" w:rsidRPr="005F28B2">
        <w:rPr>
          <w:lang w:val="fr-FR"/>
        </w:rPr>
        <w:t>,</w:t>
      </w:r>
      <w:r w:rsidRPr="005F28B2">
        <w:rPr>
          <w:lang w:val="fr-FR"/>
        </w:rPr>
        <w:t xml:space="preserve"> outre des attributions générales dans son domaine de compétence</w:t>
      </w:r>
      <w:r w:rsidR="00E16237" w:rsidRPr="005F28B2">
        <w:rPr>
          <w:lang w:val="fr-FR"/>
        </w:rPr>
        <w:t>,</w:t>
      </w:r>
      <w:r w:rsidRPr="005F28B2">
        <w:rPr>
          <w:lang w:val="fr-FR"/>
        </w:rPr>
        <w:t xml:space="preserve"> le pouvoir de retirer les autorisations des auteurs d</w:t>
      </w:r>
      <w:r w:rsidR="00E16237" w:rsidRPr="005F28B2">
        <w:rPr>
          <w:lang w:val="fr-FR"/>
        </w:rPr>
        <w:t>’</w:t>
      </w:r>
      <w:r w:rsidRPr="005F28B2">
        <w:rPr>
          <w:lang w:val="fr-FR"/>
        </w:rPr>
        <w:t>infractions à la législation et à la réglementation régissant le traitement des</w:t>
      </w:r>
      <w:r w:rsidR="00CF6817" w:rsidRPr="005F28B2">
        <w:rPr>
          <w:lang w:val="fr-FR"/>
        </w:rPr>
        <w:t xml:space="preserve"> données à caractère personnel.</w:t>
      </w:r>
    </w:p>
    <w:p w:rsidR="006234B7" w:rsidRPr="005F28B2" w:rsidRDefault="00163041" w:rsidP="00686BD4">
      <w:pPr>
        <w:pStyle w:val="H4G"/>
        <w:rPr>
          <w:lang w:val="fr-FR"/>
        </w:rPr>
      </w:pPr>
      <w:r w:rsidRPr="005F28B2">
        <w:rPr>
          <w:lang w:val="fr-FR"/>
        </w:rPr>
        <w:lastRenderedPageBreak/>
        <w:tab/>
      </w:r>
      <w:r w:rsidRPr="005F28B2">
        <w:rPr>
          <w:lang w:val="fr-FR"/>
        </w:rPr>
        <w:tab/>
      </w:r>
      <w:bookmarkStart w:id="39" w:name="_Toc478218513"/>
      <w:r w:rsidRPr="005F28B2">
        <w:rPr>
          <w:lang w:val="fr-FR"/>
        </w:rPr>
        <w:t>Le médiateur administratif</w:t>
      </w:r>
      <w:bookmarkEnd w:id="39"/>
      <w:r w:rsidRPr="005F28B2">
        <w:rPr>
          <w:lang w:val="fr-FR"/>
        </w:rPr>
        <w:t xml:space="preserve"> </w:t>
      </w:r>
    </w:p>
    <w:p w:rsidR="009052AE" w:rsidRPr="005F28B2" w:rsidRDefault="00163041" w:rsidP="00FB05A9">
      <w:pPr>
        <w:pStyle w:val="SingleTxtG"/>
        <w:rPr>
          <w:rtl/>
          <w:lang w:val="fr-FR" w:bidi="fr-FR"/>
        </w:rPr>
      </w:pPr>
      <w:r w:rsidRPr="005F28B2">
        <w:rPr>
          <w:lang w:val="fr-FR"/>
        </w:rPr>
        <w:t>73.</w:t>
      </w:r>
      <w:r w:rsidRPr="005F28B2">
        <w:rPr>
          <w:lang w:val="fr-FR"/>
        </w:rPr>
        <w:tab/>
      </w:r>
      <w:r w:rsidRPr="005F28B2">
        <w:rPr>
          <w:bCs/>
          <w:lang w:val="fr-FR"/>
        </w:rPr>
        <w:t>Il s</w:t>
      </w:r>
      <w:r w:rsidR="00FB05A9" w:rsidRPr="005F28B2">
        <w:rPr>
          <w:bCs/>
          <w:lang w:val="fr-FR"/>
        </w:rPr>
        <w:t>’</w:t>
      </w:r>
      <w:r w:rsidRPr="005F28B2">
        <w:rPr>
          <w:bCs/>
          <w:lang w:val="fr-FR"/>
        </w:rPr>
        <w:t>agit d</w:t>
      </w:r>
      <w:r w:rsidR="00FB05A9" w:rsidRPr="005F28B2">
        <w:rPr>
          <w:bCs/>
          <w:lang w:val="fr-FR"/>
        </w:rPr>
        <w:t>’</w:t>
      </w:r>
      <w:r w:rsidRPr="005F28B2">
        <w:rPr>
          <w:bCs/>
          <w:lang w:val="fr-FR"/>
        </w:rPr>
        <w:t>un</w:t>
      </w:r>
      <w:r w:rsidRPr="005F28B2">
        <w:rPr>
          <w:b/>
          <w:lang w:val="fr-FR"/>
        </w:rPr>
        <w:t xml:space="preserve"> </w:t>
      </w:r>
      <w:r w:rsidRPr="005F28B2">
        <w:rPr>
          <w:lang w:val="fr-FR"/>
        </w:rPr>
        <w:t>mécanisme de médiation entre le citoyen et l</w:t>
      </w:r>
      <w:r w:rsidR="00FB05A9" w:rsidRPr="005F28B2">
        <w:rPr>
          <w:lang w:val="fr-FR"/>
        </w:rPr>
        <w:t>’</w:t>
      </w:r>
      <w:r w:rsidRPr="005F28B2">
        <w:rPr>
          <w:lang w:val="fr-FR"/>
        </w:rPr>
        <w:t>administration</w:t>
      </w:r>
      <w:r w:rsidR="00FB05A9" w:rsidRPr="005F28B2">
        <w:rPr>
          <w:lang w:val="fr-FR"/>
        </w:rPr>
        <w:t xml:space="preserve">. </w:t>
      </w:r>
      <w:r w:rsidRPr="005F28B2">
        <w:rPr>
          <w:lang w:val="fr-FR"/>
        </w:rPr>
        <w:t>Cette institution a été créée en 1992</w:t>
      </w:r>
      <w:r w:rsidRPr="005F28B2">
        <w:rPr>
          <w:rStyle w:val="Appelnotedebasdep"/>
          <w:lang w:val="fr-FR"/>
        </w:rPr>
        <w:footnoteReference w:id="65"/>
      </w:r>
      <w:r w:rsidRPr="005F28B2">
        <w:rPr>
          <w:lang w:val="fr-FR"/>
        </w:rPr>
        <w:t xml:space="preserve"> et chargée de résoudre les litiges entre le citoyen et l</w:t>
      </w:r>
      <w:r w:rsidR="00E16237" w:rsidRPr="005F28B2">
        <w:rPr>
          <w:lang w:val="fr-FR"/>
        </w:rPr>
        <w:t>’</w:t>
      </w:r>
      <w:r w:rsidRPr="005F28B2">
        <w:rPr>
          <w:lang w:val="fr-FR"/>
        </w:rPr>
        <w:t>administration. Il s</w:t>
      </w:r>
      <w:r w:rsidR="00E16237" w:rsidRPr="005F28B2">
        <w:rPr>
          <w:lang w:val="fr-FR"/>
        </w:rPr>
        <w:t>’</w:t>
      </w:r>
      <w:r w:rsidRPr="005F28B2">
        <w:rPr>
          <w:lang w:val="fr-FR"/>
        </w:rPr>
        <w:t>agit d</w:t>
      </w:r>
      <w:r w:rsidR="00E16237" w:rsidRPr="005F28B2">
        <w:rPr>
          <w:lang w:val="fr-FR"/>
        </w:rPr>
        <w:t>’</w:t>
      </w:r>
      <w:r w:rsidRPr="005F28B2">
        <w:rPr>
          <w:lang w:val="fr-FR"/>
        </w:rPr>
        <w:t>un établissement public à caractère administratif indépendant</w:t>
      </w:r>
      <w:r w:rsidR="00E16237" w:rsidRPr="005F28B2">
        <w:rPr>
          <w:lang w:val="fr-FR"/>
        </w:rPr>
        <w:t>,</w:t>
      </w:r>
      <w:r w:rsidRPr="005F28B2">
        <w:rPr>
          <w:lang w:val="fr-FR"/>
        </w:rPr>
        <w:t xml:space="preserve"> doté de la personnalité morale et de l</w:t>
      </w:r>
      <w:r w:rsidR="00E16237" w:rsidRPr="005F28B2">
        <w:rPr>
          <w:lang w:val="fr-FR"/>
        </w:rPr>
        <w:t>’</w:t>
      </w:r>
      <w:r w:rsidRPr="005F28B2">
        <w:rPr>
          <w:lang w:val="fr-FR"/>
        </w:rPr>
        <w:t>autonomie financière</w:t>
      </w:r>
      <w:r w:rsidR="00E16237" w:rsidRPr="005F28B2">
        <w:rPr>
          <w:lang w:val="fr-FR"/>
        </w:rPr>
        <w:t>,</w:t>
      </w:r>
      <w:r w:rsidRPr="005F28B2">
        <w:rPr>
          <w:lang w:val="fr-FR"/>
        </w:rPr>
        <w:t xml:space="preserve"> qui ne reçoit d</w:t>
      </w:r>
      <w:r w:rsidR="00E16237" w:rsidRPr="005F28B2">
        <w:rPr>
          <w:lang w:val="fr-FR"/>
        </w:rPr>
        <w:t>’</w:t>
      </w:r>
      <w:r w:rsidRPr="005F28B2">
        <w:rPr>
          <w:lang w:val="fr-FR"/>
        </w:rPr>
        <w:t>instructions d</w:t>
      </w:r>
      <w:r w:rsidR="00E16237" w:rsidRPr="005F28B2">
        <w:rPr>
          <w:lang w:val="fr-FR"/>
        </w:rPr>
        <w:t>’</w:t>
      </w:r>
      <w:r w:rsidRPr="005F28B2">
        <w:rPr>
          <w:lang w:val="fr-FR"/>
        </w:rPr>
        <w:t>aucune autorité publique dans le cadre de l</w:t>
      </w:r>
      <w:r w:rsidR="00E16237" w:rsidRPr="005F28B2">
        <w:rPr>
          <w:lang w:val="fr-FR"/>
        </w:rPr>
        <w:t>’</w:t>
      </w:r>
      <w:r w:rsidRPr="005F28B2">
        <w:rPr>
          <w:lang w:val="fr-FR"/>
        </w:rPr>
        <w:t>exercice de ses fonctions. L</w:t>
      </w:r>
      <w:r w:rsidR="00E16237" w:rsidRPr="005F28B2">
        <w:rPr>
          <w:lang w:val="fr-FR"/>
        </w:rPr>
        <w:t>’</w:t>
      </w:r>
      <w:r w:rsidRPr="005F28B2">
        <w:rPr>
          <w:lang w:val="fr-FR"/>
        </w:rPr>
        <w:t>institution du Médiateur administratif dispose de quatre représentations régionales à Sousse</w:t>
      </w:r>
      <w:r w:rsidR="00E16237" w:rsidRPr="005F28B2">
        <w:rPr>
          <w:lang w:val="fr-FR"/>
        </w:rPr>
        <w:t>,</w:t>
      </w:r>
      <w:r w:rsidRPr="005F28B2">
        <w:rPr>
          <w:lang w:val="fr-FR"/>
        </w:rPr>
        <w:t xml:space="preserve"> Sfax</w:t>
      </w:r>
      <w:r w:rsidR="00E16237" w:rsidRPr="005F28B2">
        <w:rPr>
          <w:lang w:val="fr-FR"/>
        </w:rPr>
        <w:t>,</w:t>
      </w:r>
      <w:r w:rsidRPr="005F28B2">
        <w:rPr>
          <w:lang w:val="fr-FR"/>
        </w:rPr>
        <w:t xml:space="preserve"> Gafsa et Le Kef.</w:t>
      </w:r>
    </w:p>
    <w:p w:rsidR="009052AE" w:rsidRPr="005F28B2" w:rsidRDefault="00163041" w:rsidP="00FB05A9">
      <w:pPr>
        <w:pStyle w:val="SingleTxtG"/>
        <w:rPr>
          <w:rtl/>
          <w:lang w:val="fr-FR" w:bidi="fr-FR"/>
        </w:rPr>
      </w:pPr>
      <w:r w:rsidRPr="005F28B2">
        <w:rPr>
          <w:lang w:val="fr-FR"/>
        </w:rPr>
        <w:t>74.</w:t>
      </w:r>
      <w:r w:rsidRPr="005F28B2">
        <w:rPr>
          <w:lang w:val="fr-FR"/>
        </w:rPr>
        <w:tab/>
        <w:t>Afin de faciliter l</w:t>
      </w:r>
      <w:r w:rsidR="00E16237" w:rsidRPr="005F28B2">
        <w:rPr>
          <w:lang w:val="fr-FR"/>
        </w:rPr>
        <w:t>’</w:t>
      </w:r>
      <w:r w:rsidRPr="005F28B2">
        <w:rPr>
          <w:lang w:val="fr-FR"/>
        </w:rPr>
        <w:t>exercice de ses missions</w:t>
      </w:r>
      <w:r w:rsidR="00E16237" w:rsidRPr="005F28B2">
        <w:rPr>
          <w:lang w:val="fr-FR"/>
        </w:rPr>
        <w:t>,</w:t>
      </w:r>
      <w:r w:rsidRPr="005F28B2">
        <w:rPr>
          <w:lang w:val="fr-FR"/>
        </w:rPr>
        <w:t xml:space="preserve"> l</w:t>
      </w:r>
      <w:r w:rsidR="00E16237" w:rsidRPr="005F28B2">
        <w:rPr>
          <w:lang w:val="fr-FR"/>
        </w:rPr>
        <w:t>’</w:t>
      </w:r>
      <w:r w:rsidRPr="005F28B2">
        <w:rPr>
          <w:lang w:val="fr-FR"/>
        </w:rPr>
        <w:t>institution du Médiateur a été dotée de compétences étendues lui permettant d</w:t>
      </w:r>
      <w:r w:rsidR="00E16237" w:rsidRPr="005F28B2">
        <w:rPr>
          <w:lang w:val="fr-FR"/>
        </w:rPr>
        <w:t>’</w:t>
      </w:r>
      <w:r w:rsidRPr="005F28B2">
        <w:rPr>
          <w:lang w:val="fr-FR"/>
        </w:rPr>
        <w:t>intervenir</w:t>
      </w:r>
      <w:r w:rsidR="00E16237" w:rsidRPr="005F28B2">
        <w:rPr>
          <w:lang w:val="fr-FR"/>
        </w:rPr>
        <w:t>,</w:t>
      </w:r>
      <w:r w:rsidRPr="005F28B2">
        <w:rPr>
          <w:lang w:val="fr-FR"/>
        </w:rPr>
        <w:t xml:space="preserve"> au nom des citoyens</w:t>
      </w:r>
      <w:r w:rsidR="00E16237" w:rsidRPr="005F28B2">
        <w:rPr>
          <w:lang w:val="fr-FR"/>
        </w:rPr>
        <w:t>,</w:t>
      </w:r>
      <w:r w:rsidRPr="005F28B2">
        <w:rPr>
          <w:lang w:val="fr-FR"/>
        </w:rPr>
        <w:t xml:space="preserve"> auprès de l</w:t>
      </w:r>
      <w:r w:rsidR="00E16237" w:rsidRPr="005F28B2">
        <w:rPr>
          <w:lang w:val="fr-FR"/>
        </w:rPr>
        <w:t>’</w:t>
      </w:r>
      <w:r w:rsidRPr="005F28B2">
        <w:rPr>
          <w:lang w:val="fr-FR"/>
        </w:rPr>
        <w:t>administration</w:t>
      </w:r>
      <w:r w:rsidR="00E16237" w:rsidRPr="005F28B2">
        <w:rPr>
          <w:lang w:val="fr-FR"/>
        </w:rPr>
        <w:t>,</w:t>
      </w:r>
      <w:r w:rsidRPr="005F28B2">
        <w:rPr>
          <w:lang w:val="fr-FR"/>
        </w:rPr>
        <w:t xml:space="preserve"> des établissements publics et de tous les organismes chargés d</w:t>
      </w:r>
      <w:r w:rsidR="00E16237" w:rsidRPr="005F28B2">
        <w:rPr>
          <w:lang w:val="fr-FR"/>
        </w:rPr>
        <w:t>’</w:t>
      </w:r>
      <w:r w:rsidRPr="005F28B2">
        <w:rPr>
          <w:lang w:val="fr-FR"/>
        </w:rPr>
        <w:t>une mission de service public. Les citoyens peuvent recourir directement aux services du Médiateur administratif</w:t>
      </w:r>
      <w:r w:rsidR="00E16237" w:rsidRPr="005F28B2">
        <w:rPr>
          <w:lang w:val="fr-FR"/>
        </w:rPr>
        <w:t>,</w:t>
      </w:r>
      <w:r w:rsidRPr="005F28B2">
        <w:rPr>
          <w:lang w:val="fr-FR"/>
        </w:rPr>
        <w:t xml:space="preserve"> sans aucune formalité particulière et sans intermédiaire</w:t>
      </w:r>
      <w:r w:rsidR="00E16237" w:rsidRPr="005F28B2">
        <w:rPr>
          <w:lang w:val="fr-FR"/>
        </w:rPr>
        <w:t>,</w:t>
      </w:r>
      <w:r w:rsidRPr="005F28B2">
        <w:rPr>
          <w:lang w:val="fr-FR"/>
        </w:rPr>
        <w:t xml:space="preserve"> soit en se présentant dans l</w:t>
      </w:r>
      <w:r w:rsidR="00E16237" w:rsidRPr="005F28B2">
        <w:rPr>
          <w:lang w:val="fr-FR"/>
        </w:rPr>
        <w:t>’</w:t>
      </w:r>
      <w:r w:rsidRPr="005F28B2">
        <w:rPr>
          <w:lang w:val="fr-FR"/>
        </w:rPr>
        <w:t>un des locaux de cette institution</w:t>
      </w:r>
      <w:r w:rsidR="00E16237" w:rsidRPr="005F28B2">
        <w:rPr>
          <w:lang w:val="fr-FR"/>
        </w:rPr>
        <w:t>,</w:t>
      </w:r>
      <w:r w:rsidRPr="005F28B2">
        <w:rPr>
          <w:lang w:val="fr-FR"/>
        </w:rPr>
        <w:t xml:space="preserve"> soit par courrier postal</w:t>
      </w:r>
      <w:r w:rsidR="00E16237" w:rsidRPr="005F28B2">
        <w:rPr>
          <w:lang w:val="fr-FR"/>
        </w:rPr>
        <w:t>,</w:t>
      </w:r>
      <w:r w:rsidRPr="005F28B2">
        <w:rPr>
          <w:lang w:val="fr-FR"/>
        </w:rPr>
        <w:t xml:space="preserve"> télécopie ou courriel visant à faire intervenir le Médiateur administratif pour régler un quelconque problème engendré par le dysfonctionnement d</w:t>
      </w:r>
      <w:r w:rsidR="00E16237" w:rsidRPr="005F28B2">
        <w:rPr>
          <w:lang w:val="fr-FR"/>
        </w:rPr>
        <w:t>’</w:t>
      </w:r>
      <w:r w:rsidRPr="005F28B2">
        <w:rPr>
          <w:lang w:val="fr-FR"/>
        </w:rPr>
        <w:t>un service public</w:t>
      </w:r>
      <w:r w:rsidR="00E16237" w:rsidRPr="005F28B2">
        <w:rPr>
          <w:lang w:val="fr-FR"/>
        </w:rPr>
        <w:t>,</w:t>
      </w:r>
      <w:r w:rsidRPr="005F28B2">
        <w:rPr>
          <w:lang w:val="fr-FR"/>
        </w:rPr>
        <w:t xml:space="preserve"> lié à l</w:t>
      </w:r>
      <w:r w:rsidR="00E16237" w:rsidRPr="005F28B2">
        <w:rPr>
          <w:lang w:val="fr-FR"/>
        </w:rPr>
        <w:t>’</w:t>
      </w:r>
      <w:r w:rsidRPr="005F28B2">
        <w:rPr>
          <w:lang w:val="fr-FR"/>
        </w:rPr>
        <w:t>application d</w:t>
      </w:r>
      <w:r w:rsidR="00E16237" w:rsidRPr="005F28B2">
        <w:rPr>
          <w:lang w:val="fr-FR"/>
        </w:rPr>
        <w:t>’</w:t>
      </w:r>
      <w:r w:rsidRPr="005F28B2">
        <w:rPr>
          <w:lang w:val="fr-FR"/>
        </w:rPr>
        <w:t>une règle de droit</w:t>
      </w:r>
      <w:r w:rsidR="00E16237" w:rsidRPr="005F28B2">
        <w:rPr>
          <w:lang w:val="fr-FR"/>
        </w:rPr>
        <w:t>,</w:t>
      </w:r>
      <w:r w:rsidRPr="005F28B2">
        <w:rPr>
          <w:lang w:val="fr-FR"/>
        </w:rPr>
        <w:t xml:space="preserve"> à une situation de silence administratif ou à un retard dans la réponse à une demande émanant d</w:t>
      </w:r>
      <w:r w:rsidR="00E16237" w:rsidRPr="005F28B2">
        <w:rPr>
          <w:lang w:val="fr-FR"/>
        </w:rPr>
        <w:t>’</w:t>
      </w:r>
      <w:r w:rsidRPr="005F28B2">
        <w:rPr>
          <w:lang w:val="fr-FR"/>
        </w:rPr>
        <w:t>un citoyen. Afin de permettre au Médiateur administratif d</w:t>
      </w:r>
      <w:r w:rsidR="00E16237" w:rsidRPr="005F28B2">
        <w:rPr>
          <w:lang w:val="fr-FR"/>
        </w:rPr>
        <w:t>’</w:t>
      </w:r>
      <w:r w:rsidRPr="005F28B2">
        <w:rPr>
          <w:lang w:val="fr-FR"/>
        </w:rPr>
        <w:t>intervenir efficacement</w:t>
      </w:r>
      <w:r w:rsidR="00E16237" w:rsidRPr="005F28B2">
        <w:rPr>
          <w:lang w:val="fr-FR"/>
        </w:rPr>
        <w:t>,</w:t>
      </w:r>
      <w:r w:rsidRPr="005F28B2">
        <w:rPr>
          <w:lang w:val="fr-FR"/>
        </w:rPr>
        <w:t xml:space="preserve"> la loi soumet les ministres et toutes les autorités administratives à l</w:t>
      </w:r>
      <w:r w:rsidR="00E16237" w:rsidRPr="005F28B2">
        <w:rPr>
          <w:lang w:val="fr-FR"/>
        </w:rPr>
        <w:t>’</w:t>
      </w:r>
      <w:r w:rsidRPr="005F28B2">
        <w:rPr>
          <w:lang w:val="fr-FR"/>
        </w:rPr>
        <w:t>obligation de faciliter l</w:t>
      </w:r>
      <w:r w:rsidR="00E16237" w:rsidRPr="005F28B2">
        <w:rPr>
          <w:lang w:val="fr-FR"/>
        </w:rPr>
        <w:t>’</w:t>
      </w:r>
      <w:r w:rsidRPr="005F28B2">
        <w:rPr>
          <w:lang w:val="fr-FR"/>
        </w:rPr>
        <w:t>exercice de ses missions</w:t>
      </w:r>
      <w:r w:rsidR="00E16237" w:rsidRPr="005F28B2">
        <w:rPr>
          <w:lang w:val="fr-FR"/>
        </w:rPr>
        <w:t>,</w:t>
      </w:r>
      <w:r w:rsidRPr="005F28B2">
        <w:rPr>
          <w:lang w:val="fr-FR"/>
        </w:rPr>
        <w:t xml:space="preserve"> et ce</w:t>
      </w:r>
      <w:r w:rsidR="00E16237" w:rsidRPr="005F28B2">
        <w:rPr>
          <w:lang w:val="fr-FR"/>
        </w:rPr>
        <w:t>,</w:t>
      </w:r>
      <w:r w:rsidRPr="005F28B2">
        <w:rPr>
          <w:lang w:val="fr-FR"/>
        </w:rPr>
        <w:t xml:space="preserve"> en désignant parmi leurs cadres supérieurs un coordinateur chargé de traiter les plaintes</w:t>
      </w:r>
      <w:r w:rsidR="00E16237" w:rsidRPr="005F28B2">
        <w:rPr>
          <w:lang w:val="fr-FR"/>
        </w:rPr>
        <w:t>,</w:t>
      </w:r>
      <w:r w:rsidRPr="005F28B2">
        <w:rPr>
          <w:lang w:val="fr-FR"/>
        </w:rPr>
        <w:t xml:space="preserve"> en autorisant les agents placés sous leur autorité à répondre aux questions et</w:t>
      </w:r>
      <w:r w:rsidR="00E16237" w:rsidRPr="005F28B2">
        <w:rPr>
          <w:lang w:val="fr-FR"/>
        </w:rPr>
        <w:t>,</w:t>
      </w:r>
      <w:r w:rsidRPr="005F28B2">
        <w:rPr>
          <w:lang w:val="fr-FR"/>
        </w:rPr>
        <w:t xml:space="preserve"> éventuellement</w:t>
      </w:r>
      <w:r w:rsidR="00E16237" w:rsidRPr="005F28B2">
        <w:rPr>
          <w:lang w:val="fr-FR"/>
        </w:rPr>
        <w:t>,</w:t>
      </w:r>
      <w:r w:rsidRPr="005F28B2">
        <w:rPr>
          <w:lang w:val="fr-FR"/>
        </w:rPr>
        <w:t xml:space="preserve"> aux convocations du Médiateur et en adressant des instructions aux corps de contrôle placés sous leurs ordres pour qu</w:t>
      </w:r>
      <w:r w:rsidR="00E16237" w:rsidRPr="005F28B2">
        <w:rPr>
          <w:lang w:val="fr-FR"/>
        </w:rPr>
        <w:t>’</w:t>
      </w:r>
      <w:r w:rsidRPr="005F28B2">
        <w:rPr>
          <w:lang w:val="fr-FR"/>
        </w:rPr>
        <w:t>ils procèdent</w:t>
      </w:r>
      <w:r w:rsidR="00E16237" w:rsidRPr="005F28B2">
        <w:rPr>
          <w:lang w:val="fr-FR"/>
        </w:rPr>
        <w:t>,</w:t>
      </w:r>
      <w:r w:rsidRPr="005F28B2">
        <w:rPr>
          <w:lang w:val="fr-FR"/>
        </w:rPr>
        <w:t xml:space="preserve"> dans la limite de leurs compétences</w:t>
      </w:r>
      <w:r w:rsidR="00E16237" w:rsidRPr="005F28B2">
        <w:rPr>
          <w:lang w:val="fr-FR"/>
        </w:rPr>
        <w:t>,</w:t>
      </w:r>
      <w:r w:rsidRPr="005F28B2">
        <w:rPr>
          <w:lang w:val="fr-FR"/>
        </w:rPr>
        <w:t xml:space="preserve"> aux vérifications et enquêtes demandées par ce dernier. Le</w:t>
      </w:r>
      <w:r w:rsidR="00D22E11" w:rsidRPr="005F28B2">
        <w:rPr>
          <w:lang w:val="fr-FR" w:bidi="ar-TN"/>
        </w:rPr>
        <w:t> </w:t>
      </w:r>
      <w:r w:rsidRPr="005F28B2">
        <w:rPr>
          <w:lang w:val="fr-FR"/>
        </w:rPr>
        <w:t>Médiateur administratif émet toutes les recommandations qui lui paraissent susceptibles de régler les questions dont il est saisi et peut</w:t>
      </w:r>
      <w:r w:rsidR="00E16237" w:rsidRPr="005F28B2">
        <w:rPr>
          <w:lang w:val="fr-FR"/>
        </w:rPr>
        <w:t>,</w:t>
      </w:r>
      <w:r w:rsidRPr="005F28B2">
        <w:rPr>
          <w:lang w:val="fr-FR"/>
        </w:rPr>
        <w:t xml:space="preserve"> lorsqu</w:t>
      </w:r>
      <w:r w:rsidR="00E16237" w:rsidRPr="005F28B2">
        <w:rPr>
          <w:lang w:val="fr-FR"/>
        </w:rPr>
        <w:t>’</w:t>
      </w:r>
      <w:r w:rsidRPr="005F28B2">
        <w:rPr>
          <w:lang w:val="fr-FR"/>
        </w:rPr>
        <w:t>il ne parvient pas à trouver une solution au problème posé</w:t>
      </w:r>
      <w:r w:rsidR="00E16237" w:rsidRPr="005F28B2">
        <w:rPr>
          <w:lang w:val="fr-FR"/>
        </w:rPr>
        <w:t>,</w:t>
      </w:r>
      <w:r w:rsidRPr="005F28B2">
        <w:rPr>
          <w:lang w:val="fr-FR"/>
        </w:rPr>
        <w:t xml:space="preserve"> saisir le Président de la République par le biais d</w:t>
      </w:r>
      <w:r w:rsidR="00E16237" w:rsidRPr="005F28B2">
        <w:rPr>
          <w:lang w:val="fr-FR"/>
        </w:rPr>
        <w:t>’</w:t>
      </w:r>
      <w:r w:rsidRPr="005F28B2">
        <w:rPr>
          <w:lang w:val="fr-FR"/>
        </w:rPr>
        <w:t xml:space="preserve">un rapport accompagné de ses propositions. </w:t>
      </w:r>
    </w:p>
    <w:p w:rsidR="009052AE" w:rsidRPr="005F28B2" w:rsidRDefault="00163041" w:rsidP="00FB05A9">
      <w:pPr>
        <w:pStyle w:val="H1G"/>
        <w:rPr>
          <w:rtl/>
          <w:lang w:val="fr-FR" w:bidi="fr-FR"/>
        </w:rPr>
      </w:pPr>
      <w:r w:rsidRPr="005F28B2">
        <w:rPr>
          <w:lang w:val="fr-FR"/>
        </w:rPr>
        <w:tab/>
      </w:r>
      <w:bookmarkStart w:id="40" w:name="_Toc478218514"/>
      <w:r w:rsidRPr="005F28B2">
        <w:rPr>
          <w:lang w:val="fr-FR"/>
        </w:rPr>
        <w:t>2.</w:t>
      </w:r>
      <w:r w:rsidRPr="005F28B2">
        <w:rPr>
          <w:lang w:val="fr-FR"/>
        </w:rPr>
        <w:tab/>
        <w:t>Cadre général de la promotion des droits de l</w:t>
      </w:r>
      <w:r w:rsidR="00E16237" w:rsidRPr="005F28B2">
        <w:rPr>
          <w:lang w:val="fr-FR"/>
        </w:rPr>
        <w:t>’</w:t>
      </w:r>
      <w:r w:rsidRPr="005F28B2">
        <w:rPr>
          <w:lang w:val="fr-FR"/>
        </w:rPr>
        <w:t>homme</w:t>
      </w:r>
      <w:bookmarkEnd w:id="40"/>
    </w:p>
    <w:p w:rsidR="009052AE" w:rsidRPr="005F28B2" w:rsidRDefault="00163041" w:rsidP="00FB05A9">
      <w:pPr>
        <w:pStyle w:val="H23G"/>
        <w:rPr>
          <w:rtl/>
          <w:lang w:val="fr-FR" w:bidi="fr-FR"/>
        </w:rPr>
      </w:pPr>
      <w:r w:rsidRPr="005F28B2">
        <w:rPr>
          <w:lang w:val="fr-FR"/>
        </w:rPr>
        <w:tab/>
      </w:r>
      <w:bookmarkStart w:id="41" w:name="_Toc478218515"/>
      <w:r w:rsidRPr="005F28B2">
        <w:rPr>
          <w:lang w:val="fr-FR"/>
        </w:rPr>
        <w:tab/>
        <w:t>Le rôle de l</w:t>
      </w:r>
      <w:r w:rsidR="00E16237" w:rsidRPr="005F28B2">
        <w:rPr>
          <w:lang w:val="fr-FR"/>
        </w:rPr>
        <w:t>’</w:t>
      </w:r>
      <w:r w:rsidRPr="005F28B2">
        <w:rPr>
          <w:lang w:val="fr-FR"/>
        </w:rPr>
        <w:t>Assemblée des représentants du peuple</w:t>
      </w:r>
      <w:bookmarkEnd w:id="41"/>
    </w:p>
    <w:p w:rsidR="009052AE" w:rsidRPr="005F28B2" w:rsidRDefault="00163041" w:rsidP="00FB05A9">
      <w:pPr>
        <w:pStyle w:val="SingleTxtG"/>
        <w:rPr>
          <w:rtl/>
          <w:lang w:val="fr-FR" w:bidi="fr-FR"/>
        </w:rPr>
      </w:pPr>
      <w:r w:rsidRPr="005F28B2">
        <w:rPr>
          <w:lang w:val="fr-FR"/>
        </w:rPr>
        <w:t>75.</w:t>
      </w:r>
      <w:r w:rsidRPr="005F28B2">
        <w:rPr>
          <w:lang w:val="fr-FR"/>
        </w:rPr>
        <w:tab/>
        <w:t>La Tunisie est un État unitaire doté d</w:t>
      </w:r>
      <w:r w:rsidR="00E16237" w:rsidRPr="005F28B2">
        <w:rPr>
          <w:lang w:val="fr-FR"/>
        </w:rPr>
        <w:t>’</w:t>
      </w:r>
      <w:r w:rsidRPr="005F28B2">
        <w:rPr>
          <w:lang w:val="fr-FR"/>
        </w:rPr>
        <w:t>un système politique et administratif centralisé où le pouvoir législatif appartient à l</w:t>
      </w:r>
      <w:r w:rsidR="00E16237" w:rsidRPr="005F28B2">
        <w:rPr>
          <w:lang w:val="fr-FR"/>
        </w:rPr>
        <w:t>’</w:t>
      </w:r>
      <w:r w:rsidRPr="005F28B2">
        <w:rPr>
          <w:lang w:val="fr-FR"/>
        </w:rPr>
        <w:t>Assemblée des représentants du peuple</w:t>
      </w:r>
      <w:r w:rsidR="00E16237" w:rsidRPr="005F28B2">
        <w:rPr>
          <w:lang w:val="fr-FR"/>
        </w:rPr>
        <w:t>,</w:t>
      </w:r>
      <w:r w:rsidRPr="005F28B2">
        <w:rPr>
          <w:lang w:val="fr-FR"/>
        </w:rPr>
        <w:t xml:space="preserve"> qui est un parlement monocaméral. L</w:t>
      </w:r>
      <w:r w:rsidR="00E16237" w:rsidRPr="005F28B2">
        <w:rPr>
          <w:lang w:val="fr-FR"/>
        </w:rPr>
        <w:t>’</w:t>
      </w:r>
      <w:r w:rsidRPr="005F28B2">
        <w:rPr>
          <w:lang w:val="fr-FR"/>
        </w:rPr>
        <w:t>Assemblée crée des commissions permanentes et d</w:t>
      </w:r>
      <w:r w:rsidR="00E16237" w:rsidRPr="005F28B2">
        <w:rPr>
          <w:lang w:val="fr-FR"/>
        </w:rPr>
        <w:t>’</w:t>
      </w:r>
      <w:r w:rsidRPr="005F28B2">
        <w:rPr>
          <w:lang w:val="fr-FR"/>
        </w:rPr>
        <w:t>autres spécialisées. Elle peut</w:t>
      </w:r>
      <w:r w:rsidR="00E16237" w:rsidRPr="005F28B2">
        <w:rPr>
          <w:lang w:val="fr-FR"/>
        </w:rPr>
        <w:t>,</w:t>
      </w:r>
      <w:r w:rsidRPr="005F28B2">
        <w:rPr>
          <w:lang w:val="fr-FR"/>
        </w:rPr>
        <w:t xml:space="preserve"> le cas échéant</w:t>
      </w:r>
      <w:r w:rsidR="00E16237" w:rsidRPr="005F28B2">
        <w:rPr>
          <w:lang w:val="fr-FR"/>
        </w:rPr>
        <w:t>,</w:t>
      </w:r>
      <w:r w:rsidRPr="005F28B2">
        <w:rPr>
          <w:lang w:val="fr-FR"/>
        </w:rPr>
        <w:t xml:space="preserve"> créer des commissions d</w:t>
      </w:r>
      <w:r w:rsidR="00E16237" w:rsidRPr="005F28B2">
        <w:rPr>
          <w:lang w:val="fr-FR"/>
        </w:rPr>
        <w:t>’</w:t>
      </w:r>
      <w:r w:rsidRPr="005F28B2">
        <w:rPr>
          <w:lang w:val="fr-FR"/>
        </w:rPr>
        <w:t>enquête. Parmi les principales commissions permanentes chargées de l</w:t>
      </w:r>
      <w:r w:rsidR="00E16237" w:rsidRPr="005F28B2">
        <w:rPr>
          <w:lang w:val="fr-FR"/>
        </w:rPr>
        <w:t>’</w:t>
      </w:r>
      <w:r w:rsidRPr="005F28B2">
        <w:rPr>
          <w:lang w:val="fr-FR"/>
        </w:rPr>
        <w:t>examen des projets de lois relatifs aux droits de l</w:t>
      </w:r>
      <w:r w:rsidR="00E16237" w:rsidRPr="005F28B2">
        <w:rPr>
          <w:lang w:val="fr-FR"/>
        </w:rPr>
        <w:t>’</w:t>
      </w:r>
      <w:r w:rsidRPr="005F28B2">
        <w:rPr>
          <w:lang w:val="fr-FR"/>
        </w:rPr>
        <w:t>homme figure la « Commission des droits et libertés et des relations extérieures »</w:t>
      </w:r>
      <w:r w:rsidR="00E16237" w:rsidRPr="005F28B2">
        <w:rPr>
          <w:lang w:val="fr-FR"/>
        </w:rPr>
        <w:t>,</w:t>
      </w:r>
      <w:r w:rsidRPr="005F28B2">
        <w:rPr>
          <w:lang w:val="fr-FR"/>
        </w:rPr>
        <w:t xml:space="preserve"> qui se penche sur les projets de textes en matière de droits de l</w:t>
      </w:r>
      <w:r w:rsidR="00E16237" w:rsidRPr="005F28B2">
        <w:rPr>
          <w:lang w:val="fr-FR"/>
        </w:rPr>
        <w:t>’</w:t>
      </w:r>
      <w:r w:rsidRPr="005F28B2">
        <w:rPr>
          <w:lang w:val="fr-FR"/>
        </w:rPr>
        <w:t>homme et de libertés publiques et individuelles avant délibération en séance plénière et approbation conformément aux règles et procédures prévues par la Constitution à cet effet</w:t>
      </w:r>
      <w:r w:rsidR="00E16237" w:rsidRPr="005F28B2">
        <w:rPr>
          <w:lang w:val="fr-FR"/>
        </w:rPr>
        <w:t>,</w:t>
      </w:r>
      <w:r w:rsidRPr="005F28B2">
        <w:rPr>
          <w:lang w:val="fr-FR"/>
        </w:rPr>
        <w:t xml:space="preserve"> qui classe les textes en lois organiques et ordinaires. L</w:t>
      </w:r>
      <w:r w:rsidR="00E16237" w:rsidRPr="005F28B2">
        <w:rPr>
          <w:lang w:val="fr-FR"/>
        </w:rPr>
        <w:t>’</w:t>
      </w:r>
      <w:r w:rsidRPr="005F28B2">
        <w:rPr>
          <w:lang w:val="fr-FR"/>
        </w:rPr>
        <w:t>Assemblée des représentants du peuple adopte les projets de lois organiques à la majorité absolue de ses membres et les projets de lois ordinaires à la majorité des membres présents</w:t>
      </w:r>
      <w:r w:rsidR="00E16237" w:rsidRPr="005F28B2">
        <w:rPr>
          <w:lang w:val="fr-FR"/>
        </w:rPr>
        <w:t>,</w:t>
      </w:r>
      <w:r w:rsidRPr="005F28B2">
        <w:rPr>
          <w:lang w:val="fr-FR"/>
        </w:rPr>
        <w:t xml:space="preserve"> lesquels ne doivent pas être inférieurs au tiers des membres de l</w:t>
      </w:r>
      <w:r w:rsidR="00E16237" w:rsidRPr="005F28B2">
        <w:rPr>
          <w:lang w:val="fr-FR"/>
        </w:rPr>
        <w:t>’</w:t>
      </w:r>
      <w:r w:rsidRPr="005F28B2">
        <w:rPr>
          <w:lang w:val="fr-FR"/>
        </w:rPr>
        <w:t>Assemblée. Les projets de lois organiques ne peuvent être soumis à la délibération en séance plénière qu</w:t>
      </w:r>
      <w:r w:rsidR="00E16237" w:rsidRPr="005F28B2">
        <w:rPr>
          <w:lang w:val="fr-FR"/>
        </w:rPr>
        <w:t>’</w:t>
      </w:r>
      <w:r w:rsidRPr="005F28B2">
        <w:rPr>
          <w:lang w:val="fr-FR"/>
        </w:rPr>
        <w:t>à l</w:t>
      </w:r>
      <w:r w:rsidR="00E16237" w:rsidRPr="005F28B2">
        <w:rPr>
          <w:lang w:val="fr-FR"/>
        </w:rPr>
        <w:t>’</w:t>
      </w:r>
      <w:r w:rsidRPr="005F28B2">
        <w:rPr>
          <w:lang w:val="fr-FR"/>
        </w:rPr>
        <w:t>expiration d</w:t>
      </w:r>
      <w:r w:rsidR="00E16237" w:rsidRPr="005F28B2">
        <w:rPr>
          <w:lang w:val="fr-FR"/>
        </w:rPr>
        <w:t>’</w:t>
      </w:r>
      <w:r w:rsidRPr="005F28B2">
        <w:rPr>
          <w:lang w:val="fr-FR"/>
        </w:rPr>
        <w:t>un délai de quinze jours suivant leur transmission à la commission parlementaire compétente. Sont notamment adoptés sous forme de lois organiques les textes relatifs à l</w:t>
      </w:r>
      <w:r w:rsidR="00E16237" w:rsidRPr="005F28B2">
        <w:rPr>
          <w:lang w:val="fr-FR"/>
        </w:rPr>
        <w:t>’</w:t>
      </w:r>
      <w:r w:rsidRPr="005F28B2">
        <w:rPr>
          <w:lang w:val="fr-FR"/>
        </w:rPr>
        <w:t>approbation des traités</w:t>
      </w:r>
      <w:r w:rsidR="00E16237" w:rsidRPr="005F28B2">
        <w:rPr>
          <w:lang w:val="fr-FR"/>
        </w:rPr>
        <w:t>,</w:t>
      </w:r>
      <w:r w:rsidRPr="005F28B2">
        <w:rPr>
          <w:lang w:val="fr-FR"/>
        </w:rPr>
        <w:t xml:space="preserve"> à l</w:t>
      </w:r>
      <w:r w:rsidR="00E16237" w:rsidRPr="005F28B2">
        <w:rPr>
          <w:lang w:val="fr-FR"/>
        </w:rPr>
        <w:t>’</w:t>
      </w:r>
      <w:r w:rsidRPr="005F28B2">
        <w:rPr>
          <w:lang w:val="fr-FR"/>
        </w:rPr>
        <w:t xml:space="preserve">organisation de la </w:t>
      </w:r>
      <w:r w:rsidRPr="005F28B2">
        <w:rPr>
          <w:lang w:val="fr-FR"/>
        </w:rPr>
        <w:lastRenderedPageBreak/>
        <w:t>justice et de la magistrature</w:t>
      </w:r>
      <w:r w:rsidR="00E16237" w:rsidRPr="005F28B2">
        <w:rPr>
          <w:lang w:val="fr-FR"/>
        </w:rPr>
        <w:t>,</w:t>
      </w:r>
      <w:r w:rsidRPr="005F28B2">
        <w:rPr>
          <w:lang w:val="fr-FR"/>
        </w:rPr>
        <w:t xml:space="preserve"> à la réglementation de l</w:t>
      </w:r>
      <w:r w:rsidR="00E16237" w:rsidRPr="005F28B2">
        <w:rPr>
          <w:lang w:val="fr-FR"/>
        </w:rPr>
        <w:t>’</w:t>
      </w:r>
      <w:r w:rsidRPr="005F28B2">
        <w:rPr>
          <w:lang w:val="fr-FR"/>
        </w:rPr>
        <w:t>information</w:t>
      </w:r>
      <w:r w:rsidR="00E16237" w:rsidRPr="005F28B2">
        <w:rPr>
          <w:lang w:val="fr-FR"/>
        </w:rPr>
        <w:t>,</w:t>
      </w:r>
      <w:r w:rsidRPr="005F28B2">
        <w:rPr>
          <w:lang w:val="fr-FR"/>
        </w:rPr>
        <w:t xml:space="preserve"> de la presse et de l</w:t>
      </w:r>
      <w:r w:rsidR="00E16237" w:rsidRPr="005F28B2">
        <w:rPr>
          <w:lang w:val="fr-FR"/>
        </w:rPr>
        <w:t>’</w:t>
      </w:r>
      <w:r w:rsidRPr="005F28B2">
        <w:rPr>
          <w:lang w:val="fr-FR"/>
        </w:rPr>
        <w:t>édition</w:t>
      </w:r>
      <w:r w:rsidR="00E16237" w:rsidRPr="005F28B2">
        <w:rPr>
          <w:lang w:val="fr-FR"/>
        </w:rPr>
        <w:t>,</w:t>
      </w:r>
      <w:r w:rsidRPr="005F28B2">
        <w:rPr>
          <w:lang w:val="fr-FR"/>
        </w:rPr>
        <w:t xml:space="preserve"> à l</w:t>
      </w:r>
      <w:r w:rsidR="00E16237" w:rsidRPr="005F28B2">
        <w:rPr>
          <w:lang w:val="fr-FR"/>
        </w:rPr>
        <w:t>’</w:t>
      </w:r>
      <w:r w:rsidRPr="005F28B2">
        <w:rPr>
          <w:lang w:val="fr-FR"/>
        </w:rPr>
        <w:t>organisation et au financement des partis politiques</w:t>
      </w:r>
      <w:r w:rsidR="00E16237" w:rsidRPr="005F28B2">
        <w:rPr>
          <w:lang w:val="fr-FR"/>
        </w:rPr>
        <w:t>,</w:t>
      </w:r>
      <w:r w:rsidRPr="005F28B2">
        <w:rPr>
          <w:lang w:val="fr-FR"/>
        </w:rPr>
        <w:t xml:space="preserve"> des syndicats</w:t>
      </w:r>
      <w:r w:rsidR="00E16237" w:rsidRPr="005F28B2">
        <w:rPr>
          <w:lang w:val="fr-FR"/>
        </w:rPr>
        <w:t>,</w:t>
      </w:r>
      <w:r w:rsidRPr="005F28B2">
        <w:rPr>
          <w:lang w:val="fr-FR"/>
        </w:rPr>
        <w:t xml:space="preserve"> des associations</w:t>
      </w:r>
      <w:r w:rsidR="00E16237" w:rsidRPr="005F28B2">
        <w:rPr>
          <w:lang w:val="fr-FR"/>
        </w:rPr>
        <w:t>,</w:t>
      </w:r>
      <w:r w:rsidRPr="005F28B2">
        <w:rPr>
          <w:lang w:val="fr-FR"/>
        </w:rPr>
        <w:t xml:space="preserve"> des organisations et ordres professionnels</w:t>
      </w:r>
      <w:r w:rsidR="00E16237" w:rsidRPr="005F28B2">
        <w:rPr>
          <w:lang w:val="fr-FR"/>
        </w:rPr>
        <w:t>,</w:t>
      </w:r>
      <w:r w:rsidRPr="005F28B2">
        <w:rPr>
          <w:lang w:val="fr-FR"/>
        </w:rPr>
        <w:t xml:space="preserve"> au régime électoral</w:t>
      </w:r>
      <w:r w:rsidR="00E16237" w:rsidRPr="005F28B2">
        <w:rPr>
          <w:lang w:val="fr-FR"/>
        </w:rPr>
        <w:t>,</w:t>
      </w:r>
      <w:r w:rsidRPr="005F28B2">
        <w:rPr>
          <w:lang w:val="fr-FR"/>
        </w:rPr>
        <w:t xml:space="preserve"> aux libertés et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au statut personnel</w:t>
      </w:r>
      <w:r w:rsidR="00E16237" w:rsidRPr="005F28B2">
        <w:rPr>
          <w:lang w:val="fr-FR"/>
        </w:rPr>
        <w:t>,</w:t>
      </w:r>
      <w:r w:rsidRPr="005F28B2">
        <w:rPr>
          <w:lang w:val="fr-FR"/>
        </w:rPr>
        <w:t xml:space="preserve"> aux devoirs fondamentaux de la citoyenneté</w:t>
      </w:r>
      <w:r w:rsidR="00E16237" w:rsidRPr="005F28B2">
        <w:rPr>
          <w:lang w:val="fr-FR"/>
        </w:rPr>
        <w:t>,</w:t>
      </w:r>
      <w:r w:rsidRPr="005F28B2">
        <w:rPr>
          <w:lang w:val="fr-FR"/>
        </w:rPr>
        <w:t xml:space="preserve"> au pouvoir local</w:t>
      </w:r>
      <w:r w:rsidR="00E16237" w:rsidRPr="005F28B2">
        <w:rPr>
          <w:lang w:val="fr-FR"/>
        </w:rPr>
        <w:t>,</w:t>
      </w:r>
      <w:r w:rsidRPr="005F28B2">
        <w:rPr>
          <w:lang w:val="fr-FR"/>
        </w:rPr>
        <w:t xml:space="preserve"> à l</w:t>
      </w:r>
      <w:r w:rsidR="00E16237" w:rsidRPr="005F28B2">
        <w:rPr>
          <w:lang w:val="fr-FR"/>
        </w:rPr>
        <w:t>’</w:t>
      </w:r>
      <w:r w:rsidRPr="005F28B2">
        <w:rPr>
          <w:lang w:val="fr-FR"/>
        </w:rPr>
        <w:t>organisation des instances constitutionnelles et à la loi organique du budget. Dans la mesure où ils doivent prendre la forme de lois organiques</w:t>
      </w:r>
      <w:r w:rsidR="00E16237" w:rsidRPr="005F28B2">
        <w:rPr>
          <w:lang w:val="fr-FR"/>
        </w:rPr>
        <w:t>,</w:t>
      </w:r>
      <w:r w:rsidRPr="005F28B2">
        <w:rPr>
          <w:lang w:val="fr-FR"/>
        </w:rPr>
        <w:t xml:space="preserve"> les projets de textes régissant les droits et libertés sont soumis à des procédures précises. Il est attendu que le pouvoir local</w:t>
      </w:r>
      <w:r w:rsidR="00E16237" w:rsidRPr="005F28B2">
        <w:rPr>
          <w:lang w:val="fr-FR"/>
        </w:rPr>
        <w:t>,</w:t>
      </w:r>
      <w:r w:rsidRPr="005F28B2">
        <w:rPr>
          <w:lang w:val="fr-FR"/>
        </w:rPr>
        <w:t xml:space="preserve"> objet du Chapitre</w:t>
      </w:r>
      <w:r w:rsidR="0081107A" w:rsidRPr="005F28B2">
        <w:rPr>
          <w:lang w:val="fr-FR"/>
        </w:rPr>
        <w:t> </w:t>
      </w:r>
      <w:r w:rsidRPr="005F28B2">
        <w:rPr>
          <w:lang w:val="fr-FR"/>
        </w:rPr>
        <w:t>VII de la Constitution de 2014</w:t>
      </w:r>
      <w:r w:rsidR="00E16237" w:rsidRPr="005F28B2">
        <w:rPr>
          <w:lang w:val="fr-FR"/>
        </w:rPr>
        <w:t>,</w:t>
      </w:r>
      <w:r w:rsidRPr="005F28B2">
        <w:rPr>
          <w:lang w:val="fr-FR"/>
        </w:rPr>
        <w:t xml:space="preserve"> joue un rôle important en matière de protection et de promotion des droits de l</w:t>
      </w:r>
      <w:r w:rsidR="00E16237" w:rsidRPr="005F28B2">
        <w:rPr>
          <w:lang w:val="fr-FR"/>
        </w:rPr>
        <w:t>’</w:t>
      </w:r>
      <w:r w:rsidRPr="005F28B2">
        <w:rPr>
          <w:lang w:val="fr-FR"/>
        </w:rPr>
        <w:t>homme après la mise en place des autorités décentralisées</w:t>
      </w:r>
      <w:r w:rsidR="00E16237" w:rsidRPr="005F28B2">
        <w:rPr>
          <w:lang w:val="fr-FR"/>
        </w:rPr>
        <w:t>,</w:t>
      </w:r>
      <w:r w:rsidRPr="005F28B2">
        <w:rPr>
          <w:lang w:val="fr-FR"/>
        </w:rPr>
        <w:t xml:space="preserve"> dans toute la mesure où les collectivités locales sont appelées à adopter les mécanismes de la démocratie participative. </w:t>
      </w:r>
    </w:p>
    <w:p w:rsidR="009052AE" w:rsidRPr="005F28B2" w:rsidRDefault="00163041" w:rsidP="00FB05A9">
      <w:pPr>
        <w:pStyle w:val="H23G"/>
        <w:rPr>
          <w:rtl/>
          <w:lang w:val="fr-FR" w:bidi="fr-FR"/>
        </w:rPr>
      </w:pPr>
      <w:r w:rsidRPr="005F28B2">
        <w:rPr>
          <w:lang w:val="fr-FR"/>
        </w:rPr>
        <w:tab/>
      </w:r>
      <w:bookmarkStart w:id="42" w:name="_Toc478218516"/>
      <w:r w:rsidRPr="005F28B2">
        <w:rPr>
          <w:lang w:val="fr-FR"/>
        </w:rPr>
        <w:tab/>
        <w:t>L</w:t>
      </w:r>
      <w:r w:rsidR="00E16237" w:rsidRPr="005F28B2">
        <w:rPr>
          <w:lang w:val="fr-FR"/>
        </w:rPr>
        <w:t>’</w:t>
      </w:r>
      <w:r w:rsidRPr="005F28B2">
        <w:rPr>
          <w:lang w:val="fr-FR"/>
        </w:rPr>
        <w:t>instance nationale des droits de l</w:t>
      </w:r>
      <w:r w:rsidR="00E16237" w:rsidRPr="005F28B2">
        <w:rPr>
          <w:lang w:val="fr-FR"/>
        </w:rPr>
        <w:t>’</w:t>
      </w:r>
      <w:r w:rsidRPr="005F28B2">
        <w:rPr>
          <w:lang w:val="fr-FR"/>
        </w:rPr>
        <w:t xml:space="preserve">homme : le Comité des droits de </w:t>
      </w:r>
      <w:r w:rsidR="00D14DB4" w:rsidRPr="005F28B2">
        <w:rPr>
          <w:lang w:val="fr-FR"/>
        </w:rPr>
        <w:t>l’</w:t>
      </w:r>
      <w:r w:rsidR="005F28B2" w:rsidRPr="005F28B2">
        <w:rPr>
          <w:lang w:val="fr-FR"/>
        </w:rPr>
        <w:t>H</w:t>
      </w:r>
      <w:r w:rsidR="00D14DB4" w:rsidRPr="005F28B2">
        <w:rPr>
          <w:lang w:val="fr-FR"/>
        </w:rPr>
        <w:t>omme</w:t>
      </w:r>
      <w:bookmarkEnd w:id="42"/>
    </w:p>
    <w:p w:rsidR="009052AE" w:rsidRPr="005F28B2" w:rsidRDefault="00163041" w:rsidP="00FB05A9">
      <w:pPr>
        <w:pStyle w:val="SingleTxtG"/>
        <w:rPr>
          <w:rtl/>
          <w:lang w:val="fr-FR" w:bidi="fr-FR"/>
        </w:rPr>
      </w:pPr>
      <w:r w:rsidRPr="005F28B2">
        <w:rPr>
          <w:lang w:val="fr-FR"/>
        </w:rPr>
        <w:t>76.</w:t>
      </w:r>
      <w:r w:rsidRPr="005F28B2">
        <w:rPr>
          <w:lang w:val="fr-FR"/>
        </w:rPr>
        <w:tab/>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2008-37 du 16 juin 2008 relative au Comité supérieur des droits de l</w:t>
      </w:r>
      <w:r w:rsidR="00E16237" w:rsidRPr="005F28B2">
        <w:rPr>
          <w:lang w:val="fr-FR"/>
        </w:rPr>
        <w:t>’</w:t>
      </w:r>
      <w:r w:rsidRPr="005F28B2">
        <w:rPr>
          <w:lang w:val="fr-FR"/>
        </w:rPr>
        <w:t>homme et des libertés fondamentales a désigné cette entité comme institution nationale chargée de cette question et l</w:t>
      </w:r>
      <w:r w:rsidR="00E16237" w:rsidRPr="005F28B2">
        <w:rPr>
          <w:lang w:val="fr-FR"/>
        </w:rPr>
        <w:t>’</w:t>
      </w:r>
      <w:r w:rsidRPr="005F28B2">
        <w:rPr>
          <w:lang w:val="fr-FR"/>
        </w:rPr>
        <w:t>a dotée à cet effet de la personnalité juridique et de l</w:t>
      </w:r>
      <w:r w:rsidR="00E16237" w:rsidRPr="005F28B2">
        <w:rPr>
          <w:lang w:val="fr-FR"/>
        </w:rPr>
        <w:t>’</w:t>
      </w:r>
      <w:r w:rsidRPr="005F28B2">
        <w:rPr>
          <w:lang w:val="fr-FR"/>
        </w:rPr>
        <w:t>autonomie financière. Cependant</w:t>
      </w:r>
      <w:r w:rsidR="00E16237" w:rsidRPr="005F28B2">
        <w:rPr>
          <w:lang w:val="fr-FR"/>
        </w:rPr>
        <w:t>,</w:t>
      </w:r>
      <w:r w:rsidRPr="005F28B2">
        <w:rPr>
          <w:lang w:val="fr-FR"/>
        </w:rPr>
        <w:t xml:space="preserve"> la révolution tunisienne a mis en évidence les lacunes structurelles de cet organe</w:t>
      </w:r>
      <w:r w:rsidR="00E16237" w:rsidRPr="005F28B2">
        <w:rPr>
          <w:lang w:val="fr-FR"/>
        </w:rPr>
        <w:t>,</w:t>
      </w:r>
      <w:r w:rsidRPr="005F28B2">
        <w:rPr>
          <w:lang w:val="fr-FR"/>
        </w:rPr>
        <w:t xml:space="preserve"> lequel s</w:t>
      </w:r>
      <w:r w:rsidR="00E16237" w:rsidRPr="005F28B2">
        <w:rPr>
          <w:lang w:val="fr-FR"/>
        </w:rPr>
        <w:t>’</w:t>
      </w:r>
      <w:r w:rsidRPr="005F28B2">
        <w:rPr>
          <w:lang w:val="fr-FR"/>
        </w:rPr>
        <w:t>est avéré incapable de poursuivre les violations des droits de l</w:t>
      </w:r>
      <w:r w:rsidR="00E16237" w:rsidRPr="005F28B2">
        <w:rPr>
          <w:lang w:val="fr-FR"/>
        </w:rPr>
        <w:t>’</w:t>
      </w:r>
      <w:r w:rsidRPr="005F28B2">
        <w:rPr>
          <w:lang w:val="fr-FR"/>
        </w:rPr>
        <w:t>homme commises depuis sa création (décret de 1992 et loi de 2008)</w:t>
      </w:r>
      <w:r w:rsidR="00E16237" w:rsidRPr="005F28B2">
        <w:rPr>
          <w:lang w:val="fr-FR"/>
        </w:rPr>
        <w:t>,</w:t>
      </w:r>
      <w:r w:rsidRPr="005F28B2">
        <w:rPr>
          <w:lang w:val="fr-FR"/>
        </w:rPr>
        <w:t xml:space="preserve"> notamment celles perpétrées depuis le déclenchement de la révolution</w:t>
      </w:r>
      <w:r w:rsidR="00E16237" w:rsidRPr="005F28B2">
        <w:rPr>
          <w:lang w:val="fr-FR"/>
        </w:rPr>
        <w:t>,</w:t>
      </w:r>
      <w:r w:rsidRPr="005F28B2">
        <w:rPr>
          <w:lang w:val="fr-FR"/>
        </w:rPr>
        <w:t xml:space="preserve"> le 17 décembre 2010</w:t>
      </w:r>
      <w:r w:rsidR="00E16237" w:rsidRPr="005F28B2">
        <w:rPr>
          <w:lang w:val="fr-FR"/>
        </w:rPr>
        <w:t>,</w:t>
      </w:r>
      <w:r w:rsidRPr="005F28B2">
        <w:rPr>
          <w:lang w:val="fr-FR"/>
        </w:rPr>
        <w:t xml:space="preserve"> incluant des meurtres commis au cours de manifestations</w:t>
      </w:r>
      <w:r w:rsidR="00E16237" w:rsidRPr="005F28B2">
        <w:rPr>
          <w:lang w:val="fr-FR"/>
        </w:rPr>
        <w:t>,</w:t>
      </w:r>
      <w:r w:rsidRPr="005F28B2">
        <w:rPr>
          <w:lang w:val="fr-FR"/>
        </w:rPr>
        <w:t xml:space="preserve"> des actes de torture et de maltraitance</w:t>
      </w:r>
      <w:r w:rsidR="00E16237" w:rsidRPr="005F28B2">
        <w:rPr>
          <w:lang w:val="fr-FR"/>
        </w:rPr>
        <w:t>,</w:t>
      </w:r>
      <w:r w:rsidRPr="005F28B2">
        <w:rPr>
          <w:lang w:val="fr-FR"/>
        </w:rPr>
        <w:t xml:space="preserve"> ainsi que des arrestations arbitraires. Face aux défaillances de cette institution en matière de protection et de promotion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l</w:t>
      </w:r>
      <w:r w:rsidR="00E16237" w:rsidRPr="005F28B2">
        <w:rPr>
          <w:lang w:val="fr-FR"/>
        </w:rPr>
        <w:t>’</w:t>
      </w:r>
      <w:r w:rsidRPr="005F28B2">
        <w:rPr>
          <w:lang w:val="fr-FR"/>
        </w:rPr>
        <w:t>Assemblée nationale constituante a décidé de la constitutionnaliser en 2014 sous l</w:t>
      </w:r>
      <w:r w:rsidR="00E16237" w:rsidRPr="005F28B2">
        <w:rPr>
          <w:lang w:val="fr-FR"/>
        </w:rPr>
        <w:t>’</w:t>
      </w:r>
      <w:r w:rsidRPr="005F28B2">
        <w:rPr>
          <w:lang w:val="fr-FR"/>
        </w:rPr>
        <w:t>appellation d</w:t>
      </w:r>
      <w:r w:rsidR="00E16237" w:rsidRPr="005F28B2">
        <w:rPr>
          <w:lang w:val="fr-FR"/>
        </w:rPr>
        <w:t>’</w:t>
      </w:r>
      <w:r w:rsidRPr="005F28B2">
        <w:rPr>
          <w:lang w:val="fr-FR"/>
        </w:rPr>
        <w:t>Instance des droits de l</w:t>
      </w:r>
      <w:r w:rsidR="00E16237" w:rsidRPr="005F28B2">
        <w:rPr>
          <w:lang w:val="fr-FR"/>
        </w:rPr>
        <w:t>’</w:t>
      </w:r>
      <w:r w:rsidRPr="005F28B2">
        <w:rPr>
          <w:lang w:val="fr-FR"/>
        </w:rPr>
        <w:t>homme faisant partie des instances constitutionnelles indépendantes et l</w:t>
      </w:r>
      <w:r w:rsidR="00E16237" w:rsidRPr="005F28B2">
        <w:rPr>
          <w:lang w:val="fr-FR"/>
        </w:rPr>
        <w:t>’</w:t>
      </w:r>
      <w:r w:rsidRPr="005F28B2">
        <w:rPr>
          <w:lang w:val="fr-FR"/>
        </w:rPr>
        <w:t>a chargée</w:t>
      </w:r>
      <w:r w:rsidR="00E16237" w:rsidRPr="005F28B2">
        <w:rPr>
          <w:lang w:val="fr-FR"/>
        </w:rPr>
        <w:t>,</w:t>
      </w:r>
      <w:r w:rsidRPr="005F28B2">
        <w:rPr>
          <w:lang w:val="fr-FR"/>
        </w:rPr>
        <w:t xml:space="preserve"> à ce titre</w:t>
      </w:r>
      <w:r w:rsidR="00E16237" w:rsidRPr="005F28B2">
        <w:rPr>
          <w:lang w:val="fr-FR"/>
        </w:rPr>
        <w:t>,</w:t>
      </w:r>
      <w:r w:rsidRPr="005F28B2">
        <w:rPr>
          <w:lang w:val="fr-FR"/>
        </w:rPr>
        <w:t xml:space="preserve"> de veiller au respect et à la promotion des libertés et des droits de l</w:t>
      </w:r>
      <w:r w:rsidR="00E16237" w:rsidRPr="005F28B2">
        <w:rPr>
          <w:lang w:val="fr-FR"/>
        </w:rPr>
        <w:t>’</w:t>
      </w:r>
      <w:r w:rsidRPr="005F28B2">
        <w:rPr>
          <w:lang w:val="fr-FR"/>
        </w:rPr>
        <w:t>homme et d</w:t>
      </w:r>
      <w:r w:rsidR="00E16237" w:rsidRPr="005F28B2">
        <w:rPr>
          <w:lang w:val="fr-FR"/>
        </w:rPr>
        <w:t>’</w:t>
      </w:r>
      <w:r w:rsidRPr="005F28B2">
        <w:rPr>
          <w:lang w:val="fr-FR"/>
        </w:rPr>
        <w:t>œuvrer à leur renforcement</w:t>
      </w:r>
      <w:r w:rsidR="00E16237" w:rsidRPr="005F28B2">
        <w:rPr>
          <w:lang w:val="fr-FR"/>
        </w:rPr>
        <w:t>,</w:t>
      </w:r>
      <w:r w:rsidRPr="005F28B2">
        <w:rPr>
          <w:lang w:val="fr-FR"/>
        </w:rPr>
        <w:t xml:space="preserve"> notamment en formulant des propositions visant à favoriser leur développement En outre</w:t>
      </w:r>
      <w:r w:rsidR="00E16237" w:rsidRPr="005F28B2">
        <w:rPr>
          <w:lang w:val="fr-FR"/>
        </w:rPr>
        <w:t>,</w:t>
      </w:r>
      <w:r w:rsidRPr="005F28B2">
        <w:rPr>
          <w:lang w:val="fr-FR"/>
        </w:rPr>
        <w:t xml:space="preserve"> elle est obligatoirement consultée sur les projets de lois se rapportant à son domaine de compétence et chargée d</w:t>
      </w:r>
      <w:r w:rsidR="00E16237" w:rsidRPr="005F28B2">
        <w:rPr>
          <w:lang w:val="fr-FR"/>
        </w:rPr>
        <w:t>’</w:t>
      </w:r>
      <w:r w:rsidRPr="005F28B2">
        <w:rPr>
          <w:lang w:val="fr-FR"/>
        </w:rPr>
        <w:t>enquêter sur les cas de violation des droits de l</w:t>
      </w:r>
      <w:r w:rsidR="00E16237" w:rsidRPr="005F28B2">
        <w:rPr>
          <w:lang w:val="fr-FR"/>
        </w:rPr>
        <w:t>’</w:t>
      </w:r>
      <w:r w:rsidRPr="005F28B2">
        <w:rPr>
          <w:lang w:val="fr-FR"/>
        </w:rPr>
        <w:t>homme en vue de les régler ou de les soumettre aux autorités compétentes. Un projet de loi organique relatif à la nouvelle instance a été proposé à cet effet dans le cadre d</w:t>
      </w:r>
      <w:r w:rsidR="00E16237" w:rsidRPr="005F28B2">
        <w:rPr>
          <w:lang w:val="fr-FR"/>
        </w:rPr>
        <w:t>’</w:t>
      </w:r>
      <w:r w:rsidRPr="005F28B2">
        <w:rPr>
          <w:lang w:val="fr-FR"/>
        </w:rPr>
        <w:t>une démarche participative associant tous les intervenants actifs dans le domaine des droits de l</w:t>
      </w:r>
      <w:r w:rsidR="00E16237" w:rsidRPr="005F28B2">
        <w:rPr>
          <w:lang w:val="fr-FR"/>
        </w:rPr>
        <w:t>’</w:t>
      </w:r>
      <w:r w:rsidRPr="005F28B2">
        <w:rPr>
          <w:lang w:val="fr-FR"/>
        </w:rPr>
        <w:t>homme afin de mettre en place une structure conforme à la Constitution et aux normes internationales</w:t>
      </w:r>
      <w:r w:rsidR="00E16237" w:rsidRPr="005F28B2">
        <w:rPr>
          <w:lang w:val="fr-FR"/>
        </w:rPr>
        <w:t>,</w:t>
      </w:r>
      <w:r w:rsidRPr="005F28B2">
        <w:rPr>
          <w:lang w:val="fr-FR"/>
        </w:rPr>
        <w:t xml:space="preserve"> notamment aux Principes de Paris relatifs aux institutions nationales pour la protection et la promotion des droits de l</w:t>
      </w:r>
      <w:r w:rsidR="00E16237" w:rsidRPr="005F28B2">
        <w:rPr>
          <w:lang w:val="fr-FR"/>
        </w:rPr>
        <w:t>’</w:t>
      </w:r>
      <w:r w:rsidRPr="005F28B2">
        <w:rPr>
          <w:lang w:val="fr-FR"/>
        </w:rPr>
        <w:t xml:space="preserve">homme. </w:t>
      </w:r>
    </w:p>
    <w:p w:rsidR="009052AE" w:rsidRPr="005F28B2" w:rsidRDefault="00163041" w:rsidP="00FB05A9">
      <w:pPr>
        <w:pStyle w:val="H23G"/>
        <w:rPr>
          <w:rtl/>
          <w:lang w:val="fr-FR" w:bidi="fr-FR"/>
        </w:rPr>
      </w:pPr>
      <w:r w:rsidRPr="005F28B2">
        <w:rPr>
          <w:lang w:val="fr-FR"/>
        </w:rPr>
        <w:tab/>
      </w:r>
      <w:bookmarkStart w:id="43" w:name="_Toc478218517"/>
      <w:r w:rsidRPr="005F28B2">
        <w:rPr>
          <w:lang w:val="fr-FR"/>
        </w:rPr>
        <w:tab/>
        <w:t>La diffusion de la culture des droits de l</w:t>
      </w:r>
      <w:r w:rsidR="00E16237" w:rsidRPr="005F28B2">
        <w:rPr>
          <w:lang w:val="fr-FR"/>
        </w:rPr>
        <w:t>’</w:t>
      </w:r>
      <w:r w:rsidRPr="005F28B2">
        <w:rPr>
          <w:lang w:val="fr-FR"/>
        </w:rPr>
        <w:t>homme et des instruments internationaux pertinents</w:t>
      </w:r>
      <w:bookmarkEnd w:id="43"/>
    </w:p>
    <w:p w:rsidR="009052AE" w:rsidRPr="005F28B2" w:rsidRDefault="00163041" w:rsidP="00FB05A9">
      <w:pPr>
        <w:pStyle w:val="SingleTxtG"/>
        <w:rPr>
          <w:rtl/>
          <w:lang w:val="fr-FR" w:bidi="fr-FR"/>
        </w:rPr>
      </w:pPr>
      <w:r w:rsidRPr="005F28B2">
        <w:rPr>
          <w:lang w:val="fr-FR"/>
        </w:rPr>
        <w:t>77.</w:t>
      </w:r>
      <w:r w:rsidRPr="005F28B2">
        <w:rPr>
          <w:lang w:val="fr-FR"/>
        </w:rPr>
        <w:tab/>
        <w:t>La diffusion de la culture des droits de l</w:t>
      </w:r>
      <w:r w:rsidR="00E16237" w:rsidRPr="005F28B2">
        <w:rPr>
          <w:lang w:val="fr-FR"/>
        </w:rPr>
        <w:t>’</w:t>
      </w:r>
      <w:r w:rsidRPr="005F28B2">
        <w:rPr>
          <w:lang w:val="fr-FR"/>
        </w:rPr>
        <w:t>homme est désormais constitutionnalisée</w:t>
      </w:r>
      <w:r w:rsidR="00E16237" w:rsidRPr="005F28B2">
        <w:rPr>
          <w:lang w:val="fr-FR"/>
        </w:rPr>
        <w:t>,</w:t>
      </w:r>
      <w:r w:rsidRPr="005F28B2">
        <w:rPr>
          <w:lang w:val="fr-FR"/>
        </w:rPr>
        <w:t xml:space="preserve"> puisque l</w:t>
      </w:r>
      <w:r w:rsidR="00E16237" w:rsidRPr="005F28B2">
        <w:rPr>
          <w:lang w:val="fr-FR"/>
        </w:rPr>
        <w:t>’</w:t>
      </w:r>
      <w:r w:rsidR="00755707" w:rsidRPr="005F28B2">
        <w:rPr>
          <w:lang w:val="fr-FR"/>
        </w:rPr>
        <w:t>article </w:t>
      </w:r>
      <w:r w:rsidRPr="005F28B2">
        <w:rPr>
          <w:lang w:val="fr-FR"/>
        </w:rPr>
        <w:t>39 de la Constitution de 2014 charge l</w:t>
      </w:r>
      <w:r w:rsidR="00E16237" w:rsidRPr="005F28B2">
        <w:rPr>
          <w:lang w:val="fr-FR"/>
        </w:rPr>
        <w:t>’</w:t>
      </w:r>
      <w:r w:rsidRPr="005F28B2">
        <w:rPr>
          <w:lang w:val="fr-FR"/>
        </w:rPr>
        <w:t>État d</w:t>
      </w:r>
      <w:r w:rsidR="00E16237" w:rsidRPr="005F28B2">
        <w:rPr>
          <w:lang w:val="fr-FR"/>
        </w:rPr>
        <w:t>’</w:t>
      </w:r>
      <w:r w:rsidRPr="005F28B2">
        <w:rPr>
          <w:lang w:val="fr-FR"/>
        </w:rPr>
        <w:t xml:space="preserve">y veiller et que son </w:t>
      </w:r>
      <w:r w:rsidR="00755707" w:rsidRPr="005F28B2">
        <w:rPr>
          <w:lang w:val="fr-FR"/>
        </w:rPr>
        <w:t>article </w:t>
      </w:r>
      <w:r w:rsidRPr="005F28B2">
        <w:rPr>
          <w:lang w:val="fr-FR"/>
        </w:rPr>
        <w:t>42 garantit le droit à la culture et à la liberté de création</w:t>
      </w:r>
      <w:r w:rsidR="00E16237" w:rsidRPr="005F28B2">
        <w:rPr>
          <w:lang w:val="fr-FR"/>
        </w:rPr>
        <w:t>,</w:t>
      </w:r>
      <w:r w:rsidRPr="005F28B2">
        <w:rPr>
          <w:lang w:val="fr-FR"/>
        </w:rPr>
        <w:t xml:space="preserve"> en précisant que l</w:t>
      </w:r>
      <w:r w:rsidR="00E16237" w:rsidRPr="005F28B2">
        <w:rPr>
          <w:lang w:val="fr-FR"/>
        </w:rPr>
        <w:t>’</w:t>
      </w:r>
      <w:r w:rsidRPr="005F28B2">
        <w:rPr>
          <w:lang w:val="fr-FR"/>
        </w:rPr>
        <w:t>État encourage la créativité culturelle et soutient la culture nationale dans son enracinement</w:t>
      </w:r>
      <w:r w:rsidR="00E16237" w:rsidRPr="005F28B2">
        <w:rPr>
          <w:lang w:val="fr-FR"/>
        </w:rPr>
        <w:t>,</w:t>
      </w:r>
      <w:r w:rsidRPr="005F28B2">
        <w:rPr>
          <w:lang w:val="fr-FR"/>
        </w:rPr>
        <w:t xml:space="preserve"> sa diversité et son renouvellement</w:t>
      </w:r>
      <w:r w:rsidR="00E16237" w:rsidRPr="005F28B2">
        <w:rPr>
          <w:lang w:val="fr-FR"/>
        </w:rPr>
        <w:t>,</w:t>
      </w:r>
      <w:r w:rsidRPr="005F28B2">
        <w:rPr>
          <w:lang w:val="fr-FR"/>
        </w:rPr>
        <w:t xml:space="preserve"> en vue de consacrer les valeurs de tolérance</w:t>
      </w:r>
      <w:r w:rsidR="00E16237" w:rsidRPr="005F28B2">
        <w:rPr>
          <w:lang w:val="fr-FR"/>
        </w:rPr>
        <w:t>,</w:t>
      </w:r>
      <w:r w:rsidRPr="005F28B2">
        <w:rPr>
          <w:lang w:val="fr-FR"/>
        </w:rPr>
        <w:t xml:space="preserve"> de rejet de la violence</w:t>
      </w:r>
      <w:r w:rsidR="00E16237" w:rsidRPr="005F28B2">
        <w:rPr>
          <w:lang w:val="fr-FR"/>
        </w:rPr>
        <w:t>,</w:t>
      </w:r>
      <w:r w:rsidRPr="005F28B2">
        <w:rPr>
          <w:lang w:val="fr-FR"/>
        </w:rPr>
        <w:t xml:space="preserve"> d</w:t>
      </w:r>
      <w:r w:rsidR="00E16237" w:rsidRPr="005F28B2">
        <w:rPr>
          <w:lang w:val="fr-FR"/>
        </w:rPr>
        <w:t>’</w:t>
      </w:r>
      <w:r w:rsidRPr="005F28B2">
        <w:rPr>
          <w:lang w:val="fr-FR"/>
        </w:rPr>
        <w:t>ouverture sur les différentes cultures et de dialogue entre les civilisations. Il s</w:t>
      </w:r>
      <w:r w:rsidR="00E16237" w:rsidRPr="005F28B2">
        <w:rPr>
          <w:lang w:val="fr-FR"/>
        </w:rPr>
        <w:t>’</w:t>
      </w:r>
      <w:r w:rsidRPr="005F28B2">
        <w:rPr>
          <w:lang w:val="fr-FR"/>
        </w:rPr>
        <w:t>agit là des principes fondamentaux des droits de l</w:t>
      </w:r>
      <w:r w:rsidR="00E16237" w:rsidRPr="005F28B2">
        <w:rPr>
          <w:lang w:val="fr-FR"/>
        </w:rPr>
        <w:t>’</w:t>
      </w:r>
      <w:r w:rsidRPr="005F28B2">
        <w:rPr>
          <w:lang w:val="fr-FR"/>
        </w:rPr>
        <w:t>homme. En outre</w:t>
      </w:r>
      <w:r w:rsidR="00E16237" w:rsidRPr="005F28B2">
        <w:rPr>
          <w:lang w:val="fr-FR"/>
        </w:rPr>
        <w:t>,</w:t>
      </w:r>
      <w:r w:rsidRPr="005F28B2">
        <w:rPr>
          <w:lang w:val="fr-FR"/>
        </w:rPr>
        <w:t xml:space="preserve"> le préambule de la Constitution évoque également l</w:t>
      </w:r>
      <w:r w:rsidR="00E16237" w:rsidRPr="005F28B2">
        <w:rPr>
          <w:lang w:val="fr-FR"/>
        </w:rPr>
        <w:t>’</w:t>
      </w:r>
      <w:r w:rsidRPr="005F28B2">
        <w:rPr>
          <w:lang w:val="fr-FR"/>
        </w:rPr>
        <w:t>éducation aux droits de l</w:t>
      </w:r>
      <w:r w:rsidR="00E16237" w:rsidRPr="005F28B2">
        <w:rPr>
          <w:lang w:val="fr-FR"/>
        </w:rPr>
        <w:t>’</w:t>
      </w:r>
      <w:r w:rsidRPr="005F28B2">
        <w:rPr>
          <w:lang w:val="fr-FR"/>
        </w:rPr>
        <w:t>homme et à ses principes. Il convient de préciser à cet égard que la Tunisie veille à l</w:t>
      </w:r>
      <w:r w:rsidR="00E16237" w:rsidRPr="005F28B2">
        <w:rPr>
          <w:lang w:val="fr-FR"/>
        </w:rPr>
        <w:t>’</w:t>
      </w:r>
      <w:r w:rsidRPr="005F28B2">
        <w:rPr>
          <w:lang w:val="fr-FR"/>
        </w:rPr>
        <w:t>application des trois phases du Programme mondial en faveur de l</w:t>
      </w:r>
      <w:r w:rsidR="00E16237" w:rsidRPr="005F28B2">
        <w:rPr>
          <w:lang w:val="fr-FR"/>
        </w:rPr>
        <w:t>’</w:t>
      </w:r>
      <w:r w:rsidRPr="005F28B2">
        <w:rPr>
          <w:lang w:val="fr-FR"/>
        </w:rPr>
        <w:t>éducation aux droits de l</w:t>
      </w:r>
      <w:r w:rsidR="00E16237" w:rsidRPr="005F28B2">
        <w:rPr>
          <w:lang w:val="fr-FR"/>
        </w:rPr>
        <w:t>’</w:t>
      </w:r>
      <w:r w:rsidRPr="005F28B2">
        <w:rPr>
          <w:lang w:val="fr-FR"/>
        </w:rPr>
        <w:t>homme de l</w:t>
      </w:r>
      <w:r w:rsidR="00E16237" w:rsidRPr="005F28B2">
        <w:rPr>
          <w:lang w:val="fr-FR"/>
        </w:rPr>
        <w:t>’</w:t>
      </w:r>
      <w:r w:rsidRPr="005F28B2">
        <w:rPr>
          <w:lang w:val="fr-FR"/>
        </w:rPr>
        <w:t>ONU</w:t>
      </w:r>
      <w:r w:rsidR="00E16237" w:rsidRPr="005F28B2">
        <w:rPr>
          <w:lang w:val="fr-FR"/>
        </w:rPr>
        <w:t>,</w:t>
      </w:r>
      <w:r w:rsidRPr="005F28B2">
        <w:rPr>
          <w:lang w:val="fr-FR"/>
        </w:rPr>
        <w:t xml:space="preserve"> dont le public cible est issu du monde scolaire représenté par les cycles de l</w:t>
      </w:r>
      <w:r w:rsidR="00E16237" w:rsidRPr="005F28B2">
        <w:rPr>
          <w:lang w:val="fr-FR"/>
        </w:rPr>
        <w:t>’</w:t>
      </w:r>
      <w:r w:rsidRPr="005F28B2">
        <w:rPr>
          <w:lang w:val="fr-FR"/>
        </w:rPr>
        <w:t>enseignement primaire</w:t>
      </w:r>
      <w:r w:rsidR="00E16237" w:rsidRPr="005F28B2">
        <w:rPr>
          <w:lang w:val="fr-FR"/>
        </w:rPr>
        <w:t>,</w:t>
      </w:r>
      <w:r w:rsidRPr="005F28B2">
        <w:rPr>
          <w:lang w:val="fr-FR"/>
        </w:rPr>
        <w:t xml:space="preserve"> secondaire et supérieur</w:t>
      </w:r>
      <w:r w:rsidR="00E16237" w:rsidRPr="005F28B2">
        <w:rPr>
          <w:lang w:val="fr-FR"/>
        </w:rPr>
        <w:t>,</w:t>
      </w:r>
      <w:r w:rsidRPr="005F28B2">
        <w:rPr>
          <w:lang w:val="fr-FR"/>
        </w:rPr>
        <w:t xml:space="preserve"> du secteur public composé des fonctionnaires</w:t>
      </w:r>
      <w:r w:rsidR="00E16237" w:rsidRPr="005F28B2">
        <w:rPr>
          <w:lang w:val="fr-FR"/>
        </w:rPr>
        <w:t>,</w:t>
      </w:r>
      <w:r w:rsidRPr="005F28B2">
        <w:rPr>
          <w:lang w:val="fr-FR"/>
        </w:rPr>
        <w:t xml:space="preserve"> des responsables de l</w:t>
      </w:r>
      <w:r w:rsidR="00E16237" w:rsidRPr="005F28B2">
        <w:rPr>
          <w:lang w:val="fr-FR"/>
        </w:rPr>
        <w:t>’</w:t>
      </w:r>
      <w:r w:rsidRPr="005F28B2">
        <w:rPr>
          <w:lang w:val="fr-FR"/>
        </w:rPr>
        <w:t>application des lois et du personnel militaire</w:t>
      </w:r>
      <w:r w:rsidR="00E16237" w:rsidRPr="005F28B2">
        <w:rPr>
          <w:lang w:val="fr-FR"/>
        </w:rPr>
        <w:t>,</w:t>
      </w:r>
      <w:r w:rsidRPr="005F28B2">
        <w:rPr>
          <w:lang w:val="fr-FR"/>
        </w:rPr>
        <w:t xml:space="preserve"> auxquels s</w:t>
      </w:r>
      <w:r w:rsidR="00E16237" w:rsidRPr="005F28B2">
        <w:rPr>
          <w:lang w:val="fr-FR"/>
        </w:rPr>
        <w:t>’</w:t>
      </w:r>
      <w:r w:rsidRPr="005F28B2">
        <w:rPr>
          <w:lang w:val="fr-FR"/>
        </w:rPr>
        <w:t>ajoutent les professionnels des médias et les journalistes. Concernant la première phase du programme qui s</w:t>
      </w:r>
      <w:r w:rsidR="00E16237" w:rsidRPr="005F28B2">
        <w:rPr>
          <w:lang w:val="fr-FR"/>
        </w:rPr>
        <w:t>’</w:t>
      </w:r>
      <w:r w:rsidRPr="005F28B2">
        <w:rPr>
          <w:lang w:val="fr-FR"/>
        </w:rPr>
        <w:t xml:space="preserve">adresse au public scolaire </w:t>
      </w:r>
      <w:r w:rsidRPr="005F28B2">
        <w:rPr>
          <w:lang w:val="fr-FR"/>
        </w:rPr>
        <w:lastRenderedPageBreak/>
        <w:t>des cycles primaire et secondaire</w:t>
      </w:r>
      <w:r w:rsidR="00E16237" w:rsidRPr="005F28B2">
        <w:rPr>
          <w:lang w:val="fr-FR"/>
        </w:rPr>
        <w:t>,</w:t>
      </w:r>
      <w:r w:rsidRPr="005F28B2">
        <w:rPr>
          <w:lang w:val="fr-FR"/>
        </w:rPr>
        <w:t xml:space="preserve"> elle s</w:t>
      </w:r>
      <w:r w:rsidR="00E16237" w:rsidRPr="005F28B2">
        <w:rPr>
          <w:lang w:val="fr-FR"/>
        </w:rPr>
        <w:t>’</w:t>
      </w:r>
      <w:r w:rsidRPr="005F28B2">
        <w:rPr>
          <w:lang w:val="fr-FR"/>
        </w:rPr>
        <w:t>est traduite par l</w:t>
      </w:r>
      <w:r w:rsidR="00E16237" w:rsidRPr="005F28B2">
        <w:rPr>
          <w:lang w:val="fr-FR"/>
        </w:rPr>
        <w:t>’</w:t>
      </w:r>
      <w:r w:rsidRPr="005F28B2">
        <w:rPr>
          <w:lang w:val="fr-FR"/>
        </w:rPr>
        <w:t>adoption de la loi d</w:t>
      </w:r>
      <w:r w:rsidR="00E16237" w:rsidRPr="005F28B2">
        <w:rPr>
          <w:lang w:val="fr-FR"/>
        </w:rPr>
        <w:t>’</w:t>
      </w:r>
      <w:r w:rsidRPr="005F28B2">
        <w:rPr>
          <w:lang w:val="fr-FR"/>
        </w:rPr>
        <w:t>orientation relative à l</w:t>
      </w:r>
      <w:r w:rsidR="00E16237" w:rsidRPr="005F28B2">
        <w:rPr>
          <w:lang w:val="fr-FR"/>
        </w:rPr>
        <w:t>’</w:t>
      </w:r>
      <w:r w:rsidRPr="005F28B2">
        <w:rPr>
          <w:lang w:val="fr-FR"/>
        </w:rPr>
        <w:t>éducation et à l</w:t>
      </w:r>
      <w:r w:rsidR="00E16237" w:rsidRPr="005F28B2">
        <w:rPr>
          <w:lang w:val="fr-FR"/>
        </w:rPr>
        <w:t>’</w:t>
      </w:r>
      <w:r w:rsidRPr="005F28B2">
        <w:rPr>
          <w:lang w:val="fr-FR"/>
        </w:rPr>
        <w:t>enseignement scolaire du 23 juillet 2002</w:t>
      </w:r>
      <w:r w:rsidR="00E16237" w:rsidRPr="005F28B2">
        <w:rPr>
          <w:lang w:val="fr-FR"/>
        </w:rPr>
        <w:t>,</w:t>
      </w:r>
      <w:r w:rsidRPr="005F28B2">
        <w:rPr>
          <w:lang w:val="fr-FR"/>
        </w:rPr>
        <w:t xml:space="preserve"> telle que modifiée le 11 février 2008</w:t>
      </w:r>
      <w:r w:rsidR="00E16237" w:rsidRPr="005F28B2">
        <w:rPr>
          <w:lang w:val="fr-FR"/>
        </w:rPr>
        <w:t>,</w:t>
      </w:r>
      <w:r w:rsidRPr="005F28B2">
        <w:rPr>
          <w:lang w:val="fr-FR"/>
        </w:rPr>
        <w:t xml:space="preserve"> ainsi que par l</w:t>
      </w:r>
      <w:r w:rsidR="00E16237" w:rsidRPr="005F28B2">
        <w:rPr>
          <w:lang w:val="fr-FR"/>
        </w:rPr>
        <w:t>’</w:t>
      </w:r>
      <w:r w:rsidRPr="005F28B2">
        <w:rPr>
          <w:lang w:val="fr-FR"/>
        </w:rPr>
        <w:t>attribution de plusieurs tâches au Ministère de l</w:t>
      </w:r>
      <w:r w:rsidR="00E16237" w:rsidRPr="005F28B2">
        <w:rPr>
          <w:lang w:val="fr-FR"/>
        </w:rPr>
        <w:t>’</w:t>
      </w:r>
      <w:r w:rsidRPr="005F28B2">
        <w:rPr>
          <w:lang w:val="fr-FR"/>
        </w:rPr>
        <w:t>éducation en matière de diffusion de la culture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parmi lesquelles la première série a porté sur l</w:t>
      </w:r>
      <w:r w:rsidR="00E16237" w:rsidRPr="005F28B2">
        <w:rPr>
          <w:lang w:val="fr-FR"/>
        </w:rPr>
        <w:t>’</w:t>
      </w:r>
      <w:r w:rsidRPr="005F28B2">
        <w:rPr>
          <w:lang w:val="fr-FR"/>
        </w:rPr>
        <w:t>élaboration des contenus des manuels et des programmes scolaires</w:t>
      </w:r>
      <w:r w:rsidR="00E16237" w:rsidRPr="005F28B2">
        <w:rPr>
          <w:lang w:val="fr-FR"/>
        </w:rPr>
        <w:t>,</w:t>
      </w:r>
      <w:r w:rsidRPr="005F28B2">
        <w:rPr>
          <w:lang w:val="fr-FR"/>
        </w:rPr>
        <w:t xml:space="preserve"> lesquels comportent en général une série de matières abordant indirectement les valeurs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complétées par une matière transversale présentant directement ces droits. Le deuxième aspect de l</w:t>
      </w:r>
      <w:r w:rsidR="00E16237" w:rsidRPr="005F28B2">
        <w:rPr>
          <w:lang w:val="fr-FR"/>
        </w:rPr>
        <w:t>’</w:t>
      </w:r>
      <w:r w:rsidRPr="005F28B2">
        <w:rPr>
          <w:lang w:val="fr-FR"/>
        </w:rPr>
        <w:t>intervention du ministère a concerné la vie scolaire telle qu</w:t>
      </w:r>
      <w:r w:rsidR="00E16237" w:rsidRPr="005F28B2">
        <w:rPr>
          <w:lang w:val="fr-FR"/>
        </w:rPr>
        <w:t>’</w:t>
      </w:r>
      <w:r w:rsidRPr="005F28B2">
        <w:rPr>
          <w:lang w:val="fr-FR"/>
        </w:rPr>
        <w:t>elle se manifeste au sein des clubs et par le biais des activités culturelles qui s</w:t>
      </w:r>
      <w:r w:rsidR="00E16237" w:rsidRPr="005F28B2">
        <w:rPr>
          <w:lang w:val="fr-FR"/>
        </w:rPr>
        <w:t>’</w:t>
      </w:r>
      <w:r w:rsidRPr="005F28B2">
        <w:rPr>
          <w:lang w:val="fr-FR"/>
        </w:rPr>
        <w:t>inscrivent dans le prolongement des séances d</w:t>
      </w:r>
      <w:r w:rsidR="00E16237" w:rsidRPr="005F28B2">
        <w:rPr>
          <w:lang w:val="fr-FR"/>
        </w:rPr>
        <w:t>’</w:t>
      </w:r>
      <w:r w:rsidRPr="005F28B2">
        <w:rPr>
          <w:lang w:val="fr-FR"/>
        </w:rPr>
        <w:t>enseignement en classe</w:t>
      </w:r>
      <w:r w:rsidR="00E16237" w:rsidRPr="005F28B2">
        <w:rPr>
          <w:lang w:val="fr-FR"/>
        </w:rPr>
        <w:t>,</w:t>
      </w:r>
      <w:r w:rsidRPr="005F28B2">
        <w:rPr>
          <w:lang w:val="fr-FR"/>
        </w:rPr>
        <w:t xml:space="preserve"> comme par exemple les clubs d</w:t>
      </w:r>
      <w:r w:rsidR="00E16237" w:rsidRPr="005F28B2">
        <w:rPr>
          <w:lang w:val="fr-FR"/>
        </w:rPr>
        <w:t>’</w:t>
      </w:r>
      <w:r w:rsidRPr="005F28B2">
        <w:rPr>
          <w:lang w:val="fr-FR"/>
        </w:rPr>
        <w:t>éducation aux valeurs de la citoyenneté</w:t>
      </w:r>
      <w:r w:rsidR="00E16237" w:rsidRPr="005F28B2">
        <w:rPr>
          <w:lang w:val="fr-FR"/>
        </w:rPr>
        <w:t>,</w:t>
      </w:r>
      <w:r w:rsidRPr="005F28B2">
        <w:rPr>
          <w:lang w:val="fr-FR"/>
        </w:rPr>
        <w:t xml:space="preserve"> étant précisé que ce deuxième volet inclut notamment la formation des éducateurs</w:t>
      </w:r>
      <w:r w:rsidR="00E16237" w:rsidRPr="005F28B2">
        <w:rPr>
          <w:lang w:val="fr-FR"/>
        </w:rPr>
        <w:t>,</w:t>
      </w:r>
      <w:r w:rsidRPr="005F28B2">
        <w:rPr>
          <w:lang w:val="fr-FR"/>
        </w:rPr>
        <w:t xml:space="preserve"> compte tenu de leur rôle en matière d</w:t>
      </w:r>
      <w:r w:rsidR="00E16237" w:rsidRPr="005F28B2">
        <w:rPr>
          <w:lang w:val="fr-FR"/>
        </w:rPr>
        <w:t>’</w:t>
      </w:r>
      <w:r w:rsidRPr="005F28B2">
        <w:rPr>
          <w:lang w:val="fr-FR"/>
        </w:rPr>
        <w:t>encadrement des apprenants et de l</w:t>
      </w:r>
      <w:r w:rsidR="00E16237" w:rsidRPr="005F28B2">
        <w:rPr>
          <w:lang w:val="fr-FR"/>
        </w:rPr>
        <w:t>’</w:t>
      </w:r>
      <w:r w:rsidRPr="005F28B2">
        <w:rPr>
          <w:lang w:val="fr-FR"/>
        </w:rPr>
        <w:t>importance de la sensibilisation dans ce domaine. Le troisième aspect</w:t>
      </w:r>
      <w:r w:rsidR="00E16237" w:rsidRPr="005F28B2">
        <w:rPr>
          <w:lang w:val="fr-FR"/>
        </w:rPr>
        <w:t>,</w:t>
      </w:r>
      <w:r w:rsidRPr="005F28B2">
        <w:rPr>
          <w:lang w:val="fr-FR"/>
        </w:rPr>
        <w:t xml:space="preserve"> pour sa part</w:t>
      </w:r>
      <w:r w:rsidR="00E16237" w:rsidRPr="005F28B2">
        <w:rPr>
          <w:lang w:val="fr-FR"/>
        </w:rPr>
        <w:t>,</w:t>
      </w:r>
      <w:r w:rsidRPr="005F28B2">
        <w:rPr>
          <w:lang w:val="fr-FR"/>
        </w:rPr>
        <w:t xml:space="preserve"> concerne la recherche de partenariats avec plusieurs autres ministères en vue de garantir la réussite de l</w:t>
      </w:r>
      <w:r w:rsidR="00E16237" w:rsidRPr="005F28B2">
        <w:rPr>
          <w:lang w:val="fr-FR"/>
        </w:rPr>
        <w:t>’</w:t>
      </w:r>
      <w:r w:rsidRPr="005F28B2">
        <w:rPr>
          <w:lang w:val="fr-FR"/>
        </w:rPr>
        <w:t>ensemble de la stratégie. Le document publié en novembre 2012 par la Direction générale des programmes et de la formation continue du Ministère de l</w:t>
      </w:r>
      <w:r w:rsidR="00E16237" w:rsidRPr="005F28B2">
        <w:rPr>
          <w:lang w:val="fr-FR"/>
        </w:rPr>
        <w:t>’</w:t>
      </w:r>
      <w:r w:rsidRPr="005F28B2">
        <w:rPr>
          <w:lang w:val="fr-FR"/>
        </w:rPr>
        <w:t>éducation</w:t>
      </w:r>
      <w:r w:rsidR="00E16237" w:rsidRPr="005F28B2">
        <w:rPr>
          <w:lang w:val="fr-FR"/>
        </w:rPr>
        <w:t>,</w:t>
      </w:r>
      <w:r w:rsidRPr="005F28B2">
        <w:rPr>
          <w:lang w:val="fr-FR"/>
        </w:rPr>
        <w:t xml:space="preserve"> intitulé « L</w:t>
      </w:r>
      <w:r w:rsidR="00E16237" w:rsidRPr="005F28B2">
        <w:rPr>
          <w:lang w:val="fr-FR"/>
        </w:rPr>
        <w:t>’</w:t>
      </w:r>
      <w:r w:rsidRPr="005F28B2">
        <w:rPr>
          <w:lang w:val="fr-FR"/>
        </w:rPr>
        <w:t>éducation à la culture des droits de l</w:t>
      </w:r>
      <w:r w:rsidR="00E16237" w:rsidRPr="005F28B2">
        <w:rPr>
          <w:lang w:val="fr-FR"/>
        </w:rPr>
        <w:t>’</w:t>
      </w:r>
      <w:r w:rsidRPr="005F28B2">
        <w:rPr>
          <w:lang w:val="fr-FR"/>
        </w:rPr>
        <w:t>homme dans le système éducatif » a souligné que les modifications ont touché toutes les disciplines scolaires sans exception</w:t>
      </w:r>
      <w:r w:rsidR="00E16237" w:rsidRPr="005F28B2">
        <w:rPr>
          <w:lang w:val="fr-FR"/>
        </w:rPr>
        <w:t>,</w:t>
      </w:r>
      <w:r w:rsidRPr="005F28B2">
        <w:rPr>
          <w:lang w:val="fr-FR"/>
        </w:rPr>
        <w:t xml:space="preserve"> car il s</w:t>
      </w:r>
      <w:r w:rsidR="00E16237" w:rsidRPr="005F28B2">
        <w:rPr>
          <w:lang w:val="fr-FR"/>
        </w:rPr>
        <w:t>’</w:t>
      </w:r>
      <w:r w:rsidRPr="005F28B2">
        <w:rPr>
          <w:lang w:val="fr-FR"/>
        </w:rPr>
        <w:t>agit d</w:t>
      </w:r>
      <w:r w:rsidR="00E16237" w:rsidRPr="005F28B2">
        <w:rPr>
          <w:lang w:val="fr-FR"/>
        </w:rPr>
        <w:t>’</w:t>
      </w:r>
      <w:r w:rsidRPr="005F28B2">
        <w:rPr>
          <w:lang w:val="fr-FR"/>
        </w:rPr>
        <w:t>un ensemble de compétences horizontales partagées. À cet égard</w:t>
      </w:r>
      <w:r w:rsidR="00E16237" w:rsidRPr="005F28B2">
        <w:rPr>
          <w:lang w:val="fr-FR"/>
        </w:rPr>
        <w:t>,</w:t>
      </w:r>
      <w:r w:rsidRPr="005F28B2">
        <w:rPr>
          <w:lang w:val="fr-FR"/>
        </w:rPr>
        <w:t xml:space="preserve"> les sciences sociales semblent mieux adaptées que d</w:t>
      </w:r>
      <w:r w:rsidR="00E16237" w:rsidRPr="005F28B2">
        <w:rPr>
          <w:lang w:val="fr-FR"/>
        </w:rPr>
        <w:t>’</w:t>
      </w:r>
      <w:r w:rsidRPr="005F28B2">
        <w:rPr>
          <w:lang w:val="fr-FR"/>
        </w:rPr>
        <w:t>autres disciplines à la transmission de ces valeurs et principes et à leur appropriation par les apprenants dont les mentalités peuvent ainsi être amenées à évoluer</w:t>
      </w:r>
      <w:r w:rsidR="00E16237" w:rsidRPr="005F28B2">
        <w:rPr>
          <w:lang w:val="fr-FR"/>
        </w:rPr>
        <w:t>,</w:t>
      </w:r>
      <w:r w:rsidRPr="005F28B2">
        <w:rPr>
          <w:lang w:val="fr-FR"/>
        </w:rPr>
        <w:t xml:space="preserve"> ce qui a ensuite des chances de se traduire au niveau de leur comportement tant public que privé. </w:t>
      </w:r>
    </w:p>
    <w:p w:rsidR="009052AE" w:rsidRPr="005F28B2" w:rsidRDefault="00163041" w:rsidP="00515E3C">
      <w:pPr>
        <w:pStyle w:val="SingleTxtG"/>
        <w:rPr>
          <w:rtl/>
          <w:lang w:val="fr-FR" w:bidi="fr-FR"/>
        </w:rPr>
      </w:pPr>
      <w:r w:rsidRPr="005F28B2">
        <w:rPr>
          <w:lang w:val="fr-FR"/>
        </w:rPr>
        <w:t>78.</w:t>
      </w:r>
      <w:r w:rsidRPr="005F28B2">
        <w:rPr>
          <w:lang w:val="fr-FR"/>
        </w:rPr>
        <w:tab/>
        <w:t>La Tunisie a veillé à déployer des programmes d</w:t>
      </w:r>
      <w:r w:rsidR="00E16237" w:rsidRPr="005F28B2">
        <w:rPr>
          <w:lang w:val="fr-FR"/>
        </w:rPr>
        <w:t>’</w:t>
      </w:r>
      <w:r w:rsidRPr="005F28B2">
        <w:rPr>
          <w:lang w:val="fr-FR"/>
        </w:rPr>
        <w:t>éducation aux droits de l</w:t>
      </w:r>
      <w:r w:rsidR="00E16237" w:rsidRPr="005F28B2">
        <w:rPr>
          <w:lang w:val="fr-FR"/>
        </w:rPr>
        <w:t>’</w:t>
      </w:r>
      <w:r w:rsidRPr="005F28B2">
        <w:rPr>
          <w:lang w:val="fr-FR"/>
        </w:rPr>
        <w:t>homme au sein des principaux départements régaliens</w:t>
      </w:r>
      <w:r w:rsidR="00E16237" w:rsidRPr="005F28B2">
        <w:rPr>
          <w:lang w:val="fr-FR"/>
        </w:rPr>
        <w:t>,</w:t>
      </w:r>
      <w:r w:rsidRPr="005F28B2">
        <w:rPr>
          <w:lang w:val="fr-FR"/>
        </w:rPr>
        <w:t xml:space="preserve"> tels que les Ministères de la justice et de l</w:t>
      </w:r>
      <w:r w:rsidR="00E16237" w:rsidRPr="005F28B2">
        <w:rPr>
          <w:lang w:val="fr-FR"/>
        </w:rPr>
        <w:t>’</w:t>
      </w:r>
      <w:r w:rsidRPr="005F28B2">
        <w:rPr>
          <w:lang w:val="fr-FR"/>
        </w:rPr>
        <w:t>intérieur. À cet effet</w:t>
      </w:r>
      <w:r w:rsidR="00E16237" w:rsidRPr="005F28B2">
        <w:rPr>
          <w:lang w:val="fr-FR"/>
        </w:rPr>
        <w:t>,</w:t>
      </w:r>
      <w:r w:rsidRPr="005F28B2">
        <w:rPr>
          <w:lang w:val="fr-FR"/>
        </w:rPr>
        <w:t xml:space="preserve"> la circulaire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504 du 15 juin 1991 relative à l</w:t>
      </w:r>
      <w:r w:rsidR="00E16237" w:rsidRPr="005F28B2">
        <w:rPr>
          <w:lang w:val="fr-FR"/>
        </w:rPr>
        <w:t>’</w:t>
      </w:r>
      <w:r w:rsidRPr="005F28B2">
        <w:rPr>
          <w:lang w:val="fr-FR"/>
        </w:rPr>
        <w:t>intégration des droits de l</w:t>
      </w:r>
      <w:r w:rsidR="00E16237" w:rsidRPr="005F28B2">
        <w:rPr>
          <w:lang w:val="fr-FR"/>
        </w:rPr>
        <w:t>’</w:t>
      </w:r>
      <w:r w:rsidRPr="005F28B2">
        <w:rPr>
          <w:lang w:val="fr-FR"/>
        </w:rPr>
        <w:t>homme dans les programmes de formation rappelle aux cadres et aux agents des forces de sûreté les sanctions pénales auxquelles ils s</w:t>
      </w:r>
      <w:r w:rsidR="00E16237" w:rsidRPr="005F28B2">
        <w:rPr>
          <w:lang w:val="fr-FR"/>
        </w:rPr>
        <w:t>’</w:t>
      </w:r>
      <w:r w:rsidRPr="005F28B2">
        <w:rPr>
          <w:lang w:val="fr-FR"/>
        </w:rPr>
        <w:t>exposent en cas d</w:t>
      </w:r>
      <w:r w:rsidR="00E16237" w:rsidRPr="005F28B2">
        <w:rPr>
          <w:lang w:val="fr-FR"/>
        </w:rPr>
        <w:t>’</w:t>
      </w:r>
      <w:r w:rsidRPr="005F28B2">
        <w:rPr>
          <w:lang w:val="fr-FR"/>
        </w:rPr>
        <w:t>abus d</w:t>
      </w:r>
      <w:r w:rsidR="00E16237" w:rsidRPr="005F28B2">
        <w:rPr>
          <w:lang w:val="fr-FR"/>
        </w:rPr>
        <w:t>’</w:t>
      </w:r>
      <w:r w:rsidRPr="005F28B2">
        <w:rPr>
          <w:lang w:val="fr-FR"/>
        </w:rPr>
        <w:t>autorité. Une nouvelle édition du Guide des droits de l</w:t>
      </w:r>
      <w:r w:rsidR="00E16237" w:rsidRPr="005F28B2">
        <w:rPr>
          <w:lang w:val="fr-FR"/>
        </w:rPr>
        <w:t>’</w:t>
      </w:r>
      <w:r w:rsidRPr="005F28B2">
        <w:rPr>
          <w:lang w:val="fr-FR"/>
        </w:rPr>
        <w:t>homme a en outre été élaborée</w:t>
      </w:r>
      <w:r w:rsidR="00E16237" w:rsidRPr="005F28B2">
        <w:rPr>
          <w:lang w:val="fr-FR"/>
        </w:rPr>
        <w:t>,</w:t>
      </w:r>
      <w:r w:rsidRPr="005F28B2">
        <w:rPr>
          <w:lang w:val="fr-FR"/>
        </w:rPr>
        <w:t xml:space="preserve"> incluant tous les instruments des Nations Unies et les textes nationaux relatifs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l</w:t>
      </w:r>
      <w:r w:rsidR="00E16237" w:rsidRPr="005F28B2">
        <w:rPr>
          <w:lang w:val="fr-FR"/>
        </w:rPr>
        <w:t>’</w:t>
      </w:r>
      <w:r w:rsidRPr="005F28B2">
        <w:rPr>
          <w:lang w:val="fr-FR"/>
        </w:rPr>
        <w:t>ensemble ayant été distribué aux personnes responsables de l</w:t>
      </w:r>
      <w:r w:rsidR="00E16237" w:rsidRPr="005F28B2">
        <w:rPr>
          <w:lang w:val="fr-FR"/>
        </w:rPr>
        <w:t>’</w:t>
      </w:r>
      <w:r w:rsidRPr="005F28B2">
        <w:rPr>
          <w:lang w:val="fr-FR"/>
        </w:rPr>
        <w:t>application des lois pour leur servir de référence et orienter leur action. Par ailleurs</w:t>
      </w:r>
      <w:r w:rsidR="00E16237" w:rsidRPr="005F28B2">
        <w:rPr>
          <w:lang w:val="fr-FR"/>
        </w:rPr>
        <w:t>,</w:t>
      </w:r>
      <w:r w:rsidRPr="005F28B2">
        <w:rPr>
          <w:lang w:val="fr-FR"/>
        </w:rPr>
        <w:t xml:space="preserve"> après la révolution (2011)</w:t>
      </w:r>
      <w:r w:rsidR="00E16237" w:rsidRPr="005F28B2">
        <w:rPr>
          <w:lang w:val="fr-FR"/>
        </w:rPr>
        <w:t>,</w:t>
      </w:r>
      <w:r w:rsidRPr="005F28B2">
        <w:rPr>
          <w:lang w:val="fr-FR"/>
        </w:rPr>
        <w:t xml:space="preserve"> le Ministère de l</w:t>
      </w:r>
      <w:r w:rsidR="00E16237" w:rsidRPr="005F28B2">
        <w:rPr>
          <w:lang w:val="fr-FR"/>
        </w:rPr>
        <w:t>’</w:t>
      </w:r>
      <w:r w:rsidRPr="005F28B2">
        <w:rPr>
          <w:lang w:val="fr-FR"/>
        </w:rPr>
        <w:t>intérieur a renforcé sa collaboration avec les organes et mécanismes onusiens compétents</w:t>
      </w:r>
      <w:r w:rsidR="00E16237" w:rsidRPr="005F28B2">
        <w:rPr>
          <w:lang w:val="fr-FR"/>
        </w:rPr>
        <w:t>,</w:t>
      </w:r>
      <w:r w:rsidRPr="005F28B2">
        <w:rPr>
          <w:lang w:val="fr-FR"/>
        </w:rPr>
        <w:t xml:space="preserve"> ce qui a donné lieu à l</w:t>
      </w:r>
      <w:r w:rsidR="00E16237" w:rsidRPr="005F28B2">
        <w:rPr>
          <w:lang w:val="fr-FR"/>
        </w:rPr>
        <w:t>’</w:t>
      </w:r>
      <w:r w:rsidRPr="005F28B2">
        <w:rPr>
          <w:lang w:val="fr-FR"/>
        </w:rPr>
        <w:t>organisation de diverses sessions de formation</w:t>
      </w:r>
      <w:r w:rsidR="00E16237" w:rsidRPr="005F28B2">
        <w:rPr>
          <w:lang w:val="fr-FR"/>
        </w:rPr>
        <w:t>,</w:t>
      </w:r>
      <w:r w:rsidRPr="005F28B2">
        <w:rPr>
          <w:lang w:val="fr-FR"/>
        </w:rPr>
        <w:t xml:space="preserve"> notamment avec l</w:t>
      </w:r>
      <w:r w:rsidR="00E16237" w:rsidRPr="005F28B2">
        <w:rPr>
          <w:lang w:val="fr-FR"/>
        </w:rPr>
        <w:t>’</w:t>
      </w:r>
      <w:r w:rsidRPr="005F28B2">
        <w:rPr>
          <w:lang w:val="fr-FR"/>
        </w:rPr>
        <w:t>UNESCO portant sur le « Code de bonne conduite des forces de sécurité intérieure dans leurs rapports avec les journalistes »</w:t>
      </w:r>
      <w:r w:rsidR="00E16237" w:rsidRPr="005F28B2">
        <w:rPr>
          <w:lang w:val="fr-FR"/>
        </w:rPr>
        <w:t>,</w:t>
      </w:r>
      <w:r w:rsidRPr="005F28B2">
        <w:rPr>
          <w:lang w:val="fr-FR"/>
        </w:rPr>
        <w:t xml:space="preserve"> avec le Haut-Commissariat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à propos d</w:t>
      </w:r>
      <w:r w:rsidR="00E16237" w:rsidRPr="005F28B2">
        <w:rPr>
          <w:lang w:val="fr-FR"/>
        </w:rPr>
        <w:t>’</w:t>
      </w:r>
      <w:r w:rsidRPr="005F28B2">
        <w:rPr>
          <w:lang w:val="fr-FR"/>
        </w:rPr>
        <w:t>un manuel de poche intitulé « Les forces de sécurité intérieure et les normes relatives aux droits de l</w:t>
      </w:r>
      <w:r w:rsidR="00E16237" w:rsidRPr="005F28B2">
        <w:rPr>
          <w:lang w:val="fr-FR"/>
        </w:rPr>
        <w:t>’</w:t>
      </w:r>
      <w:r w:rsidRPr="005F28B2">
        <w:rPr>
          <w:lang w:val="fr-FR"/>
        </w:rPr>
        <w:t>homme en Tunisie » et avec le Programme des Nations Unies pour le développement d</w:t>
      </w:r>
      <w:r w:rsidR="00E16237" w:rsidRPr="005F28B2">
        <w:rPr>
          <w:lang w:val="fr-FR"/>
        </w:rPr>
        <w:t>’</w:t>
      </w:r>
      <w:r w:rsidRPr="005F28B2">
        <w:rPr>
          <w:lang w:val="fr-FR"/>
        </w:rPr>
        <w:t>un « Modèle tunisien de police de proximité ». Le Ministère collabore avec le Comité International de la Croix-Rouge et a notamment bénéficié de son expertise pour l</w:t>
      </w:r>
      <w:r w:rsidR="00E16237" w:rsidRPr="005F28B2">
        <w:rPr>
          <w:lang w:val="fr-FR"/>
        </w:rPr>
        <w:t>’</w:t>
      </w:r>
      <w:r w:rsidRPr="005F28B2">
        <w:rPr>
          <w:lang w:val="fr-FR"/>
        </w:rPr>
        <w:t>exécution</w:t>
      </w:r>
      <w:r w:rsidR="00E16237" w:rsidRPr="005F28B2">
        <w:rPr>
          <w:lang w:val="fr-FR"/>
        </w:rPr>
        <w:t>,</w:t>
      </w:r>
      <w:r w:rsidRPr="005F28B2">
        <w:rPr>
          <w:lang w:val="fr-FR"/>
        </w:rPr>
        <w:t xml:space="preserve"> de 2013 à 2016</w:t>
      </w:r>
      <w:r w:rsidR="00E16237" w:rsidRPr="005F28B2">
        <w:rPr>
          <w:lang w:val="fr-FR"/>
        </w:rPr>
        <w:t>,</w:t>
      </w:r>
      <w:r w:rsidRPr="005F28B2">
        <w:rPr>
          <w:lang w:val="fr-FR"/>
        </w:rPr>
        <w:t xml:space="preserve"> d</w:t>
      </w:r>
      <w:r w:rsidR="00E16237" w:rsidRPr="005F28B2">
        <w:rPr>
          <w:lang w:val="fr-FR"/>
        </w:rPr>
        <w:t>’</w:t>
      </w:r>
      <w:r w:rsidRPr="005F28B2">
        <w:rPr>
          <w:lang w:val="fr-FR"/>
        </w:rPr>
        <w:t>un « Programme d</w:t>
      </w:r>
      <w:r w:rsidR="00E16237" w:rsidRPr="005F28B2">
        <w:rPr>
          <w:lang w:val="fr-FR"/>
        </w:rPr>
        <w:t>’</w:t>
      </w:r>
      <w:r w:rsidRPr="005F28B2">
        <w:rPr>
          <w:lang w:val="fr-FR"/>
        </w:rPr>
        <w:t>amélioration du traitement des détenus » dans le cadre duquel des sessions de formation ont été organisées au profit de plus de 2 000 agents des forces de sécurité. Le Ministère a également collaboré avec l</w:t>
      </w:r>
      <w:r w:rsidR="00E16237" w:rsidRPr="005F28B2">
        <w:rPr>
          <w:lang w:val="fr-FR"/>
        </w:rPr>
        <w:t>’</w:t>
      </w:r>
      <w:r w:rsidRPr="005F28B2">
        <w:rPr>
          <w:lang w:val="fr-FR"/>
        </w:rPr>
        <w:t>Organisation mondiale contre la torture</w:t>
      </w:r>
      <w:r w:rsidR="00E16237" w:rsidRPr="005F28B2">
        <w:rPr>
          <w:lang w:val="fr-FR"/>
        </w:rPr>
        <w:t>,</w:t>
      </w:r>
      <w:r w:rsidRPr="005F28B2">
        <w:rPr>
          <w:lang w:val="fr-FR"/>
        </w:rPr>
        <w:t xml:space="preserve"> le centre « </w:t>
      </w:r>
      <w:r w:rsidRPr="005F28B2">
        <w:rPr>
          <w:i/>
          <w:lang w:val="fr-FR"/>
        </w:rPr>
        <w:t>Dignity »</w:t>
      </w:r>
      <w:r w:rsidRPr="005F28B2">
        <w:rPr>
          <w:lang w:val="fr-FR"/>
        </w:rPr>
        <w:t xml:space="preserve"> et le centre « </w:t>
      </w:r>
      <w:r w:rsidRPr="005F28B2">
        <w:rPr>
          <w:i/>
          <w:lang w:val="fr-FR"/>
        </w:rPr>
        <w:t>Restart »</w:t>
      </w:r>
      <w:r w:rsidRPr="005F28B2">
        <w:rPr>
          <w:lang w:val="fr-FR"/>
        </w:rPr>
        <w:t xml:space="preserve"> pour la réhabilitation des victimes. </w:t>
      </w:r>
    </w:p>
    <w:p w:rsidR="009052AE" w:rsidRPr="005F28B2" w:rsidRDefault="00163041" w:rsidP="00515E3C">
      <w:pPr>
        <w:pStyle w:val="SingleTxtG"/>
        <w:rPr>
          <w:lang w:val="fr-FR"/>
        </w:rPr>
      </w:pPr>
      <w:r w:rsidRPr="005F28B2">
        <w:rPr>
          <w:lang w:val="fr-FR"/>
        </w:rPr>
        <w:t>79.</w:t>
      </w:r>
      <w:r w:rsidRPr="005F28B2">
        <w:rPr>
          <w:lang w:val="fr-FR"/>
        </w:rPr>
        <w:tab/>
        <w:t>Le Ministère de la justice a collaboré avec plusieurs organisations</w:t>
      </w:r>
      <w:r w:rsidR="00E16237" w:rsidRPr="005F28B2">
        <w:rPr>
          <w:lang w:val="fr-FR"/>
        </w:rPr>
        <w:t>,</w:t>
      </w:r>
      <w:r w:rsidRPr="005F28B2">
        <w:rPr>
          <w:lang w:val="fr-FR"/>
        </w:rPr>
        <w:t xml:space="preserve"> notamment avec le Haut-Commissariat aux droits de l</w:t>
      </w:r>
      <w:r w:rsidR="00E16237" w:rsidRPr="005F28B2">
        <w:rPr>
          <w:lang w:val="fr-FR"/>
        </w:rPr>
        <w:t>’</w:t>
      </w:r>
      <w:r w:rsidRPr="005F28B2">
        <w:rPr>
          <w:lang w:val="fr-FR"/>
        </w:rPr>
        <w:t>homme avec lequel il a organisé une session de formation sur le thème suivant « Les droits de l</w:t>
      </w:r>
      <w:r w:rsidR="00E16237" w:rsidRPr="005F28B2">
        <w:rPr>
          <w:lang w:val="fr-FR"/>
        </w:rPr>
        <w:t>’</w:t>
      </w:r>
      <w:r w:rsidRPr="005F28B2">
        <w:rPr>
          <w:lang w:val="fr-FR"/>
        </w:rPr>
        <w:t>homme et les visites des lieux de détention » à l</w:t>
      </w:r>
      <w:r w:rsidR="00E16237" w:rsidRPr="005F28B2">
        <w:rPr>
          <w:lang w:val="fr-FR"/>
        </w:rPr>
        <w:t>’</w:t>
      </w:r>
      <w:r w:rsidRPr="005F28B2">
        <w:rPr>
          <w:lang w:val="fr-FR"/>
        </w:rPr>
        <w:t>intention des agents et des cadres des services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ainsi qu</w:t>
      </w:r>
      <w:r w:rsidR="00E16237" w:rsidRPr="005F28B2">
        <w:rPr>
          <w:lang w:val="fr-FR"/>
        </w:rPr>
        <w:t>’</w:t>
      </w:r>
      <w:r w:rsidRPr="005F28B2">
        <w:rPr>
          <w:lang w:val="fr-FR"/>
        </w:rPr>
        <w:t>avec le Centre de Genève pour le contrôle démocratique des forces armées</w:t>
      </w:r>
      <w:r w:rsidR="00E16237" w:rsidRPr="005F28B2">
        <w:rPr>
          <w:lang w:val="fr-FR"/>
        </w:rPr>
        <w:t>,</w:t>
      </w:r>
      <w:r w:rsidRPr="005F28B2">
        <w:rPr>
          <w:lang w:val="fr-FR"/>
        </w:rPr>
        <w:t xml:space="preserve"> avec lequel il a organisé des sessions de formation dont les travaux ont donné lieu à la publication d</w:t>
      </w:r>
      <w:r w:rsidR="00E16237" w:rsidRPr="005F28B2">
        <w:rPr>
          <w:lang w:val="fr-FR"/>
        </w:rPr>
        <w:t>’</w:t>
      </w:r>
      <w:r w:rsidRPr="005F28B2">
        <w:rPr>
          <w:lang w:val="fr-FR"/>
        </w:rPr>
        <w:t>un « Guide pour les visites dans les lieux de détention ». L</w:t>
      </w:r>
      <w:r w:rsidR="00E16237" w:rsidRPr="005F28B2">
        <w:rPr>
          <w:lang w:val="fr-FR"/>
        </w:rPr>
        <w:t>’</w:t>
      </w:r>
      <w:r w:rsidRPr="005F28B2">
        <w:rPr>
          <w:lang w:val="fr-FR"/>
        </w:rPr>
        <w:t xml:space="preserve">Institut supérieur de la magistrature </w:t>
      </w:r>
      <w:r w:rsidRPr="005F28B2">
        <w:rPr>
          <w:lang w:val="fr-FR"/>
        </w:rPr>
        <w:lastRenderedPageBreak/>
        <w:t>dispense depuis 1992 des cours de droits de l</w:t>
      </w:r>
      <w:r w:rsidR="00E16237" w:rsidRPr="005F28B2">
        <w:rPr>
          <w:lang w:val="fr-FR"/>
        </w:rPr>
        <w:t>’</w:t>
      </w:r>
      <w:r w:rsidRPr="005F28B2">
        <w:rPr>
          <w:lang w:val="fr-FR"/>
        </w:rPr>
        <w:t>homme aux auditeurs de justice et aux magistrats en exercice dans le cadre de la formation continue. Le Ministère a également organisé</w:t>
      </w:r>
      <w:r w:rsidR="00E16237" w:rsidRPr="005F28B2">
        <w:rPr>
          <w:lang w:val="fr-FR"/>
        </w:rPr>
        <w:t>,</w:t>
      </w:r>
      <w:r w:rsidRPr="005F28B2">
        <w:rPr>
          <w:lang w:val="fr-FR"/>
        </w:rPr>
        <w:t xml:space="preserve"> dans le cadre d</w:t>
      </w:r>
      <w:r w:rsidR="00E16237" w:rsidRPr="005F28B2">
        <w:rPr>
          <w:lang w:val="fr-FR"/>
        </w:rPr>
        <w:t>’</w:t>
      </w:r>
      <w:r w:rsidRPr="005F28B2">
        <w:rPr>
          <w:lang w:val="fr-FR"/>
        </w:rPr>
        <w:t>accords de coopération bilatéraux</w:t>
      </w:r>
      <w:r w:rsidR="00E16237" w:rsidRPr="005F28B2">
        <w:rPr>
          <w:lang w:val="fr-FR"/>
        </w:rPr>
        <w:t>,</w:t>
      </w:r>
      <w:r w:rsidRPr="005F28B2">
        <w:rPr>
          <w:lang w:val="fr-FR"/>
        </w:rPr>
        <w:t xml:space="preserve"> des sessions de formation aux droits de l</w:t>
      </w:r>
      <w:r w:rsidR="00E16237" w:rsidRPr="005F28B2">
        <w:rPr>
          <w:lang w:val="fr-FR"/>
        </w:rPr>
        <w:t>’</w:t>
      </w:r>
      <w:r w:rsidRPr="005F28B2">
        <w:rPr>
          <w:lang w:val="fr-FR"/>
        </w:rPr>
        <w:t>homme dans le domaine de la justice à l</w:t>
      </w:r>
      <w:r w:rsidR="00E16237" w:rsidRPr="005F28B2">
        <w:rPr>
          <w:lang w:val="fr-FR"/>
        </w:rPr>
        <w:t>’</w:t>
      </w:r>
      <w:r w:rsidRPr="005F28B2">
        <w:rPr>
          <w:lang w:val="fr-FR"/>
        </w:rPr>
        <w:t>intention des magistrats en exercice en vue de diffuser la culture des droits de l</w:t>
      </w:r>
      <w:r w:rsidR="00E16237" w:rsidRPr="005F28B2">
        <w:rPr>
          <w:lang w:val="fr-FR"/>
        </w:rPr>
        <w:t>’</w:t>
      </w:r>
      <w:r w:rsidRPr="005F28B2">
        <w:rPr>
          <w:lang w:val="fr-FR"/>
        </w:rPr>
        <w:t>homme parmi les magistrats du siège et du parquet. Une formation a également été dispensée par le Comité International de la Croix-Rouge à l</w:t>
      </w:r>
      <w:r w:rsidR="00E16237" w:rsidRPr="005F28B2">
        <w:rPr>
          <w:lang w:val="fr-FR"/>
        </w:rPr>
        <w:t>’</w:t>
      </w:r>
      <w:r w:rsidRPr="005F28B2">
        <w:rPr>
          <w:lang w:val="fr-FR"/>
        </w:rPr>
        <w:t>intention des officiers et du personnel pénitentiaire.</w:t>
      </w:r>
    </w:p>
    <w:p w:rsidR="009052AE" w:rsidRPr="005F28B2" w:rsidRDefault="00163041" w:rsidP="00515E3C">
      <w:pPr>
        <w:pStyle w:val="SingleTxtG"/>
        <w:rPr>
          <w:rtl/>
          <w:lang w:val="fr-FR" w:bidi="fr-FR"/>
        </w:rPr>
      </w:pPr>
      <w:r w:rsidRPr="005F28B2">
        <w:rPr>
          <w:lang w:val="fr-FR"/>
        </w:rPr>
        <w:t>80.</w:t>
      </w:r>
      <w:r w:rsidRPr="005F28B2">
        <w:rPr>
          <w:lang w:val="fr-FR"/>
        </w:rPr>
        <w:tab/>
        <w:t>Le Ministère de la défense veille à appliquer les dispositions du dernier paragraphe de l</w:t>
      </w:r>
      <w:r w:rsidR="00E16237" w:rsidRPr="005F28B2">
        <w:rPr>
          <w:lang w:val="fr-FR"/>
        </w:rPr>
        <w:t>’</w:t>
      </w:r>
      <w:r w:rsidR="00755707" w:rsidRPr="005F28B2">
        <w:rPr>
          <w:lang w:val="fr-FR"/>
        </w:rPr>
        <w:t>article </w:t>
      </w:r>
      <w:r w:rsidRPr="005F28B2">
        <w:rPr>
          <w:lang w:val="fr-FR"/>
        </w:rPr>
        <w:t>24 de l</w:t>
      </w:r>
      <w:r w:rsidR="00E16237" w:rsidRPr="005F28B2">
        <w:rPr>
          <w:lang w:val="fr-FR"/>
        </w:rPr>
        <w:t>’</w:t>
      </w:r>
      <w:r w:rsidRPr="005F28B2">
        <w:rPr>
          <w:lang w:val="fr-FR"/>
        </w:rPr>
        <w:t>Instruction ministérielle du 23 janvier 2002 sur la discipline générale des forces armées</w:t>
      </w:r>
      <w:r w:rsidR="00E16237" w:rsidRPr="005F28B2">
        <w:rPr>
          <w:lang w:val="fr-FR"/>
        </w:rPr>
        <w:t>,</w:t>
      </w:r>
      <w:r w:rsidRPr="005F28B2">
        <w:rPr>
          <w:lang w:val="fr-FR"/>
        </w:rPr>
        <w:t xml:space="preserve"> qui interdit à tous les militaires d</w:t>
      </w:r>
      <w:r w:rsidR="00E16237" w:rsidRPr="005F28B2">
        <w:rPr>
          <w:lang w:val="fr-FR"/>
        </w:rPr>
        <w:t>’</w:t>
      </w:r>
      <w:r w:rsidRPr="005F28B2">
        <w:rPr>
          <w:lang w:val="fr-FR"/>
        </w:rPr>
        <w:t>infliger des traitements cruels ou inhumains dans les termes suivants : « Il est interdit aux militaires de porter atteinte à la vie et à l</w:t>
      </w:r>
      <w:r w:rsidR="00E16237" w:rsidRPr="005F28B2">
        <w:rPr>
          <w:lang w:val="fr-FR"/>
        </w:rPr>
        <w:t>’</w:t>
      </w:r>
      <w:r w:rsidRPr="005F28B2">
        <w:rPr>
          <w:lang w:val="fr-FR"/>
        </w:rPr>
        <w:t>intégrité physique des malades</w:t>
      </w:r>
      <w:r w:rsidR="00E16237" w:rsidRPr="005F28B2">
        <w:rPr>
          <w:lang w:val="fr-FR"/>
        </w:rPr>
        <w:t>,</w:t>
      </w:r>
      <w:r w:rsidRPr="005F28B2">
        <w:rPr>
          <w:lang w:val="fr-FR"/>
        </w:rPr>
        <w:t xml:space="preserve"> des blessés</w:t>
      </w:r>
      <w:r w:rsidR="00E16237" w:rsidRPr="005F28B2">
        <w:rPr>
          <w:lang w:val="fr-FR"/>
        </w:rPr>
        <w:t>,</w:t>
      </w:r>
      <w:r w:rsidRPr="005F28B2">
        <w:rPr>
          <w:lang w:val="fr-FR"/>
        </w:rPr>
        <w:t xml:space="preserve"> des naufragés</w:t>
      </w:r>
      <w:r w:rsidR="00E16237" w:rsidRPr="005F28B2">
        <w:rPr>
          <w:lang w:val="fr-FR"/>
        </w:rPr>
        <w:t>,</w:t>
      </w:r>
      <w:r w:rsidRPr="005F28B2">
        <w:rPr>
          <w:lang w:val="fr-FR"/>
        </w:rPr>
        <w:t xml:space="preserve"> des prisonniers et des civils et notamment de commettre des meurtres</w:t>
      </w:r>
      <w:r w:rsidR="00E16237" w:rsidRPr="005F28B2">
        <w:rPr>
          <w:lang w:val="fr-FR"/>
        </w:rPr>
        <w:t>,</w:t>
      </w:r>
      <w:r w:rsidRPr="005F28B2">
        <w:rPr>
          <w:lang w:val="fr-FR"/>
        </w:rPr>
        <w:t xml:space="preserve"> de perpétrer toutes formes de mutilations ou de recourir à des traitements cruels ou dégradants ou à la torture</w:t>
      </w:r>
      <w:r w:rsidR="00B626D6" w:rsidRPr="005F28B2">
        <w:rPr>
          <w:lang w:val="fr-FR"/>
        </w:rPr>
        <w:t>. </w:t>
      </w:r>
      <w:r w:rsidRPr="005F28B2">
        <w:rPr>
          <w:lang w:val="fr-FR"/>
        </w:rPr>
        <w:t>»</w:t>
      </w:r>
    </w:p>
    <w:p w:rsidR="009052AE" w:rsidRPr="005F28B2" w:rsidRDefault="00163041" w:rsidP="00515E3C">
      <w:pPr>
        <w:pStyle w:val="SingleTxtG"/>
        <w:rPr>
          <w:rtl/>
          <w:lang w:val="fr-FR" w:bidi="fr-FR"/>
        </w:rPr>
      </w:pPr>
      <w:r w:rsidRPr="005F28B2">
        <w:rPr>
          <w:lang w:val="fr-FR"/>
        </w:rPr>
        <w:t>81.</w:t>
      </w:r>
      <w:r w:rsidRPr="005F28B2">
        <w:rPr>
          <w:lang w:val="fr-FR"/>
        </w:rPr>
        <w:tab/>
        <w:t>Les établissements universitaires</w:t>
      </w:r>
      <w:r w:rsidR="00E16237" w:rsidRPr="005F28B2">
        <w:rPr>
          <w:lang w:val="fr-FR"/>
        </w:rPr>
        <w:t>,</w:t>
      </w:r>
      <w:r w:rsidRPr="005F28B2">
        <w:rPr>
          <w:lang w:val="fr-FR"/>
        </w:rPr>
        <w:t xml:space="preserve"> notamment ceux qui enseignent les disciplines juridiques</w:t>
      </w:r>
      <w:r w:rsidR="00E16237" w:rsidRPr="005F28B2">
        <w:rPr>
          <w:lang w:val="fr-FR"/>
        </w:rPr>
        <w:t>,</w:t>
      </w:r>
      <w:r w:rsidRPr="005F28B2">
        <w:rPr>
          <w:lang w:val="fr-FR"/>
        </w:rPr>
        <w:t xml:space="preserve"> dispensent des cours de droits de l</w:t>
      </w:r>
      <w:r w:rsidR="00E16237" w:rsidRPr="005F28B2">
        <w:rPr>
          <w:lang w:val="fr-FR"/>
        </w:rPr>
        <w:t>’</w:t>
      </w:r>
      <w:r w:rsidRPr="005F28B2">
        <w:rPr>
          <w:lang w:val="fr-FR"/>
        </w:rPr>
        <w:t xml:space="preserve">homme. </w:t>
      </w:r>
    </w:p>
    <w:p w:rsidR="009052AE" w:rsidRPr="005F28B2" w:rsidRDefault="00163041" w:rsidP="00515E3C">
      <w:pPr>
        <w:pStyle w:val="SingleTxtG"/>
        <w:rPr>
          <w:rtl/>
          <w:lang w:val="fr-FR" w:bidi="fr-FR"/>
        </w:rPr>
      </w:pPr>
      <w:r w:rsidRPr="005F28B2">
        <w:rPr>
          <w:lang w:val="fr-FR"/>
        </w:rPr>
        <w:t>82.</w:t>
      </w:r>
      <w:r w:rsidRPr="005F28B2">
        <w:rPr>
          <w:lang w:val="fr-FR"/>
        </w:rPr>
        <w:tab/>
        <w:t>Les médias écrits</w:t>
      </w:r>
      <w:r w:rsidR="00E16237" w:rsidRPr="005F28B2">
        <w:rPr>
          <w:lang w:val="fr-FR"/>
        </w:rPr>
        <w:t>,</w:t>
      </w:r>
      <w:r w:rsidRPr="005F28B2">
        <w:rPr>
          <w:lang w:val="fr-FR"/>
        </w:rPr>
        <w:t xml:space="preserve"> audiovisuels et électroniques jouent un rôle important en matière de diffusion de la culture des droits de l</w:t>
      </w:r>
      <w:r w:rsidR="00E16237" w:rsidRPr="005F28B2">
        <w:rPr>
          <w:lang w:val="fr-FR"/>
        </w:rPr>
        <w:t>’</w:t>
      </w:r>
      <w:r w:rsidRPr="005F28B2">
        <w:rPr>
          <w:lang w:val="fr-FR"/>
        </w:rPr>
        <w:t>homme et de sensibilisation à ces questions au moyen de programmations spéciales</w:t>
      </w:r>
      <w:r w:rsidR="00E16237" w:rsidRPr="005F28B2">
        <w:rPr>
          <w:lang w:val="fr-FR"/>
        </w:rPr>
        <w:t>,</w:t>
      </w:r>
      <w:r w:rsidRPr="005F28B2">
        <w:rPr>
          <w:lang w:val="fr-FR"/>
        </w:rPr>
        <w:t xml:space="preserve"> de la couverture médiatique des conférences et autres journées d</w:t>
      </w:r>
      <w:r w:rsidR="00E16237" w:rsidRPr="005F28B2">
        <w:rPr>
          <w:lang w:val="fr-FR"/>
        </w:rPr>
        <w:t>’</w:t>
      </w:r>
      <w:r w:rsidRPr="005F28B2">
        <w:rPr>
          <w:lang w:val="fr-FR"/>
        </w:rPr>
        <w:t>études et de la commémoration des journées internationales relatives aux droits de l</w:t>
      </w:r>
      <w:r w:rsidR="00E16237" w:rsidRPr="005F28B2">
        <w:rPr>
          <w:lang w:val="fr-FR"/>
        </w:rPr>
        <w:t>’</w:t>
      </w:r>
      <w:r w:rsidRPr="005F28B2">
        <w:rPr>
          <w:lang w:val="fr-FR"/>
        </w:rPr>
        <w:t>homme</w:t>
      </w:r>
      <w:r w:rsidR="00E16237" w:rsidRPr="005F28B2">
        <w:rPr>
          <w:lang w:val="fr-FR"/>
        </w:rPr>
        <w:t>,</w:t>
      </w:r>
      <w:r w:rsidRPr="005F28B2">
        <w:rPr>
          <w:lang w:val="fr-FR"/>
        </w:rPr>
        <w:t xml:space="preserve"> étant en outre précisé que les journalistes et le personnel des médias bénéficient également de formations dans ce domaine. </w:t>
      </w:r>
    </w:p>
    <w:p w:rsidR="009052AE" w:rsidRPr="005F28B2" w:rsidRDefault="00163041" w:rsidP="00515E3C">
      <w:pPr>
        <w:pStyle w:val="SingleTxtG"/>
        <w:rPr>
          <w:rtl/>
          <w:lang w:val="fr-FR" w:bidi="fr-FR"/>
        </w:rPr>
      </w:pPr>
      <w:r w:rsidRPr="005F28B2">
        <w:rPr>
          <w:lang w:val="fr-FR"/>
        </w:rPr>
        <w:t>83.</w:t>
      </w:r>
      <w:r w:rsidRPr="005F28B2">
        <w:rPr>
          <w:lang w:val="fr-FR"/>
        </w:rPr>
        <w:tab/>
        <w:t>Quant aux organisations de la société civile</w:t>
      </w:r>
      <w:r w:rsidR="00E16237" w:rsidRPr="005F28B2">
        <w:rPr>
          <w:lang w:val="fr-FR"/>
        </w:rPr>
        <w:t>,</w:t>
      </w:r>
      <w:r w:rsidRPr="005F28B2">
        <w:rPr>
          <w:lang w:val="fr-FR"/>
        </w:rPr>
        <w:t xml:space="preserve"> elles participent à la diffusion de la culture des droits de l</w:t>
      </w:r>
      <w:r w:rsidR="00E16237" w:rsidRPr="005F28B2">
        <w:rPr>
          <w:lang w:val="fr-FR"/>
        </w:rPr>
        <w:t>’</w:t>
      </w:r>
      <w:r w:rsidRPr="005F28B2">
        <w:rPr>
          <w:lang w:val="fr-FR"/>
        </w:rPr>
        <w:t>homme et à la sensibilisation à ces questions et aux instruments internationaux pertinents</w:t>
      </w:r>
      <w:r w:rsidR="00E16237" w:rsidRPr="005F28B2">
        <w:rPr>
          <w:lang w:val="fr-FR"/>
        </w:rPr>
        <w:t>,</w:t>
      </w:r>
      <w:r w:rsidRPr="005F28B2">
        <w:rPr>
          <w:lang w:val="fr-FR"/>
        </w:rPr>
        <w:t xml:space="preserve"> outre leur contribution à l</w:t>
      </w:r>
      <w:r w:rsidR="00E16237" w:rsidRPr="005F28B2">
        <w:rPr>
          <w:lang w:val="fr-FR"/>
        </w:rPr>
        <w:t>’</w:t>
      </w:r>
      <w:r w:rsidRPr="005F28B2">
        <w:rPr>
          <w:lang w:val="fr-FR"/>
        </w:rPr>
        <w:t>élaboration des rapports périodiques nationaux</w:t>
      </w:r>
      <w:r w:rsidR="00E16237" w:rsidRPr="005F28B2">
        <w:rPr>
          <w:lang w:val="fr-FR"/>
        </w:rPr>
        <w:t>,</w:t>
      </w:r>
      <w:r w:rsidRPr="005F28B2">
        <w:rPr>
          <w:lang w:val="fr-FR"/>
        </w:rPr>
        <w:t xml:space="preserve"> à la présentation de rapports parallèles et au suivi de la mise en œuvre des recommandations formulées par les organes des traités. Treize associations spécialisées dans la protection et l</w:t>
      </w:r>
      <w:r w:rsidR="00E16237" w:rsidRPr="005F28B2">
        <w:rPr>
          <w:lang w:val="fr-FR"/>
        </w:rPr>
        <w:t>’</w:t>
      </w:r>
      <w:r w:rsidRPr="005F28B2">
        <w:rPr>
          <w:lang w:val="fr-FR"/>
        </w:rPr>
        <w:t>éducation aux droits de l</w:t>
      </w:r>
      <w:r w:rsidR="00E16237" w:rsidRPr="005F28B2">
        <w:rPr>
          <w:lang w:val="fr-FR"/>
        </w:rPr>
        <w:t>’</w:t>
      </w:r>
      <w:r w:rsidRPr="005F28B2">
        <w:rPr>
          <w:lang w:val="fr-FR"/>
        </w:rPr>
        <w:t>homme ont vu le jour après la révolution</w:t>
      </w:r>
      <w:r w:rsidR="00E16237" w:rsidRPr="005F28B2">
        <w:rPr>
          <w:lang w:val="fr-FR"/>
        </w:rPr>
        <w:t>,</w:t>
      </w:r>
      <w:r w:rsidRPr="005F28B2">
        <w:rPr>
          <w:lang w:val="fr-FR"/>
        </w:rPr>
        <w:t xml:space="preserve"> telles que la Ligue tunisienne pour la citoyenneté</w:t>
      </w:r>
      <w:r w:rsidR="00E16237" w:rsidRPr="005F28B2">
        <w:rPr>
          <w:lang w:val="fr-FR"/>
        </w:rPr>
        <w:t>,</w:t>
      </w:r>
      <w:r w:rsidRPr="005F28B2">
        <w:rPr>
          <w:lang w:val="fr-FR"/>
        </w:rPr>
        <w:t xml:space="preserve"> le Centre de Tunis pour la liberté de la presse</w:t>
      </w:r>
      <w:r w:rsidR="00E16237" w:rsidRPr="005F28B2">
        <w:rPr>
          <w:lang w:val="fr-FR"/>
        </w:rPr>
        <w:t>,</w:t>
      </w:r>
      <w:r w:rsidRPr="005F28B2">
        <w:rPr>
          <w:lang w:val="fr-FR"/>
        </w:rPr>
        <w:t xml:space="preserve"> l</w:t>
      </w:r>
      <w:r w:rsidR="00E16237" w:rsidRPr="005F28B2">
        <w:rPr>
          <w:lang w:val="fr-FR"/>
        </w:rPr>
        <w:t>’</w:t>
      </w:r>
      <w:r w:rsidRPr="005F28B2">
        <w:rPr>
          <w:lang w:val="fr-FR"/>
        </w:rPr>
        <w:t>Association tunisienne de promotion de la culture des droits de l</w:t>
      </w:r>
      <w:r w:rsidR="00E16237" w:rsidRPr="005F28B2">
        <w:rPr>
          <w:lang w:val="fr-FR"/>
        </w:rPr>
        <w:t>’</w:t>
      </w:r>
      <w:r w:rsidRPr="005F28B2">
        <w:rPr>
          <w:lang w:val="fr-FR"/>
        </w:rPr>
        <w:t>homme et la Société internationale des droits de l</w:t>
      </w:r>
      <w:r w:rsidR="00E16237" w:rsidRPr="005F28B2">
        <w:rPr>
          <w:lang w:val="fr-FR"/>
        </w:rPr>
        <w:t>’</w:t>
      </w:r>
      <w:r w:rsidRPr="005F28B2">
        <w:rPr>
          <w:lang w:val="fr-FR"/>
        </w:rPr>
        <w:t xml:space="preserve">homme. </w:t>
      </w:r>
    </w:p>
    <w:p w:rsidR="009052AE" w:rsidRPr="005F28B2" w:rsidRDefault="00163041" w:rsidP="00515E3C">
      <w:pPr>
        <w:pStyle w:val="SingleTxtG"/>
        <w:rPr>
          <w:rtl/>
          <w:lang w:val="fr-FR" w:bidi="fr-FR"/>
        </w:rPr>
      </w:pPr>
      <w:r w:rsidRPr="005F28B2">
        <w:rPr>
          <w:lang w:val="fr-FR"/>
        </w:rPr>
        <w:t>84.</w:t>
      </w:r>
      <w:r w:rsidRPr="005F28B2">
        <w:rPr>
          <w:lang w:val="fr-FR"/>
        </w:rPr>
        <w:tab/>
        <w:t>Après sa mise en place</w:t>
      </w:r>
      <w:r w:rsidR="00E16237" w:rsidRPr="005F28B2">
        <w:rPr>
          <w:lang w:val="fr-FR"/>
        </w:rPr>
        <w:t>,</w:t>
      </w:r>
      <w:r w:rsidRPr="005F28B2">
        <w:rPr>
          <w:lang w:val="fr-FR"/>
        </w:rPr>
        <w:t xml:space="preserve"> la Commission nationale permanente de coordination</w:t>
      </w:r>
      <w:r w:rsidR="00E16237" w:rsidRPr="005F28B2">
        <w:rPr>
          <w:lang w:val="fr-FR"/>
        </w:rPr>
        <w:t>,</w:t>
      </w:r>
      <w:r w:rsidRPr="005F28B2">
        <w:rPr>
          <w:lang w:val="fr-FR"/>
        </w:rPr>
        <w:t xml:space="preserve"> d</w:t>
      </w:r>
      <w:r w:rsidR="00E16237" w:rsidRPr="005F28B2">
        <w:rPr>
          <w:lang w:val="fr-FR"/>
        </w:rPr>
        <w:t>’</w:t>
      </w:r>
      <w:r w:rsidRPr="005F28B2">
        <w:rPr>
          <w:lang w:val="fr-FR"/>
        </w:rPr>
        <w:t>élaboration</w:t>
      </w:r>
      <w:r w:rsidR="00E16237" w:rsidRPr="005F28B2">
        <w:rPr>
          <w:lang w:val="fr-FR"/>
        </w:rPr>
        <w:t>,</w:t>
      </w:r>
      <w:r w:rsidRPr="005F28B2">
        <w:rPr>
          <w:lang w:val="fr-FR"/>
        </w:rPr>
        <w:t xml:space="preserve"> de présentation des rapports et de suivi des recommandations en matière de droits de l</w:t>
      </w:r>
      <w:r w:rsidR="00E16237" w:rsidRPr="005F28B2">
        <w:rPr>
          <w:lang w:val="fr-FR"/>
        </w:rPr>
        <w:t>’</w:t>
      </w:r>
      <w:r w:rsidRPr="005F28B2">
        <w:rPr>
          <w:lang w:val="fr-FR"/>
        </w:rPr>
        <w:t>homme a veillé à diffuser les instruments internationaux auxquels la Tunisie a adhéré ou qu</w:t>
      </w:r>
      <w:r w:rsidR="00E16237" w:rsidRPr="005F28B2">
        <w:rPr>
          <w:lang w:val="fr-FR"/>
        </w:rPr>
        <w:t>’</w:t>
      </w:r>
      <w:r w:rsidRPr="005F28B2">
        <w:rPr>
          <w:lang w:val="fr-FR"/>
        </w:rPr>
        <w:t>elle a ratifiés</w:t>
      </w:r>
      <w:r w:rsidR="00E16237" w:rsidRPr="005F28B2">
        <w:rPr>
          <w:lang w:val="fr-FR"/>
        </w:rPr>
        <w:t>,</w:t>
      </w:r>
      <w:r w:rsidRPr="005F28B2">
        <w:rPr>
          <w:lang w:val="fr-FR"/>
        </w:rPr>
        <w:t xml:space="preserve"> ainsi qu</w:t>
      </w:r>
      <w:r w:rsidR="00E16237" w:rsidRPr="005F28B2">
        <w:rPr>
          <w:lang w:val="fr-FR"/>
        </w:rPr>
        <w:t>’</w:t>
      </w:r>
      <w:r w:rsidRPr="005F28B2">
        <w:rPr>
          <w:lang w:val="fr-FR"/>
        </w:rPr>
        <w:t>à faire participer tous les intervenants agissant dans ce domaine à l</w:t>
      </w:r>
      <w:r w:rsidR="00E16237" w:rsidRPr="005F28B2">
        <w:rPr>
          <w:lang w:val="fr-FR"/>
        </w:rPr>
        <w:t>’</w:t>
      </w:r>
      <w:r w:rsidRPr="005F28B2">
        <w:rPr>
          <w:lang w:val="fr-FR"/>
        </w:rPr>
        <w:t>élaboration des rapports spécifiques avant soumission aux comités ou organes onusiens ou régionaux compétents</w:t>
      </w:r>
      <w:r w:rsidR="00E16237" w:rsidRPr="005F28B2">
        <w:rPr>
          <w:lang w:val="fr-FR"/>
        </w:rPr>
        <w:t>,</w:t>
      </w:r>
      <w:r w:rsidRPr="005F28B2">
        <w:rPr>
          <w:lang w:val="fr-FR"/>
        </w:rPr>
        <w:t xml:space="preserve"> à vulgariser les recommandations formulées par ces instances après examen des rapports et à consulter tous les acteurs sur les modalités de mise en œuvre envisagées. </w:t>
      </w:r>
    </w:p>
    <w:p w:rsidR="009052AE" w:rsidRPr="005F28B2" w:rsidRDefault="00163041" w:rsidP="00515E3C">
      <w:pPr>
        <w:pStyle w:val="H23G"/>
        <w:rPr>
          <w:rtl/>
          <w:lang w:val="fr-FR" w:bidi="fr-FR"/>
        </w:rPr>
      </w:pPr>
      <w:r w:rsidRPr="005F28B2">
        <w:rPr>
          <w:lang w:val="fr-FR"/>
        </w:rPr>
        <w:tab/>
      </w:r>
      <w:bookmarkStart w:id="44" w:name="_Toc478218518"/>
      <w:r w:rsidRPr="005F28B2">
        <w:rPr>
          <w:lang w:val="fr-FR"/>
        </w:rPr>
        <w:tab/>
        <w:t>Le processus d</w:t>
      </w:r>
      <w:r w:rsidR="00E16237" w:rsidRPr="005F28B2">
        <w:rPr>
          <w:lang w:val="fr-FR"/>
        </w:rPr>
        <w:t>’</w:t>
      </w:r>
      <w:r w:rsidRPr="005F28B2">
        <w:rPr>
          <w:lang w:val="fr-FR"/>
        </w:rPr>
        <w:t>établissement des rapports</w:t>
      </w:r>
      <w:bookmarkEnd w:id="44"/>
    </w:p>
    <w:p w:rsidR="009052AE" w:rsidRPr="005F28B2" w:rsidRDefault="00163041" w:rsidP="00515E3C">
      <w:pPr>
        <w:pStyle w:val="SingleTxtG"/>
        <w:rPr>
          <w:lang w:val="fr-FR"/>
        </w:rPr>
      </w:pPr>
      <w:r w:rsidRPr="005F28B2">
        <w:rPr>
          <w:lang w:val="fr-FR"/>
        </w:rPr>
        <w:t>85.</w:t>
      </w:r>
      <w:r w:rsidRPr="005F28B2">
        <w:rPr>
          <w:lang w:val="fr-FR"/>
        </w:rPr>
        <w:tab/>
        <w:t>Compte tenu du retard pris par l</w:t>
      </w:r>
      <w:r w:rsidR="00E16237" w:rsidRPr="005F28B2">
        <w:rPr>
          <w:lang w:val="fr-FR"/>
        </w:rPr>
        <w:t>’</w:t>
      </w:r>
      <w:r w:rsidRPr="005F28B2">
        <w:rPr>
          <w:lang w:val="fr-FR"/>
        </w:rPr>
        <w:t>État tunisien en matière de présentation de ses rapports dans les délais</w:t>
      </w:r>
      <w:r w:rsidR="00E16237" w:rsidRPr="005F28B2">
        <w:rPr>
          <w:lang w:val="fr-FR"/>
        </w:rPr>
        <w:t>,</w:t>
      </w:r>
      <w:r w:rsidRPr="005F28B2">
        <w:rPr>
          <w:lang w:val="fr-FR"/>
        </w:rPr>
        <w:t xml:space="preserve"> de l</w:t>
      </w:r>
      <w:r w:rsidR="00E16237" w:rsidRPr="005F28B2">
        <w:rPr>
          <w:lang w:val="fr-FR"/>
        </w:rPr>
        <w:t>’</w:t>
      </w:r>
      <w:r w:rsidRPr="005F28B2">
        <w:rPr>
          <w:lang w:val="fr-FR"/>
        </w:rPr>
        <w:t>absence d</w:t>
      </w:r>
      <w:r w:rsidR="00E16237" w:rsidRPr="005F28B2">
        <w:rPr>
          <w:lang w:val="fr-FR"/>
        </w:rPr>
        <w:t>’</w:t>
      </w:r>
      <w:r w:rsidRPr="005F28B2">
        <w:rPr>
          <w:lang w:val="fr-FR"/>
        </w:rPr>
        <w:t>un suivi périodique et régulier des recommandations formulées par les organes onusiens et régionaux des droits de l</w:t>
      </w:r>
      <w:r w:rsidR="00E16237" w:rsidRPr="005F28B2">
        <w:rPr>
          <w:lang w:val="fr-FR"/>
        </w:rPr>
        <w:t>’</w:t>
      </w:r>
      <w:r w:rsidRPr="005F28B2">
        <w:rPr>
          <w:lang w:val="fr-FR"/>
        </w:rPr>
        <w:t>homme et de l</w:t>
      </w:r>
      <w:r w:rsidR="00E16237" w:rsidRPr="005F28B2">
        <w:rPr>
          <w:lang w:val="fr-FR"/>
        </w:rPr>
        <w:t>’</w:t>
      </w:r>
      <w:r w:rsidRPr="005F28B2">
        <w:rPr>
          <w:lang w:val="fr-FR"/>
        </w:rPr>
        <w:t>absence d</w:t>
      </w:r>
      <w:r w:rsidR="00E16237" w:rsidRPr="005F28B2">
        <w:rPr>
          <w:lang w:val="fr-FR"/>
        </w:rPr>
        <w:t>’</w:t>
      </w:r>
      <w:r w:rsidRPr="005F28B2">
        <w:rPr>
          <w:lang w:val="fr-FR"/>
        </w:rPr>
        <w:t>une institution permanente chargée de la rédaction desdits documents</w:t>
      </w:r>
      <w:r w:rsidR="00E16237" w:rsidRPr="005F28B2">
        <w:rPr>
          <w:lang w:val="fr-FR"/>
        </w:rPr>
        <w:t>,</w:t>
      </w:r>
      <w:r w:rsidRPr="005F28B2">
        <w:rPr>
          <w:lang w:val="fr-FR"/>
        </w:rPr>
        <w:t xml:space="preserve"> une Commission nationale de coordination</w:t>
      </w:r>
      <w:r w:rsidR="00E16237" w:rsidRPr="005F28B2">
        <w:rPr>
          <w:lang w:val="fr-FR"/>
        </w:rPr>
        <w:t>,</w:t>
      </w:r>
      <w:r w:rsidRPr="005F28B2">
        <w:rPr>
          <w:lang w:val="fr-FR"/>
        </w:rPr>
        <w:t xml:space="preserve"> d</w:t>
      </w:r>
      <w:r w:rsidR="00E16237" w:rsidRPr="005F28B2">
        <w:rPr>
          <w:lang w:val="fr-FR"/>
        </w:rPr>
        <w:t>’</w:t>
      </w:r>
      <w:r w:rsidRPr="005F28B2">
        <w:rPr>
          <w:lang w:val="fr-FR"/>
        </w:rPr>
        <w:t>élaboration</w:t>
      </w:r>
      <w:r w:rsidR="00E16237" w:rsidRPr="005F28B2">
        <w:rPr>
          <w:lang w:val="fr-FR"/>
        </w:rPr>
        <w:t>,</w:t>
      </w:r>
      <w:r w:rsidRPr="005F28B2">
        <w:rPr>
          <w:lang w:val="fr-FR"/>
        </w:rPr>
        <w:t xml:space="preserve"> de présentation des rapports et de suivi des recommandations a été créée par le décret gouvernemental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2015-1593 du 30 octobre 2015. Il s</w:t>
      </w:r>
      <w:r w:rsidR="00E16237" w:rsidRPr="005F28B2">
        <w:rPr>
          <w:lang w:val="fr-FR"/>
        </w:rPr>
        <w:t>’</w:t>
      </w:r>
      <w:r w:rsidRPr="005F28B2">
        <w:rPr>
          <w:lang w:val="fr-FR"/>
        </w:rPr>
        <w:t>agit d</w:t>
      </w:r>
      <w:r w:rsidR="00E16237" w:rsidRPr="005F28B2">
        <w:rPr>
          <w:lang w:val="fr-FR"/>
        </w:rPr>
        <w:t>’</w:t>
      </w:r>
      <w:r w:rsidRPr="005F28B2">
        <w:rPr>
          <w:lang w:val="fr-FR"/>
        </w:rPr>
        <w:t>une commission permanente placée auprès du Chef du Gouvernement</w:t>
      </w:r>
      <w:r w:rsidR="00E16237" w:rsidRPr="005F28B2">
        <w:rPr>
          <w:lang w:val="fr-FR"/>
        </w:rPr>
        <w:t>,</w:t>
      </w:r>
      <w:r w:rsidRPr="005F28B2">
        <w:rPr>
          <w:lang w:val="fr-FR"/>
        </w:rPr>
        <w:t xml:space="preserve"> composée de représentants des différents ministères et présidée par le Ministre chargé des droits de l</w:t>
      </w:r>
      <w:r w:rsidR="00E16237" w:rsidRPr="005F28B2">
        <w:rPr>
          <w:lang w:val="fr-FR"/>
        </w:rPr>
        <w:t>’</w:t>
      </w:r>
      <w:r w:rsidRPr="005F28B2">
        <w:rPr>
          <w:lang w:val="fr-FR"/>
        </w:rPr>
        <w:t>homme ou son représentant.</w:t>
      </w:r>
    </w:p>
    <w:p w:rsidR="009052AE" w:rsidRPr="005F28B2" w:rsidRDefault="00163041" w:rsidP="00515E3C">
      <w:pPr>
        <w:pStyle w:val="SingleTxtG"/>
        <w:rPr>
          <w:rtl/>
          <w:lang w:val="fr-FR" w:bidi="fr-FR"/>
        </w:rPr>
      </w:pPr>
      <w:r w:rsidRPr="005F28B2">
        <w:rPr>
          <w:lang w:val="fr-FR"/>
        </w:rPr>
        <w:lastRenderedPageBreak/>
        <w:t>86.</w:t>
      </w:r>
      <w:r w:rsidRPr="005F28B2">
        <w:rPr>
          <w:lang w:val="fr-FR"/>
        </w:rPr>
        <w:tab/>
        <w:t xml:space="preserve">La Commission est chargée des missions suivantes : </w:t>
      </w:r>
    </w:p>
    <w:p w:rsidR="009052AE" w:rsidRPr="005F28B2" w:rsidRDefault="00163041" w:rsidP="00515E3C">
      <w:pPr>
        <w:pStyle w:val="Bullet1G"/>
        <w:rPr>
          <w:lang w:val="fr-FR"/>
        </w:rPr>
      </w:pPr>
      <w:r w:rsidRPr="005F28B2">
        <w:rPr>
          <w:lang w:val="fr-FR"/>
        </w:rPr>
        <w:t>L</w:t>
      </w:r>
      <w:r w:rsidR="00E16237" w:rsidRPr="005F28B2">
        <w:rPr>
          <w:lang w:val="fr-FR"/>
        </w:rPr>
        <w:t>’</w:t>
      </w:r>
      <w:r w:rsidRPr="005F28B2">
        <w:rPr>
          <w:lang w:val="fr-FR"/>
        </w:rPr>
        <w:t>élaboration</w:t>
      </w:r>
      <w:r w:rsidR="00E16237" w:rsidRPr="005F28B2">
        <w:rPr>
          <w:lang w:val="fr-FR"/>
        </w:rPr>
        <w:t>,</w:t>
      </w:r>
      <w:r w:rsidRPr="005F28B2">
        <w:rPr>
          <w:lang w:val="fr-FR"/>
        </w:rPr>
        <w:t xml:space="preserve"> la présentation et la discussion des rapports gouvernementaux</w:t>
      </w:r>
      <w:r w:rsidR="00E16237" w:rsidRPr="005F28B2">
        <w:rPr>
          <w:lang w:val="fr-FR"/>
        </w:rPr>
        <w:t>,</w:t>
      </w:r>
      <w:r w:rsidRPr="005F28B2">
        <w:rPr>
          <w:lang w:val="fr-FR"/>
        </w:rPr>
        <w:t xml:space="preserve"> dans les délais</w:t>
      </w:r>
      <w:r w:rsidR="00E16237" w:rsidRPr="005F28B2">
        <w:rPr>
          <w:lang w:val="fr-FR"/>
        </w:rPr>
        <w:t>,</w:t>
      </w:r>
      <w:r w:rsidRPr="005F28B2">
        <w:rPr>
          <w:lang w:val="fr-FR"/>
        </w:rPr>
        <w:t xml:space="preserve"> auprès des organes conventionnels onusiens et régionaux auxquels la Tunisie est partie</w:t>
      </w:r>
      <w:r w:rsidR="00E16237" w:rsidRPr="005F28B2">
        <w:rPr>
          <w:lang w:val="fr-FR"/>
        </w:rPr>
        <w:t>,</w:t>
      </w:r>
      <w:r w:rsidRPr="005F28B2">
        <w:rPr>
          <w:lang w:val="fr-FR"/>
        </w:rPr>
        <w:t xml:space="preserve"> ainsi qu</w:t>
      </w:r>
      <w:r w:rsidR="00E16237" w:rsidRPr="005F28B2">
        <w:rPr>
          <w:lang w:val="fr-FR"/>
        </w:rPr>
        <w:t>’</w:t>
      </w:r>
      <w:r w:rsidRPr="005F28B2">
        <w:rPr>
          <w:lang w:val="fr-FR"/>
        </w:rPr>
        <w:t>auprès du Conseil des droits de l</w:t>
      </w:r>
      <w:r w:rsidR="00E16237" w:rsidRPr="005F28B2">
        <w:rPr>
          <w:lang w:val="fr-FR"/>
        </w:rPr>
        <w:t>’</w:t>
      </w:r>
      <w:r w:rsidRPr="005F28B2">
        <w:rPr>
          <w:lang w:val="fr-FR"/>
        </w:rPr>
        <w:t>homme et des procédures spéciales des Nations Unies et devant les instances et organes régionaux</w:t>
      </w:r>
      <w:r w:rsidR="00CF6817" w:rsidRPr="005F28B2">
        <w:rPr>
          <w:lang w:val="fr-FR"/>
        </w:rPr>
        <w:t> ;</w:t>
      </w:r>
    </w:p>
    <w:p w:rsidR="009052AE" w:rsidRPr="005F28B2" w:rsidRDefault="00163041" w:rsidP="00515E3C">
      <w:pPr>
        <w:pStyle w:val="Bullet1G"/>
        <w:rPr>
          <w:lang w:val="fr-FR"/>
        </w:rPr>
      </w:pPr>
      <w:r w:rsidRPr="005F28B2">
        <w:rPr>
          <w:lang w:val="fr-FR"/>
        </w:rPr>
        <w:t>La coordination et la coopération avec les différentes structures et institutions nationales pour l</w:t>
      </w:r>
      <w:r w:rsidR="00E16237" w:rsidRPr="005F28B2">
        <w:rPr>
          <w:lang w:val="fr-FR"/>
        </w:rPr>
        <w:t>’</w:t>
      </w:r>
      <w:r w:rsidRPr="005F28B2">
        <w:rPr>
          <w:lang w:val="fr-FR"/>
        </w:rPr>
        <w:t>élaboration des rapports du gouvernement tunisien et pour répondre aux différents rapports internationaux et régionaux relatifs aux droits de l</w:t>
      </w:r>
      <w:r w:rsidR="00E16237" w:rsidRPr="005F28B2">
        <w:rPr>
          <w:lang w:val="fr-FR"/>
        </w:rPr>
        <w:t>’</w:t>
      </w:r>
      <w:r w:rsidRPr="005F28B2">
        <w:rPr>
          <w:lang w:val="fr-FR"/>
        </w:rPr>
        <w:t>homme</w:t>
      </w:r>
      <w:r w:rsidR="00CF6817" w:rsidRPr="005F28B2">
        <w:rPr>
          <w:lang w:val="fr-FR"/>
        </w:rPr>
        <w:t> ;</w:t>
      </w:r>
    </w:p>
    <w:p w:rsidR="009052AE" w:rsidRPr="005F28B2" w:rsidRDefault="00163041" w:rsidP="00515E3C">
      <w:pPr>
        <w:pStyle w:val="Bullet1G"/>
        <w:rPr>
          <w:lang w:val="fr-FR"/>
        </w:rPr>
      </w:pPr>
      <w:r w:rsidRPr="005F28B2">
        <w:rPr>
          <w:lang w:val="fr-FR"/>
        </w:rPr>
        <w:t>La coopération et l</w:t>
      </w:r>
      <w:r w:rsidR="00E16237" w:rsidRPr="005F28B2">
        <w:rPr>
          <w:lang w:val="fr-FR"/>
        </w:rPr>
        <w:t>’</w:t>
      </w:r>
      <w:r w:rsidRPr="005F28B2">
        <w:rPr>
          <w:lang w:val="fr-FR"/>
        </w:rPr>
        <w:t>interaction</w:t>
      </w:r>
      <w:r w:rsidR="00E16237" w:rsidRPr="005F28B2">
        <w:rPr>
          <w:lang w:val="fr-FR"/>
        </w:rPr>
        <w:t>,</w:t>
      </w:r>
      <w:r w:rsidRPr="005F28B2">
        <w:rPr>
          <w:lang w:val="fr-FR"/>
        </w:rPr>
        <w:t xml:space="preserve"> dans les limites de ses attributions</w:t>
      </w:r>
      <w:r w:rsidR="00E16237" w:rsidRPr="005F28B2">
        <w:rPr>
          <w:lang w:val="fr-FR"/>
        </w:rPr>
        <w:t>,</w:t>
      </w:r>
      <w:r w:rsidRPr="005F28B2">
        <w:rPr>
          <w:lang w:val="fr-FR"/>
        </w:rPr>
        <w:t xml:space="preserve"> avec les organisations onusiennes et leurs agences spécialisées</w:t>
      </w:r>
      <w:r w:rsidR="00E16237" w:rsidRPr="005F28B2">
        <w:rPr>
          <w:lang w:val="fr-FR"/>
        </w:rPr>
        <w:t>,</w:t>
      </w:r>
      <w:r w:rsidRPr="005F28B2">
        <w:rPr>
          <w:lang w:val="fr-FR"/>
        </w:rPr>
        <w:t xml:space="preserve"> avec les organisations régionales œuvrant dans le domaine des droits de l</w:t>
      </w:r>
      <w:r w:rsidR="00E16237" w:rsidRPr="005F28B2">
        <w:rPr>
          <w:lang w:val="fr-FR"/>
        </w:rPr>
        <w:t>’</w:t>
      </w:r>
      <w:r w:rsidRPr="005F28B2">
        <w:rPr>
          <w:lang w:val="fr-FR"/>
        </w:rPr>
        <w:t>homme et avec les organisations non gouvernementales concernées</w:t>
      </w:r>
      <w:r w:rsidR="00CF6817" w:rsidRPr="005F28B2">
        <w:rPr>
          <w:lang w:val="fr-FR"/>
        </w:rPr>
        <w:t> ;</w:t>
      </w:r>
    </w:p>
    <w:p w:rsidR="009052AE" w:rsidRPr="005F28B2" w:rsidRDefault="00163041" w:rsidP="00515E3C">
      <w:pPr>
        <w:pStyle w:val="Bullet1G"/>
        <w:rPr>
          <w:lang w:val="fr-FR"/>
        </w:rPr>
      </w:pPr>
      <w:r w:rsidRPr="005F28B2">
        <w:rPr>
          <w:lang w:val="fr-FR"/>
        </w:rPr>
        <w:t>La mise à jour</w:t>
      </w:r>
      <w:r w:rsidR="00E16237" w:rsidRPr="005F28B2">
        <w:rPr>
          <w:lang w:val="fr-FR"/>
        </w:rPr>
        <w:t>,</w:t>
      </w:r>
      <w:r w:rsidRPr="005F28B2">
        <w:rPr>
          <w:lang w:val="fr-FR"/>
        </w:rPr>
        <w:t xml:space="preserve"> le cas échéant</w:t>
      </w:r>
      <w:r w:rsidR="00E16237" w:rsidRPr="005F28B2">
        <w:rPr>
          <w:lang w:val="fr-FR"/>
        </w:rPr>
        <w:t>,</w:t>
      </w:r>
      <w:r w:rsidRPr="005F28B2">
        <w:rPr>
          <w:lang w:val="fr-FR"/>
        </w:rPr>
        <w:t xml:space="preserve"> du document de base commun concernant tous les traités</w:t>
      </w:r>
      <w:r w:rsidR="00CF6817" w:rsidRPr="005F28B2">
        <w:rPr>
          <w:lang w:val="fr-FR"/>
        </w:rPr>
        <w:t> ;</w:t>
      </w:r>
      <w:r w:rsidRPr="005F28B2">
        <w:rPr>
          <w:lang w:val="fr-FR"/>
        </w:rPr>
        <w:t xml:space="preserve"> </w:t>
      </w:r>
    </w:p>
    <w:p w:rsidR="009052AE" w:rsidRPr="005F28B2" w:rsidRDefault="00163041" w:rsidP="00515E3C">
      <w:pPr>
        <w:pStyle w:val="Bullet1G"/>
        <w:rPr>
          <w:lang w:val="fr-FR"/>
        </w:rPr>
      </w:pPr>
      <w:r w:rsidRPr="005F28B2">
        <w:rPr>
          <w:lang w:val="fr-FR"/>
        </w:rPr>
        <w:t>La coordination pour la collecte d</w:t>
      </w:r>
      <w:r w:rsidR="00E16237" w:rsidRPr="005F28B2">
        <w:rPr>
          <w:lang w:val="fr-FR"/>
        </w:rPr>
        <w:t>’</w:t>
      </w:r>
      <w:r w:rsidRPr="005F28B2">
        <w:rPr>
          <w:lang w:val="fr-FR"/>
        </w:rPr>
        <w:t>informations et de statistiques et la mise en place d</w:t>
      </w:r>
      <w:r w:rsidR="00E16237" w:rsidRPr="005F28B2">
        <w:rPr>
          <w:lang w:val="fr-FR"/>
        </w:rPr>
        <w:t>’</w:t>
      </w:r>
      <w:r w:rsidRPr="005F28B2">
        <w:rPr>
          <w:lang w:val="fr-FR"/>
        </w:rPr>
        <w:t>une base de données et d</w:t>
      </w:r>
      <w:r w:rsidR="00E16237" w:rsidRPr="005F28B2">
        <w:rPr>
          <w:lang w:val="fr-FR"/>
        </w:rPr>
        <w:t>’</w:t>
      </w:r>
      <w:r w:rsidRPr="005F28B2">
        <w:rPr>
          <w:lang w:val="fr-FR"/>
        </w:rPr>
        <w:t>indicateurs efficaces et efficients dans le domaine des droits de l</w:t>
      </w:r>
      <w:r w:rsidR="00E16237" w:rsidRPr="005F28B2">
        <w:rPr>
          <w:lang w:val="fr-FR"/>
        </w:rPr>
        <w:t>’</w:t>
      </w:r>
      <w:r w:rsidRPr="005F28B2">
        <w:rPr>
          <w:lang w:val="fr-FR"/>
        </w:rPr>
        <w:t>homme</w:t>
      </w:r>
      <w:r w:rsidR="00CF6817" w:rsidRPr="005F28B2">
        <w:rPr>
          <w:lang w:val="fr-FR"/>
        </w:rPr>
        <w:t> ;</w:t>
      </w:r>
    </w:p>
    <w:p w:rsidR="009052AE" w:rsidRPr="005F28B2" w:rsidRDefault="00163041" w:rsidP="00515E3C">
      <w:pPr>
        <w:pStyle w:val="Bullet1G"/>
        <w:rPr>
          <w:lang w:val="fr-FR"/>
        </w:rPr>
      </w:pPr>
      <w:r w:rsidRPr="005F28B2">
        <w:rPr>
          <w:lang w:val="fr-FR"/>
        </w:rPr>
        <w:t>Le suivi des observations et recommandations émanant des instances</w:t>
      </w:r>
      <w:r w:rsidR="00E16237" w:rsidRPr="005F28B2">
        <w:rPr>
          <w:lang w:val="fr-FR"/>
        </w:rPr>
        <w:t>,</w:t>
      </w:r>
      <w:r w:rsidRPr="005F28B2">
        <w:rPr>
          <w:lang w:val="fr-FR"/>
        </w:rPr>
        <w:t xml:space="preserve"> comités et organes onusiens et régionaux dans le domaine des droits de l</w:t>
      </w:r>
      <w:r w:rsidR="00E16237" w:rsidRPr="005F28B2">
        <w:rPr>
          <w:lang w:val="fr-FR"/>
        </w:rPr>
        <w:t>’</w:t>
      </w:r>
      <w:r w:rsidRPr="005F28B2">
        <w:rPr>
          <w:lang w:val="fr-FR"/>
        </w:rPr>
        <w:t>homme</w:t>
      </w:r>
      <w:r w:rsidR="00CF6817" w:rsidRPr="005F28B2">
        <w:rPr>
          <w:lang w:val="fr-FR"/>
        </w:rPr>
        <w:t> ;</w:t>
      </w:r>
      <w:r w:rsidRPr="005F28B2">
        <w:rPr>
          <w:lang w:val="fr-FR"/>
        </w:rPr>
        <w:t xml:space="preserve"> </w:t>
      </w:r>
    </w:p>
    <w:p w:rsidR="009052AE" w:rsidRPr="005F28B2" w:rsidRDefault="00163041" w:rsidP="00515E3C">
      <w:pPr>
        <w:pStyle w:val="Bullet1G"/>
        <w:rPr>
          <w:lang w:val="fr-FR"/>
        </w:rPr>
      </w:pPr>
      <w:r w:rsidRPr="005F28B2">
        <w:rPr>
          <w:lang w:val="fr-FR"/>
        </w:rPr>
        <w:t>La compilation et l</w:t>
      </w:r>
      <w:r w:rsidR="00E16237" w:rsidRPr="005F28B2">
        <w:rPr>
          <w:lang w:val="fr-FR"/>
        </w:rPr>
        <w:t>’</w:t>
      </w:r>
      <w:r w:rsidRPr="005F28B2">
        <w:rPr>
          <w:lang w:val="fr-FR"/>
        </w:rPr>
        <w:t>indexation des recommandations</w:t>
      </w:r>
      <w:r w:rsidR="00E16237" w:rsidRPr="005F28B2">
        <w:rPr>
          <w:lang w:val="fr-FR"/>
        </w:rPr>
        <w:t>,</w:t>
      </w:r>
      <w:r w:rsidRPr="005F28B2">
        <w:rPr>
          <w:lang w:val="fr-FR"/>
        </w:rPr>
        <w:t xml:space="preserve"> l</w:t>
      </w:r>
      <w:r w:rsidR="00E16237" w:rsidRPr="005F28B2">
        <w:rPr>
          <w:lang w:val="fr-FR"/>
        </w:rPr>
        <w:t>’</w:t>
      </w:r>
      <w:r w:rsidRPr="005F28B2">
        <w:rPr>
          <w:lang w:val="fr-FR"/>
        </w:rPr>
        <w:t>analyse de la portée de chaque recommandation et l</w:t>
      </w:r>
      <w:r w:rsidR="00E16237" w:rsidRPr="005F28B2">
        <w:rPr>
          <w:lang w:val="fr-FR"/>
        </w:rPr>
        <w:t>’</w:t>
      </w:r>
      <w:r w:rsidRPr="005F28B2">
        <w:rPr>
          <w:lang w:val="fr-FR"/>
        </w:rPr>
        <w:t>identification des parties chargées de la mise en œuvre de chacune d</w:t>
      </w:r>
      <w:r w:rsidR="00E16237" w:rsidRPr="005F28B2">
        <w:rPr>
          <w:lang w:val="fr-FR"/>
        </w:rPr>
        <w:t>’</w:t>
      </w:r>
      <w:r w:rsidRPr="005F28B2">
        <w:rPr>
          <w:lang w:val="fr-FR"/>
        </w:rPr>
        <w:t>entre elles</w:t>
      </w:r>
      <w:r w:rsidR="00E16237" w:rsidRPr="005F28B2">
        <w:rPr>
          <w:lang w:val="fr-FR"/>
        </w:rPr>
        <w:t>,</w:t>
      </w:r>
      <w:r w:rsidRPr="005F28B2">
        <w:rPr>
          <w:lang w:val="fr-FR"/>
        </w:rPr>
        <w:t xml:space="preserve"> ainsi que l</w:t>
      </w:r>
      <w:r w:rsidR="00E16237" w:rsidRPr="005F28B2">
        <w:rPr>
          <w:lang w:val="fr-FR"/>
        </w:rPr>
        <w:t>’</w:t>
      </w:r>
      <w:r w:rsidRPr="005F28B2">
        <w:rPr>
          <w:lang w:val="fr-FR"/>
        </w:rPr>
        <w:t>adoption de procédures et de principes directeurs pour garantir la coordination entre toutes ces entités</w:t>
      </w:r>
      <w:r w:rsidR="00CF6817" w:rsidRPr="005F28B2">
        <w:rPr>
          <w:lang w:val="fr-FR"/>
        </w:rPr>
        <w:t> ;</w:t>
      </w:r>
      <w:r w:rsidRPr="005F28B2">
        <w:rPr>
          <w:lang w:val="fr-FR"/>
        </w:rPr>
        <w:t xml:space="preserve"> </w:t>
      </w:r>
    </w:p>
    <w:p w:rsidR="009052AE" w:rsidRPr="005F28B2" w:rsidRDefault="00163041" w:rsidP="00515E3C">
      <w:pPr>
        <w:pStyle w:val="Bullet1G"/>
        <w:rPr>
          <w:lang w:val="fr-FR"/>
        </w:rPr>
      </w:pPr>
      <w:r w:rsidRPr="005F28B2">
        <w:rPr>
          <w:lang w:val="fr-FR"/>
        </w:rPr>
        <w:t>L</w:t>
      </w:r>
      <w:r w:rsidR="00E16237" w:rsidRPr="005F28B2">
        <w:rPr>
          <w:lang w:val="fr-FR"/>
        </w:rPr>
        <w:t>’</w:t>
      </w:r>
      <w:r w:rsidRPr="005F28B2">
        <w:rPr>
          <w:lang w:val="fr-FR"/>
        </w:rPr>
        <w:t xml:space="preserve">élaboration des rapports périodiques relatifs aux progrès réalisés par le Gouvernement tunisien au titre du respect de ses engagements et de la mise en œuvre des recommandations. </w:t>
      </w:r>
    </w:p>
    <w:p w:rsidR="009052AE" w:rsidRPr="005F28B2" w:rsidRDefault="00163041" w:rsidP="00515E3C">
      <w:pPr>
        <w:pStyle w:val="SingleTxtG"/>
        <w:rPr>
          <w:rtl/>
          <w:lang w:val="fr-FR" w:bidi="fr-FR"/>
        </w:rPr>
      </w:pPr>
      <w:r w:rsidRPr="005F28B2">
        <w:rPr>
          <w:lang w:val="fr-FR"/>
        </w:rPr>
        <w:t>87.</w:t>
      </w:r>
      <w:r w:rsidRPr="005F28B2">
        <w:rPr>
          <w:lang w:val="fr-FR"/>
        </w:rPr>
        <w:tab/>
        <w:t>La Commission veille</w:t>
      </w:r>
      <w:r w:rsidR="00E16237" w:rsidRPr="005F28B2">
        <w:rPr>
          <w:lang w:val="fr-FR"/>
        </w:rPr>
        <w:t>,</w:t>
      </w:r>
      <w:r w:rsidRPr="005F28B2">
        <w:rPr>
          <w:lang w:val="fr-FR"/>
        </w:rPr>
        <w:t xml:space="preserve"> lors de l</w:t>
      </w:r>
      <w:r w:rsidR="00E16237" w:rsidRPr="005F28B2">
        <w:rPr>
          <w:lang w:val="fr-FR"/>
        </w:rPr>
        <w:t>’</w:t>
      </w:r>
      <w:r w:rsidRPr="005F28B2">
        <w:rPr>
          <w:lang w:val="fr-FR"/>
        </w:rPr>
        <w:t>accomplissement de ses missions</w:t>
      </w:r>
      <w:r w:rsidR="00E16237" w:rsidRPr="005F28B2">
        <w:rPr>
          <w:lang w:val="fr-FR"/>
        </w:rPr>
        <w:t>,</w:t>
      </w:r>
      <w:r w:rsidRPr="005F28B2">
        <w:rPr>
          <w:lang w:val="fr-FR"/>
        </w:rPr>
        <w:t xml:space="preserve"> à faire participer les composantes de la société civile et les instances nationales agissant dans le domaine des droits de l</w:t>
      </w:r>
      <w:r w:rsidR="00E16237" w:rsidRPr="005F28B2">
        <w:rPr>
          <w:lang w:val="fr-FR"/>
        </w:rPr>
        <w:t>’</w:t>
      </w:r>
      <w:r w:rsidRPr="005F28B2">
        <w:rPr>
          <w:lang w:val="fr-FR"/>
        </w:rPr>
        <w:t xml:space="preserve">homme. </w:t>
      </w:r>
    </w:p>
    <w:p w:rsidR="009052AE" w:rsidRPr="005F28B2" w:rsidRDefault="00163041" w:rsidP="00515E3C">
      <w:pPr>
        <w:pStyle w:val="SingleTxtG"/>
        <w:rPr>
          <w:rtl/>
          <w:lang w:val="fr-FR" w:bidi="fr-FR"/>
        </w:rPr>
      </w:pPr>
      <w:r w:rsidRPr="005F28B2">
        <w:rPr>
          <w:lang w:val="fr-FR"/>
        </w:rPr>
        <w:t>88.</w:t>
      </w:r>
      <w:r w:rsidRPr="005F28B2">
        <w:rPr>
          <w:lang w:val="fr-FR"/>
        </w:rPr>
        <w:tab/>
        <w:t>Un secrétariat permanent placé sous la tutelle de la Commission a été créé en son sein</w:t>
      </w:r>
      <w:r w:rsidR="00E16237" w:rsidRPr="005F28B2">
        <w:rPr>
          <w:lang w:val="fr-FR"/>
        </w:rPr>
        <w:t>,</w:t>
      </w:r>
      <w:r w:rsidRPr="005F28B2">
        <w:rPr>
          <w:lang w:val="fr-FR"/>
        </w:rPr>
        <w:t xml:space="preserve"> dont la supervision a été confiée au membre rapporteur de la Commission</w:t>
      </w:r>
      <w:r w:rsidR="00E16237" w:rsidRPr="005F28B2">
        <w:rPr>
          <w:lang w:val="fr-FR"/>
        </w:rPr>
        <w:t>,</w:t>
      </w:r>
      <w:r w:rsidRPr="005F28B2">
        <w:rPr>
          <w:lang w:val="fr-FR"/>
        </w:rPr>
        <w:t xml:space="preserve"> étant précisé que cette structure apporte</w:t>
      </w:r>
      <w:r w:rsidR="00E16237" w:rsidRPr="005F28B2">
        <w:rPr>
          <w:lang w:val="fr-FR"/>
        </w:rPr>
        <w:t>,</w:t>
      </w:r>
      <w:r w:rsidRPr="005F28B2">
        <w:rPr>
          <w:lang w:val="fr-FR"/>
        </w:rPr>
        <w:t xml:space="preserve"> de manière générale</w:t>
      </w:r>
      <w:r w:rsidR="00E16237" w:rsidRPr="005F28B2">
        <w:rPr>
          <w:lang w:val="fr-FR"/>
        </w:rPr>
        <w:t>,</w:t>
      </w:r>
      <w:r w:rsidRPr="005F28B2">
        <w:rPr>
          <w:lang w:val="fr-FR"/>
        </w:rPr>
        <w:t xml:space="preserve"> toute l</w:t>
      </w:r>
      <w:r w:rsidR="00E16237" w:rsidRPr="005F28B2">
        <w:rPr>
          <w:lang w:val="fr-FR"/>
        </w:rPr>
        <w:t>’</w:t>
      </w:r>
      <w:r w:rsidRPr="005F28B2">
        <w:rPr>
          <w:lang w:val="fr-FR"/>
        </w:rPr>
        <w:t>aide nécessaire à l</w:t>
      </w:r>
      <w:r w:rsidR="00E16237" w:rsidRPr="005F28B2">
        <w:rPr>
          <w:lang w:val="fr-FR"/>
        </w:rPr>
        <w:t>’</w:t>
      </w:r>
      <w:r w:rsidRPr="005F28B2">
        <w:rPr>
          <w:lang w:val="fr-FR"/>
        </w:rPr>
        <w:t xml:space="preserve">accomplissement des tâches de cet organisme. </w:t>
      </w:r>
    </w:p>
    <w:p w:rsidR="009052AE" w:rsidRPr="005F28B2" w:rsidRDefault="00163041" w:rsidP="00515E3C">
      <w:pPr>
        <w:pStyle w:val="SingleTxtG"/>
        <w:rPr>
          <w:lang w:val="fr-FR"/>
        </w:rPr>
      </w:pPr>
      <w:r w:rsidRPr="005F28B2">
        <w:rPr>
          <w:lang w:val="fr-FR"/>
        </w:rPr>
        <w:t>89.</w:t>
      </w:r>
      <w:r w:rsidRPr="005F28B2">
        <w:rPr>
          <w:lang w:val="fr-FR"/>
        </w:rPr>
        <w:tab/>
        <w:t>Le décret portant création de la Commission a insisté sur la nécessité</w:t>
      </w:r>
      <w:r w:rsidR="00E16237" w:rsidRPr="005F28B2">
        <w:rPr>
          <w:lang w:val="fr-FR"/>
        </w:rPr>
        <w:t>,</w:t>
      </w:r>
      <w:r w:rsidRPr="005F28B2">
        <w:rPr>
          <w:lang w:val="fr-FR"/>
        </w:rPr>
        <w:t xml:space="preserve"> pour cette instance</w:t>
      </w:r>
      <w:r w:rsidR="00E16237" w:rsidRPr="005F28B2">
        <w:rPr>
          <w:lang w:val="fr-FR"/>
        </w:rPr>
        <w:t>,</w:t>
      </w:r>
      <w:r w:rsidRPr="005F28B2">
        <w:rPr>
          <w:lang w:val="fr-FR"/>
        </w:rPr>
        <w:t xml:space="preserve"> de veiller à assurer la formation aux droits de l</w:t>
      </w:r>
      <w:r w:rsidR="00E16237" w:rsidRPr="005F28B2">
        <w:rPr>
          <w:lang w:val="fr-FR"/>
        </w:rPr>
        <w:t>’</w:t>
      </w:r>
      <w:r w:rsidRPr="005F28B2">
        <w:rPr>
          <w:lang w:val="fr-FR"/>
        </w:rPr>
        <w:t xml:space="preserve">homme de ses membres et du personnel du secrétariat permanent. </w:t>
      </w:r>
    </w:p>
    <w:p w:rsidR="009052AE" w:rsidRPr="005F28B2" w:rsidRDefault="00163041" w:rsidP="00515E3C">
      <w:pPr>
        <w:pStyle w:val="SingleTxtG"/>
        <w:rPr>
          <w:lang w:val="fr-FR"/>
        </w:rPr>
      </w:pPr>
      <w:r w:rsidRPr="005F28B2">
        <w:rPr>
          <w:lang w:val="fr-FR"/>
        </w:rPr>
        <w:t>90.</w:t>
      </w:r>
      <w:r w:rsidRPr="005F28B2">
        <w:rPr>
          <w:lang w:val="fr-FR"/>
        </w:rPr>
        <w:tab/>
        <w:t>L</w:t>
      </w:r>
      <w:r w:rsidR="00E16237" w:rsidRPr="005F28B2">
        <w:rPr>
          <w:lang w:val="fr-FR"/>
        </w:rPr>
        <w:t>’</w:t>
      </w:r>
      <w:r w:rsidRPr="005F28B2">
        <w:rPr>
          <w:lang w:val="fr-FR"/>
        </w:rPr>
        <w:t>accent est mis actuellement sur le renforcement des capacités des membres de la Commission en matière de droits de l</w:t>
      </w:r>
      <w:r w:rsidR="00E16237" w:rsidRPr="005F28B2">
        <w:rPr>
          <w:lang w:val="fr-FR"/>
        </w:rPr>
        <w:t>’</w:t>
      </w:r>
      <w:r w:rsidRPr="005F28B2">
        <w:rPr>
          <w:lang w:val="fr-FR"/>
        </w:rPr>
        <w:t>homme en général et d</w:t>
      </w:r>
      <w:r w:rsidR="00E16237" w:rsidRPr="005F28B2">
        <w:rPr>
          <w:lang w:val="fr-FR"/>
        </w:rPr>
        <w:t>’</w:t>
      </w:r>
      <w:r w:rsidRPr="005F28B2">
        <w:rPr>
          <w:lang w:val="fr-FR"/>
        </w:rPr>
        <w:t>élaboration et de présentation des rapports en particulier. La Commission s</w:t>
      </w:r>
      <w:r w:rsidR="00E16237" w:rsidRPr="005F28B2">
        <w:rPr>
          <w:lang w:val="fr-FR"/>
        </w:rPr>
        <w:t>’</w:t>
      </w:r>
      <w:r w:rsidRPr="005F28B2">
        <w:rPr>
          <w:lang w:val="fr-FR"/>
        </w:rPr>
        <w:t>est attelée à réviser le document de base commun et a soumis en 2016 aux organes onusiens compétents les deux rapports de la Tunisie relatifs aux disparitions forcées et à la lutte contre la torture </w:t>
      </w:r>
      <w:r w:rsidR="00E16237" w:rsidRPr="005F28B2">
        <w:rPr>
          <w:lang w:val="fr-FR"/>
        </w:rPr>
        <w:t>;</w:t>
      </w:r>
      <w:r w:rsidRPr="005F28B2">
        <w:rPr>
          <w:lang w:val="fr-FR"/>
        </w:rPr>
        <w:t xml:space="preserve"> elle s</w:t>
      </w:r>
      <w:r w:rsidR="00E16237" w:rsidRPr="005F28B2">
        <w:rPr>
          <w:lang w:val="fr-FR"/>
        </w:rPr>
        <w:t>’</w:t>
      </w:r>
      <w:r w:rsidRPr="005F28B2">
        <w:rPr>
          <w:lang w:val="fr-FR"/>
        </w:rPr>
        <w:t>apprête en outre à débattre du rapport périodique du pays au titre du Pacte international relatif aux droits économiques</w:t>
      </w:r>
      <w:r w:rsidR="00E16237" w:rsidRPr="005F28B2">
        <w:rPr>
          <w:lang w:val="fr-FR"/>
        </w:rPr>
        <w:t>,</w:t>
      </w:r>
      <w:r w:rsidRPr="005F28B2">
        <w:rPr>
          <w:lang w:val="fr-FR"/>
        </w:rPr>
        <w:t xml:space="preserve"> sociaux et culturels et à élaborer les autres rapports dont la rédaction et la présentation ont enregistré des retards. </w:t>
      </w:r>
    </w:p>
    <w:p w:rsidR="009052AE" w:rsidRPr="005F28B2" w:rsidRDefault="00163041" w:rsidP="00515E3C">
      <w:pPr>
        <w:pStyle w:val="H23G"/>
        <w:rPr>
          <w:rtl/>
          <w:lang w:val="fr-FR" w:bidi="fr-FR"/>
        </w:rPr>
      </w:pPr>
      <w:r w:rsidRPr="005F28B2">
        <w:rPr>
          <w:lang w:val="fr-FR"/>
        </w:rPr>
        <w:lastRenderedPageBreak/>
        <w:tab/>
      </w:r>
      <w:bookmarkStart w:id="45" w:name="_Toc478218519"/>
      <w:r w:rsidRPr="005F28B2">
        <w:rPr>
          <w:lang w:val="fr-FR"/>
        </w:rPr>
        <w:tab/>
        <w:t>Autres informations</w:t>
      </w:r>
      <w:bookmarkEnd w:id="45"/>
      <w:r w:rsidRPr="005F28B2">
        <w:rPr>
          <w:lang w:val="fr-FR"/>
        </w:rPr>
        <w:t xml:space="preserve"> </w:t>
      </w:r>
    </w:p>
    <w:p w:rsidR="009052AE" w:rsidRPr="005F28B2" w:rsidRDefault="00163041" w:rsidP="00515E3C">
      <w:pPr>
        <w:pStyle w:val="SingleTxtG"/>
        <w:rPr>
          <w:rtl/>
          <w:lang w:val="fr-FR" w:bidi="fr-FR"/>
        </w:rPr>
      </w:pPr>
      <w:r w:rsidRPr="005F28B2">
        <w:rPr>
          <w:lang w:val="fr-FR"/>
        </w:rPr>
        <w:t>91.</w:t>
      </w:r>
      <w:r w:rsidRPr="005F28B2">
        <w:rPr>
          <w:lang w:val="fr-FR"/>
        </w:rPr>
        <w:tab/>
        <w:t>Selon la plupart des observateurs locaux et étrangers</w:t>
      </w:r>
      <w:r w:rsidR="00E16237" w:rsidRPr="005F28B2">
        <w:rPr>
          <w:lang w:val="fr-FR"/>
        </w:rPr>
        <w:t>,</w:t>
      </w:r>
      <w:r w:rsidRPr="005F28B2">
        <w:rPr>
          <w:lang w:val="fr-FR"/>
        </w:rPr>
        <w:t xml:space="preserve"> la Tunisie a organisé à l</w:t>
      </w:r>
      <w:r w:rsidR="00E16237" w:rsidRPr="005F28B2">
        <w:rPr>
          <w:lang w:val="fr-FR"/>
        </w:rPr>
        <w:t>’</w:t>
      </w:r>
      <w:r w:rsidRPr="005F28B2">
        <w:rPr>
          <w:lang w:val="fr-FR"/>
        </w:rPr>
        <w:t>issue de la révolution des 17 décembre au 14 janvier 2011 ses premières élections libres et démocratiques</w:t>
      </w:r>
      <w:r w:rsidR="00E16237" w:rsidRPr="005F28B2">
        <w:rPr>
          <w:lang w:val="fr-FR"/>
        </w:rPr>
        <w:t>,</w:t>
      </w:r>
      <w:r w:rsidRPr="005F28B2">
        <w:rPr>
          <w:lang w:val="fr-FR"/>
        </w:rPr>
        <w:t xml:space="preserve"> qui ont abouti à la désignation de 217 p</w:t>
      </w:r>
      <w:hyperlink r:id="rId14" w:tooltip="دستور تونس 2014" w:history="1">
        <w:r w:rsidRPr="005F28B2">
          <w:rPr>
            <w:lang w:val="fr-FR"/>
          </w:rPr>
          <w:t>arlementaires à l</w:t>
        </w:r>
        <w:r w:rsidR="00E16237" w:rsidRPr="005F28B2">
          <w:rPr>
            <w:lang w:val="fr-FR"/>
          </w:rPr>
          <w:t>’</w:t>
        </w:r>
        <w:r w:rsidRPr="005F28B2">
          <w:rPr>
            <w:lang w:val="fr-FR"/>
          </w:rPr>
          <w:t>Assemblée nationale constituante</w:t>
        </w:r>
        <w:r w:rsidR="00E16237" w:rsidRPr="005F28B2">
          <w:rPr>
            <w:lang w:val="fr-FR"/>
          </w:rPr>
          <w:t>,</w:t>
        </w:r>
        <w:r w:rsidRPr="005F28B2">
          <w:rPr>
            <w:lang w:val="fr-FR"/>
          </w:rPr>
          <w:t xml:space="preserve"> laquelle a été chargée de l</w:t>
        </w:r>
        <w:r w:rsidR="00E16237" w:rsidRPr="005F28B2">
          <w:rPr>
            <w:lang w:val="fr-FR"/>
          </w:rPr>
          <w:t>’</w:t>
        </w:r>
        <w:r w:rsidRPr="005F28B2">
          <w:rPr>
            <w:lang w:val="fr-FR"/>
          </w:rPr>
          <w:t>élaboration d</w:t>
        </w:r>
        <w:r w:rsidR="00E16237" w:rsidRPr="005F28B2">
          <w:rPr>
            <w:lang w:val="fr-FR"/>
          </w:rPr>
          <w:t>’</w:t>
        </w:r>
        <w:r w:rsidRPr="005F28B2">
          <w:rPr>
            <w:lang w:val="fr-FR"/>
          </w:rPr>
          <w:t>une nouvelle Constitution pour le pays et de l</w:t>
        </w:r>
        <w:r w:rsidR="00E16237" w:rsidRPr="005F28B2">
          <w:rPr>
            <w:lang w:val="fr-FR"/>
          </w:rPr>
          <w:t>’</w:t>
        </w:r>
        <w:r w:rsidRPr="005F28B2">
          <w:rPr>
            <w:lang w:val="fr-FR"/>
          </w:rPr>
          <w:t xml:space="preserve">exercice des fonctions </w:t>
        </w:r>
      </w:hyperlink>
      <w:r w:rsidRPr="005F28B2">
        <w:rPr>
          <w:lang w:val="fr-FR"/>
        </w:rPr>
        <w:t>législatives</w:t>
      </w:r>
      <w:r w:rsidR="00E16237" w:rsidRPr="005F28B2">
        <w:rPr>
          <w:lang w:val="fr-FR"/>
        </w:rPr>
        <w:t>,</w:t>
      </w:r>
      <w:r w:rsidRPr="005F28B2">
        <w:rPr>
          <w:lang w:val="fr-FR"/>
        </w:rPr>
        <w:t xml:space="preserve"> incluant notamment l</w:t>
      </w:r>
      <w:r w:rsidR="00E16237" w:rsidRPr="005F28B2">
        <w:rPr>
          <w:lang w:val="fr-FR"/>
        </w:rPr>
        <w:t>’</w:t>
      </w:r>
      <w:r w:rsidRPr="005F28B2">
        <w:rPr>
          <w:lang w:val="fr-FR"/>
        </w:rPr>
        <w:t>adoption de la loi relative à l</w:t>
      </w:r>
      <w:r w:rsidR="00E16237" w:rsidRPr="005F28B2">
        <w:rPr>
          <w:lang w:val="fr-FR"/>
        </w:rPr>
        <w:t>’</w:t>
      </w:r>
      <w:r w:rsidRPr="005F28B2">
        <w:rPr>
          <w:lang w:val="fr-FR"/>
        </w:rPr>
        <w:t>organisation provisoire des pouvoirs publics suite à la suspension de la Constitution de 1959</w:t>
      </w:r>
      <w:r w:rsidR="00E16237" w:rsidRPr="005F28B2">
        <w:rPr>
          <w:lang w:val="fr-FR"/>
        </w:rPr>
        <w:t>,</w:t>
      </w:r>
      <w:r w:rsidRPr="005F28B2">
        <w:rPr>
          <w:lang w:val="fr-FR"/>
        </w:rPr>
        <w:t xml:space="preserve"> la dissolution des anciennes assemblées élues et des précédentes instances constitutionnelles</w:t>
      </w:r>
      <w:r w:rsidR="00E16237" w:rsidRPr="005F28B2">
        <w:rPr>
          <w:lang w:val="fr-FR"/>
        </w:rPr>
        <w:t>,</w:t>
      </w:r>
      <w:r w:rsidRPr="005F28B2">
        <w:rPr>
          <w:lang w:val="fr-FR"/>
        </w:rPr>
        <w:t xml:space="preserve"> de même que la promulgation des lois visant à permettre le fonctionnement des institutions publiques</w:t>
      </w:r>
      <w:r w:rsidR="00E16237" w:rsidRPr="005F28B2">
        <w:rPr>
          <w:lang w:val="fr-FR"/>
        </w:rPr>
        <w:t>,</w:t>
      </w:r>
      <w:r w:rsidRPr="005F28B2">
        <w:rPr>
          <w:lang w:val="fr-FR"/>
        </w:rPr>
        <w:t xml:space="preserve"> telles que l</w:t>
      </w:r>
      <w:r w:rsidR="00E16237" w:rsidRPr="005F28B2">
        <w:rPr>
          <w:lang w:val="fr-FR"/>
        </w:rPr>
        <w:t>’</w:t>
      </w:r>
      <w:r w:rsidRPr="005F28B2">
        <w:rPr>
          <w:lang w:val="fr-FR"/>
        </w:rPr>
        <w:t>adoption d</w:t>
      </w:r>
      <w:r w:rsidR="00E16237" w:rsidRPr="005F28B2">
        <w:rPr>
          <w:lang w:val="fr-FR"/>
        </w:rPr>
        <w:t>’</w:t>
      </w:r>
      <w:r w:rsidRPr="005F28B2">
        <w:rPr>
          <w:lang w:val="fr-FR"/>
        </w:rPr>
        <w:t>une nouvelle loi électorale en vue d</w:t>
      </w:r>
      <w:r w:rsidR="00E16237" w:rsidRPr="005F28B2">
        <w:rPr>
          <w:lang w:val="fr-FR"/>
        </w:rPr>
        <w:t>’</w:t>
      </w:r>
      <w:r w:rsidRPr="005F28B2">
        <w:rPr>
          <w:lang w:val="fr-FR"/>
        </w:rPr>
        <w:t>organiser les premières élections présidentielles et législatives libres</w:t>
      </w:r>
      <w:r w:rsidR="00E16237" w:rsidRPr="005F28B2">
        <w:rPr>
          <w:lang w:val="fr-FR"/>
        </w:rPr>
        <w:t>,</w:t>
      </w:r>
      <w:r w:rsidRPr="005F28B2">
        <w:rPr>
          <w:lang w:val="fr-FR"/>
        </w:rPr>
        <w:t xml:space="preserve"> transparentes et intègres. Actuellement</w:t>
      </w:r>
      <w:r w:rsidR="00E16237" w:rsidRPr="005F28B2">
        <w:rPr>
          <w:lang w:val="fr-FR"/>
        </w:rPr>
        <w:t>,</w:t>
      </w:r>
      <w:r w:rsidRPr="005F28B2">
        <w:rPr>
          <w:lang w:val="fr-FR"/>
        </w:rPr>
        <w:t xml:space="preserve"> la Tunisie s</w:t>
      </w:r>
      <w:r w:rsidR="00E16237" w:rsidRPr="005F28B2">
        <w:rPr>
          <w:lang w:val="fr-FR"/>
        </w:rPr>
        <w:t>’</w:t>
      </w:r>
      <w:r w:rsidRPr="005F28B2">
        <w:rPr>
          <w:lang w:val="fr-FR"/>
        </w:rPr>
        <w:t>apprête à organiser les premières élections locales libres</w:t>
      </w:r>
      <w:r w:rsidR="00E16237" w:rsidRPr="005F28B2">
        <w:rPr>
          <w:lang w:val="fr-FR"/>
        </w:rPr>
        <w:t>,</w:t>
      </w:r>
      <w:r w:rsidRPr="005F28B2">
        <w:rPr>
          <w:lang w:val="fr-FR"/>
        </w:rPr>
        <w:t xml:space="preserve"> en application des dispositions du Chapitre</w:t>
      </w:r>
      <w:r w:rsidR="009163AA" w:rsidRPr="005F28B2">
        <w:rPr>
          <w:lang w:val="fr-FR"/>
        </w:rPr>
        <w:t> </w:t>
      </w:r>
      <w:r w:rsidRPr="005F28B2">
        <w:rPr>
          <w:lang w:val="fr-FR"/>
        </w:rPr>
        <w:t xml:space="preserve">VII de la nouvelle Constitution tunisienne. </w:t>
      </w:r>
    </w:p>
    <w:p w:rsidR="009052AE" w:rsidRPr="005F28B2" w:rsidRDefault="00163041" w:rsidP="00515E3C">
      <w:pPr>
        <w:pStyle w:val="SingleTxtG"/>
        <w:rPr>
          <w:lang w:val="fr-FR"/>
        </w:rPr>
      </w:pPr>
      <w:r w:rsidRPr="005F28B2">
        <w:rPr>
          <w:lang w:val="fr-FR"/>
        </w:rPr>
        <w:t>92.</w:t>
      </w:r>
      <w:r w:rsidRPr="005F28B2">
        <w:rPr>
          <w:lang w:val="fr-FR"/>
        </w:rPr>
        <w:tab/>
      </w:r>
      <w:hyperlink r:id="rId15" w:tooltip="9 أكتوبر" w:history="1">
        <w:r w:rsidRPr="005F28B2">
          <w:rPr>
            <w:lang w:val="fr-FR"/>
          </w:rPr>
          <w:t>L</w:t>
        </w:r>
      </w:hyperlink>
      <w:r w:rsidRPr="005F28B2">
        <w:rPr>
          <w:lang w:val="fr-FR"/>
        </w:rPr>
        <w:t>e 9 octobre 2015</w:t>
      </w:r>
      <w:r w:rsidR="00E16237" w:rsidRPr="005F28B2">
        <w:rPr>
          <w:lang w:val="fr-FR"/>
        </w:rPr>
        <w:t>,</w:t>
      </w:r>
      <w:r w:rsidRPr="005F28B2">
        <w:rPr>
          <w:lang w:val="fr-FR"/>
        </w:rPr>
        <w:t xml:space="preserve"> le prix Nobel de la paix a été décerné par le comité norvégien à quatre organisations nationales tunisiennes</w:t>
      </w:r>
      <w:r w:rsidR="00E16237" w:rsidRPr="005F28B2">
        <w:rPr>
          <w:lang w:val="fr-FR"/>
        </w:rPr>
        <w:t>,</w:t>
      </w:r>
      <w:r w:rsidRPr="005F28B2">
        <w:rPr>
          <w:lang w:val="fr-FR"/>
        </w:rPr>
        <w:t xml:space="preserve"> à savoir l</w:t>
      </w:r>
      <w:r w:rsidR="00E16237" w:rsidRPr="005F28B2">
        <w:rPr>
          <w:lang w:val="fr-FR"/>
        </w:rPr>
        <w:t>’</w:t>
      </w:r>
      <w:r w:rsidRPr="005F28B2">
        <w:rPr>
          <w:lang w:val="fr-FR"/>
        </w:rPr>
        <w:t>Union générale des travailleurs tunisiens (UGTT)</w:t>
      </w:r>
      <w:r w:rsidR="00E16237" w:rsidRPr="005F28B2">
        <w:rPr>
          <w:lang w:val="fr-FR"/>
        </w:rPr>
        <w:t>,</w:t>
      </w:r>
      <w:r w:rsidRPr="005F28B2">
        <w:rPr>
          <w:lang w:val="fr-FR"/>
        </w:rPr>
        <w:t xml:space="preserve"> l</w:t>
      </w:r>
      <w:r w:rsidR="00E16237" w:rsidRPr="005F28B2">
        <w:rPr>
          <w:lang w:val="fr-FR"/>
        </w:rPr>
        <w:t>’</w:t>
      </w:r>
      <w:r w:rsidRPr="005F28B2">
        <w:rPr>
          <w:lang w:val="fr-FR"/>
        </w:rPr>
        <w:t>Union tunisienne de l</w:t>
      </w:r>
      <w:r w:rsidR="00E16237" w:rsidRPr="005F28B2">
        <w:rPr>
          <w:lang w:val="fr-FR"/>
        </w:rPr>
        <w:t>’</w:t>
      </w:r>
      <w:r w:rsidRPr="005F28B2">
        <w:rPr>
          <w:lang w:val="fr-FR"/>
        </w:rPr>
        <w:t>industrie</w:t>
      </w:r>
      <w:r w:rsidR="00E16237" w:rsidRPr="005F28B2">
        <w:rPr>
          <w:lang w:val="fr-FR"/>
        </w:rPr>
        <w:t>,</w:t>
      </w:r>
      <w:r w:rsidRPr="005F28B2">
        <w:rPr>
          <w:lang w:val="fr-FR"/>
        </w:rPr>
        <w:t xml:space="preserve"> du commerce et de l</w:t>
      </w:r>
      <w:r w:rsidR="00E16237" w:rsidRPr="005F28B2">
        <w:rPr>
          <w:lang w:val="fr-FR"/>
        </w:rPr>
        <w:t>’</w:t>
      </w:r>
      <w:r w:rsidRPr="005F28B2">
        <w:rPr>
          <w:lang w:val="fr-FR"/>
        </w:rPr>
        <w:t>artisanat (UTICA)</w:t>
      </w:r>
      <w:r w:rsidR="00E16237" w:rsidRPr="005F28B2">
        <w:rPr>
          <w:lang w:val="fr-FR"/>
        </w:rPr>
        <w:t>,</w:t>
      </w:r>
      <w:r w:rsidRPr="005F28B2">
        <w:rPr>
          <w:lang w:val="fr-FR"/>
        </w:rPr>
        <w:t xml:space="preserve"> l</w:t>
      </w:r>
      <w:r w:rsidR="00E16237" w:rsidRPr="005F28B2">
        <w:rPr>
          <w:lang w:val="fr-FR"/>
        </w:rPr>
        <w:t>’</w:t>
      </w:r>
      <w:r w:rsidRPr="005F28B2">
        <w:rPr>
          <w:lang w:val="fr-FR"/>
        </w:rPr>
        <w:t>Ordre des avocats tunisiens et la Ligue tunisienne pour la défense des droits de l</w:t>
      </w:r>
      <w:r w:rsidR="00E16237" w:rsidRPr="005F28B2">
        <w:rPr>
          <w:lang w:val="fr-FR"/>
        </w:rPr>
        <w:t>’</w:t>
      </w:r>
      <w:r w:rsidRPr="005F28B2">
        <w:rPr>
          <w:lang w:val="fr-FR"/>
        </w:rPr>
        <w:t>homme (LTDH) formant le quartet responsable du dialogue national</w:t>
      </w:r>
      <w:r w:rsidR="00E16237" w:rsidRPr="005F28B2">
        <w:rPr>
          <w:lang w:val="fr-FR"/>
        </w:rPr>
        <w:t>,</w:t>
      </w:r>
      <w:r w:rsidRPr="005F28B2">
        <w:rPr>
          <w:lang w:val="fr-FR"/>
        </w:rPr>
        <w:t xml:space="preserve"> dont la contribution à l</w:t>
      </w:r>
      <w:r w:rsidR="00E16237" w:rsidRPr="005F28B2">
        <w:rPr>
          <w:lang w:val="fr-FR"/>
        </w:rPr>
        <w:t>’</w:t>
      </w:r>
      <w:r w:rsidRPr="005F28B2">
        <w:rPr>
          <w:lang w:val="fr-FR"/>
        </w:rPr>
        <w:t>instauration d</w:t>
      </w:r>
      <w:r w:rsidR="00E16237" w:rsidRPr="005F28B2">
        <w:rPr>
          <w:lang w:val="fr-FR"/>
        </w:rPr>
        <w:t>’</w:t>
      </w:r>
      <w:r w:rsidRPr="005F28B2">
        <w:rPr>
          <w:lang w:val="fr-FR"/>
        </w:rPr>
        <w:t>une démocratie pluraliste après la r</w:t>
      </w:r>
      <w:r w:rsidR="00B626D6" w:rsidRPr="005F28B2">
        <w:rPr>
          <w:lang w:val="fr-FR"/>
        </w:rPr>
        <w:t>évolution des 17 décembre au 14 </w:t>
      </w:r>
      <w:r w:rsidRPr="005F28B2">
        <w:rPr>
          <w:lang w:val="fr-FR"/>
        </w:rPr>
        <w:t>janvier 2011 a été décisive</w:t>
      </w:r>
      <w:r w:rsidR="00E16237" w:rsidRPr="005F28B2">
        <w:rPr>
          <w:lang w:val="fr-FR"/>
        </w:rPr>
        <w:t>,</w:t>
      </w:r>
      <w:r w:rsidRPr="005F28B2">
        <w:rPr>
          <w:lang w:val="fr-FR"/>
        </w:rPr>
        <w:t xml:space="preserve"> grâce au rôle de médiation entre les différents acteurs politiques qu</w:t>
      </w:r>
      <w:r w:rsidR="00E16237" w:rsidRPr="005F28B2">
        <w:rPr>
          <w:lang w:val="fr-FR"/>
        </w:rPr>
        <w:t>’</w:t>
      </w:r>
      <w:r w:rsidRPr="005F28B2">
        <w:rPr>
          <w:lang w:val="fr-FR"/>
        </w:rPr>
        <w:t>il a assumé en 2013</w:t>
      </w:r>
      <w:r w:rsidR="00E16237" w:rsidRPr="005F28B2">
        <w:rPr>
          <w:lang w:val="fr-FR"/>
        </w:rPr>
        <w:t>,</w:t>
      </w:r>
      <w:r w:rsidRPr="005F28B2">
        <w:rPr>
          <w:lang w:val="fr-FR"/>
        </w:rPr>
        <w:t xml:space="preserve"> après l</w:t>
      </w:r>
      <w:r w:rsidR="00E16237" w:rsidRPr="005F28B2">
        <w:rPr>
          <w:lang w:val="fr-FR"/>
        </w:rPr>
        <w:t>’</w:t>
      </w:r>
      <w:r w:rsidRPr="005F28B2">
        <w:rPr>
          <w:lang w:val="fr-FR"/>
        </w:rPr>
        <w:t>assassinat d</w:t>
      </w:r>
      <w:r w:rsidR="00E16237" w:rsidRPr="005F28B2">
        <w:rPr>
          <w:lang w:val="fr-FR"/>
        </w:rPr>
        <w:t>’</w:t>
      </w:r>
      <w:r w:rsidRPr="005F28B2">
        <w:rPr>
          <w:lang w:val="fr-FR"/>
        </w:rPr>
        <w:t>un certain nombre de responsables politiques et de troubles sociaux ayant mis en péril le processus démocratique engagé. Le dialogue national entamé sous l</w:t>
      </w:r>
      <w:r w:rsidR="00E16237" w:rsidRPr="005F28B2">
        <w:rPr>
          <w:lang w:val="fr-FR"/>
        </w:rPr>
        <w:t>’</w:t>
      </w:r>
      <w:r w:rsidRPr="005F28B2">
        <w:rPr>
          <w:lang w:val="fr-FR"/>
        </w:rPr>
        <w:t>égide du quartet a débouché sur la formation d</w:t>
      </w:r>
      <w:r w:rsidR="00E16237" w:rsidRPr="005F28B2">
        <w:rPr>
          <w:lang w:val="fr-FR"/>
        </w:rPr>
        <w:t>’</w:t>
      </w:r>
      <w:r w:rsidRPr="005F28B2">
        <w:rPr>
          <w:lang w:val="fr-FR"/>
        </w:rPr>
        <w:t>un Gouvernement consensuel qui</w:t>
      </w:r>
      <w:r w:rsidR="00E16237" w:rsidRPr="005F28B2">
        <w:rPr>
          <w:lang w:val="fr-FR"/>
        </w:rPr>
        <w:t>,</w:t>
      </w:r>
      <w:r w:rsidRPr="005F28B2">
        <w:rPr>
          <w:lang w:val="fr-FR"/>
        </w:rPr>
        <w:t xml:space="preserve"> suite à un accord préalable entre les différents protagonistes politiques</w:t>
      </w:r>
      <w:r w:rsidR="00E16237" w:rsidRPr="005F28B2">
        <w:rPr>
          <w:lang w:val="fr-FR"/>
        </w:rPr>
        <w:t>,</w:t>
      </w:r>
      <w:r w:rsidRPr="005F28B2">
        <w:rPr>
          <w:lang w:val="fr-FR"/>
        </w:rPr>
        <w:t xml:space="preserve"> a établi une feuille de route visant à organiser les élections présidentielles et législatives qui se sont effectivement déroulées le 26 octobre 2014. </w:t>
      </w:r>
    </w:p>
    <w:p w:rsidR="009052AE" w:rsidRPr="005F28B2" w:rsidRDefault="00163041" w:rsidP="00515E3C">
      <w:pPr>
        <w:pStyle w:val="HChG"/>
        <w:rPr>
          <w:rtl/>
          <w:lang w:val="fr-FR" w:bidi="fr-FR"/>
        </w:rPr>
      </w:pPr>
      <w:r w:rsidRPr="005F28B2">
        <w:rPr>
          <w:lang w:val="fr-FR"/>
        </w:rPr>
        <w:tab/>
      </w:r>
      <w:bookmarkStart w:id="46" w:name="_Toc478218520"/>
      <w:r w:rsidR="00515E3C" w:rsidRPr="005F28B2">
        <w:rPr>
          <w:lang w:val="fr-FR"/>
        </w:rPr>
        <w:t>III.</w:t>
      </w:r>
      <w:r w:rsidR="00515E3C" w:rsidRPr="005F28B2">
        <w:rPr>
          <w:lang w:val="fr-FR"/>
        </w:rPr>
        <w:tab/>
      </w:r>
      <w:r w:rsidRPr="005F28B2">
        <w:rPr>
          <w:lang w:val="fr-FR"/>
        </w:rPr>
        <w:t>Égalité et non-discrimination</w:t>
      </w:r>
      <w:bookmarkEnd w:id="46"/>
    </w:p>
    <w:p w:rsidR="009052AE" w:rsidRPr="005F28B2" w:rsidRDefault="00163041" w:rsidP="00515E3C">
      <w:pPr>
        <w:pStyle w:val="H1G"/>
        <w:rPr>
          <w:rtl/>
          <w:lang w:val="fr-FR" w:bidi="fr-FR"/>
        </w:rPr>
      </w:pPr>
      <w:r w:rsidRPr="005F28B2">
        <w:rPr>
          <w:lang w:val="fr-FR"/>
        </w:rPr>
        <w:tab/>
      </w:r>
      <w:bookmarkStart w:id="47" w:name="_Toc478218521"/>
      <w:r w:rsidRPr="005F28B2">
        <w:rPr>
          <w:lang w:val="fr-FR"/>
        </w:rPr>
        <w:t>1.</w:t>
      </w:r>
      <w:r w:rsidRPr="005F28B2">
        <w:rPr>
          <w:lang w:val="fr-FR"/>
        </w:rPr>
        <w:tab/>
        <w:t>Égalité et non-discrimination dans la Constitution de 2014</w:t>
      </w:r>
      <w:bookmarkEnd w:id="47"/>
    </w:p>
    <w:p w:rsidR="009052AE" w:rsidRPr="005F28B2" w:rsidRDefault="00163041" w:rsidP="00515E3C">
      <w:pPr>
        <w:pStyle w:val="SingleTxtG"/>
        <w:rPr>
          <w:lang w:val="fr-FR"/>
        </w:rPr>
      </w:pPr>
      <w:r w:rsidRPr="005F28B2">
        <w:rPr>
          <w:lang w:val="fr-FR"/>
        </w:rPr>
        <w:t>93.</w:t>
      </w:r>
      <w:r w:rsidRPr="005F28B2">
        <w:rPr>
          <w:lang w:val="fr-FR"/>
        </w:rPr>
        <w:tab/>
        <w:t>La lutte contre toutes les formes de discrimination et de racisme est au cœur de la Constitution de 2014</w:t>
      </w:r>
      <w:r w:rsidR="00E16237" w:rsidRPr="005F28B2">
        <w:rPr>
          <w:lang w:val="fr-FR"/>
        </w:rPr>
        <w:t>,</w:t>
      </w:r>
      <w:r w:rsidRPr="005F28B2">
        <w:rPr>
          <w:lang w:val="fr-FR"/>
        </w:rPr>
        <w:t xml:space="preserve"> laquelle énonce que les citoyens et citoyennes sont égaux en droits et en devoirs et devant la loi sans discrimination </w:t>
      </w:r>
      <w:r w:rsidR="00127D06" w:rsidRPr="005F28B2">
        <w:rPr>
          <w:lang w:val="fr-FR"/>
        </w:rPr>
        <w:t>(art. </w:t>
      </w:r>
      <w:r w:rsidRPr="005F28B2">
        <w:rPr>
          <w:lang w:val="fr-FR"/>
        </w:rPr>
        <w:t>21)</w:t>
      </w:r>
      <w:r w:rsidR="00E16237" w:rsidRPr="005F28B2">
        <w:rPr>
          <w:lang w:val="fr-FR"/>
        </w:rPr>
        <w:t>,</w:t>
      </w:r>
      <w:r w:rsidRPr="005F28B2">
        <w:rPr>
          <w:lang w:val="fr-FR"/>
        </w:rPr>
        <w:t xml:space="preserve"> que l</w:t>
      </w:r>
      <w:r w:rsidR="00E16237" w:rsidRPr="005F28B2">
        <w:rPr>
          <w:lang w:val="fr-FR"/>
        </w:rPr>
        <w:t>’</w:t>
      </w:r>
      <w:r w:rsidRPr="005F28B2">
        <w:rPr>
          <w:lang w:val="fr-FR"/>
        </w:rPr>
        <w:t xml:space="preserve">État veille à garantir la représentativité des femmes au sein des assemblées élues </w:t>
      </w:r>
      <w:r w:rsidR="00127D06" w:rsidRPr="005F28B2">
        <w:rPr>
          <w:lang w:val="fr-FR"/>
        </w:rPr>
        <w:t>(art. </w:t>
      </w:r>
      <w:r w:rsidRPr="005F28B2">
        <w:rPr>
          <w:lang w:val="fr-FR"/>
        </w:rPr>
        <w:t>34)</w:t>
      </w:r>
      <w:r w:rsidR="00E16237" w:rsidRPr="005F28B2">
        <w:rPr>
          <w:lang w:val="fr-FR"/>
        </w:rPr>
        <w:t>,</w:t>
      </w:r>
      <w:r w:rsidRPr="005F28B2">
        <w:rPr>
          <w:lang w:val="fr-FR"/>
        </w:rPr>
        <w:t xml:space="preserve"> ainsi que l</w:t>
      </w:r>
      <w:r w:rsidR="00E16237" w:rsidRPr="005F28B2">
        <w:rPr>
          <w:lang w:val="fr-FR"/>
        </w:rPr>
        <w:t>’</w:t>
      </w:r>
      <w:r w:rsidRPr="005F28B2">
        <w:rPr>
          <w:lang w:val="fr-FR"/>
        </w:rPr>
        <w:t>égalité des chances entre les hommes et les femmes pour l</w:t>
      </w:r>
      <w:r w:rsidR="00E16237" w:rsidRPr="005F28B2">
        <w:rPr>
          <w:lang w:val="fr-FR"/>
        </w:rPr>
        <w:t>’</w:t>
      </w:r>
      <w:r w:rsidRPr="005F28B2">
        <w:rPr>
          <w:lang w:val="fr-FR"/>
        </w:rPr>
        <w:t>accès aux diverses responsabilités et dans tous les domaines</w:t>
      </w:r>
      <w:r w:rsidR="00E16237" w:rsidRPr="005F28B2">
        <w:rPr>
          <w:lang w:val="fr-FR"/>
        </w:rPr>
        <w:t>,</w:t>
      </w:r>
      <w:r w:rsidRPr="005F28B2">
        <w:rPr>
          <w:lang w:val="fr-FR"/>
        </w:rPr>
        <w:t xml:space="preserve"> de même qu</w:t>
      </w:r>
      <w:r w:rsidR="00E16237" w:rsidRPr="005F28B2">
        <w:rPr>
          <w:lang w:val="fr-FR"/>
        </w:rPr>
        <w:t>’</w:t>
      </w:r>
      <w:r w:rsidRPr="005F28B2">
        <w:rPr>
          <w:lang w:val="fr-FR"/>
        </w:rPr>
        <w:t>il s</w:t>
      </w:r>
      <w:r w:rsidR="00E16237" w:rsidRPr="005F28B2">
        <w:rPr>
          <w:lang w:val="fr-FR"/>
        </w:rPr>
        <w:t>’</w:t>
      </w:r>
      <w:r w:rsidRPr="005F28B2">
        <w:rPr>
          <w:lang w:val="fr-FR"/>
        </w:rPr>
        <w:t>emploie à réaliser la parité entre eux au sein des assemblées élues (art</w:t>
      </w:r>
      <w:r w:rsidR="00515E3C" w:rsidRPr="005F28B2">
        <w:rPr>
          <w:lang w:val="fr-FR"/>
        </w:rPr>
        <w:t>. </w:t>
      </w:r>
      <w:r w:rsidRPr="005F28B2">
        <w:rPr>
          <w:lang w:val="fr-FR"/>
        </w:rPr>
        <w:t>46)</w:t>
      </w:r>
      <w:r w:rsidR="00E16237" w:rsidRPr="005F28B2">
        <w:rPr>
          <w:lang w:val="fr-FR"/>
        </w:rPr>
        <w:t>,</w:t>
      </w:r>
      <w:r w:rsidRPr="005F28B2">
        <w:rPr>
          <w:lang w:val="fr-FR"/>
        </w:rPr>
        <w:t xml:space="preserve"> à assurer toute forme de protection aux enfants</w:t>
      </w:r>
      <w:r w:rsidR="00E16237" w:rsidRPr="005F28B2">
        <w:rPr>
          <w:lang w:val="fr-FR"/>
        </w:rPr>
        <w:t>,</w:t>
      </w:r>
      <w:r w:rsidRPr="005F28B2">
        <w:rPr>
          <w:lang w:val="fr-FR"/>
        </w:rPr>
        <w:t xml:space="preserve"> sans aucune discrimination et conformément à leur intérêt supérieur </w:t>
      </w:r>
      <w:r w:rsidR="00127D06" w:rsidRPr="005F28B2">
        <w:rPr>
          <w:lang w:val="fr-FR"/>
        </w:rPr>
        <w:t>(art. </w:t>
      </w:r>
      <w:r w:rsidRPr="005F28B2">
        <w:rPr>
          <w:lang w:val="fr-FR"/>
        </w:rPr>
        <w:t>47). Elle dispose également que l</w:t>
      </w:r>
      <w:r w:rsidR="00E16237" w:rsidRPr="005F28B2">
        <w:rPr>
          <w:lang w:val="fr-FR"/>
        </w:rPr>
        <w:t>’</w:t>
      </w:r>
      <w:r w:rsidRPr="005F28B2">
        <w:rPr>
          <w:lang w:val="fr-FR"/>
        </w:rPr>
        <w:t xml:space="preserve">État protège les personnes handicapées contre toute discrimination </w:t>
      </w:r>
      <w:r w:rsidR="00127D06" w:rsidRPr="005F28B2">
        <w:rPr>
          <w:lang w:val="fr-FR"/>
        </w:rPr>
        <w:t>(art. </w:t>
      </w:r>
      <w:r w:rsidRPr="005F28B2">
        <w:rPr>
          <w:lang w:val="fr-FR"/>
        </w:rPr>
        <w:t>48) et garantit le droit de toute personne à un procès équitable dans un délai raisonnable</w:t>
      </w:r>
      <w:r w:rsidR="00E16237" w:rsidRPr="005F28B2">
        <w:rPr>
          <w:lang w:val="fr-FR"/>
        </w:rPr>
        <w:t>,</w:t>
      </w:r>
      <w:r w:rsidRPr="005F28B2">
        <w:rPr>
          <w:lang w:val="fr-FR"/>
        </w:rPr>
        <w:t xml:space="preserve"> en précisant que les justiciables sont égaux devant la justice </w:t>
      </w:r>
      <w:r w:rsidR="00127D06" w:rsidRPr="005F28B2">
        <w:rPr>
          <w:lang w:val="fr-FR"/>
        </w:rPr>
        <w:t>(art. </w:t>
      </w:r>
      <w:r w:rsidRPr="005F28B2">
        <w:rPr>
          <w:lang w:val="fr-FR"/>
        </w:rPr>
        <w:t>108). Selon la Constitution</w:t>
      </w:r>
      <w:r w:rsidR="00E16237" w:rsidRPr="005F28B2">
        <w:rPr>
          <w:lang w:val="fr-FR"/>
        </w:rPr>
        <w:t>,</w:t>
      </w:r>
      <w:r w:rsidRPr="005F28B2">
        <w:rPr>
          <w:lang w:val="fr-FR"/>
        </w:rPr>
        <w:t xml:space="preserve"> les collectivités locales adoptent les instruments de la démocratie participative </w:t>
      </w:r>
      <w:r w:rsidR="00127D06" w:rsidRPr="005F28B2">
        <w:rPr>
          <w:lang w:val="fr-FR"/>
        </w:rPr>
        <w:t>(art. </w:t>
      </w:r>
      <w:r w:rsidRPr="005F28B2">
        <w:rPr>
          <w:lang w:val="fr-FR"/>
        </w:rPr>
        <w:t>139) qui s</w:t>
      </w:r>
      <w:r w:rsidR="00E16237" w:rsidRPr="005F28B2">
        <w:rPr>
          <w:lang w:val="fr-FR"/>
        </w:rPr>
        <w:t>’</w:t>
      </w:r>
      <w:r w:rsidRPr="005F28B2">
        <w:rPr>
          <w:lang w:val="fr-FR"/>
        </w:rPr>
        <w:t>entend de la participation fondée sur l</w:t>
      </w:r>
      <w:r w:rsidR="00E16237" w:rsidRPr="005F28B2">
        <w:rPr>
          <w:lang w:val="fr-FR"/>
        </w:rPr>
        <w:t>’</w:t>
      </w:r>
      <w:r w:rsidRPr="005F28B2">
        <w:rPr>
          <w:lang w:val="fr-FR"/>
        </w:rPr>
        <w:t>égalité en droits et en devoirs.</w:t>
      </w:r>
    </w:p>
    <w:p w:rsidR="009052AE" w:rsidRPr="005F28B2" w:rsidRDefault="00163041" w:rsidP="00127D06">
      <w:pPr>
        <w:pStyle w:val="H1G"/>
        <w:rPr>
          <w:lang w:val="fr-FR"/>
        </w:rPr>
      </w:pPr>
      <w:r w:rsidRPr="005F28B2">
        <w:rPr>
          <w:lang w:val="fr-FR"/>
        </w:rPr>
        <w:lastRenderedPageBreak/>
        <w:tab/>
      </w:r>
      <w:bookmarkStart w:id="48" w:name="_Toc478218522"/>
      <w:r w:rsidRPr="005F28B2">
        <w:rPr>
          <w:lang w:val="fr-FR"/>
        </w:rPr>
        <w:t>2.</w:t>
      </w:r>
      <w:r w:rsidRPr="005F28B2">
        <w:rPr>
          <w:lang w:val="fr-FR"/>
        </w:rPr>
        <w:tab/>
        <w:t>Instruments internationaux adoptés en matière d</w:t>
      </w:r>
      <w:r w:rsidR="00E16237" w:rsidRPr="005F28B2">
        <w:rPr>
          <w:lang w:val="fr-FR"/>
        </w:rPr>
        <w:t>’</w:t>
      </w:r>
      <w:r w:rsidRPr="005F28B2">
        <w:rPr>
          <w:lang w:val="fr-FR"/>
        </w:rPr>
        <w:t>égalité des sexes</w:t>
      </w:r>
      <w:bookmarkEnd w:id="48"/>
    </w:p>
    <w:p w:rsidR="009052AE" w:rsidRPr="005F28B2" w:rsidRDefault="00163041" w:rsidP="00127D06">
      <w:pPr>
        <w:pStyle w:val="SingleTxtG"/>
        <w:rPr>
          <w:rtl/>
          <w:lang w:val="fr-FR" w:bidi="fr-FR"/>
        </w:rPr>
      </w:pPr>
      <w:r w:rsidRPr="005F28B2">
        <w:rPr>
          <w:lang w:val="fr-FR"/>
        </w:rPr>
        <w:t>94.</w:t>
      </w:r>
      <w:r w:rsidRPr="005F28B2">
        <w:rPr>
          <w:lang w:val="fr-FR"/>
        </w:rPr>
        <w:tab/>
        <w:t>Sur le plan international</w:t>
      </w:r>
      <w:r w:rsidR="00E16237" w:rsidRPr="005F28B2">
        <w:rPr>
          <w:lang w:val="fr-FR"/>
        </w:rPr>
        <w:t>,</w:t>
      </w:r>
      <w:r w:rsidRPr="005F28B2">
        <w:rPr>
          <w:lang w:val="fr-FR"/>
        </w:rPr>
        <w:t xml:space="preserve"> la Tunisie a ratifié la plupart des instruments internationaux (voir le tableau correspondant</w:t>
      </w:r>
      <w:r w:rsidR="00E16237" w:rsidRPr="005F28B2">
        <w:rPr>
          <w:lang w:val="fr-FR"/>
        </w:rPr>
        <w:t>,</w:t>
      </w:r>
      <w:r w:rsidRPr="005F28B2">
        <w:rPr>
          <w:lang w:val="fr-FR"/>
        </w:rPr>
        <w:t xml:space="preserve"> p. 5</w:t>
      </w:r>
      <w:r w:rsidR="00E16237" w:rsidRPr="005F28B2">
        <w:rPr>
          <w:lang w:val="fr-FR"/>
        </w:rPr>
        <w:t>,</w:t>
      </w:r>
      <w:r w:rsidRPr="005F28B2">
        <w:rPr>
          <w:lang w:val="fr-FR"/>
        </w:rPr>
        <w:t xml:space="preserve"> 6 et 7)</w:t>
      </w:r>
      <w:r w:rsidR="00E16237" w:rsidRPr="005F28B2">
        <w:rPr>
          <w:lang w:val="fr-FR"/>
        </w:rPr>
        <w:t>,</w:t>
      </w:r>
      <w:r w:rsidRPr="005F28B2">
        <w:rPr>
          <w:lang w:val="fr-FR"/>
        </w:rPr>
        <w:t xml:space="preserve"> notamment ceux visant à garantir les droits des femmes</w:t>
      </w:r>
      <w:r w:rsidR="00E16237" w:rsidRPr="005F28B2">
        <w:rPr>
          <w:lang w:val="fr-FR"/>
        </w:rPr>
        <w:t>,</w:t>
      </w:r>
      <w:r w:rsidRPr="005F28B2">
        <w:rPr>
          <w:lang w:val="fr-FR"/>
        </w:rPr>
        <w:t xml:space="preserve"> ainsi que d</w:t>
      </w:r>
      <w:r w:rsidR="00E16237" w:rsidRPr="005F28B2">
        <w:rPr>
          <w:lang w:val="fr-FR"/>
        </w:rPr>
        <w:t>’</w:t>
      </w:r>
      <w:r w:rsidRPr="005F28B2">
        <w:rPr>
          <w:lang w:val="fr-FR"/>
        </w:rPr>
        <w:t>autres textes</w:t>
      </w:r>
      <w:r w:rsidR="00E16237" w:rsidRPr="005F28B2">
        <w:rPr>
          <w:lang w:val="fr-FR"/>
        </w:rPr>
        <w:t>,</w:t>
      </w:r>
      <w:r w:rsidRPr="005F28B2">
        <w:rPr>
          <w:lang w:val="fr-FR"/>
        </w:rPr>
        <w:t xml:space="preserve"> parmi lesquels les suivants : </w:t>
      </w:r>
    </w:p>
    <w:p w:rsidR="009052AE" w:rsidRPr="005F28B2" w:rsidRDefault="00163041" w:rsidP="00127D06">
      <w:pPr>
        <w:pStyle w:val="Bullet1G"/>
        <w:rPr>
          <w:rtl/>
          <w:lang w:val="fr-FR" w:bidi="fr-FR"/>
        </w:rPr>
      </w:pPr>
      <w:r w:rsidRPr="005F28B2">
        <w:rPr>
          <w:lang w:val="fr-FR"/>
        </w:rPr>
        <w:t>La Convention sur le travail de nuit (révisée en 1948)</w:t>
      </w:r>
      <w:r w:rsidR="00E16237" w:rsidRPr="005F28B2">
        <w:rPr>
          <w:lang w:val="fr-FR"/>
        </w:rPr>
        <w:t>,</w:t>
      </w:r>
      <w:r w:rsidRPr="005F28B2">
        <w:rPr>
          <w:lang w:val="fr-FR"/>
        </w:rPr>
        <w:t xml:space="preserve"> ratifiée le 25 avril 1957 et comportant 20 articles</w:t>
      </w:r>
      <w:r w:rsidR="00E16237" w:rsidRPr="005F28B2">
        <w:rPr>
          <w:lang w:val="fr-FR"/>
        </w:rPr>
        <w:t>,</w:t>
      </w:r>
      <w:r w:rsidRPr="005F28B2">
        <w:rPr>
          <w:lang w:val="fr-FR"/>
        </w:rPr>
        <w:t xml:space="preserve"> dont l</w:t>
      </w:r>
      <w:r w:rsidR="00E16237" w:rsidRPr="005F28B2">
        <w:rPr>
          <w:lang w:val="fr-FR"/>
        </w:rPr>
        <w:t>’</w:t>
      </w:r>
      <w:r w:rsidR="00755707" w:rsidRPr="005F28B2">
        <w:rPr>
          <w:lang w:val="fr-FR"/>
        </w:rPr>
        <w:t>article </w:t>
      </w:r>
      <w:r w:rsidRPr="005F28B2">
        <w:rPr>
          <w:lang w:val="fr-FR"/>
        </w:rPr>
        <w:t>3 interdisant le travail de nuit des femmes dans le domaine industriel dans les secteurs public et privé</w:t>
      </w:r>
      <w:r w:rsidR="009163AA" w:rsidRPr="005F28B2">
        <w:rPr>
          <w:lang w:val="fr-FR"/>
        </w:rPr>
        <w:t> ;</w:t>
      </w:r>
      <w:r w:rsidRPr="005F28B2">
        <w:rPr>
          <w:lang w:val="fr-FR"/>
        </w:rPr>
        <w:t xml:space="preserve"> </w:t>
      </w:r>
    </w:p>
    <w:p w:rsidR="009052AE" w:rsidRPr="005F28B2" w:rsidRDefault="00163041" w:rsidP="00127D06">
      <w:pPr>
        <w:pStyle w:val="Bullet1G"/>
        <w:rPr>
          <w:rtl/>
          <w:lang w:val="fr-FR" w:bidi="fr-FR"/>
        </w:rPr>
      </w:pPr>
      <w:r w:rsidRPr="005F28B2">
        <w:rPr>
          <w:lang w:val="fr-FR"/>
        </w:rPr>
        <w:t>Le Protocole de 1990 à la Convention sur le travail de nuit</w:t>
      </w:r>
      <w:r w:rsidR="00E16237" w:rsidRPr="005F28B2">
        <w:rPr>
          <w:lang w:val="fr-FR"/>
        </w:rPr>
        <w:t>,</w:t>
      </w:r>
      <w:r w:rsidRPr="005F28B2">
        <w:rPr>
          <w:lang w:val="fr-FR"/>
        </w:rPr>
        <w:t xml:space="preserve"> ratifié par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92</w:t>
      </w:r>
      <w:r w:rsidR="00C24D3E" w:rsidRPr="005F28B2">
        <w:rPr>
          <w:lang w:val="fr-FR"/>
        </w:rPr>
        <w:noBreakHyphen/>
      </w:r>
      <w:r w:rsidRPr="005F28B2">
        <w:rPr>
          <w:lang w:val="fr-FR"/>
        </w:rPr>
        <w:t>114 du 30 novembre 1992</w:t>
      </w:r>
      <w:r w:rsidR="00E16237" w:rsidRPr="005F28B2">
        <w:rPr>
          <w:lang w:val="fr-FR"/>
        </w:rPr>
        <w:t>,</w:t>
      </w:r>
      <w:r w:rsidRPr="005F28B2">
        <w:rPr>
          <w:lang w:val="fr-FR"/>
        </w:rPr>
        <w:t xml:space="preserve"> comportant 5 articles</w:t>
      </w:r>
      <w:r w:rsidR="00E16237" w:rsidRPr="005F28B2">
        <w:rPr>
          <w:lang w:val="fr-FR"/>
        </w:rPr>
        <w:t>,</w:t>
      </w:r>
      <w:r w:rsidRPr="005F28B2">
        <w:rPr>
          <w:lang w:val="fr-FR"/>
        </w:rPr>
        <w:t xml:space="preserve"> dont l</w:t>
      </w:r>
      <w:r w:rsidR="00E16237" w:rsidRPr="005F28B2">
        <w:rPr>
          <w:lang w:val="fr-FR"/>
        </w:rPr>
        <w:t>’</w:t>
      </w:r>
      <w:r w:rsidR="00755707" w:rsidRPr="005F28B2">
        <w:rPr>
          <w:lang w:val="fr-FR"/>
        </w:rPr>
        <w:t>article </w:t>
      </w:r>
      <w:r w:rsidRPr="005F28B2">
        <w:rPr>
          <w:lang w:val="fr-FR"/>
        </w:rPr>
        <w:t>2 organisant le travail des femmes</w:t>
      </w:r>
      <w:r w:rsidR="009163AA" w:rsidRPr="005F28B2">
        <w:rPr>
          <w:lang w:val="fr-FR"/>
        </w:rPr>
        <w:t> ;</w:t>
      </w:r>
    </w:p>
    <w:p w:rsidR="009052AE" w:rsidRPr="005F28B2" w:rsidRDefault="00163041" w:rsidP="00127D06">
      <w:pPr>
        <w:pStyle w:val="Bullet1G"/>
        <w:rPr>
          <w:rtl/>
          <w:lang w:val="fr-FR" w:bidi="fr-FR"/>
        </w:rPr>
      </w:pPr>
      <w:r w:rsidRPr="005F28B2">
        <w:rPr>
          <w:lang w:val="fr-FR"/>
        </w:rPr>
        <w:t>La Convention portant création de l</w:t>
      </w:r>
      <w:r w:rsidR="00E16237" w:rsidRPr="005F28B2">
        <w:rPr>
          <w:lang w:val="fr-FR"/>
        </w:rPr>
        <w:t>’</w:t>
      </w:r>
      <w:r w:rsidRPr="005F28B2">
        <w:rPr>
          <w:lang w:val="fr-FR"/>
        </w:rPr>
        <w:t>Organisation de la femme arabe (12 septembre 2001)</w:t>
      </w:r>
      <w:r w:rsidR="009163AA" w:rsidRPr="005F28B2">
        <w:rPr>
          <w:lang w:val="fr-FR"/>
        </w:rPr>
        <w:t> ;</w:t>
      </w:r>
    </w:p>
    <w:p w:rsidR="009052AE" w:rsidRPr="005F28B2" w:rsidRDefault="00163041" w:rsidP="00127D06">
      <w:pPr>
        <w:pStyle w:val="Bullet1G"/>
        <w:rPr>
          <w:rtl/>
          <w:lang w:val="fr-FR" w:bidi="fr-FR"/>
        </w:rPr>
      </w:pPr>
      <w:r w:rsidRPr="005F28B2">
        <w:rPr>
          <w:lang w:val="fr-FR"/>
        </w:rPr>
        <w:t>Le Protocole visant à prévenir</w:t>
      </w:r>
      <w:r w:rsidR="00E16237" w:rsidRPr="005F28B2">
        <w:rPr>
          <w:lang w:val="fr-FR"/>
        </w:rPr>
        <w:t>,</w:t>
      </w:r>
      <w:r w:rsidRPr="005F28B2">
        <w:rPr>
          <w:lang w:val="fr-FR"/>
        </w:rPr>
        <w:t xml:space="preserve"> réprimer et punir la traite des personnes</w:t>
      </w:r>
      <w:r w:rsidR="00E16237" w:rsidRPr="005F28B2">
        <w:rPr>
          <w:lang w:val="fr-FR"/>
        </w:rPr>
        <w:t>,</w:t>
      </w:r>
      <w:r w:rsidRPr="005F28B2">
        <w:rPr>
          <w:lang w:val="fr-FR"/>
        </w:rPr>
        <w:t xml:space="preserve"> en particulier les femmes et les enfants (15 novembre 2000)</w:t>
      </w:r>
      <w:r w:rsidR="009163AA"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Les deux protocoles facultatifs à la Convention relative aux droits de l</w:t>
      </w:r>
      <w:r w:rsidR="00E16237" w:rsidRPr="005F28B2">
        <w:rPr>
          <w:lang w:val="fr-FR"/>
        </w:rPr>
        <w:t>’</w:t>
      </w:r>
      <w:r w:rsidRPr="005F28B2">
        <w:rPr>
          <w:lang w:val="fr-FR"/>
        </w:rPr>
        <w:t>enfant concernant l</w:t>
      </w:r>
      <w:r w:rsidR="00E16237" w:rsidRPr="005F28B2">
        <w:rPr>
          <w:lang w:val="fr-FR"/>
        </w:rPr>
        <w:t>’</w:t>
      </w:r>
      <w:r w:rsidRPr="005F28B2">
        <w:rPr>
          <w:lang w:val="fr-FR"/>
        </w:rPr>
        <w:t>implication d</w:t>
      </w:r>
      <w:r w:rsidR="00E16237" w:rsidRPr="005F28B2">
        <w:rPr>
          <w:lang w:val="fr-FR"/>
        </w:rPr>
        <w:t>’</w:t>
      </w:r>
      <w:r w:rsidRPr="005F28B2">
        <w:rPr>
          <w:lang w:val="fr-FR"/>
        </w:rPr>
        <w:t>enfants dans les conflits armés et la vente d</w:t>
      </w:r>
      <w:r w:rsidR="00E16237" w:rsidRPr="005F28B2">
        <w:rPr>
          <w:lang w:val="fr-FR"/>
        </w:rPr>
        <w:t>’</w:t>
      </w:r>
      <w:r w:rsidRPr="005F28B2">
        <w:rPr>
          <w:lang w:val="fr-FR"/>
        </w:rPr>
        <w:t>enfants</w:t>
      </w:r>
      <w:r w:rsidR="00E16237" w:rsidRPr="005F28B2">
        <w:rPr>
          <w:lang w:val="fr-FR"/>
        </w:rPr>
        <w:t>,</w:t>
      </w:r>
      <w:r w:rsidRPr="005F28B2">
        <w:rPr>
          <w:lang w:val="fr-FR"/>
        </w:rPr>
        <w:t xml:space="preserve"> la prostitution des enfants et la pornographie mettant en scène des enfants</w:t>
      </w:r>
      <w:r w:rsidR="00E16237" w:rsidRPr="005F28B2">
        <w:rPr>
          <w:lang w:val="fr-FR"/>
        </w:rPr>
        <w:t>,</w:t>
      </w:r>
      <w:r w:rsidRPr="005F28B2">
        <w:rPr>
          <w:lang w:val="fr-FR"/>
        </w:rPr>
        <w:t xml:space="preserve"> auxquels le pays a été autorisé à adhérer par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2002-42 du 7 mai 2002</w:t>
      </w:r>
      <w:r w:rsidR="009163AA"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Le protocole additionnel à la Convention des Nations Unies contre la criminalité transnationale organisée</w:t>
      </w:r>
      <w:r w:rsidR="00E16237" w:rsidRPr="005F28B2">
        <w:rPr>
          <w:lang w:val="fr-FR"/>
        </w:rPr>
        <w:t>,</w:t>
      </w:r>
      <w:r w:rsidRPr="005F28B2">
        <w:rPr>
          <w:lang w:val="fr-FR"/>
        </w:rPr>
        <w:t xml:space="preserve"> visant à prévenir</w:t>
      </w:r>
      <w:r w:rsidR="00E16237" w:rsidRPr="005F28B2">
        <w:rPr>
          <w:lang w:val="fr-FR"/>
        </w:rPr>
        <w:t>,</w:t>
      </w:r>
      <w:r w:rsidRPr="005F28B2">
        <w:rPr>
          <w:lang w:val="fr-FR"/>
        </w:rPr>
        <w:t xml:space="preserve"> réprimer et punir la traite des personnes</w:t>
      </w:r>
      <w:r w:rsidR="00E16237" w:rsidRPr="005F28B2">
        <w:rPr>
          <w:lang w:val="fr-FR"/>
        </w:rPr>
        <w:t>,</w:t>
      </w:r>
      <w:r w:rsidRPr="005F28B2">
        <w:rPr>
          <w:lang w:val="fr-FR"/>
        </w:rPr>
        <w:t xml:space="preserve"> en particulier les femmes et les enfants</w:t>
      </w:r>
      <w:r w:rsidR="00E16237" w:rsidRPr="005F28B2">
        <w:rPr>
          <w:lang w:val="fr-FR"/>
        </w:rPr>
        <w:t>,</w:t>
      </w:r>
      <w:r w:rsidRPr="005F28B2">
        <w:rPr>
          <w:lang w:val="fr-FR"/>
        </w:rPr>
        <w:t xml:space="preserve"> auquel le pays a été autorisé à adhérer par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2003-5 du 21 janvier 2003</w:t>
      </w:r>
      <w:r w:rsidR="009163AA" w:rsidRPr="005F28B2">
        <w:rPr>
          <w:lang w:val="fr-FR"/>
        </w:rPr>
        <w:t> ;</w:t>
      </w:r>
      <w:r w:rsidRPr="005F28B2">
        <w:rPr>
          <w:lang w:val="fr-FR"/>
        </w:rPr>
        <w:t xml:space="preserve"> </w:t>
      </w:r>
    </w:p>
    <w:p w:rsidR="009052AE" w:rsidRPr="005F28B2" w:rsidRDefault="00163041" w:rsidP="00127D06">
      <w:pPr>
        <w:pStyle w:val="Bullet1G"/>
        <w:rPr>
          <w:rtl/>
          <w:lang w:val="fr-FR" w:bidi="fr-FR"/>
        </w:rPr>
      </w:pPr>
      <w:r w:rsidRPr="005F28B2">
        <w:rPr>
          <w:lang w:val="fr-FR"/>
        </w:rPr>
        <w:t>La Convention relative aux droits des personnes handicapées et son Protocole facultatif</w:t>
      </w:r>
      <w:r w:rsidR="00E16237" w:rsidRPr="005F28B2">
        <w:rPr>
          <w:lang w:val="fr-FR"/>
        </w:rPr>
        <w:t>,</w:t>
      </w:r>
      <w:r w:rsidRPr="005F28B2">
        <w:rPr>
          <w:lang w:val="fr-FR"/>
        </w:rPr>
        <w:t xml:space="preserve"> l</w:t>
      </w:r>
      <w:r w:rsidR="00E16237" w:rsidRPr="005F28B2">
        <w:rPr>
          <w:lang w:val="fr-FR"/>
        </w:rPr>
        <w:t>’</w:t>
      </w:r>
      <w:r w:rsidRPr="005F28B2">
        <w:rPr>
          <w:lang w:val="fr-FR"/>
        </w:rPr>
        <w:t xml:space="preserve">adhésion du pays à ces instruments ayant été approuvée par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2008-4 du 11 février 2008.</w:t>
      </w:r>
    </w:p>
    <w:p w:rsidR="009052AE" w:rsidRPr="005F28B2" w:rsidRDefault="00163041" w:rsidP="00127D06">
      <w:pPr>
        <w:pStyle w:val="SingleTxtG"/>
        <w:rPr>
          <w:rtl/>
          <w:lang w:val="fr-FR" w:bidi="fr-FR"/>
        </w:rPr>
      </w:pPr>
      <w:r w:rsidRPr="005F28B2">
        <w:rPr>
          <w:lang w:val="fr-FR"/>
        </w:rPr>
        <w:t>95.</w:t>
      </w:r>
      <w:r w:rsidRPr="005F28B2">
        <w:rPr>
          <w:lang w:val="fr-FR"/>
        </w:rPr>
        <w:tab/>
        <w:t>Après la révolution</w:t>
      </w:r>
      <w:r w:rsidR="00E16237" w:rsidRPr="005F28B2">
        <w:rPr>
          <w:lang w:val="fr-FR"/>
        </w:rPr>
        <w:t>,</w:t>
      </w:r>
      <w:r w:rsidRPr="005F28B2">
        <w:rPr>
          <w:lang w:val="fr-FR"/>
        </w:rPr>
        <w:t xml:space="preserve"> l</w:t>
      </w:r>
      <w:r w:rsidR="00E16237" w:rsidRPr="005F28B2">
        <w:rPr>
          <w:lang w:val="fr-FR"/>
        </w:rPr>
        <w:t>’</w:t>
      </w:r>
      <w:r w:rsidRPr="005F28B2">
        <w:rPr>
          <w:lang w:val="fr-FR"/>
        </w:rPr>
        <w:t>État a continué à respecter ses engagements visant à renforcer les droits de la femme</w:t>
      </w:r>
      <w:r w:rsidR="00E16237" w:rsidRPr="005F28B2">
        <w:rPr>
          <w:lang w:val="fr-FR"/>
        </w:rPr>
        <w:t>,</w:t>
      </w:r>
      <w:r w:rsidRPr="005F28B2">
        <w:rPr>
          <w:lang w:val="fr-FR"/>
        </w:rPr>
        <w:t xml:space="preserve"> par le biais de l</w:t>
      </w:r>
      <w:r w:rsidR="00E16237" w:rsidRPr="005F28B2">
        <w:rPr>
          <w:lang w:val="fr-FR"/>
        </w:rPr>
        <w:t>’</w:t>
      </w:r>
      <w:r w:rsidRPr="005F28B2">
        <w:rPr>
          <w:lang w:val="fr-FR"/>
        </w:rPr>
        <w:t xml:space="preserve">adoption du décret-loi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2011-103 du 24 octobre 2011 autorisant la ratification du retrait d</w:t>
      </w:r>
      <w:r w:rsidR="00E16237" w:rsidRPr="005F28B2">
        <w:rPr>
          <w:lang w:val="fr-FR"/>
        </w:rPr>
        <w:t>’</w:t>
      </w:r>
      <w:r w:rsidRPr="005F28B2">
        <w:rPr>
          <w:lang w:val="fr-FR"/>
        </w:rPr>
        <w:t>une déclaration et des réserves émises par la République tunisienne à propos de la Convention sur l</w:t>
      </w:r>
      <w:r w:rsidR="00E16237" w:rsidRPr="005F28B2">
        <w:rPr>
          <w:lang w:val="fr-FR"/>
        </w:rPr>
        <w:t>’</w:t>
      </w:r>
      <w:r w:rsidRPr="005F28B2">
        <w:rPr>
          <w:lang w:val="fr-FR"/>
        </w:rPr>
        <w:t>élimination de toutes les formes de discrimination à l</w:t>
      </w:r>
      <w:r w:rsidR="00E16237" w:rsidRPr="005F28B2">
        <w:rPr>
          <w:lang w:val="fr-FR"/>
        </w:rPr>
        <w:t>’</w:t>
      </w:r>
      <w:r w:rsidRPr="005F28B2">
        <w:rPr>
          <w:lang w:val="fr-FR"/>
        </w:rPr>
        <w:t>égard des femmes</w:t>
      </w:r>
      <w:r w:rsidR="00E16237" w:rsidRPr="005F28B2">
        <w:rPr>
          <w:lang w:val="fr-FR"/>
        </w:rPr>
        <w:t>,</w:t>
      </w:r>
      <w:r w:rsidRPr="005F28B2">
        <w:rPr>
          <w:lang w:val="fr-FR"/>
        </w:rPr>
        <w:t xml:space="preserve"> suivie par une communication officielle adressée à cet effet le 23 avril 2014 au Secrétaire général de l</w:t>
      </w:r>
      <w:r w:rsidR="00E16237" w:rsidRPr="005F28B2">
        <w:rPr>
          <w:lang w:val="fr-FR"/>
        </w:rPr>
        <w:t>’</w:t>
      </w:r>
      <w:r w:rsidRPr="005F28B2">
        <w:rPr>
          <w:lang w:val="fr-FR"/>
        </w:rPr>
        <w:t xml:space="preserve">Organisation des Nations Unies. </w:t>
      </w:r>
    </w:p>
    <w:p w:rsidR="009052AE" w:rsidRPr="005F28B2" w:rsidRDefault="00163041" w:rsidP="00127D06">
      <w:pPr>
        <w:pStyle w:val="H1G"/>
        <w:rPr>
          <w:rtl/>
          <w:lang w:val="fr-FR" w:bidi="fr-FR"/>
        </w:rPr>
      </w:pPr>
      <w:bookmarkStart w:id="49" w:name="_Toc393128924"/>
      <w:r w:rsidRPr="005F28B2">
        <w:rPr>
          <w:lang w:val="fr-FR"/>
        </w:rPr>
        <w:tab/>
      </w:r>
      <w:bookmarkStart w:id="50" w:name="_Toc478218523"/>
      <w:r w:rsidRPr="005F28B2">
        <w:rPr>
          <w:lang w:val="fr-FR"/>
        </w:rPr>
        <w:t>3.</w:t>
      </w:r>
      <w:r w:rsidRPr="005F28B2">
        <w:rPr>
          <w:lang w:val="fr-FR"/>
        </w:rPr>
        <w:tab/>
        <w:t>Législation nationale relative à l</w:t>
      </w:r>
      <w:r w:rsidR="00E16237" w:rsidRPr="005F28B2">
        <w:rPr>
          <w:lang w:val="fr-FR"/>
        </w:rPr>
        <w:t>’</w:t>
      </w:r>
      <w:r w:rsidRPr="005F28B2">
        <w:rPr>
          <w:lang w:val="fr-FR"/>
        </w:rPr>
        <w:t>égalité des sexes</w:t>
      </w:r>
      <w:bookmarkEnd w:id="50"/>
    </w:p>
    <w:p w:rsidR="009052AE" w:rsidRPr="005F28B2" w:rsidRDefault="00163041" w:rsidP="00127D06">
      <w:pPr>
        <w:pStyle w:val="SingleTxtG"/>
        <w:rPr>
          <w:rtl/>
          <w:lang w:val="fr-FR" w:bidi="fr-FR"/>
        </w:rPr>
      </w:pPr>
      <w:r w:rsidRPr="005F28B2">
        <w:rPr>
          <w:lang w:val="fr-FR"/>
        </w:rPr>
        <w:t>96.</w:t>
      </w:r>
      <w:r w:rsidRPr="005F28B2">
        <w:rPr>
          <w:lang w:val="fr-FR"/>
        </w:rPr>
        <w:tab/>
        <w:t>Le dispositif national relatif aux droits des femmes a bénéficié de l</w:t>
      </w:r>
      <w:r w:rsidR="00E16237" w:rsidRPr="005F28B2">
        <w:rPr>
          <w:lang w:val="fr-FR"/>
        </w:rPr>
        <w:t>’</w:t>
      </w:r>
      <w:r w:rsidRPr="005F28B2">
        <w:rPr>
          <w:lang w:val="fr-FR"/>
        </w:rPr>
        <w:t>attention du législateur national depuis la publication en 1956 du Code du statut personnel</w:t>
      </w:r>
      <w:r w:rsidR="00E16237" w:rsidRPr="005F28B2">
        <w:rPr>
          <w:lang w:val="fr-FR"/>
        </w:rPr>
        <w:t>,</w:t>
      </w:r>
      <w:r w:rsidRPr="005F28B2">
        <w:rPr>
          <w:lang w:val="fr-FR"/>
        </w:rPr>
        <w:t xml:space="preserve"> lequel a aboli la polygamie</w:t>
      </w:r>
      <w:r w:rsidR="00E16237" w:rsidRPr="005F28B2">
        <w:rPr>
          <w:lang w:val="fr-FR"/>
        </w:rPr>
        <w:t>,</w:t>
      </w:r>
      <w:r w:rsidRPr="005F28B2">
        <w:rPr>
          <w:lang w:val="fr-FR"/>
        </w:rPr>
        <w:t xml:space="preserve"> fixé l</w:t>
      </w:r>
      <w:r w:rsidR="00E16237" w:rsidRPr="005F28B2">
        <w:rPr>
          <w:lang w:val="fr-FR"/>
        </w:rPr>
        <w:t>’</w:t>
      </w:r>
      <w:r w:rsidRPr="005F28B2">
        <w:rPr>
          <w:lang w:val="fr-FR"/>
        </w:rPr>
        <w:t>âge minimum du mariage</w:t>
      </w:r>
      <w:r w:rsidR="00E16237" w:rsidRPr="005F28B2">
        <w:rPr>
          <w:lang w:val="fr-FR"/>
        </w:rPr>
        <w:t>,</w:t>
      </w:r>
      <w:r w:rsidRPr="005F28B2">
        <w:rPr>
          <w:lang w:val="fr-FR"/>
        </w:rPr>
        <w:t xml:space="preserve"> abrogé les dispositions relatives au droit du père de contraindre sa fille au mariage</w:t>
      </w:r>
      <w:r w:rsidR="00E16237" w:rsidRPr="005F28B2">
        <w:rPr>
          <w:lang w:val="fr-FR"/>
        </w:rPr>
        <w:t>,</w:t>
      </w:r>
      <w:r w:rsidRPr="005F28B2">
        <w:rPr>
          <w:lang w:val="fr-FR"/>
        </w:rPr>
        <w:t xml:space="preserve"> institué le divorce judiciaire et posé les jalons des textes ultérieurs qui ont veillé à garantir l</w:t>
      </w:r>
      <w:r w:rsidR="00E16237" w:rsidRPr="005F28B2">
        <w:rPr>
          <w:lang w:val="fr-FR"/>
        </w:rPr>
        <w:t>’</w:t>
      </w:r>
      <w:r w:rsidRPr="005F28B2">
        <w:rPr>
          <w:lang w:val="fr-FR"/>
        </w:rPr>
        <w:t xml:space="preserve">égalité des sexes dans divers domaines. </w:t>
      </w:r>
    </w:p>
    <w:p w:rsidR="009052AE" w:rsidRPr="005F28B2" w:rsidRDefault="00163041" w:rsidP="00127D06">
      <w:pPr>
        <w:pStyle w:val="SingleTxtG"/>
        <w:rPr>
          <w:rtl/>
          <w:lang w:val="fr-FR" w:bidi="fr-FR"/>
        </w:rPr>
      </w:pPr>
      <w:r w:rsidRPr="005F28B2">
        <w:rPr>
          <w:lang w:val="fr-FR"/>
        </w:rPr>
        <w:t>97.</w:t>
      </w:r>
      <w:r w:rsidRPr="005F28B2">
        <w:rPr>
          <w:lang w:val="fr-FR"/>
        </w:rPr>
        <w:tab/>
        <w:t>Le législateur tunisien a poursuivi son œuvre visant à assurer l</w:t>
      </w:r>
      <w:r w:rsidR="00E16237" w:rsidRPr="005F28B2">
        <w:rPr>
          <w:lang w:val="fr-FR"/>
        </w:rPr>
        <w:t>’</w:t>
      </w:r>
      <w:r w:rsidRPr="005F28B2">
        <w:rPr>
          <w:lang w:val="fr-FR"/>
        </w:rPr>
        <w:t>égalité des sexes et l</w:t>
      </w:r>
      <w:r w:rsidR="00E16237" w:rsidRPr="005F28B2">
        <w:rPr>
          <w:lang w:val="fr-FR"/>
        </w:rPr>
        <w:t>’</w:t>
      </w:r>
      <w:r w:rsidRPr="005F28B2">
        <w:rPr>
          <w:lang w:val="fr-FR"/>
        </w:rPr>
        <w:t>élimination de toutes les formes de discrimination à l</w:t>
      </w:r>
      <w:r w:rsidR="00E16237" w:rsidRPr="005F28B2">
        <w:rPr>
          <w:lang w:val="fr-FR"/>
        </w:rPr>
        <w:t>’</w:t>
      </w:r>
      <w:r w:rsidRPr="005F28B2">
        <w:rPr>
          <w:lang w:val="fr-FR"/>
        </w:rPr>
        <w:t>égard des femmes en procédant à des réformes importantes du dispositif juridique relatif aux droits des femmes</w:t>
      </w:r>
      <w:r w:rsidR="00E16237" w:rsidRPr="005F28B2">
        <w:rPr>
          <w:lang w:val="fr-FR"/>
        </w:rPr>
        <w:t>,</w:t>
      </w:r>
      <w:r w:rsidRPr="005F28B2">
        <w:rPr>
          <w:lang w:val="fr-FR"/>
        </w:rPr>
        <w:t xml:space="preserve"> notamment en modifiant le Code de la nationalité dans le sens de la consécration du droit de la femme de transmettre sa nationalité à ses enfants</w:t>
      </w:r>
      <w:r w:rsidR="00E16237" w:rsidRPr="005F28B2">
        <w:rPr>
          <w:lang w:val="fr-FR"/>
        </w:rPr>
        <w:t>,</w:t>
      </w:r>
      <w:r w:rsidRPr="005F28B2">
        <w:rPr>
          <w:lang w:val="fr-FR"/>
        </w:rPr>
        <w:t xml:space="preserve"> en révisant le Code du travail pour garantir le droit de la femme au travail sur la base du principe d</w:t>
      </w:r>
      <w:r w:rsidR="00E16237" w:rsidRPr="005F28B2">
        <w:rPr>
          <w:lang w:val="fr-FR"/>
        </w:rPr>
        <w:t>’</w:t>
      </w:r>
      <w:r w:rsidRPr="005F28B2">
        <w:rPr>
          <w:lang w:val="fr-FR"/>
        </w:rPr>
        <w:t>égalité</w:t>
      </w:r>
      <w:r w:rsidR="00E16237" w:rsidRPr="005F28B2">
        <w:rPr>
          <w:lang w:val="fr-FR"/>
        </w:rPr>
        <w:t>,</w:t>
      </w:r>
      <w:r w:rsidRPr="005F28B2">
        <w:rPr>
          <w:lang w:val="fr-FR"/>
        </w:rPr>
        <w:t xml:space="preserve"> en supprimant du Code des obligations et contrats toute discrimination à l</w:t>
      </w:r>
      <w:r w:rsidR="00E16237" w:rsidRPr="005F28B2">
        <w:rPr>
          <w:lang w:val="fr-FR"/>
        </w:rPr>
        <w:t>’</w:t>
      </w:r>
      <w:r w:rsidRPr="005F28B2">
        <w:rPr>
          <w:lang w:val="fr-FR"/>
        </w:rPr>
        <w:t>égard des femmes en matière de travail et en incriminant par le biais d</w:t>
      </w:r>
      <w:r w:rsidR="00E16237" w:rsidRPr="005F28B2">
        <w:rPr>
          <w:lang w:val="fr-FR"/>
        </w:rPr>
        <w:t>’</w:t>
      </w:r>
      <w:r w:rsidRPr="005F28B2">
        <w:rPr>
          <w:lang w:val="fr-FR"/>
        </w:rPr>
        <w:t xml:space="preserve">une modification du Code pénal le harcèlement sexuel de la </w:t>
      </w:r>
      <w:r w:rsidRPr="005F28B2">
        <w:rPr>
          <w:lang w:val="fr-FR"/>
        </w:rPr>
        <w:lastRenderedPageBreak/>
        <w:t>femme sur les lieux de travail</w:t>
      </w:r>
      <w:r w:rsidR="00E16237" w:rsidRPr="005F28B2">
        <w:rPr>
          <w:lang w:val="fr-FR"/>
        </w:rPr>
        <w:t>,</w:t>
      </w:r>
      <w:r w:rsidRPr="005F28B2">
        <w:rPr>
          <w:lang w:val="fr-FR"/>
        </w:rPr>
        <w:t xml:space="preserve"> assurant ainsi sa protection. Ces réformes ont été introduites par un certain nombre de textes</w:t>
      </w:r>
      <w:r w:rsidR="00E16237" w:rsidRPr="005F28B2">
        <w:rPr>
          <w:lang w:val="fr-FR"/>
        </w:rPr>
        <w:t>,</w:t>
      </w:r>
      <w:r w:rsidRPr="005F28B2">
        <w:rPr>
          <w:lang w:val="fr-FR"/>
        </w:rPr>
        <w:t xml:space="preserve"> parmi lesquels les suivants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98-75 du 28 octobre 1998 relative à l</w:t>
      </w:r>
      <w:r w:rsidR="00E16237" w:rsidRPr="005F28B2">
        <w:rPr>
          <w:lang w:val="fr-FR"/>
        </w:rPr>
        <w:t>’</w:t>
      </w:r>
      <w:r w:rsidRPr="005F28B2">
        <w:rPr>
          <w:lang w:val="fr-FR"/>
        </w:rPr>
        <w:t>attribution d</w:t>
      </w:r>
      <w:r w:rsidR="00E16237" w:rsidRPr="005F28B2">
        <w:rPr>
          <w:lang w:val="fr-FR"/>
        </w:rPr>
        <w:t>’</w:t>
      </w:r>
      <w:r w:rsidRPr="005F28B2">
        <w:rPr>
          <w:lang w:val="fr-FR"/>
        </w:rPr>
        <w:t>un nom patronymique aux enfants abandonnés ou de filiation inconnue</w:t>
      </w:r>
      <w:r w:rsidR="00E16237" w:rsidRPr="005F28B2">
        <w:rPr>
          <w:lang w:val="fr-FR"/>
        </w:rPr>
        <w:t>,</w:t>
      </w:r>
      <w:r w:rsidRPr="005F28B2">
        <w:rPr>
          <w:lang w:val="fr-FR"/>
        </w:rPr>
        <w:t xml:space="preserve"> qui a accordé à la mère le droit d</w:t>
      </w:r>
      <w:r w:rsidR="00E16237" w:rsidRPr="005F28B2">
        <w:rPr>
          <w:lang w:val="fr-FR"/>
        </w:rPr>
        <w:t>’</w:t>
      </w:r>
      <w:r w:rsidRPr="005F28B2">
        <w:rPr>
          <w:lang w:val="fr-FR"/>
        </w:rPr>
        <w:t>attribuer son nom patronymique à son enfant et l</w:t>
      </w:r>
      <w:r w:rsidR="00E16237" w:rsidRPr="005F28B2">
        <w:rPr>
          <w:lang w:val="fr-FR"/>
        </w:rPr>
        <w:t>’</w:t>
      </w:r>
      <w:r w:rsidRPr="005F28B2">
        <w:rPr>
          <w:lang w:val="fr-FR"/>
        </w:rPr>
        <w:t>a autorisée à saisir les tribunaux compétents pour demander l</w:t>
      </w:r>
      <w:r w:rsidR="00E16237" w:rsidRPr="005F28B2">
        <w:rPr>
          <w:lang w:val="fr-FR"/>
        </w:rPr>
        <w:t>’</w:t>
      </w:r>
      <w:r w:rsidRPr="005F28B2">
        <w:rPr>
          <w:lang w:val="fr-FR"/>
        </w:rPr>
        <w:t>attribution du nom patronymique du père à l</w:t>
      </w:r>
      <w:r w:rsidR="00E16237" w:rsidRPr="005F28B2">
        <w:rPr>
          <w:lang w:val="fr-FR"/>
        </w:rPr>
        <w:t>’</w:t>
      </w:r>
      <w:r w:rsidRPr="005F28B2">
        <w:rPr>
          <w:lang w:val="fr-FR"/>
        </w:rPr>
        <w:t>enfant de filiation inconnue</w:t>
      </w:r>
      <w:r w:rsidR="00E16237" w:rsidRPr="005F28B2">
        <w:rPr>
          <w:lang w:val="fr-FR"/>
        </w:rPr>
        <w:t>,</w:t>
      </w:r>
      <w:r w:rsidRPr="005F28B2">
        <w:rPr>
          <w:lang w:val="fr-FR"/>
        </w:rPr>
        <w:t xml:space="preserve"> texte ensuite modifié par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2003-51 du 7 juillet 2003</w:t>
      </w:r>
      <w:r w:rsidR="00E16237" w:rsidRPr="005F28B2">
        <w:rPr>
          <w:lang w:val="fr-FR"/>
        </w:rPr>
        <w:t>,</w:t>
      </w:r>
      <w:r w:rsidRPr="005F28B2">
        <w:rPr>
          <w:lang w:val="fr-FR"/>
        </w:rPr>
        <w:t xml:space="preserve"> qui a accordé à la mère ayant la garde de son enfant mineur et dont la filiation est inconnue le droit de lui attribuer un prénom et son propre nom patronymique</w:t>
      </w:r>
      <w:r w:rsidR="00D22E11"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98-91 du 9 novembre 1998 relative au régime de la communauté des biens entre époux</w:t>
      </w:r>
      <w:r w:rsidR="00E16237" w:rsidRPr="005F28B2">
        <w:rPr>
          <w:lang w:val="fr-FR"/>
        </w:rPr>
        <w:t>,</w:t>
      </w:r>
      <w:r w:rsidRPr="005F28B2">
        <w:rPr>
          <w:lang w:val="fr-FR"/>
        </w:rPr>
        <w:t xml:space="preserve"> qui est un régime facultatif pour lequel les époux peuvent opter au moment de la conclusion du contrat de mariage ou à une date ultérieure et qui a pour but de rendre un immeuble ou un ensemble d</w:t>
      </w:r>
      <w:r w:rsidR="00E16237" w:rsidRPr="005F28B2">
        <w:rPr>
          <w:lang w:val="fr-FR"/>
        </w:rPr>
        <w:t>’</w:t>
      </w:r>
      <w:r w:rsidRPr="005F28B2">
        <w:rPr>
          <w:lang w:val="fr-FR"/>
        </w:rPr>
        <w:t>immeubles propriété indivise entre les époux lorsqu</w:t>
      </w:r>
      <w:r w:rsidR="00E16237" w:rsidRPr="005F28B2">
        <w:rPr>
          <w:lang w:val="fr-FR"/>
        </w:rPr>
        <w:t>’</w:t>
      </w:r>
      <w:r w:rsidRPr="005F28B2">
        <w:rPr>
          <w:lang w:val="fr-FR"/>
        </w:rPr>
        <w:t>ils sont propres à l</w:t>
      </w:r>
      <w:r w:rsidR="00E16237" w:rsidRPr="005F28B2">
        <w:rPr>
          <w:lang w:val="fr-FR"/>
        </w:rPr>
        <w:t>’</w:t>
      </w:r>
      <w:r w:rsidRPr="005F28B2">
        <w:rPr>
          <w:lang w:val="fr-FR"/>
        </w:rPr>
        <w:t>usage familial</w:t>
      </w:r>
      <w:r w:rsidR="00D22E11"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2000-17 du 7 février 2000 portant abrogation d</w:t>
      </w:r>
      <w:r w:rsidR="00E16237" w:rsidRPr="005F28B2">
        <w:rPr>
          <w:lang w:val="fr-FR"/>
        </w:rPr>
        <w:t>’</w:t>
      </w:r>
      <w:r w:rsidRPr="005F28B2">
        <w:rPr>
          <w:lang w:val="fr-FR"/>
        </w:rPr>
        <w:t>un certain nombre de dispositions du Code des obligations et contrats qui subordonnaient le droit des femmes de travailler à une autorisation de leur époux</w:t>
      </w:r>
      <w:r w:rsidR="00D22E11" w:rsidRPr="005F28B2">
        <w:rPr>
          <w:lang w:val="fr-FR"/>
        </w:rPr>
        <w:t>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2001-93 du 7 août 2001 relative à la médecine de reproduction</w:t>
      </w:r>
      <w:r w:rsidR="00E16237" w:rsidRPr="005F28B2">
        <w:rPr>
          <w:lang w:val="fr-FR"/>
        </w:rPr>
        <w:t>,</w:t>
      </w:r>
      <w:r w:rsidRPr="005F28B2">
        <w:rPr>
          <w:lang w:val="fr-FR"/>
        </w:rPr>
        <w:t xml:space="preserve"> qui permet aux deux époux de recourir aux moyens de reproduction modernes dans le cadre de la garantie de la dignité de la personne humaine et de la préservation de son intégrité physique</w:t>
      </w:r>
      <w:r w:rsidR="00D22E11" w:rsidRPr="005F28B2">
        <w:rPr>
          <w:lang w:val="fr-FR"/>
        </w:rPr>
        <w:t>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2002-4 du 21 janvier 2002 portant modification de l</w:t>
      </w:r>
      <w:r w:rsidR="00E16237" w:rsidRPr="005F28B2">
        <w:rPr>
          <w:lang w:val="fr-FR"/>
        </w:rPr>
        <w:t>’</w:t>
      </w:r>
      <w:r w:rsidR="00755707" w:rsidRPr="005F28B2">
        <w:rPr>
          <w:lang w:val="fr-FR"/>
        </w:rPr>
        <w:t>article </w:t>
      </w:r>
      <w:r w:rsidRPr="005F28B2">
        <w:rPr>
          <w:lang w:val="fr-FR"/>
        </w:rPr>
        <w:t>12 du Code de la nationalité</w:t>
      </w:r>
      <w:r w:rsidR="00E16237" w:rsidRPr="005F28B2">
        <w:rPr>
          <w:lang w:val="fr-FR"/>
        </w:rPr>
        <w:t>,</w:t>
      </w:r>
      <w:r w:rsidRPr="005F28B2">
        <w:rPr>
          <w:lang w:val="fr-FR"/>
        </w:rPr>
        <w:t xml:space="preserve"> selon lequel une déclaration unilatérale de la mère est désormais suffisante pour transmettre à ses enfants la nationalité tunisienne en cas de décès du père</w:t>
      </w:r>
      <w:r w:rsidR="00E16237" w:rsidRPr="005F28B2">
        <w:rPr>
          <w:lang w:val="fr-FR"/>
        </w:rPr>
        <w:t>,</w:t>
      </w:r>
      <w:r w:rsidRPr="005F28B2">
        <w:rPr>
          <w:lang w:val="fr-FR"/>
        </w:rPr>
        <w:t xml:space="preserve"> de sa disparition ou de son incapacité légale</w:t>
      </w:r>
      <w:r w:rsidR="00D22E11"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2002-32 du 12 mars 2002 relative au régime de sécurité sociale pour certaines catégories de travailleurs dans les secteurs agricole et non agricole</w:t>
      </w:r>
      <w:r w:rsidR="00E16237" w:rsidRPr="005F28B2">
        <w:rPr>
          <w:lang w:val="fr-FR"/>
        </w:rPr>
        <w:t>,</w:t>
      </w:r>
      <w:r w:rsidRPr="005F28B2">
        <w:rPr>
          <w:lang w:val="fr-FR"/>
        </w:rPr>
        <w:t xml:space="preserve"> qui accorde aux employées de maison le droit de bénéficier d</w:t>
      </w:r>
      <w:r w:rsidR="00E16237" w:rsidRPr="005F28B2">
        <w:rPr>
          <w:lang w:val="fr-FR"/>
        </w:rPr>
        <w:t>’</w:t>
      </w:r>
      <w:r w:rsidRPr="005F28B2">
        <w:rPr>
          <w:lang w:val="fr-FR"/>
        </w:rPr>
        <w:t>une couverture sociale</w:t>
      </w:r>
      <w:r w:rsidR="00D22E11" w:rsidRPr="005F28B2">
        <w:rPr>
          <w:lang w:val="fr-FR"/>
        </w:rPr>
        <w:t> ;</w:t>
      </w:r>
    </w:p>
    <w:p w:rsidR="009052AE" w:rsidRPr="005F28B2" w:rsidRDefault="00163041" w:rsidP="00127D06">
      <w:pPr>
        <w:pStyle w:val="Bullet1G"/>
        <w:rPr>
          <w:lang w:val="fr-FR"/>
        </w:rPr>
      </w:pPr>
      <w:r w:rsidRPr="005F28B2">
        <w:rPr>
          <w:lang w:val="fr-FR"/>
        </w:rPr>
        <w:t>La loi d</w:t>
      </w:r>
      <w:r w:rsidR="00E16237" w:rsidRPr="005F28B2">
        <w:rPr>
          <w:lang w:val="fr-FR"/>
        </w:rPr>
        <w:t>’</w:t>
      </w:r>
      <w:r w:rsidRPr="005F28B2">
        <w:rPr>
          <w:lang w:val="fr-FR"/>
        </w:rPr>
        <w:t xml:space="preserve">orientation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2002-80 du 23 juillet 2002 relative à l</w:t>
      </w:r>
      <w:r w:rsidR="00E16237" w:rsidRPr="005F28B2">
        <w:rPr>
          <w:lang w:val="fr-FR"/>
        </w:rPr>
        <w:t>’</w:t>
      </w:r>
      <w:r w:rsidRPr="005F28B2">
        <w:rPr>
          <w:lang w:val="fr-FR"/>
        </w:rPr>
        <w:t>éducation et à l</w:t>
      </w:r>
      <w:r w:rsidR="00E16237" w:rsidRPr="005F28B2">
        <w:rPr>
          <w:lang w:val="fr-FR"/>
        </w:rPr>
        <w:t>’</w:t>
      </w:r>
      <w:r w:rsidRPr="005F28B2">
        <w:rPr>
          <w:lang w:val="fr-FR"/>
        </w:rPr>
        <w:t>enseignement scolaire</w:t>
      </w:r>
      <w:r w:rsidR="00E16237" w:rsidRPr="005F28B2">
        <w:rPr>
          <w:lang w:val="fr-FR"/>
        </w:rPr>
        <w:t>,</w:t>
      </w:r>
      <w:r w:rsidRPr="005F28B2">
        <w:rPr>
          <w:lang w:val="fr-FR"/>
        </w:rPr>
        <w:t xml:space="preserve"> qui garantit à tous les tunisiens le droit à l</w:t>
      </w:r>
      <w:r w:rsidR="00E16237" w:rsidRPr="005F28B2">
        <w:rPr>
          <w:lang w:val="fr-FR"/>
        </w:rPr>
        <w:t>’</w:t>
      </w:r>
      <w:r w:rsidRPr="005F28B2">
        <w:rPr>
          <w:lang w:val="fr-FR"/>
        </w:rPr>
        <w:t>éducation sans discrimination fondée sur le sexe</w:t>
      </w:r>
      <w:r w:rsidR="00E16237" w:rsidRPr="005F28B2">
        <w:rPr>
          <w:lang w:val="fr-FR"/>
        </w:rPr>
        <w:t>,</w:t>
      </w:r>
      <w:r w:rsidRPr="005F28B2">
        <w:rPr>
          <w:lang w:val="fr-FR"/>
        </w:rPr>
        <w:t xml:space="preserve"> l</w:t>
      </w:r>
      <w:r w:rsidR="00E16237" w:rsidRPr="005F28B2">
        <w:rPr>
          <w:lang w:val="fr-FR"/>
        </w:rPr>
        <w:t>’</w:t>
      </w:r>
      <w:r w:rsidRPr="005F28B2">
        <w:rPr>
          <w:lang w:val="fr-FR"/>
        </w:rPr>
        <w:t>origine sociale</w:t>
      </w:r>
      <w:r w:rsidR="00E16237" w:rsidRPr="005F28B2">
        <w:rPr>
          <w:lang w:val="fr-FR"/>
        </w:rPr>
        <w:t>,</w:t>
      </w:r>
      <w:r w:rsidRPr="005F28B2">
        <w:rPr>
          <w:lang w:val="fr-FR"/>
        </w:rPr>
        <w:t xml:space="preserve"> la couleur ou la religion</w:t>
      </w:r>
      <w:r w:rsidR="00D22E11"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 xml:space="preserve">Le 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 xml:space="preserve">2006-826 du 23 mars 2006 portant modification du décret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93-1655 du 9 août 1993 relatif à la procédure d</w:t>
      </w:r>
      <w:r w:rsidR="00E16237" w:rsidRPr="005F28B2">
        <w:rPr>
          <w:lang w:val="fr-FR"/>
        </w:rPr>
        <w:t>’</w:t>
      </w:r>
      <w:r w:rsidRPr="005F28B2">
        <w:rPr>
          <w:lang w:val="fr-FR"/>
        </w:rPr>
        <w:t>intervention du fonds de garantie de la pension alimentaire et de la rente de divorce au profit des femmes divorcées et de leurs enfants</w:t>
      </w:r>
      <w:r w:rsidR="00D22E11" w:rsidRPr="005F28B2">
        <w:rPr>
          <w:lang w:val="fr-FR"/>
        </w:rPr>
        <w:t>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2006-58 du 28 juillet 2006 instituant un régime spécial de travail à mi-temps au profit des mères</w:t>
      </w:r>
      <w:r w:rsidR="00E16237" w:rsidRPr="005F28B2">
        <w:rPr>
          <w:lang w:val="fr-FR"/>
        </w:rPr>
        <w:t>,</w:t>
      </w:r>
      <w:r w:rsidRPr="005F28B2">
        <w:rPr>
          <w:lang w:val="fr-FR"/>
        </w:rPr>
        <w:t xml:space="preserve"> avec le bénéfice des deux tiers du salaire et la conservation intégrale de leurs droits</w:t>
      </w:r>
      <w:r w:rsidR="00D22E11"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2007-32 du 14 mai 2007 modifiant l</w:t>
      </w:r>
      <w:r w:rsidR="00E16237" w:rsidRPr="005F28B2">
        <w:rPr>
          <w:lang w:val="fr-FR"/>
        </w:rPr>
        <w:t>’</w:t>
      </w:r>
      <w:r w:rsidR="00755707" w:rsidRPr="005F28B2">
        <w:rPr>
          <w:lang w:val="fr-FR"/>
        </w:rPr>
        <w:t>article </w:t>
      </w:r>
      <w:r w:rsidRPr="005F28B2">
        <w:rPr>
          <w:lang w:val="fr-FR"/>
        </w:rPr>
        <w:t>5 du Code du statut personnel dans le sens de l</w:t>
      </w:r>
      <w:r w:rsidR="00E16237" w:rsidRPr="005F28B2">
        <w:rPr>
          <w:lang w:val="fr-FR"/>
        </w:rPr>
        <w:t>’</w:t>
      </w:r>
      <w:r w:rsidRPr="005F28B2">
        <w:rPr>
          <w:lang w:val="fr-FR"/>
        </w:rPr>
        <w:t>uniformisation de l</w:t>
      </w:r>
      <w:r w:rsidR="00E16237" w:rsidRPr="005F28B2">
        <w:rPr>
          <w:lang w:val="fr-FR"/>
        </w:rPr>
        <w:t>’</w:t>
      </w:r>
      <w:r w:rsidRPr="005F28B2">
        <w:rPr>
          <w:lang w:val="fr-FR"/>
        </w:rPr>
        <w:t>âge minimum du mariage à 18</w:t>
      </w:r>
      <w:r w:rsidR="008E5AFE" w:rsidRPr="005F28B2">
        <w:rPr>
          <w:lang w:val="fr-FR"/>
        </w:rPr>
        <w:t> ans</w:t>
      </w:r>
      <w:r w:rsidRPr="005F28B2">
        <w:rPr>
          <w:lang w:val="fr-FR"/>
        </w:rPr>
        <w:t xml:space="preserve"> pour les garçons et les filles</w:t>
      </w:r>
      <w:r w:rsidR="00D22E11" w:rsidRPr="005F28B2">
        <w:rPr>
          <w:lang w:val="fr-FR"/>
        </w:rPr>
        <w:t>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2008-20 du 4 mars 2008 portant amendement de certaines dispositions du Code du statut personnel</w:t>
      </w:r>
      <w:r w:rsidR="00E16237" w:rsidRPr="005F28B2">
        <w:rPr>
          <w:lang w:val="fr-FR"/>
        </w:rPr>
        <w:t>,</w:t>
      </w:r>
      <w:r w:rsidRPr="005F28B2">
        <w:rPr>
          <w:lang w:val="fr-FR"/>
        </w:rPr>
        <w:t xml:space="preserve"> accordant à la mère ayant la garde de l</w:t>
      </w:r>
      <w:r w:rsidR="00E16237" w:rsidRPr="005F28B2">
        <w:rPr>
          <w:lang w:val="fr-FR"/>
        </w:rPr>
        <w:t>’</w:t>
      </w:r>
      <w:r w:rsidRPr="005F28B2">
        <w:rPr>
          <w:lang w:val="fr-FR"/>
        </w:rPr>
        <w:t>enfant le droit du maintien dans les lieux</w:t>
      </w:r>
      <w:r w:rsidR="00E16237" w:rsidRPr="005F28B2">
        <w:rPr>
          <w:lang w:val="fr-FR"/>
        </w:rPr>
        <w:t>,</w:t>
      </w:r>
      <w:r w:rsidRPr="005F28B2">
        <w:rPr>
          <w:lang w:val="fr-FR"/>
        </w:rPr>
        <w:t xml:space="preserve"> ainsi que toutes les garanties légales pendant la période précédant le divorce</w:t>
      </w:r>
      <w:r w:rsidR="00D22E11" w:rsidRPr="005F28B2">
        <w:rPr>
          <w:lang w:val="fr-FR"/>
        </w:rPr>
        <w:t> ;</w:t>
      </w:r>
    </w:p>
    <w:p w:rsidR="009052AE" w:rsidRPr="005F28B2" w:rsidRDefault="00163041" w:rsidP="00127D06">
      <w:pPr>
        <w:pStyle w:val="Bullet1G"/>
        <w:rPr>
          <w:lang w:val="fr-FR"/>
        </w:rPr>
      </w:pPr>
      <w:r w:rsidRPr="005F28B2">
        <w:rPr>
          <w:lang w:val="fr-FR"/>
        </w:rPr>
        <w:lastRenderedPageBreak/>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2008-58 du 4 août 2008 relative à la mère détenue</w:t>
      </w:r>
      <w:r w:rsidR="00E16237" w:rsidRPr="005F28B2">
        <w:rPr>
          <w:lang w:val="fr-FR"/>
        </w:rPr>
        <w:t>,</w:t>
      </w:r>
      <w:r w:rsidRPr="005F28B2">
        <w:rPr>
          <w:lang w:val="fr-FR"/>
        </w:rPr>
        <w:t xml:space="preserve"> enceinte et allaitante</w:t>
      </w:r>
      <w:r w:rsidR="00E16237" w:rsidRPr="005F28B2">
        <w:rPr>
          <w:lang w:val="fr-FR"/>
        </w:rPr>
        <w:t>,</w:t>
      </w:r>
      <w:r w:rsidRPr="005F28B2">
        <w:rPr>
          <w:lang w:val="fr-FR"/>
        </w:rPr>
        <w:t xml:space="preserve"> prévoyant la mise en place d</w:t>
      </w:r>
      <w:r w:rsidR="00E16237" w:rsidRPr="005F28B2">
        <w:rPr>
          <w:lang w:val="fr-FR"/>
        </w:rPr>
        <w:t>’</w:t>
      </w:r>
      <w:r w:rsidRPr="005F28B2">
        <w:rPr>
          <w:lang w:val="fr-FR"/>
        </w:rPr>
        <w:t>un espace spécialement dédié à ces femmes et à leurs enfants</w:t>
      </w:r>
      <w:r w:rsidR="00D22E11" w:rsidRPr="005F28B2">
        <w:rPr>
          <w:lang w:val="fr-FR"/>
        </w:rPr>
        <w:t> ;</w:t>
      </w:r>
      <w:r w:rsidRPr="005F28B2">
        <w:rPr>
          <w:lang w:val="fr-FR"/>
        </w:rPr>
        <w:t xml:space="preserve"> </w:t>
      </w:r>
    </w:p>
    <w:p w:rsidR="009052AE" w:rsidRPr="005F28B2" w:rsidRDefault="00163041" w:rsidP="00127D06">
      <w:pPr>
        <w:pStyle w:val="Bullet1G"/>
        <w:rPr>
          <w:lang w:val="fr-FR"/>
        </w:rPr>
      </w:pPr>
      <w:r w:rsidRPr="005F28B2">
        <w:rPr>
          <w:lang w:val="fr-FR"/>
        </w:rPr>
        <w:t xml:space="preserve">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2010-55 portant amendement de l</w:t>
      </w:r>
      <w:r w:rsidR="00E16237" w:rsidRPr="005F28B2">
        <w:rPr>
          <w:lang w:val="fr-FR"/>
        </w:rPr>
        <w:t>’</w:t>
      </w:r>
      <w:r w:rsidR="00755707" w:rsidRPr="005F28B2">
        <w:rPr>
          <w:lang w:val="fr-FR"/>
        </w:rPr>
        <w:t>article </w:t>
      </w:r>
      <w:r w:rsidRPr="005F28B2">
        <w:rPr>
          <w:lang w:val="fr-FR"/>
        </w:rPr>
        <w:t>6 du Code de la nationalité</w:t>
      </w:r>
      <w:r w:rsidR="00E16237" w:rsidRPr="005F28B2">
        <w:rPr>
          <w:lang w:val="fr-FR"/>
        </w:rPr>
        <w:t>,</w:t>
      </w:r>
      <w:r w:rsidRPr="005F28B2">
        <w:rPr>
          <w:lang w:val="fr-FR"/>
        </w:rPr>
        <w:t xml:space="preserve"> désormais rédigé comme suit : « Est tunisien l</w:t>
      </w:r>
      <w:r w:rsidR="00E16237" w:rsidRPr="005F28B2">
        <w:rPr>
          <w:lang w:val="fr-FR"/>
        </w:rPr>
        <w:t>’</w:t>
      </w:r>
      <w:r w:rsidRPr="005F28B2">
        <w:rPr>
          <w:lang w:val="fr-FR"/>
        </w:rPr>
        <w:t>enfant né d</w:t>
      </w:r>
      <w:r w:rsidR="00E16237" w:rsidRPr="005F28B2">
        <w:rPr>
          <w:lang w:val="fr-FR"/>
        </w:rPr>
        <w:t>’</w:t>
      </w:r>
      <w:r w:rsidRPr="005F28B2">
        <w:rPr>
          <w:lang w:val="fr-FR"/>
        </w:rPr>
        <w:t>un père tunisien ou d</w:t>
      </w:r>
      <w:r w:rsidR="00E16237" w:rsidRPr="005F28B2">
        <w:rPr>
          <w:lang w:val="fr-FR"/>
        </w:rPr>
        <w:t>’</w:t>
      </w:r>
      <w:r w:rsidRPr="005F28B2">
        <w:rPr>
          <w:lang w:val="fr-FR"/>
        </w:rPr>
        <w:t>une mère tunisienne</w:t>
      </w:r>
      <w:r w:rsidR="00352097" w:rsidRPr="005F28B2">
        <w:rPr>
          <w:lang w:val="fr-FR"/>
        </w:rPr>
        <w:t>.</w:t>
      </w:r>
      <w:r w:rsidRPr="005F28B2">
        <w:rPr>
          <w:lang w:val="fr-FR"/>
        </w:rPr>
        <w:t> »</w:t>
      </w:r>
    </w:p>
    <w:p w:rsidR="009052AE" w:rsidRPr="005F28B2" w:rsidRDefault="00163041" w:rsidP="002E319A">
      <w:pPr>
        <w:pStyle w:val="SingleTxtG"/>
        <w:rPr>
          <w:rtl/>
          <w:lang w:val="fr-FR" w:bidi="fr-FR"/>
        </w:rPr>
      </w:pPr>
      <w:r w:rsidRPr="005F28B2">
        <w:rPr>
          <w:lang w:val="fr-FR"/>
        </w:rPr>
        <w:t>98.</w:t>
      </w:r>
      <w:r w:rsidRPr="005F28B2">
        <w:rPr>
          <w:lang w:val="fr-FR"/>
        </w:rPr>
        <w:tab/>
        <w:t>Après la révolution de 2011</w:t>
      </w:r>
      <w:r w:rsidR="00E16237" w:rsidRPr="005F28B2">
        <w:rPr>
          <w:lang w:val="fr-FR"/>
        </w:rPr>
        <w:t>,</w:t>
      </w:r>
      <w:r w:rsidRPr="005F28B2">
        <w:rPr>
          <w:lang w:val="fr-FR"/>
        </w:rPr>
        <w:t xml:space="preserve"> le législateur tunisien a veillé à ce que les lois relatives à la protection des femmes soient compatibles avec les normes internationales et avec l</w:t>
      </w:r>
      <w:r w:rsidR="00E16237" w:rsidRPr="005F28B2">
        <w:rPr>
          <w:lang w:val="fr-FR"/>
        </w:rPr>
        <w:t>’</w:t>
      </w:r>
      <w:r w:rsidRPr="005F28B2">
        <w:rPr>
          <w:lang w:val="fr-FR"/>
        </w:rPr>
        <w:t>évolution des valeurs sociales</w:t>
      </w:r>
      <w:r w:rsidR="00E16237" w:rsidRPr="005F28B2">
        <w:rPr>
          <w:lang w:val="fr-FR"/>
        </w:rPr>
        <w:t>,</w:t>
      </w:r>
      <w:r w:rsidRPr="005F28B2">
        <w:rPr>
          <w:lang w:val="fr-FR"/>
        </w:rPr>
        <w:t xml:space="preserve"> par le biais de l</w:t>
      </w:r>
      <w:r w:rsidR="00E16237" w:rsidRPr="005F28B2">
        <w:rPr>
          <w:lang w:val="fr-FR"/>
        </w:rPr>
        <w:t>’</w:t>
      </w:r>
      <w:r w:rsidRPr="005F28B2">
        <w:rPr>
          <w:lang w:val="fr-FR"/>
        </w:rPr>
        <w:t>adoption de nouveaux textes adaptés aux changements sociaux et consacrant l</w:t>
      </w:r>
      <w:r w:rsidR="00E16237" w:rsidRPr="005F28B2">
        <w:rPr>
          <w:lang w:val="fr-FR"/>
        </w:rPr>
        <w:t>’</w:t>
      </w:r>
      <w:r w:rsidRPr="005F28B2">
        <w:rPr>
          <w:lang w:val="fr-FR"/>
        </w:rPr>
        <w:t>engagement de l</w:t>
      </w:r>
      <w:r w:rsidR="00E16237" w:rsidRPr="005F28B2">
        <w:rPr>
          <w:lang w:val="fr-FR"/>
        </w:rPr>
        <w:t>’</w:t>
      </w:r>
      <w:r w:rsidRPr="005F28B2">
        <w:rPr>
          <w:lang w:val="fr-FR"/>
        </w:rPr>
        <w:t>État en faveur de la défense des droits acquis des femmes</w:t>
      </w:r>
      <w:r w:rsidR="00E16237" w:rsidRPr="005F28B2">
        <w:rPr>
          <w:lang w:val="fr-FR"/>
        </w:rPr>
        <w:t>,</w:t>
      </w:r>
      <w:r w:rsidRPr="005F28B2">
        <w:rPr>
          <w:lang w:val="fr-FR"/>
        </w:rPr>
        <w:t xml:space="preserve"> ainsi qu</w:t>
      </w:r>
      <w:r w:rsidR="00E16237" w:rsidRPr="005F28B2">
        <w:rPr>
          <w:lang w:val="fr-FR"/>
        </w:rPr>
        <w:t>’</w:t>
      </w:r>
      <w:r w:rsidRPr="005F28B2">
        <w:rPr>
          <w:lang w:val="fr-FR"/>
        </w:rPr>
        <w:t>en matière de renforcement et de valorisation de ces droits.</w:t>
      </w:r>
    </w:p>
    <w:p w:rsidR="009052AE" w:rsidRPr="005F28B2" w:rsidRDefault="00163041" w:rsidP="002E319A">
      <w:pPr>
        <w:pStyle w:val="SingleTxtG"/>
        <w:rPr>
          <w:rtl/>
          <w:lang w:val="fr-FR" w:bidi="fr-FR"/>
        </w:rPr>
      </w:pPr>
      <w:r w:rsidRPr="005F28B2">
        <w:rPr>
          <w:lang w:val="fr-FR"/>
        </w:rPr>
        <w:t>99.</w:t>
      </w:r>
      <w:r w:rsidRPr="005F28B2">
        <w:rPr>
          <w:lang w:val="fr-FR"/>
        </w:rPr>
        <w:tab/>
        <w:t>Un Comité d</w:t>
      </w:r>
      <w:r w:rsidR="00E16237" w:rsidRPr="005F28B2">
        <w:rPr>
          <w:lang w:val="fr-FR"/>
        </w:rPr>
        <w:t>’</w:t>
      </w:r>
      <w:r w:rsidRPr="005F28B2">
        <w:rPr>
          <w:lang w:val="fr-FR"/>
        </w:rPr>
        <w:t>experts chargé de la révision du dispositif juridique relatif aux droits de la femme en Tunisie</w:t>
      </w:r>
      <w:r w:rsidR="00E16237" w:rsidRPr="005F28B2">
        <w:rPr>
          <w:lang w:val="fr-FR"/>
        </w:rPr>
        <w:t>,</w:t>
      </w:r>
      <w:r w:rsidRPr="005F28B2">
        <w:rPr>
          <w:lang w:val="fr-FR"/>
        </w:rPr>
        <w:t xml:space="preserve"> regroupant des représentants des Ministères de la femme et de la famille</w:t>
      </w:r>
      <w:r w:rsidR="00E16237" w:rsidRPr="005F28B2">
        <w:rPr>
          <w:lang w:val="fr-FR"/>
        </w:rPr>
        <w:t>,</w:t>
      </w:r>
      <w:r w:rsidRPr="005F28B2">
        <w:rPr>
          <w:lang w:val="fr-FR"/>
        </w:rPr>
        <w:t xml:space="preserve"> de l</w:t>
      </w:r>
      <w:r w:rsidR="00E16237" w:rsidRPr="005F28B2">
        <w:rPr>
          <w:lang w:val="fr-FR"/>
        </w:rPr>
        <w:t>’</w:t>
      </w:r>
      <w:r w:rsidRPr="005F28B2">
        <w:rPr>
          <w:lang w:val="fr-FR"/>
        </w:rPr>
        <w:t>intérieur et des affaires sociales</w:t>
      </w:r>
      <w:r w:rsidR="00E16237" w:rsidRPr="005F28B2">
        <w:rPr>
          <w:lang w:val="fr-FR"/>
        </w:rPr>
        <w:t>,</w:t>
      </w:r>
      <w:r w:rsidRPr="005F28B2">
        <w:rPr>
          <w:lang w:val="fr-FR"/>
        </w:rPr>
        <w:t xml:space="preserve"> ainsi qu</w:t>
      </w:r>
      <w:r w:rsidR="00E16237" w:rsidRPr="005F28B2">
        <w:rPr>
          <w:lang w:val="fr-FR"/>
        </w:rPr>
        <w:t>’</w:t>
      </w:r>
      <w:r w:rsidRPr="005F28B2">
        <w:rPr>
          <w:lang w:val="fr-FR"/>
        </w:rPr>
        <w:t>un représentant du Chef du Gouvernement</w:t>
      </w:r>
      <w:r w:rsidR="00E16237" w:rsidRPr="005F28B2">
        <w:rPr>
          <w:lang w:val="fr-FR"/>
        </w:rPr>
        <w:t>,</w:t>
      </w:r>
      <w:r w:rsidRPr="005F28B2">
        <w:rPr>
          <w:lang w:val="fr-FR"/>
        </w:rPr>
        <w:t xml:space="preserve"> a été créé au Ministère de la femme</w:t>
      </w:r>
      <w:r w:rsidR="00E16237" w:rsidRPr="005F28B2">
        <w:rPr>
          <w:lang w:val="fr-FR"/>
        </w:rPr>
        <w:t>,</w:t>
      </w:r>
      <w:r w:rsidRPr="005F28B2">
        <w:rPr>
          <w:lang w:val="fr-FR"/>
        </w:rPr>
        <w:t xml:space="preserve"> de la famille et de l</w:t>
      </w:r>
      <w:r w:rsidR="00E16237" w:rsidRPr="005F28B2">
        <w:rPr>
          <w:lang w:val="fr-FR"/>
        </w:rPr>
        <w:t>’</w:t>
      </w:r>
      <w:r w:rsidRPr="005F28B2">
        <w:rPr>
          <w:lang w:val="fr-FR"/>
        </w:rPr>
        <w:t>enfance en 2012 pour identifier les lacunes des lois</w:t>
      </w:r>
      <w:r w:rsidR="00E16237" w:rsidRPr="005F28B2">
        <w:rPr>
          <w:lang w:val="fr-FR"/>
        </w:rPr>
        <w:t>,</w:t>
      </w:r>
      <w:r w:rsidRPr="005F28B2">
        <w:rPr>
          <w:lang w:val="fr-FR"/>
        </w:rPr>
        <w:t xml:space="preserve"> des décrets à caractère réglementaires et des arrêtés ministériels dans ce domaine. L</w:t>
      </w:r>
      <w:r w:rsidR="00E16237" w:rsidRPr="005F28B2">
        <w:rPr>
          <w:lang w:val="fr-FR"/>
        </w:rPr>
        <w:t>’</w:t>
      </w:r>
      <w:r w:rsidRPr="005F28B2">
        <w:rPr>
          <w:lang w:val="fr-FR"/>
        </w:rPr>
        <w:t xml:space="preserve">un des résultats les plus significatifs des activités de cette instance a été la promulgation de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2015-46 du 23 novembre 2015</w:t>
      </w:r>
      <w:r w:rsidR="00E16237" w:rsidRPr="005F28B2">
        <w:rPr>
          <w:lang w:val="fr-FR"/>
        </w:rPr>
        <w:t>,</w:t>
      </w:r>
      <w:r w:rsidRPr="005F28B2">
        <w:rPr>
          <w:lang w:val="fr-FR"/>
        </w:rPr>
        <w:t xml:space="preserve"> modifiant et complétant la loi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75-40 du 14 mai 1975 relative aux passeports et aux documents de voyage</w:t>
      </w:r>
      <w:r w:rsidR="00E16237" w:rsidRPr="005F28B2">
        <w:rPr>
          <w:lang w:val="fr-FR"/>
        </w:rPr>
        <w:t>,</w:t>
      </w:r>
      <w:r w:rsidRPr="005F28B2">
        <w:rPr>
          <w:lang w:val="fr-FR"/>
        </w:rPr>
        <w:t xml:space="preserve"> qui a accordé à chacun des deux parents le droit de faire établir des documents de voyage au nom de leurs enfants et de les autoriser à sortir du territoire. </w:t>
      </w:r>
    </w:p>
    <w:p w:rsidR="009052AE" w:rsidRPr="005F28B2" w:rsidRDefault="00163041" w:rsidP="002E319A">
      <w:pPr>
        <w:pStyle w:val="SingleTxtG"/>
        <w:rPr>
          <w:lang w:val="fr-FR"/>
        </w:rPr>
      </w:pPr>
      <w:r w:rsidRPr="005F28B2">
        <w:rPr>
          <w:lang w:val="fr-FR"/>
        </w:rPr>
        <w:t>100.</w:t>
      </w:r>
      <w:r w:rsidRPr="005F28B2">
        <w:rPr>
          <w:lang w:val="fr-FR"/>
        </w:rPr>
        <w:tab/>
        <w:t>La Constitution de 2014 a consacré l</w:t>
      </w:r>
      <w:r w:rsidR="00E16237" w:rsidRPr="005F28B2">
        <w:rPr>
          <w:lang w:val="fr-FR"/>
        </w:rPr>
        <w:t>’</w:t>
      </w:r>
      <w:r w:rsidRPr="005F28B2">
        <w:rPr>
          <w:lang w:val="fr-FR"/>
        </w:rPr>
        <w:t>élimination de toutes les formes de discrimination entre les sexes et a garanti l</w:t>
      </w:r>
      <w:r w:rsidR="00E16237" w:rsidRPr="005F28B2">
        <w:rPr>
          <w:lang w:val="fr-FR"/>
        </w:rPr>
        <w:t>’</w:t>
      </w:r>
      <w:r w:rsidRPr="005F28B2">
        <w:rPr>
          <w:lang w:val="fr-FR"/>
        </w:rPr>
        <w:t>égalité des chances entre les hommes et les femmes</w:t>
      </w:r>
      <w:r w:rsidR="00E16237" w:rsidRPr="005F28B2">
        <w:rPr>
          <w:lang w:val="fr-FR"/>
        </w:rPr>
        <w:t>,</w:t>
      </w:r>
      <w:r w:rsidRPr="005F28B2">
        <w:rPr>
          <w:lang w:val="fr-FR"/>
        </w:rPr>
        <w:t xml:space="preserve"> notamment en matière d</w:t>
      </w:r>
      <w:r w:rsidR="00E16237" w:rsidRPr="005F28B2">
        <w:rPr>
          <w:lang w:val="fr-FR"/>
        </w:rPr>
        <w:t>’</w:t>
      </w:r>
      <w:r w:rsidRPr="005F28B2">
        <w:rPr>
          <w:lang w:val="fr-FR"/>
        </w:rPr>
        <w:t>emploi</w:t>
      </w:r>
      <w:r w:rsidR="00E16237" w:rsidRPr="005F28B2">
        <w:rPr>
          <w:lang w:val="fr-FR"/>
        </w:rPr>
        <w:t>,</w:t>
      </w:r>
      <w:r w:rsidRPr="005F28B2">
        <w:rPr>
          <w:lang w:val="fr-FR"/>
        </w:rPr>
        <w:t xml:space="preserve"> ainsi que l</w:t>
      </w:r>
      <w:r w:rsidR="00E16237" w:rsidRPr="005F28B2">
        <w:rPr>
          <w:lang w:val="fr-FR"/>
        </w:rPr>
        <w:t>’</w:t>
      </w:r>
      <w:r w:rsidRPr="005F28B2">
        <w:rPr>
          <w:lang w:val="fr-FR"/>
        </w:rPr>
        <w:t>élimination de la violence infligée aux femmes</w:t>
      </w:r>
      <w:r w:rsidR="00E16237" w:rsidRPr="005F28B2">
        <w:rPr>
          <w:lang w:val="fr-FR"/>
        </w:rPr>
        <w:t>,</w:t>
      </w:r>
      <w:r w:rsidRPr="005F28B2">
        <w:rPr>
          <w:lang w:val="fr-FR"/>
        </w:rPr>
        <w:t xml:space="preserve"> qui constitue l</w:t>
      </w:r>
      <w:r w:rsidR="00E16237" w:rsidRPr="005F28B2">
        <w:rPr>
          <w:lang w:val="fr-FR"/>
        </w:rPr>
        <w:t>’</w:t>
      </w:r>
      <w:r w:rsidRPr="005F28B2">
        <w:rPr>
          <w:lang w:val="fr-FR"/>
        </w:rPr>
        <w:t>expression la plus manifeste de la discrimination.</w:t>
      </w:r>
    </w:p>
    <w:p w:rsidR="009052AE" w:rsidRPr="005F28B2" w:rsidRDefault="00163041" w:rsidP="002E319A">
      <w:pPr>
        <w:pStyle w:val="SingleTxtG"/>
        <w:rPr>
          <w:lang w:val="fr-FR"/>
        </w:rPr>
      </w:pPr>
      <w:r w:rsidRPr="005F28B2">
        <w:rPr>
          <w:lang w:val="fr-FR"/>
        </w:rPr>
        <w:t>101.</w:t>
      </w:r>
      <w:r w:rsidRPr="005F28B2">
        <w:rPr>
          <w:lang w:val="fr-FR"/>
        </w:rPr>
        <w:tab/>
        <w:t>Le programme intitulé « Stratégie de prévention des comportements violents au sein de la famille et de la société : la violence sexiste selon les âges » a été réactivé</w:t>
      </w:r>
      <w:r w:rsidR="00E16237" w:rsidRPr="005F28B2">
        <w:rPr>
          <w:lang w:val="fr-FR"/>
        </w:rPr>
        <w:t>,</w:t>
      </w:r>
      <w:r w:rsidRPr="005F28B2">
        <w:rPr>
          <w:lang w:val="fr-FR"/>
        </w:rPr>
        <w:t xml:space="preserve"> dans toute la mesure où la violence faite aux femmes est une forme de discrimination fondée sur le genre et qu</w:t>
      </w:r>
      <w:r w:rsidR="00E16237" w:rsidRPr="005F28B2">
        <w:rPr>
          <w:lang w:val="fr-FR"/>
        </w:rPr>
        <w:t>’</w:t>
      </w:r>
      <w:r w:rsidRPr="005F28B2">
        <w:rPr>
          <w:lang w:val="fr-FR"/>
        </w:rPr>
        <w:t>une augmentation de ces comportements a été enregistrée</w:t>
      </w:r>
      <w:r w:rsidR="00E16237" w:rsidRPr="005F28B2">
        <w:rPr>
          <w:lang w:val="fr-FR"/>
        </w:rPr>
        <w:t>,</w:t>
      </w:r>
      <w:r w:rsidRPr="005F28B2">
        <w:rPr>
          <w:lang w:val="fr-FR"/>
        </w:rPr>
        <w:t xml:space="preserve"> atteignant 47</w:t>
      </w:r>
      <w:r w:rsidR="00E16237" w:rsidRPr="005F28B2">
        <w:rPr>
          <w:lang w:val="fr-FR"/>
        </w:rPr>
        <w:t>,</w:t>
      </w:r>
      <w:r w:rsidRPr="005F28B2">
        <w:rPr>
          <w:lang w:val="fr-FR"/>
        </w:rPr>
        <w:t>6 % des femmes âgées de 18 à 64</w:t>
      </w:r>
      <w:r w:rsidR="008E5AFE" w:rsidRPr="005F28B2">
        <w:rPr>
          <w:lang w:val="fr-FR"/>
        </w:rPr>
        <w:t> ans</w:t>
      </w:r>
      <w:r w:rsidRPr="005F28B2">
        <w:rPr>
          <w:lang w:val="fr-FR"/>
        </w:rPr>
        <w:t xml:space="preserve">. </w:t>
      </w:r>
    </w:p>
    <w:p w:rsidR="009052AE" w:rsidRPr="005F28B2" w:rsidRDefault="00163041" w:rsidP="002E319A">
      <w:pPr>
        <w:pStyle w:val="SingleTxtG"/>
        <w:rPr>
          <w:lang w:val="fr-FR"/>
        </w:rPr>
      </w:pPr>
      <w:r w:rsidRPr="005F28B2">
        <w:rPr>
          <w:lang w:val="fr-FR"/>
        </w:rPr>
        <w:t>102.</w:t>
      </w:r>
      <w:r w:rsidRPr="005F28B2">
        <w:rPr>
          <w:lang w:val="fr-FR"/>
        </w:rPr>
        <w:tab/>
        <w:t xml:space="preserve">Le décret gouvernemental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2016-626 du 25 mai 2016 a créé un Conseil des pairs pour l</w:t>
      </w:r>
      <w:r w:rsidR="00E16237" w:rsidRPr="005F28B2">
        <w:rPr>
          <w:lang w:val="fr-FR"/>
        </w:rPr>
        <w:t>’</w:t>
      </w:r>
      <w:r w:rsidRPr="005F28B2">
        <w:rPr>
          <w:lang w:val="fr-FR"/>
        </w:rPr>
        <w:t>égalité et l</w:t>
      </w:r>
      <w:r w:rsidR="00E16237" w:rsidRPr="005F28B2">
        <w:rPr>
          <w:lang w:val="fr-FR"/>
        </w:rPr>
        <w:t>’</w:t>
      </w:r>
      <w:r w:rsidRPr="005F28B2">
        <w:rPr>
          <w:lang w:val="fr-FR"/>
        </w:rPr>
        <w:t>équivalence des chances entre les hommes et les femmes et l</w:t>
      </w:r>
      <w:r w:rsidR="00E16237" w:rsidRPr="005F28B2">
        <w:rPr>
          <w:lang w:val="fr-FR"/>
        </w:rPr>
        <w:t>’</w:t>
      </w:r>
      <w:r w:rsidRPr="005F28B2">
        <w:rPr>
          <w:lang w:val="fr-FR"/>
        </w:rPr>
        <w:t>a chargé d</w:t>
      </w:r>
      <w:r w:rsidR="00E16237" w:rsidRPr="005F28B2">
        <w:rPr>
          <w:lang w:val="fr-FR"/>
        </w:rPr>
        <w:t>’</w:t>
      </w:r>
      <w:r w:rsidRPr="005F28B2">
        <w:rPr>
          <w:lang w:val="fr-FR"/>
        </w:rPr>
        <w:t>intégrer l</w:t>
      </w:r>
      <w:r w:rsidR="00E16237" w:rsidRPr="005F28B2">
        <w:rPr>
          <w:lang w:val="fr-FR"/>
        </w:rPr>
        <w:t>’</w:t>
      </w:r>
      <w:r w:rsidRPr="005F28B2">
        <w:rPr>
          <w:lang w:val="fr-FR"/>
        </w:rPr>
        <w:t xml:space="preserve">approche genre dans les divers plans et programmes. </w:t>
      </w:r>
    </w:p>
    <w:p w:rsidR="009052AE" w:rsidRPr="005F28B2" w:rsidRDefault="00163041" w:rsidP="002E319A">
      <w:pPr>
        <w:pStyle w:val="SingleTxtG"/>
        <w:rPr>
          <w:lang w:val="fr-FR"/>
        </w:rPr>
      </w:pPr>
      <w:r w:rsidRPr="005F28B2">
        <w:rPr>
          <w:lang w:val="fr-FR"/>
        </w:rPr>
        <w:t>103.</w:t>
      </w:r>
      <w:r w:rsidRPr="005F28B2">
        <w:rPr>
          <w:lang w:val="fr-FR"/>
        </w:rPr>
        <w:tab/>
        <w:t>L</w:t>
      </w:r>
      <w:r w:rsidR="00E16237" w:rsidRPr="005F28B2">
        <w:rPr>
          <w:lang w:val="fr-FR"/>
        </w:rPr>
        <w:t>’</w:t>
      </w:r>
      <w:r w:rsidRPr="005F28B2">
        <w:rPr>
          <w:lang w:val="fr-FR"/>
        </w:rPr>
        <w:t>approche genre est en cours d</w:t>
      </w:r>
      <w:r w:rsidR="00E16237" w:rsidRPr="005F28B2">
        <w:rPr>
          <w:lang w:val="fr-FR"/>
        </w:rPr>
        <w:t>’</w:t>
      </w:r>
      <w:r w:rsidRPr="005F28B2">
        <w:rPr>
          <w:lang w:val="fr-FR"/>
        </w:rPr>
        <w:t>intégration dans les plans de développement à tous les niveaux et dans tous les secteurs en vue de garantir l</w:t>
      </w:r>
      <w:r w:rsidR="00E16237" w:rsidRPr="005F28B2">
        <w:rPr>
          <w:lang w:val="fr-FR"/>
        </w:rPr>
        <w:t>’</w:t>
      </w:r>
      <w:r w:rsidRPr="005F28B2">
        <w:rPr>
          <w:lang w:val="fr-FR"/>
        </w:rPr>
        <w:t xml:space="preserve">égalité des chances et de lutter contre la discrimination fondée sur le sexe. </w:t>
      </w:r>
    </w:p>
    <w:p w:rsidR="009052AE" w:rsidRPr="005F28B2" w:rsidRDefault="00163041" w:rsidP="002E319A">
      <w:pPr>
        <w:pStyle w:val="SingleTxtG"/>
        <w:rPr>
          <w:lang w:val="fr-FR"/>
        </w:rPr>
      </w:pPr>
      <w:r w:rsidRPr="005F28B2">
        <w:rPr>
          <w:lang w:val="fr-FR"/>
        </w:rPr>
        <w:t>104.</w:t>
      </w:r>
      <w:r w:rsidRPr="005F28B2">
        <w:rPr>
          <w:lang w:val="fr-FR"/>
        </w:rPr>
        <w:tab/>
        <w:t>L</w:t>
      </w:r>
      <w:r w:rsidR="00E16237" w:rsidRPr="005F28B2">
        <w:rPr>
          <w:lang w:val="fr-FR"/>
        </w:rPr>
        <w:t>’</w:t>
      </w:r>
      <w:r w:rsidRPr="005F28B2">
        <w:rPr>
          <w:lang w:val="fr-FR"/>
        </w:rPr>
        <w:t>État tunisien s</w:t>
      </w:r>
      <w:r w:rsidR="00E16237" w:rsidRPr="005F28B2">
        <w:rPr>
          <w:lang w:val="fr-FR"/>
        </w:rPr>
        <w:t>’</w:t>
      </w:r>
      <w:r w:rsidRPr="005F28B2">
        <w:rPr>
          <w:lang w:val="fr-FR"/>
        </w:rPr>
        <w:t>apprête également à publier une loi-cadre relative à la prévention et à la lutte contre la violence faite aux femmes</w:t>
      </w:r>
      <w:r w:rsidR="00E16237" w:rsidRPr="005F28B2">
        <w:rPr>
          <w:lang w:val="fr-FR"/>
        </w:rPr>
        <w:t>,</w:t>
      </w:r>
      <w:r w:rsidRPr="005F28B2">
        <w:rPr>
          <w:lang w:val="fr-FR"/>
        </w:rPr>
        <w:t xml:space="preserve"> suite à l</w:t>
      </w:r>
      <w:r w:rsidR="00E16237" w:rsidRPr="005F28B2">
        <w:rPr>
          <w:lang w:val="fr-FR"/>
        </w:rPr>
        <w:t>’</w:t>
      </w:r>
      <w:r w:rsidRPr="005F28B2">
        <w:rPr>
          <w:lang w:val="fr-FR"/>
        </w:rPr>
        <w:t>adoption du projet par le Conseil des ministres et sa transmission à l</w:t>
      </w:r>
      <w:r w:rsidR="00E16237" w:rsidRPr="005F28B2">
        <w:rPr>
          <w:lang w:val="fr-FR"/>
        </w:rPr>
        <w:t>’</w:t>
      </w:r>
      <w:r w:rsidRPr="005F28B2">
        <w:rPr>
          <w:lang w:val="fr-FR"/>
        </w:rPr>
        <w:t>Assemblée des représentants du peuple</w:t>
      </w:r>
      <w:r w:rsidR="00E16237" w:rsidRPr="005F28B2">
        <w:rPr>
          <w:lang w:val="fr-FR"/>
        </w:rPr>
        <w:t>,</w:t>
      </w:r>
      <w:r w:rsidRPr="005F28B2">
        <w:rPr>
          <w:lang w:val="fr-FR"/>
        </w:rPr>
        <w:t xml:space="preserve"> laquelle a en outre voté le 21 juillet 2016 </w:t>
      </w:r>
      <w:r w:rsidRPr="005F28B2">
        <w:rPr>
          <w:shd w:val="clear" w:color="auto" w:fill="FFFFFF"/>
          <w:lang w:val="fr-FR"/>
        </w:rPr>
        <w:t>la loi relative à la prévention et à la répression de la traite des personnes</w:t>
      </w:r>
      <w:r w:rsidR="00E16237" w:rsidRPr="005F28B2">
        <w:rPr>
          <w:shd w:val="clear" w:color="auto" w:fill="FFFFFF"/>
          <w:lang w:val="fr-FR"/>
        </w:rPr>
        <w:t>,</w:t>
      </w:r>
      <w:r w:rsidRPr="005F28B2">
        <w:rPr>
          <w:shd w:val="clear" w:color="auto" w:fill="FFFFFF"/>
          <w:lang w:val="fr-FR"/>
        </w:rPr>
        <w:t xml:space="preserve"> qui vise à interdire toutes les formes d</w:t>
      </w:r>
      <w:r w:rsidR="00E16237" w:rsidRPr="005F28B2">
        <w:rPr>
          <w:shd w:val="clear" w:color="auto" w:fill="FFFFFF"/>
          <w:lang w:val="fr-FR"/>
        </w:rPr>
        <w:t>’</w:t>
      </w:r>
      <w:r w:rsidRPr="005F28B2">
        <w:rPr>
          <w:shd w:val="clear" w:color="auto" w:fill="FFFFFF"/>
          <w:lang w:val="fr-FR"/>
        </w:rPr>
        <w:t>exploitation dont peuvent être victimes les personnes</w:t>
      </w:r>
      <w:r w:rsidR="00E16237" w:rsidRPr="005F28B2">
        <w:rPr>
          <w:shd w:val="clear" w:color="auto" w:fill="FFFFFF"/>
          <w:lang w:val="fr-FR"/>
        </w:rPr>
        <w:t>,</w:t>
      </w:r>
      <w:r w:rsidRPr="005F28B2">
        <w:rPr>
          <w:shd w:val="clear" w:color="auto" w:fill="FFFFFF"/>
          <w:lang w:val="fr-FR"/>
        </w:rPr>
        <w:t xml:space="preserve"> notamment les femmes</w:t>
      </w:r>
      <w:r w:rsidR="00E16237" w:rsidRPr="005F28B2">
        <w:rPr>
          <w:shd w:val="clear" w:color="auto" w:fill="FFFFFF"/>
          <w:lang w:val="fr-FR"/>
        </w:rPr>
        <w:t>,</w:t>
      </w:r>
      <w:r w:rsidRPr="005F28B2">
        <w:rPr>
          <w:shd w:val="clear" w:color="auto" w:fill="FFFFFF"/>
          <w:lang w:val="fr-FR"/>
        </w:rPr>
        <w:t xml:space="preserve"> ainsi qu</w:t>
      </w:r>
      <w:r w:rsidR="00E16237" w:rsidRPr="005F28B2">
        <w:rPr>
          <w:shd w:val="clear" w:color="auto" w:fill="FFFFFF"/>
          <w:lang w:val="fr-FR"/>
        </w:rPr>
        <w:t>’</w:t>
      </w:r>
      <w:r w:rsidRPr="005F28B2">
        <w:rPr>
          <w:shd w:val="clear" w:color="auto" w:fill="FFFFFF"/>
          <w:lang w:val="fr-FR"/>
        </w:rPr>
        <w:t>à lutter contre la traite des personnes par la prévention</w:t>
      </w:r>
      <w:r w:rsidR="00E16237" w:rsidRPr="005F28B2">
        <w:rPr>
          <w:shd w:val="clear" w:color="auto" w:fill="FFFFFF"/>
          <w:lang w:val="fr-FR"/>
        </w:rPr>
        <w:t>,</w:t>
      </w:r>
      <w:r w:rsidRPr="005F28B2">
        <w:rPr>
          <w:shd w:val="clear" w:color="auto" w:fill="FFFFFF"/>
          <w:lang w:val="fr-FR"/>
        </w:rPr>
        <w:t xml:space="preserve"> à punir les auteurs et à soutenir et aider les victimes</w:t>
      </w:r>
      <w:r w:rsidR="00E16237" w:rsidRPr="005F28B2">
        <w:rPr>
          <w:shd w:val="clear" w:color="auto" w:fill="FFFFFF"/>
          <w:lang w:val="fr-FR"/>
        </w:rPr>
        <w:t>,</w:t>
      </w:r>
      <w:r w:rsidRPr="005F28B2">
        <w:rPr>
          <w:shd w:val="clear" w:color="auto" w:fill="FFFFFF"/>
          <w:lang w:val="fr-FR"/>
        </w:rPr>
        <w:t xml:space="preserve"> étant précisé que ce texte vise également à renforcer la coordination nationale et la collaboration internationale dans le domaine de la lutte contre la traite des personnes dans le cadre des instruments internationaux</w:t>
      </w:r>
      <w:r w:rsidR="00E16237" w:rsidRPr="005F28B2">
        <w:rPr>
          <w:shd w:val="clear" w:color="auto" w:fill="FFFFFF"/>
          <w:lang w:val="fr-FR"/>
        </w:rPr>
        <w:t>,</w:t>
      </w:r>
      <w:r w:rsidRPr="005F28B2">
        <w:rPr>
          <w:shd w:val="clear" w:color="auto" w:fill="FFFFFF"/>
          <w:lang w:val="fr-FR"/>
        </w:rPr>
        <w:t xml:space="preserve"> régionaux et bilatéraux ratifiés par la République tunisienne.</w:t>
      </w:r>
      <w:r w:rsidRPr="005F28B2">
        <w:rPr>
          <w:lang w:val="fr-FR"/>
        </w:rPr>
        <w:t xml:space="preserve"> </w:t>
      </w:r>
    </w:p>
    <w:p w:rsidR="009052AE" w:rsidRPr="005F28B2" w:rsidRDefault="00163041" w:rsidP="002E319A">
      <w:pPr>
        <w:pStyle w:val="SingleTxtG"/>
        <w:rPr>
          <w:lang w:val="fr-FR"/>
        </w:rPr>
      </w:pPr>
      <w:r w:rsidRPr="005F28B2">
        <w:rPr>
          <w:lang w:val="fr-FR"/>
        </w:rPr>
        <w:t>105.</w:t>
      </w:r>
      <w:r w:rsidRPr="005F28B2">
        <w:rPr>
          <w:lang w:val="fr-FR"/>
        </w:rPr>
        <w:tab/>
        <w:t>Un objectif d</w:t>
      </w:r>
      <w:r w:rsidR="00E16237" w:rsidRPr="005F28B2">
        <w:rPr>
          <w:lang w:val="fr-FR"/>
        </w:rPr>
        <w:t>’</w:t>
      </w:r>
      <w:r w:rsidRPr="005F28B2">
        <w:rPr>
          <w:lang w:val="fr-FR"/>
        </w:rPr>
        <w:t xml:space="preserve">intensification de la participation des femmes à la vie publique et au processus de prise de décision est également poursuivi pour pallier leur faible </w:t>
      </w:r>
      <w:r w:rsidRPr="005F28B2">
        <w:rPr>
          <w:lang w:val="fr-FR"/>
        </w:rPr>
        <w:lastRenderedPageBreak/>
        <w:t>représentation publique et politique</w:t>
      </w:r>
      <w:r w:rsidR="00E16237" w:rsidRPr="005F28B2">
        <w:rPr>
          <w:lang w:val="fr-FR"/>
        </w:rPr>
        <w:t>,</w:t>
      </w:r>
      <w:r w:rsidRPr="005F28B2">
        <w:rPr>
          <w:lang w:val="fr-FR"/>
        </w:rPr>
        <w:t xml:space="preserve"> et ce</w:t>
      </w:r>
      <w:r w:rsidR="00E16237" w:rsidRPr="005F28B2">
        <w:rPr>
          <w:lang w:val="fr-FR"/>
        </w:rPr>
        <w:t>,</w:t>
      </w:r>
      <w:r w:rsidRPr="005F28B2">
        <w:rPr>
          <w:lang w:val="fr-FR"/>
        </w:rPr>
        <w:t xml:space="preserve"> par le renforcement de leurs capacités et la mise à leur disposition d</w:t>
      </w:r>
      <w:r w:rsidR="00E16237" w:rsidRPr="005F28B2">
        <w:rPr>
          <w:lang w:val="fr-FR"/>
        </w:rPr>
        <w:t>’</w:t>
      </w:r>
      <w:r w:rsidRPr="005F28B2">
        <w:rPr>
          <w:lang w:val="fr-FR"/>
        </w:rPr>
        <w:t xml:space="preserve">outils adaptés et des connaissances requises à cet effet. </w:t>
      </w:r>
    </w:p>
    <w:p w:rsidR="009052AE" w:rsidRPr="005F28B2" w:rsidRDefault="00163041" w:rsidP="0005234D">
      <w:pPr>
        <w:pStyle w:val="SingleTxtG"/>
        <w:rPr>
          <w:lang w:val="fr-FR"/>
        </w:rPr>
      </w:pPr>
      <w:r w:rsidRPr="005F28B2">
        <w:rPr>
          <w:lang w:val="fr-FR"/>
        </w:rPr>
        <w:t>106.</w:t>
      </w:r>
      <w:r w:rsidRPr="005F28B2">
        <w:rPr>
          <w:lang w:val="fr-FR"/>
        </w:rPr>
        <w:tab/>
        <w:t>Le système tunisien se caractérise par l</w:t>
      </w:r>
      <w:r w:rsidR="00E16237" w:rsidRPr="005F28B2">
        <w:rPr>
          <w:lang w:val="fr-FR"/>
        </w:rPr>
        <w:t>’</w:t>
      </w:r>
      <w:r w:rsidRPr="005F28B2">
        <w:rPr>
          <w:lang w:val="fr-FR"/>
        </w:rPr>
        <w:t>appui qu</w:t>
      </w:r>
      <w:r w:rsidR="00E16237" w:rsidRPr="005F28B2">
        <w:rPr>
          <w:lang w:val="fr-FR"/>
        </w:rPr>
        <w:t>’</w:t>
      </w:r>
      <w:r w:rsidRPr="005F28B2">
        <w:rPr>
          <w:lang w:val="fr-FR"/>
        </w:rPr>
        <w:t>il accorde aux droits des femmes</w:t>
      </w:r>
      <w:r w:rsidR="00E16237" w:rsidRPr="005F28B2">
        <w:rPr>
          <w:lang w:val="fr-FR"/>
        </w:rPr>
        <w:t>,</w:t>
      </w:r>
      <w:r w:rsidRPr="005F28B2">
        <w:rPr>
          <w:lang w:val="fr-FR"/>
        </w:rPr>
        <w:t xml:space="preserve"> ainsi que par la consécration de l</w:t>
      </w:r>
      <w:r w:rsidR="00E16237" w:rsidRPr="005F28B2">
        <w:rPr>
          <w:lang w:val="fr-FR"/>
        </w:rPr>
        <w:t>’</w:t>
      </w:r>
      <w:r w:rsidRPr="005F28B2">
        <w:rPr>
          <w:lang w:val="fr-FR"/>
        </w:rPr>
        <w:t>égalité d</w:t>
      </w:r>
      <w:r w:rsidR="00E16237" w:rsidRPr="005F28B2">
        <w:rPr>
          <w:lang w:val="fr-FR"/>
        </w:rPr>
        <w:t>’</w:t>
      </w:r>
      <w:r w:rsidRPr="005F28B2">
        <w:rPr>
          <w:lang w:val="fr-FR"/>
        </w:rPr>
        <w:t>accès aux droits économiques</w:t>
      </w:r>
      <w:r w:rsidR="00E16237" w:rsidRPr="005F28B2">
        <w:rPr>
          <w:lang w:val="fr-FR"/>
        </w:rPr>
        <w:t>,</w:t>
      </w:r>
      <w:r w:rsidRPr="005F28B2">
        <w:rPr>
          <w:lang w:val="fr-FR"/>
        </w:rPr>
        <w:t xml:space="preserve"> sociaux et culturels. </w:t>
      </w:r>
    </w:p>
    <w:p w:rsidR="009052AE" w:rsidRPr="005F28B2" w:rsidRDefault="00163041" w:rsidP="0005234D">
      <w:pPr>
        <w:pStyle w:val="SingleTxtG"/>
        <w:rPr>
          <w:rtl/>
          <w:lang w:val="fr-FR" w:bidi="fr-FR"/>
        </w:rPr>
      </w:pPr>
      <w:r w:rsidRPr="005F28B2">
        <w:rPr>
          <w:lang w:val="fr-FR"/>
        </w:rPr>
        <w:t>107.</w:t>
      </w:r>
      <w:r w:rsidRPr="005F28B2">
        <w:rPr>
          <w:lang w:val="fr-FR"/>
        </w:rPr>
        <w:tab/>
        <w:t>L</w:t>
      </w:r>
      <w:r w:rsidR="00E16237" w:rsidRPr="005F28B2">
        <w:rPr>
          <w:lang w:val="fr-FR"/>
        </w:rPr>
        <w:t>’</w:t>
      </w:r>
      <w:r w:rsidRPr="005F28B2">
        <w:rPr>
          <w:lang w:val="fr-FR"/>
        </w:rPr>
        <w:t>égalité des sexes en matière d</w:t>
      </w:r>
      <w:r w:rsidR="00E16237" w:rsidRPr="005F28B2">
        <w:rPr>
          <w:lang w:val="fr-FR"/>
        </w:rPr>
        <w:t>’</w:t>
      </w:r>
      <w:r w:rsidRPr="005F28B2">
        <w:rPr>
          <w:lang w:val="fr-FR"/>
        </w:rPr>
        <w:t>emploi a été consacrée par le Code du travail</w:t>
      </w:r>
      <w:r w:rsidR="00E16237" w:rsidRPr="005F28B2">
        <w:rPr>
          <w:lang w:val="fr-FR"/>
        </w:rPr>
        <w:t>,</w:t>
      </w:r>
      <w:r w:rsidR="009E4F15" w:rsidRPr="005F28B2">
        <w:rPr>
          <w:lang w:val="fr-FR"/>
        </w:rPr>
        <w:t xml:space="preserve"> lequel considère la non-</w:t>
      </w:r>
      <w:r w:rsidRPr="005F28B2">
        <w:rPr>
          <w:lang w:val="fr-FR"/>
        </w:rPr>
        <w:t>discrimination comme un principe applicable à tous les aspects de la vie professionnelle</w:t>
      </w:r>
      <w:r w:rsidR="00E16237" w:rsidRPr="005F28B2">
        <w:rPr>
          <w:lang w:val="fr-FR"/>
        </w:rPr>
        <w:t>,</w:t>
      </w:r>
      <w:r w:rsidRPr="005F28B2">
        <w:rPr>
          <w:lang w:val="fr-FR"/>
        </w:rPr>
        <w:t xml:space="preserve"> tels que le recrutement</w:t>
      </w:r>
      <w:r w:rsidR="00E16237" w:rsidRPr="005F28B2">
        <w:rPr>
          <w:lang w:val="fr-FR"/>
        </w:rPr>
        <w:t>,</w:t>
      </w:r>
      <w:r w:rsidRPr="005F28B2">
        <w:rPr>
          <w:lang w:val="fr-FR"/>
        </w:rPr>
        <w:t xml:space="preserve"> la rémunération</w:t>
      </w:r>
      <w:r w:rsidR="00E16237" w:rsidRPr="005F28B2">
        <w:rPr>
          <w:lang w:val="fr-FR"/>
        </w:rPr>
        <w:t>,</w:t>
      </w:r>
      <w:r w:rsidRPr="005F28B2">
        <w:rPr>
          <w:lang w:val="fr-FR"/>
        </w:rPr>
        <w:t xml:space="preserve"> les conditions de travail et la rupture du contrat de travail. Les conventions collectives se réfèrent également à l</w:t>
      </w:r>
      <w:r w:rsidR="00E16237" w:rsidRPr="005F28B2">
        <w:rPr>
          <w:lang w:val="fr-FR"/>
        </w:rPr>
        <w:t>’</w:t>
      </w:r>
      <w:r w:rsidRPr="005F28B2">
        <w:rPr>
          <w:lang w:val="fr-FR"/>
        </w:rPr>
        <w:t>égalité entre hommes et femmes en matière d</w:t>
      </w:r>
      <w:r w:rsidR="00E16237" w:rsidRPr="005F28B2">
        <w:rPr>
          <w:lang w:val="fr-FR"/>
        </w:rPr>
        <w:t>’</w:t>
      </w:r>
      <w:r w:rsidRPr="005F28B2">
        <w:rPr>
          <w:lang w:val="fr-FR"/>
        </w:rPr>
        <w:t>emploi</w:t>
      </w:r>
      <w:r w:rsidR="00E16237" w:rsidRPr="005F28B2">
        <w:rPr>
          <w:lang w:val="fr-FR"/>
        </w:rPr>
        <w:t>,</w:t>
      </w:r>
      <w:r w:rsidRPr="005F28B2">
        <w:rPr>
          <w:lang w:val="fr-FR"/>
        </w:rPr>
        <w:t xml:space="preserve"> de titularisation et de rémunération. </w:t>
      </w:r>
    </w:p>
    <w:p w:rsidR="009052AE" w:rsidRPr="005F28B2" w:rsidRDefault="00163041" w:rsidP="0005234D">
      <w:pPr>
        <w:pStyle w:val="SingleTxtG"/>
        <w:rPr>
          <w:lang w:val="fr-FR"/>
        </w:rPr>
      </w:pPr>
      <w:r w:rsidRPr="005F28B2">
        <w:rPr>
          <w:lang w:val="fr-FR"/>
        </w:rPr>
        <w:t>108.</w:t>
      </w:r>
      <w:r w:rsidRPr="005F28B2">
        <w:rPr>
          <w:lang w:val="fr-FR"/>
        </w:rPr>
        <w:tab/>
        <w:t>Un projet d</w:t>
      </w:r>
      <w:r w:rsidR="00E16237" w:rsidRPr="005F28B2">
        <w:rPr>
          <w:lang w:val="fr-FR"/>
        </w:rPr>
        <w:t>’</w:t>
      </w:r>
      <w:r w:rsidRPr="005F28B2">
        <w:rPr>
          <w:lang w:val="fr-FR"/>
        </w:rPr>
        <w:t>émancipation économique des femmes a été lancé pour leur permettre d</w:t>
      </w:r>
      <w:r w:rsidR="00E16237" w:rsidRPr="005F28B2">
        <w:rPr>
          <w:lang w:val="fr-FR"/>
        </w:rPr>
        <w:t>’</w:t>
      </w:r>
      <w:r w:rsidRPr="005F28B2">
        <w:rPr>
          <w:lang w:val="fr-FR"/>
        </w:rPr>
        <w:t>améliorer leur situation financière et les intégrer dans le processus de développement afin qu</w:t>
      </w:r>
      <w:r w:rsidR="00E16237" w:rsidRPr="005F28B2">
        <w:rPr>
          <w:lang w:val="fr-FR"/>
        </w:rPr>
        <w:t>’</w:t>
      </w:r>
      <w:r w:rsidRPr="005F28B2">
        <w:rPr>
          <w:lang w:val="fr-FR"/>
        </w:rPr>
        <w:t>elles puissent s</w:t>
      </w:r>
      <w:r w:rsidR="00E16237" w:rsidRPr="005F28B2">
        <w:rPr>
          <w:lang w:val="fr-FR"/>
        </w:rPr>
        <w:t>’</w:t>
      </w:r>
      <w:r w:rsidRPr="005F28B2">
        <w:rPr>
          <w:lang w:val="fr-FR"/>
        </w:rPr>
        <w:t>autonomiser</w:t>
      </w:r>
      <w:r w:rsidR="00E16237" w:rsidRPr="005F28B2">
        <w:rPr>
          <w:lang w:val="fr-FR"/>
        </w:rPr>
        <w:t>,</w:t>
      </w:r>
      <w:r w:rsidRPr="005F28B2">
        <w:rPr>
          <w:lang w:val="fr-FR"/>
        </w:rPr>
        <w:t xml:space="preserve"> et ce</w:t>
      </w:r>
      <w:r w:rsidR="00E16237" w:rsidRPr="005F28B2">
        <w:rPr>
          <w:lang w:val="fr-FR"/>
        </w:rPr>
        <w:t>,</w:t>
      </w:r>
      <w:r w:rsidRPr="005F28B2">
        <w:rPr>
          <w:lang w:val="fr-FR"/>
        </w:rPr>
        <w:t xml:space="preserve"> au moyen d</w:t>
      </w:r>
      <w:r w:rsidR="00E16237" w:rsidRPr="005F28B2">
        <w:rPr>
          <w:lang w:val="fr-FR"/>
        </w:rPr>
        <w:t>’</w:t>
      </w:r>
      <w:r w:rsidRPr="005F28B2">
        <w:rPr>
          <w:lang w:val="fr-FR"/>
        </w:rPr>
        <w:t>aides accordées au lancement de petits projets ou d</w:t>
      </w:r>
      <w:r w:rsidR="00E16237" w:rsidRPr="005F28B2">
        <w:rPr>
          <w:lang w:val="fr-FR"/>
        </w:rPr>
        <w:t>’</w:t>
      </w:r>
      <w:r w:rsidRPr="005F28B2">
        <w:rPr>
          <w:lang w:val="fr-FR"/>
        </w:rPr>
        <w:t>un soutien apporté à la commercialisation de leurs produits. Ce programme vise à diffuser la culture de la citoyenneté et des droits des femmes</w:t>
      </w:r>
      <w:r w:rsidR="00E16237" w:rsidRPr="005F28B2">
        <w:rPr>
          <w:lang w:val="fr-FR"/>
        </w:rPr>
        <w:t>,</w:t>
      </w:r>
      <w:r w:rsidRPr="005F28B2">
        <w:rPr>
          <w:lang w:val="fr-FR"/>
        </w:rPr>
        <w:t xml:space="preserve"> ainsi qu</w:t>
      </w:r>
      <w:r w:rsidR="00E16237" w:rsidRPr="005F28B2">
        <w:rPr>
          <w:lang w:val="fr-FR"/>
        </w:rPr>
        <w:t>’</w:t>
      </w:r>
      <w:r w:rsidRPr="005F28B2">
        <w:rPr>
          <w:lang w:val="fr-FR"/>
        </w:rPr>
        <w:t>à promouvoir l</w:t>
      </w:r>
      <w:r w:rsidR="00E16237" w:rsidRPr="005F28B2">
        <w:rPr>
          <w:lang w:val="fr-FR"/>
        </w:rPr>
        <w:t>’</w:t>
      </w:r>
      <w:r w:rsidRPr="005F28B2">
        <w:rPr>
          <w:lang w:val="fr-FR"/>
        </w:rPr>
        <w:t>égalité des chances par le biais de la sensibilisation aux acquis et aux droits de chacun des deux sexes. Il a également pour objet d</w:t>
      </w:r>
      <w:r w:rsidR="00E16237" w:rsidRPr="005F28B2">
        <w:rPr>
          <w:lang w:val="fr-FR"/>
        </w:rPr>
        <w:t>’</w:t>
      </w:r>
      <w:r w:rsidRPr="005F28B2">
        <w:rPr>
          <w:lang w:val="fr-FR"/>
        </w:rPr>
        <w:t>ériger l</w:t>
      </w:r>
      <w:r w:rsidR="00E16237" w:rsidRPr="005F28B2">
        <w:rPr>
          <w:lang w:val="fr-FR"/>
        </w:rPr>
        <w:t>’</w:t>
      </w:r>
      <w:r w:rsidRPr="005F28B2">
        <w:rPr>
          <w:lang w:val="fr-FR"/>
        </w:rPr>
        <w:t>approche genre en mode de pensée et d</w:t>
      </w:r>
      <w:r w:rsidR="00E16237" w:rsidRPr="005F28B2">
        <w:rPr>
          <w:lang w:val="fr-FR"/>
        </w:rPr>
        <w:t>’</w:t>
      </w:r>
      <w:r w:rsidRPr="005F28B2">
        <w:rPr>
          <w:lang w:val="fr-FR"/>
        </w:rPr>
        <w:t>action et de mieux faire connaître aux jeunes les différents textes consacrant les droits des femmes</w:t>
      </w:r>
      <w:r w:rsidR="00E16237" w:rsidRPr="005F28B2">
        <w:rPr>
          <w:lang w:val="fr-FR"/>
        </w:rPr>
        <w:t>,</w:t>
      </w:r>
      <w:r w:rsidRPr="005F28B2">
        <w:rPr>
          <w:lang w:val="fr-FR"/>
        </w:rPr>
        <w:t xml:space="preserve"> étant précisé que les femmes rurales sont plus particulièrement visées par ce projet</w:t>
      </w:r>
      <w:r w:rsidR="00E16237" w:rsidRPr="005F28B2">
        <w:rPr>
          <w:lang w:val="fr-FR"/>
        </w:rPr>
        <w:t>,</w:t>
      </w:r>
      <w:r w:rsidRPr="005F28B2">
        <w:rPr>
          <w:lang w:val="fr-FR"/>
        </w:rPr>
        <w:t xml:space="preserve"> lequel a notamment pour but de les sensibiliser aux concepts des droits de l</w:t>
      </w:r>
      <w:r w:rsidR="00E16237" w:rsidRPr="005F28B2">
        <w:rPr>
          <w:lang w:val="fr-FR"/>
        </w:rPr>
        <w:t>’</w:t>
      </w:r>
      <w:r w:rsidRPr="005F28B2">
        <w:rPr>
          <w:lang w:val="fr-FR"/>
        </w:rPr>
        <w:t>homme</w:t>
      </w:r>
      <w:r w:rsidR="00E16237" w:rsidRPr="005F28B2">
        <w:rPr>
          <w:lang w:val="fr-FR"/>
        </w:rPr>
        <w:t>,</w:t>
      </w:r>
      <w:r w:rsidRPr="005F28B2">
        <w:rPr>
          <w:lang w:val="fr-FR"/>
        </w:rPr>
        <w:t xml:space="preserve"> à leurs droits civiques et aux valeurs de citoyenneté</w:t>
      </w:r>
      <w:r w:rsidR="00E16237" w:rsidRPr="005F28B2">
        <w:rPr>
          <w:lang w:val="fr-FR"/>
        </w:rPr>
        <w:t>,</w:t>
      </w:r>
      <w:r w:rsidRPr="005F28B2">
        <w:rPr>
          <w:lang w:val="fr-FR"/>
        </w:rPr>
        <w:t xml:space="preserve"> de démocratie et d</w:t>
      </w:r>
      <w:r w:rsidR="00E16237" w:rsidRPr="005F28B2">
        <w:rPr>
          <w:lang w:val="fr-FR"/>
        </w:rPr>
        <w:t>’</w:t>
      </w:r>
      <w:r w:rsidRPr="005F28B2">
        <w:rPr>
          <w:lang w:val="fr-FR"/>
        </w:rPr>
        <w:t>égalité</w:t>
      </w:r>
      <w:r w:rsidR="00E16237" w:rsidRPr="005F28B2">
        <w:rPr>
          <w:lang w:val="fr-FR"/>
        </w:rPr>
        <w:t>,</w:t>
      </w:r>
      <w:r w:rsidRPr="005F28B2">
        <w:rPr>
          <w:lang w:val="fr-FR"/>
        </w:rPr>
        <w:t xml:space="preserve"> ainsi qu</w:t>
      </w:r>
      <w:r w:rsidR="00E16237" w:rsidRPr="005F28B2">
        <w:rPr>
          <w:lang w:val="fr-FR"/>
        </w:rPr>
        <w:t>’</w:t>
      </w:r>
      <w:r w:rsidRPr="005F28B2">
        <w:rPr>
          <w:lang w:val="fr-FR"/>
        </w:rPr>
        <w:t>à l</w:t>
      </w:r>
      <w:r w:rsidR="00E16237" w:rsidRPr="005F28B2">
        <w:rPr>
          <w:lang w:val="fr-FR"/>
        </w:rPr>
        <w:t>’</w:t>
      </w:r>
      <w:r w:rsidRPr="005F28B2">
        <w:rPr>
          <w:lang w:val="fr-FR"/>
        </w:rPr>
        <w:t>importance de la participation à la vie publique.</w:t>
      </w:r>
    </w:p>
    <w:p w:rsidR="009052AE" w:rsidRPr="005F28B2" w:rsidRDefault="00163041" w:rsidP="0005234D">
      <w:pPr>
        <w:pStyle w:val="SingleTxtG"/>
        <w:rPr>
          <w:spacing w:val="-2"/>
          <w:lang w:val="fr-FR"/>
        </w:rPr>
      </w:pPr>
      <w:r w:rsidRPr="005F28B2">
        <w:rPr>
          <w:spacing w:val="-2"/>
          <w:lang w:val="fr-FR"/>
        </w:rPr>
        <w:t>109.</w:t>
      </w:r>
      <w:r w:rsidRPr="005F28B2">
        <w:rPr>
          <w:spacing w:val="-2"/>
          <w:lang w:val="fr-FR"/>
        </w:rPr>
        <w:tab/>
        <w:t>Ce programme vise également à lutter contre l</w:t>
      </w:r>
      <w:r w:rsidR="00E16237" w:rsidRPr="005F28B2">
        <w:rPr>
          <w:spacing w:val="-2"/>
          <w:lang w:val="fr-FR"/>
        </w:rPr>
        <w:t>’</w:t>
      </w:r>
      <w:r w:rsidRPr="005F28B2">
        <w:rPr>
          <w:spacing w:val="-2"/>
          <w:lang w:val="fr-FR"/>
        </w:rPr>
        <w:t>abandon scolaire précoce</w:t>
      </w:r>
      <w:r w:rsidR="00E16237" w:rsidRPr="005F28B2">
        <w:rPr>
          <w:spacing w:val="-2"/>
          <w:lang w:val="fr-FR"/>
        </w:rPr>
        <w:t>,</w:t>
      </w:r>
      <w:r w:rsidRPr="005F28B2">
        <w:rPr>
          <w:spacing w:val="-2"/>
          <w:lang w:val="fr-FR"/>
        </w:rPr>
        <w:t xml:space="preserve"> qui touche notamment les filles des zones rurales en raison de l</w:t>
      </w:r>
      <w:r w:rsidR="00E16237" w:rsidRPr="005F28B2">
        <w:rPr>
          <w:spacing w:val="-2"/>
          <w:lang w:val="fr-FR"/>
        </w:rPr>
        <w:t>’</w:t>
      </w:r>
      <w:r w:rsidRPr="005F28B2">
        <w:rPr>
          <w:spacing w:val="-2"/>
          <w:lang w:val="fr-FR"/>
        </w:rPr>
        <w:t>éloignement des écoles par rapport aux lieux d</w:t>
      </w:r>
      <w:r w:rsidR="00E16237" w:rsidRPr="005F28B2">
        <w:rPr>
          <w:spacing w:val="-2"/>
          <w:lang w:val="fr-FR"/>
        </w:rPr>
        <w:t>’</w:t>
      </w:r>
      <w:r w:rsidRPr="005F28B2">
        <w:rPr>
          <w:spacing w:val="-2"/>
          <w:lang w:val="fr-FR"/>
        </w:rPr>
        <w:t>habitation</w:t>
      </w:r>
      <w:r w:rsidR="00E16237" w:rsidRPr="005F28B2">
        <w:rPr>
          <w:spacing w:val="-2"/>
          <w:lang w:val="fr-FR"/>
        </w:rPr>
        <w:t>,</w:t>
      </w:r>
      <w:r w:rsidRPr="005F28B2">
        <w:rPr>
          <w:spacing w:val="-2"/>
          <w:lang w:val="fr-FR"/>
        </w:rPr>
        <w:t xml:space="preserve"> de l</w:t>
      </w:r>
      <w:r w:rsidR="00E16237" w:rsidRPr="005F28B2">
        <w:rPr>
          <w:spacing w:val="-2"/>
          <w:lang w:val="fr-FR"/>
        </w:rPr>
        <w:t>’</w:t>
      </w:r>
      <w:r w:rsidRPr="005F28B2">
        <w:rPr>
          <w:spacing w:val="-2"/>
          <w:lang w:val="fr-FR"/>
        </w:rPr>
        <w:t>absence de moyens de transport scolaire et des conditions matérielles difficiles des familles. En outre</w:t>
      </w:r>
      <w:r w:rsidR="00E16237" w:rsidRPr="005F28B2">
        <w:rPr>
          <w:spacing w:val="-2"/>
          <w:lang w:val="fr-FR"/>
        </w:rPr>
        <w:t>,</w:t>
      </w:r>
      <w:r w:rsidRPr="005F28B2">
        <w:rPr>
          <w:spacing w:val="-2"/>
          <w:lang w:val="fr-FR"/>
        </w:rPr>
        <w:t xml:space="preserve"> il a pour but d</w:t>
      </w:r>
      <w:r w:rsidR="00E16237" w:rsidRPr="005F28B2">
        <w:rPr>
          <w:spacing w:val="-2"/>
          <w:lang w:val="fr-FR"/>
        </w:rPr>
        <w:t>’</w:t>
      </w:r>
      <w:r w:rsidRPr="005F28B2">
        <w:rPr>
          <w:spacing w:val="-2"/>
          <w:lang w:val="fr-FR"/>
        </w:rPr>
        <w:t>aider les mères célibataires</w:t>
      </w:r>
      <w:r w:rsidR="00E16237" w:rsidRPr="005F28B2">
        <w:rPr>
          <w:spacing w:val="-2"/>
          <w:lang w:val="fr-FR"/>
        </w:rPr>
        <w:t>,</w:t>
      </w:r>
      <w:r w:rsidRPr="005F28B2">
        <w:rPr>
          <w:spacing w:val="-2"/>
          <w:lang w:val="fr-FR"/>
        </w:rPr>
        <w:t xml:space="preserve"> ainsi que les femmes détenues et/ou récemment libérées</w:t>
      </w:r>
      <w:r w:rsidR="00E16237" w:rsidRPr="005F28B2">
        <w:rPr>
          <w:spacing w:val="-2"/>
          <w:lang w:val="fr-FR"/>
        </w:rPr>
        <w:t>,</w:t>
      </w:r>
      <w:r w:rsidRPr="005F28B2">
        <w:rPr>
          <w:spacing w:val="-2"/>
          <w:lang w:val="fr-FR"/>
        </w:rPr>
        <w:t xml:space="preserve"> en vue de faciliter leur réinsertion sociale et économique après leur libération et éviter les récidives. </w:t>
      </w:r>
    </w:p>
    <w:p w:rsidR="009052AE" w:rsidRPr="005F28B2" w:rsidRDefault="00163041" w:rsidP="0005234D">
      <w:pPr>
        <w:pStyle w:val="SingleTxtG"/>
        <w:rPr>
          <w:lang w:val="fr-FR"/>
        </w:rPr>
      </w:pPr>
      <w:r w:rsidRPr="005F28B2">
        <w:rPr>
          <w:lang w:val="fr-FR"/>
        </w:rPr>
        <w:t>110.</w:t>
      </w:r>
      <w:r w:rsidRPr="005F28B2">
        <w:rPr>
          <w:lang w:val="fr-FR"/>
        </w:rPr>
        <w:tab/>
        <w:t>Il convient de noter l</w:t>
      </w:r>
      <w:r w:rsidR="00E16237" w:rsidRPr="005F28B2">
        <w:rPr>
          <w:lang w:val="fr-FR"/>
        </w:rPr>
        <w:t>’</w:t>
      </w:r>
      <w:r w:rsidRPr="005F28B2">
        <w:rPr>
          <w:lang w:val="fr-FR"/>
        </w:rPr>
        <w:t>absence d</w:t>
      </w:r>
      <w:r w:rsidR="00E16237" w:rsidRPr="005F28B2">
        <w:rPr>
          <w:lang w:val="fr-FR"/>
        </w:rPr>
        <w:t>’</w:t>
      </w:r>
      <w:r w:rsidRPr="005F28B2">
        <w:rPr>
          <w:lang w:val="fr-FR"/>
        </w:rPr>
        <w:t>une politique dédiée aux femmes handicapées</w:t>
      </w:r>
      <w:r w:rsidR="00E16237" w:rsidRPr="005F28B2">
        <w:rPr>
          <w:lang w:val="fr-FR"/>
        </w:rPr>
        <w:t>,</w:t>
      </w:r>
      <w:r w:rsidRPr="005F28B2">
        <w:rPr>
          <w:lang w:val="fr-FR"/>
        </w:rPr>
        <w:t xml:space="preserve"> mais celles-ci bénéficient néanmoins</w:t>
      </w:r>
      <w:r w:rsidR="00E16237" w:rsidRPr="005F28B2">
        <w:rPr>
          <w:lang w:val="fr-FR"/>
        </w:rPr>
        <w:t>,</w:t>
      </w:r>
      <w:r w:rsidRPr="005F28B2">
        <w:rPr>
          <w:lang w:val="fr-FR"/>
        </w:rPr>
        <w:t xml:space="preserve"> dans des conditions d</w:t>
      </w:r>
      <w:r w:rsidR="00E16237" w:rsidRPr="005F28B2">
        <w:rPr>
          <w:lang w:val="fr-FR"/>
        </w:rPr>
        <w:t>’</w:t>
      </w:r>
      <w:r w:rsidRPr="005F28B2">
        <w:rPr>
          <w:lang w:val="fr-FR"/>
        </w:rPr>
        <w:t>égalité</w:t>
      </w:r>
      <w:r w:rsidR="00E16237" w:rsidRPr="005F28B2">
        <w:rPr>
          <w:lang w:val="fr-FR"/>
        </w:rPr>
        <w:t>,</w:t>
      </w:r>
      <w:r w:rsidRPr="005F28B2">
        <w:rPr>
          <w:lang w:val="fr-FR"/>
        </w:rPr>
        <w:t xml:space="preserve"> des mêmes avantages que ceux accordés aux hommes handicapés. </w:t>
      </w:r>
    </w:p>
    <w:p w:rsidR="009052AE" w:rsidRPr="005F28B2" w:rsidRDefault="00163041" w:rsidP="0005234D">
      <w:pPr>
        <w:pStyle w:val="SingleTxtG"/>
        <w:rPr>
          <w:rtl/>
          <w:lang w:val="fr-FR" w:bidi="fr-FR"/>
        </w:rPr>
      </w:pPr>
      <w:r w:rsidRPr="005F28B2">
        <w:rPr>
          <w:lang w:val="fr-FR"/>
        </w:rPr>
        <w:t>111.</w:t>
      </w:r>
      <w:r w:rsidRPr="005F28B2">
        <w:rPr>
          <w:lang w:val="fr-FR"/>
        </w:rPr>
        <w:tab/>
        <w:t>L</w:t>
      </w:r>
      <w:r w:rsidR="00E16237" w:rsidRPr="005F28B2">
        <w:rPr>
          <w:lang w:val="fr-FR"/>
        </w:rPr>
        <w:t>’</w:t>
      </w:r>
      <w:r w:rsidRPr="005F28B2">
        <w:rPr>
          <w:lang w:val="fr-FR"/>
        </w:rPr>
        <w:t>État a adopté une série de textes et de mesures qui ont donné lieu au déploiement de divers mécanismes et plans d</w:t>
      </w:r>
      <w:r w:rsidR="00E16237" w:rsidRPr="005F28B2">
        <w:rPr>
          <w:lang w:val="fr-FR"/>
        </w:rPr>
        <w:t>’</w:t>
      </w:r>
      <w:r w:rsidRPr="005F28B2">
        <w:rPr>
          <w:lang w:val="fr-FR"/>
        </w:rPr>
        <w:t>action visant à renforcer la capacité des femmes à exercer leurs droits dans tous les domaines de la vie</w:t>
      </w:r>
      <w:r w:rsidR="00E16237" w:rsidRPr="005F28B2">
        <w:rPr>
          <w:lang w:val="fr-FR"/>
        </w:rPr>
        <w:t>,</w:t>
      </w:r>
      <w:r w:rsidRPr="005F28B2">
        <w:rPr>
          <w:lang w:val="fr-FR"/>
        </w:rPr>
        <w:t xml:space="preserve"> comme le montrent les chiffres et indicateurs suivants :</w:t>
      </w:r>
    </w:p>
    <w:p w:rsidR="009052AE" w:rsidRPr="005F28B2" w:rsidRDefault="00163041" w:rsidP="0005234D">
      <w:pPr>
        <w:pStyle w:val="H23G"/>
        <w:rPr>
          <w:lang w:val="fr-FR"/>
        </w:rPr>
      </w:pPr>
      <w:r w:rsidRPr="005F28B2">
        <w:rPr>
          <w:lang w:val="fr-FR"/>
        </w:rPr>
        <w:tab/>
      </w:r>
      <w:bookmarkStart w:id="51" w:name="_Toc478218524"/>
      <w:r w:rsidRPr="005F28B2">
        <w:rPr>
          <w:lang w:val="fr-FR"/>
        </w:rPr>
        <w:tab/>
        <w:t>Participation des femmes au pouvoir exécutif</w:t>
      </w:r>
      <w:bookmarkEnd w:id="51"/>
    </w:p>
    <w:p w:rsidR="009052AE" w:rsidRPr="005F28B2" w:rsidRDefault="00163041" w:rsidP="0005234D">
      <w:pPr>
        <w:pStyle w:val="SingleTxtG"/>
        <w:rPr>
          <w:lang w:val="fr-FR"/>
        </w:rPr>
      </w:pPr>
      <w:r w:rsidRPr="005F28B2">
        <w:rPr>
          <w:lang w:val="fr-FR"/>
        </w:rPr>
        <w:t>112.</w:t>
      </w:r>
      <w:r w:rsidRPr="005F28B2">
        <w:rPr>
          <w:lang w:val="fr-FR"/>
        </w:rPr>
        <w:tab/>
        <w:t>La proportion de femmes au sein du nouveau Gouvernement tunisien a légèrement progressé</w:t>
      </w:r>
      <w:r w:rsidR="00E16237" w:rsidRPr="005F28B2">
        <w:rPr>
          <w:lang w:val="fr-FR"/>
        </w:rPr>
        <w:t>,</w:t>
      </w:r>
      <w:r w:rsidRPr="005F28B2">
        <w:rPr>
          <w:lang w:val="fr-FR"/>
        </w:rPr>
        <w:t xml:space="preserve"> puisqu</w:t>
      </w:r>
      <w:r w:rsidR="00E16237" w:rsidRPr="005F28B2">
        <w:rPr>
          <w:lang w:val="fr-FR"/>
        </w:rPr>
        <w:t>’</w:t>
      </w:r>
      <w:r w:rsidRPr="005F28B2">
        <w:rPr>
          <w:lang w:val="fr-FR"/>
        </w:rPr>
        <w:t>après les premières élections législatives qui se sont déroulées en octobre 2014 conformément à la nouvelle Constitution et suite à la formation du premier Gouvernement par le parti majoritaire au Parlement en termes de nombre de sièges</w:t>
      </w:r>
      <w:r w:rsidR="00E16237" w:rsidRPr="005F28B2">
        <w:rPr>
          <w:lang w:val="fr-FR"/>
        </w:rPr>
        <w:t>,</w:t>
      </w:r>
      <w:r w:rsidR="00D22E11" w:rsidRPr="005F28B2">
        <w:rPr>
          <w:lang w:val="fr-FR"/>
        </w:rPr>
        <w:t xml:space="preserve"> 8 </w:t>
      </w:r>
      <w:r w:rsidRPr="005F28B2">
        <w:rPr>
          <w:lang w:val="fr-FR"/>
        </w:rPr>
        <w:t>femmes ont été nommées sur un total de 40 membres (6 ministres et 2 secrétaires d</w:t>
      </w:r>
      <w:r w:rsidR="00E16237" w:rsidRPr="005F28B2">
        <w:rPr>
          <w:lang w:val="fr-FR"/>
        </w:rPr>
        <w:t>’</w:t>
      </w:r>
      <w:r w:rsidRPr="005F28B2">
        <w:rPr>
          <w:lang w:val="fr-FR"/>
        </w:rPr>
        <w:t>État)</w:t>
      </w:r>
      <w:r w:rsidR="00E16237" w:rsidRPr="005F28B2">
        <w:rPr>
          <w:lang w:val="fr-FR"/>
        </w:rPr>
        <w:t>,</w:t>
      </w:r>
      <w:r w:rsidRPr="005F28B2">
        <w:rPr>
          <w:lang w:val="fr-FR"/>
        </w:rPr>
        <w:t xml:space="preserve"> soit un pourcentage de 20 %.</w:t>
      </w:r>
    </w:p>
    <w:p w:rsidR="009052AE" w:rsidRPr="005F28B2" w:rsidRDefault="00163041" w:rsidP="0005234D">
      <w:pPr>
        <w:pStyle w:val="H23G"/>
        <w:rPr>
          <w:lang w:val="fr-FR"/>
        </w:rPr>
      </w:pPr>
      <w:r w:rsidRPr="005F28B2">
        <w:rPr>
          <w:lang w:val="fr-FR"/>
        </w:rPr>
        <w:tab/>
      </w:r>
      <w:bookmarkStart w:id="52" w:name="_Toc478218525"/>
      <w:r w:rsidRPr="005F28B2">
        <w:rPr>
          <w:lang w:val="fr-FR"/>
        </w:rPr>
        <w:tab/>
        <w:t>Participation des femmes au pouvoir législatif</w:t>
      </w:r>
      <w:bookmarkEnd w:id="52"/>
    </w:p>
    <w:p w:rsidR="009052AE" w:rsidRPr="005F28B2" w:rsidRDefault="00163041" w:rsidP="0005234D">
      <w:pPr>
        <w:pStyle w:val="SingleTxtG"/>
        <w:rPr>
          <w:rtl/>
          <w:lang w:val="fr-FR" w:bidi="fr-FR"/>
        </w:rPr>
      </w:pPr>
      <w:r w:rsidRPr="005F28B2">
        <w:rPr>
          <w:lang w:val="fr-FR"/>
        </w:rPr>
        <w:t>113.</w:t>
      </w:r>
      <w:r w:rsidRPr="005F28B2">
        <w:rPr>
          <w:lang w:val="fr-FR"/>
        </w:rPr>
        <w:tab/>
        <w:t>Le pourcentage de femmes membres de l</w:t>
      </w:r>
      <w:r w:rsidR="00E16237" w:rsidRPr="005F28B2">
        <w:rPr>
          <w:lang w:val="fr-FR"/>
        </w:rPr>
        <w:t>’</w:t>
      </w:r>
      <w:r w:rsidRPr="005F28B2">
        <w:rPr>
          <w:lang w:val="fr-FR"/>
        </w:rPr>
        <w:t>Assemblée des représentants du peuple en Tunisie a connu une nette progression au cours des quatre dernières années</w:t>
      </w:r>
      <w:r w:rsidR="00E16237" w:rsidRPr="005F28B2">
        <w:rPr>
          <w:lang w:val="fr-FR"/>
        </w:rPr>
        <w:t>,</w:t>
      </w:r>
      <w:r w:rsidRPr="005F28B2">
        <w:rPr>
          <w:lang w:val="fr-FR"/>
        </w:rPr>
        <w:t xml:space="preserve"> passant de 25 % en janvier 2012</w:t>
      </w:r>
      <w:r w:rsidR="00E16237" w:rsidRPr="005F28B2">
        <w:rPr>
          <w:lang w:val="fr-FR"/>
        </w:rPr>
        <w:t>,</w:t>
      </w:r>
      <w:r w:rsidRPr="005F28B2">
        <w:rPr>
          <w:lang w:val="fr-FR"/>
        </w:rPr>
        <w:t xml:space="preserve"> au début du mandat de l</w:t>
      </w:r>
      <w:r w:rsidR="00E16237" w:rsidRPr="005F28B2">
        <w:rPr>
          <w:lang w:val="fr-FR"/>
        </w:rPr>
        <w:t>’</w:t>
      </w:r>
      <w:r w:rsidRPr="005F28B2">
        <w:rPr>
          <w:lang w:val="fr-FR"/>
        </w:rPr>
        <w:t>Assemblée nationale constituante qui a élaboré la Constitution</w:t>
      </w:r>
      <w:r w:rsidR="00E16237" w:rsidRPr="005F28B2">
        <w:rPr>
          <w:lang w:val="fr-FR"/>
        </w:rPr>
        <w:t>,</w:t>
      </w:r>
      <w:r w:rsidRPr="005F28B2">
        <w:rPr>
          <w:lang w:val="fr-FR"/>
        </w:rPr>
        <w:t xml:space="preserve"> à 30</w:t>
      </w:r>
      <w:r w:rsidR="00E16237" w:rsidRPr="005F28B2">
        <w:rPr>
          <w:lang w:val="fr-FR"/>
        </w:rPr>
        <w:t>,</w:t>
      </w:r>
      <w:r w:rsidRPr="005F28B2">
        <w:rPr>
          <w:lang w:val="fr-FR"/>
        </w:rPr>
        <w:t>59 % en juin 2014</w:t>
      </w:r>
      <w:r w:rsidR="00E16237" w:rsidRPr="005F28B2">
        <w:rPr>
          <w:lang w:val="fr-FR"/>
        </w:rPr>
        <w:t>,</w:t>
      </w:r>
      <w:r w:rsidRPr="005F28B2">
        <w:rPr>
          <w:lang w:val="fr-FR"/>
        </w:rPr>
        <w:t xml:space="preserve"> ce qui est imputable au mode </w:t>
      </w:r>
      <w:r w:rsidRPr="005F28B2">
        <w:rPr>
          <w:lang w:val="fr-FR"/>
        </w:rPr>
        <w:lastRenderedPageBreak/>
        <w:t>d</w:t>
      </w:r>
      <w:r w:rsidR="00E16237" w:rsidRPr="005F28B2">
        <w:rPr>
          <w:lang w:val="fr-FR"/>
        </w:rPr>
        <w:t>’</w:t>
      </w:r>
      <w:r w:rsidRPr="005F28B2">
        <w:rPr>
          <w:lang w:val="fr-FR"/>
        </w:rPr>
        <w:t>établissement des listes de candidats</w:t>
      </w:r>
      <w:r w:rsidR="00E16237" w:rsidRPr="005F28B2">
        <w:rPr>
          <w:lang w:val="fr-FR"/>
        </w:rPr>
        <w:t>,</w:t>
      </w:r>
      <w:r w:rsidRPr="005F28B2">
        <w:rPr>
          <w:lang w:val="fr-FR"/>
        </w:rPr>
        <w:t xml:space="preserve"> fondé sur la parité verticale qui permet le remplacement automatique des candidats qui se retirent des listes par une femme de la même liste</w:t>
      </w:r>
      <w:r w:rsidR="00E16237" w:rsidRPr="005F28B2">
        <w:rPr>
          <w:lang w:val="fr-FR"/>
        </w:rPr>
        <w:t>,</w:t>
      </w:r>
      <w:r w:rsidRPr="005F28B2">
        <w:rPr>
          <w:lang w:val="fr-FR"/>
        </w:rPr>
        <w:t xml:space="preserve"> notamment lorsqu</w:t>
      </w:r>
      <w:r w:rsidR="00E16237" w:rsidRPr="005F28B2">
        <w:rPr>
          <w:lang w:val="fr-FR"/>
        </w:rPr>
        <w:t>’</w:t>
      </w:r>
      <w:r w:rsidRPr="005F28B2">
        <w:rPr>
          <w:lang w:val="fr-FR"/>
        </w:rPr>
        <w:t>il s</w:t>
      </w:r>
      <w:r w:rsidR="00E16237" w:rsidRPr="005F28B2">
        <w:rPr>
          <w:lang w:val="fr-FR"/>
        </w:rPr>
        <w:t>’</w:t>
      </w:r>
      <w:r w:rsidRPr="005F28B2">
        <w:rPr>
          <w:lang w:val="fr-FR"/>
        </w:rPr>
        <w:t>agit de candidats masculins. Le nombre de femmes membres de l</w:t>
      </w:r>
      <w:r w:rsidR="00E16237" w:rsidRPr="005F28B2">
        <w:rPr>
          <w:lang w:val="fr-FR"/>
        </w:rPr>
        <w:t>’</w:t>
      </w:r>
      <w:r w:rsidRPr="005F28B2">
        <w:rPr>
          <w:lang w:val="fr-FR"/>
        </w:rPr>
        <w:t>Assemblée nationale constituante a ainsi</w:t>
      </w:r>
      <w:r w:rsidR="00FB7C3B" w:rsidRPr="005F28B2">
        <w:rPr>
          <w:lang w:val="fr-FR"/>
        </w:rPr>
        <w:t xml:space="preserve"> atteint 67 sur un total de 217 </w:t>
      </w:r>
      <w:r w:rsidRPr="005F28B2">
        <w:rPr>
          <w:lang w:val="fr-FR"/>
        </w:rPr>
        <w:t>parlementaires.</w:t>
      </w:r>
    </w:p>
    <w:p w:rsidR="009052AE" w:rsidRPr="005F28B2" w:rsidRDefault="00163041" w:rsidP="00D90449">
      <w:pPr>
        <w:pStyle w:val="SingleTxtG"/>
        <w:rPr>
          <w:lang w:val="fr-FR"/>
        </w:rPr>
      </w:pPr>
      <w:r w:rsidRPr="005F28B2">
        <w:rPr>
          <w:lang w:val="fr-FR"/>
        </w:rPr>
        <w:t>114.</w:t>
      </w:r>
      <w:r w:rsidRPr="005F28B2">
        <w:rPr>
          <w:lang w:val="fr-FR"/>
        </w:rPr>
        <w:tab/>
        <w:t>Sur les 217 membres de l</w:t>
      </w:r>
      <w:r w:rsidR="00E16237" w:rsidRPr="005F28B2">
        <w:rPr>
          <w:lang w:val="fr-FR"/>
        </w:rPr>
        <w:t>’</w:t>
      </w:r>
      <w:r w:rsidRPr="005F28B2">
        <w:rPr>
          <w:lang w:val="fr-FR"/>
        </w:rPr>
        <w:t>Assemblée des représentants du peuple élus lors des élections d</w:t>
      </w:r>
      <w:r w:rsidR="00E16237" w:rsidRPr="005F28B2">
        <w:rPr>
          <w:lang w:val="fr-FR"/>
        </w:rPr>
        <w:t>’</w:t>
      </w:r>
      <w:r w:rsidRPr="005F28B2">
        <w:rPr>
          <w:lang w:val="fr-FR"/>
        </w:rPr>
        <w:t>octobre 2014</w:t>
      </w:r>
      <w:r w:rsidR="00E16237" w:rsidRPr="005F28B2">
        <w:rPr>
          <w:lang w:val="fr-FR"/>
        </w:rPr>
        <w:t>,</w:t>
      </w:r>
      <w:r w:rsidRPr="005F28B2">
        <w:rPr>
          <w:lang w:val="fr-FR"/>
        </w:rPr>
        <w:t xml:space="preserve"> on compte :</w:t>
      </w:r>
    </w:p>
    <w:p w:rsidR="009052AE" w:rsidRPr="005F28B2" w:rsidRDefault="00163041" w:rsidP="00D90449">
      <w:pPr>
        <w:pStyle w:val="Bullet1G"/>
        <w:rPr>
          <w:lang w:val="fr-FR"/>
        </w:rPr>
      </w:pPr>
      <w:r w:rsidRPr="005F28B2">
        <w:rPr>
          <w:lang w:val="fr-FR"/>
        </w:rPr>
        <w:t>144 hommes</w:t>
      </w:r>
      <w:r w:rsidR="00E16237" w:rsidRPr="005F28B2">
        <w:rPr>
          <w:lang w:val="fr-FR"/>
        </w:rPr>
        <w:t>,</w:t>
      </w:r>
      <w:r w:rsidRPr="005F28B2">
        <w:rPr>
          <w:lang w:val="fr-FR"/>
        </w:rPr>
        <w:t xml:space="preserve"> soit un pourcentage de 66</w:t>
      </w:r>
      <w:r w:rsidR="00E16237" w:rsidRPr="005F28B2">
        <w:rPr>
          <w:lang w:val="fr-FR"/>
        </w:rPr>
        <w:t>,</w:t>
      </w:r>
      <w:r w:rsidRPr="005F28B2">
        <w:rPr>
          <w:lang w:val="fr-FR"/>
        </w:rPr>
        <w:t>82 %</w:t>
      </w:r>
      <w:r w:rsidR="00D90449" w:rsidRPr="005F28B2">
        <w:rPr>
          <w:lang w:val="fr-FR"/>
        </w:rPr>
        <w:t> ;</w:t>
      </w:r>
      <w:r w:rsidRPr="005F28B2">
        <w:rPr>
          <w:lang w:val="fr-FR"/>
        </w:rPr>
        <w:t xml:space="preserve"> </w:t>
      </w:r>
    </w:p>
    <w:p w:rsidR="009052AE" w:rsidRPr="005F28B2" w:rsidRDefault="00163041" w:rsidP="00D90449">
      <w:pPr>
        <w:pStyle w:val="Bullet1G"/>
        <w:rPr>
          <w:rtl/>
          <w:lang w:val="fr-FR" w:bidi="fr-FR"/>
        </w:rPr>
      </w:pPr>
      <w:r w:rsidRPr="005F28B2">
        <w:rPr>
          <w:lang w:val="fr-FR"/>
        </w:rPr>
        <w:t>73 femmes</w:t>
      </w:r>
      <w:r w:rsidR="00E16237" w:rsidRPr="005F28B2">
        <w:rPr>
          <w:lang w:val="fr-FR"/>
        </w:rPr>
        <w:t>,</w:t>
      </w:r>
      <w:r w:rsidRPr="005F28B2">
        <w:rPr>
          <w:lang w:val="fr-FR"/>
        </w:rPr>
        <w:t xml:space="preserve"> soit un pourcentage de 33</w:t>
      </w:r>
      <w:r w:rsidR="00E16237" w:rsidRPr="005F28B2">
        <w:rPr>
          <w:lang w:val="fr-FR"/>
        </w:rPr>
        <w:t>,</w:t>
      </w:r>
      <w:r w:rsidRPr="005F28B2">
        <w:rPr>
          <w:lang w:val="fr-FR"/>
        </w:rPr>
        <w:t>18 %.</w:t>
      </w:r>
    </w:p>
    <w:p w:rsidR="009052AE" w:rsidRPr="005F28B2" w:rsidRDefault="00163041" w:rsidP="00D90449">
      <w:pPr>
        <w:pStyle w:val="H23G"/>
        <w:rPr>
          <w:rtl/>
          <w:lang w:val="fr-FR" w:bidi="fr-FR"/>
        </w:rPr>
      </w:pPr>
      <w:r w:rsidRPr="005F28B2">
        <w:rPr>
          <w:lang w:val="fr-FR"/>
        </w:rPr>
        <w:tab/>
      </w:r>
      <w:bookmarkStart w:id="53" w:name="_Toc478218526"/>
      <w:r w:rsidRPr="005F28B2">
        <w:rPr>
          <w:lang w:val="fr-FR"/>
        </w:rPr>
        <w:tab/>
        <w:t>Participation des femmes au pouvoir judiciaire</w:t>
      </w:r>
      <w:bookmarkEnd w:id="53"/>
    </w:p>
    <w:p w:rsidR="009052AE" w:rsidRPr="005F28B2" w:rsidRDefault="00AF4E55" w:rsidP="00D90449">
      <w:pPr>
        <w:pStyle w:val="SingleTxtG"/>
        <w:rPr>
          <w:rtl/>
          <w:lang w:val="fr-FR" w:bidi="fr-FR"/>
        </w:rPr>
      </w:pPr>
      <w:r w:rsidRPr="005F28B2">
        <w:rPr>
          <w:lang w:val="fr-FR"/>
        </w:rPr>
        <w:t>115.</w:t>
      </w:r>
      <w:r w:rsidR="001368F9" w:rsidRPr="005F28B2">
        <w:rPr>
          <w:lang w:val="fr-FR"/>
        </w:rPr>
        <w:tab/>
      </w:r>
      <w:r w:rsidR="00163041" w:rsidRPr="005F28B2">
        <w:rPr>
          <w:lang w:val="fr-FR"/>
        </w:rPr>
        <w:t>Concernant la présence féminine au sein de la magistrature :</w:t>
      </w:r>
    </w:p>
    <w:p w:rsidR="009052AE" w:rsidRPr="005F28B2" w:rsidRDefault="00163041" w:rsidP="00D90449">
      <w:pPr>
        <w:pStyle w:val="Bullet1G"/>
        <w:rPr>
          <w:rtl/>
          <w:lang w:val="fr-FR" w:bidi="fr-FR"/>
        </w:rPr>
      </w:pPr>
      <w:r w:rsidRPr="005F28B2">
        <w:rPr>
          <w:lang w:val="fr-FR"/>
        </w:rPr>
        <w:t>On compte 664 magistrates</w:t>
      </w:r>
      <w:r w:rsidR="00AF4E55" w:rsidRPr="005F28B2">
        <w:rPr>
          <w:lang w:val="fr-FR"/>
        </w:rPr>
        <w:t> ;</w:t>
      </w:r>
    </w:p>
    <w:p w:rsidR="009052AE" w:rsidRPr="005F28B2" w:rsidRDefault="00163041" w:rsidP="00D90449">
      <w:pPr>
        <w:pStyle w:val="Bullet1G"/>
        <w:rPr>
          <w:rtl/>
          <w:lang w:val="fr-FR" w:bidi="fr-FR"/>
        </w:rPr>
      </w:pPr>
      <w:r w:rsidRPr="005F28B2">
        <w:rPr>
          <w:lang w:val="fr-FR"/>
        </w:rPr>
        <w:t>Le pourcentage de magistrates a atteint 32</w:t>
      </w:r>
      <w:r w:rsidR="00E16237" w:rsidRPr="005F28B2">
        <w:rPr>
          <w:lang w:val="fr-FR"/>
        </w:rPr>
        <w:t>,</w:t>
      </w:r>
      <w:r w:rsidRPr="005F28B2">
        <w:rPr>
          <w:lang w:val="fr-FR"/>
        </w:rPr>
        <w:t>4 %.</w:t>
      </w:r>
    </w:p>
    <w:p w:rsidR="009052AE" w:rsidRPr="005F28B2" w:rsidRDefault="00163041" w:rsidP="00D90449">
      <w:pPr>
        <w:pStyle w:val="SingleTxtG"/>
        <w:rPr>
          <w:rtl/>
          <w:lang w:val="fr-FR" w:bidi="fr-FR"/>
        </w:rPr>
      </w:pPr>
      <w:r w:rsidRPr="005F28B2">
        <w:rPr>
          <w:lang w:val="fr-FR"/>
        </w:rPr>
        <w:t>116.</w:t>
      </w:r>
      <w:r w:rsidRPr="005F28B2">
        <w:rPr>
          <w:lang w:val="fr-FR"/>
        </w:rPr>
        <w:tab/>
        <w:t>Une progression du nombre de magistrates est attendue au cours des années à venir en raison de l</w:t>
      </w:r>
      <w:r w:rsidR="00E16237" w:rsidRPr="005F28B2">
        <w:rPr>
          <w:lang w:val="fr-FR"/>
        </w:rPr>
        <w:t>’</w:t>
      </w:r>
      <w:r w:rsidRPr="005F28B2">
        <w:rPr>
          <w:lang w:val="fr-FR"/>
        </w:rPr>
        <w:t>augmentation de la proportion d</w:t>
      </w:r>
      <w:r w:rsidR="00E16237" w:rsidRPr="005F28B2">
        <w:rPr>
          <w:lang w:val="fr-FR"/>
        </w:rPr>
        <w:t>’</w:t>
      </w:r>
      <w:r w:rsidRPr="005F28B2">
        <w:rPr>
          <w:lang w:val="fr-FR"/>
        </w:rPr>
        <w:t>auditrices de justice inscrites à l</w:t>
      </w:r>
      <w:r w:rsidR="00E16237" w:rsidRPr="005F28B2">
        <w:rPr>
          <w:lang w:val="fr-FR"/>
        </w:rPr>
        <w:t>’</w:t>
      </w:r>
      <w:r w:rsidRPr="005F28B2">
        <w:rPr>
          <w:lang w:val="fr-FR"/>
        </w:rPr>
        <w:t>Institut supérieur de la magistrature</w:t>
      </w:r>
      <w:r w:rsidR="00E16237" w:rsidRPr="005F28B2">
        <w:rPr>
          <w:lang w:val="fr-FR"/>
        </w:rPr>
        <w:t>,</w:t>
      </w:r>
      <w:r w:rsidRPr="005F28B2">
        <w:rPr>
          <w:lang w:val="fr-FR"/>
        </w:rPr>
        <w:t xml:space="preserve"> qui est passée :</w:t>
      </w:r>
    </w:p>
    <w:p w:rsidR="009052AE" w:rsidRPr="005F28B2" w:rsidRDefault="00163041" w:rsidP="00D90449">
      <w:pPr>
        <w:pStyle w:val="Bullet1G"/>
        <w:rPr>
          <w:rtl/>
          <w:lang w:val="fr-FR" w:bidi="fr-FR"/>
        </w:rPr>
      </w:pPr>
      <w:r w:rsidRPr="005F28B2">
        <w:rPr>
          <w:lang w:val="fr-FR"/>
        </w:rPr>
        <w:t>De 45</w:t>
      </w:r>
      <w:r w:rsidR="00E16237" w:rsidRPr="005F28B2">
        <w:rPr>
          <w:lang w:val="fr-FR"/>
        </w:rPr>
        <w:t>,</w:t>
      </w:r>
      <w:r w:rsidRPr="005F28B2">
        <w:rPr>
          <w:lang w:val="fr-FR"/>
        </w:rPr>
        <w:t>5 % au cours de l</w:t>
      </w:r>
      <w:r w:rsidR="00E16237" w:rsidRPr="005F28B2">
        <w:rPr>
          <w:lang w:val="fr-FR"/>
        </w:rPr>
        <w:t>’</w:t>
      </w:r>
      <w:r w:rsidRPr="005F28B2">
        <w:rPr>
          <w:lang w:val="fr-FR"/>
        </w:rPr>
        <w:t>année judiciaire 2012</w:t>
      </w:r>
      <w:r w:rsidR="00D90449" w:rsidRPr="005F28B2">
        <w:rPr>
          <w:lang w:val="fr-FR"/>
        </w:rPr>
        <w:t>/</w:t>
      </w:r>
      <w:r w:rsidRPr="005F28B2">
        <w:rPr>
          <w:lang w:val="fr-FR"/>
        </w:rPr>
        <w:t>13</w:t>
      </w:r>
      <w:r w:rsidR="00AF4E55" w:rsidRPr="005F28B2">
        <w:rPr>
          <w:lang w:val="fr-FR"/>
        </w:rPr>
        <w:t> ;</w:t>
      </w:r>
      <w:r w:rsidRPr="005F28B2">
        <w:rPr>
          <w:lang w:val="fr-FR"/>
        </w:rPr>
        <w:t xml:space="preserve"> </w:t>
      </w:r>
    </w:p>
    <w:p w:rsidR="009052AE" w:rsidRPr="005F28B2" w:rsidRDefault="00163041" w:rsidP="00D90449">
      <w:pPr>
        <w:pStyle w:val="Bullet1G"/>
        <w:rPr>
          <w:rtl/>
          <w:lang w:val="fr-FR" w:bidi="fr-FR"/>
        </w:rPr>
      </w:pPr>
      <w:r w:rsidRPr="005F28B2">
        <w:rPr>
          <w:lang w:val="fr-FR"/>
        </w:rPr>
        <w:t>À 55 % au cours de l</w:t>
      </w:r>
      <w:r w:rsidR="00E16237" w:rsidRPr="005F28B2">
        <w:rPr>
          <w:lang w:val="fr-FR"/>
        </w:rPr>
        <w:t>’</w:t>
      </w:r>
      <w:r w:rsidRPr="005F28B2">
        <w:rPr>
          <w:lang w:val="fr-FR"/>
        </w:rPr>
        <w:t>année judiciaire 2013</w:t>
      </w:r>
      <w:r w:rsidR="00D90449" w:rsidRPr="005F28B2">
        <w:rPr>
          <w:lang w:val="fr-FR"/>
        </w:rPr>
        <w:t>/</w:t>
      </w:r>
      <w:r w:rsidRPr="005F28B2">
        <w:rPr>
          <w:lang w:val="fr-FR"/>
        </w:rPr>
        <w:t xml:space="preserve">14. </w:t>
      </w:r>
    </w:p>
    <w:p w:rsidR="009052AE" w:rsidRPr="005F28B2" w:rsidRDefault="00163041" w:rsidP="00D90449">
      <w:pPr>
        <w:pStyle w:val="SingleTxtG"/>
        <w:rPr>
          <w:rtl/>
          <w:lang w:val="fr-FR" w:bidi="fr-FR"/>
        </w:rPr>
      </w:pPr>
      <w:r w:rsidRPr="005F28B2">
        <w:rPr>
          <w:lang w:val="fr-FR"/>
        </w:rPr>
        <w:t>117.</w:t>
      </w:r>
      <w:r w:rsidRPr="005F28B2">
        <w:rPr>
          <w:lang w:val="fr-FR"/>
        </w:rPr>
        <w:tab/>
        <w:t>Il convient de noter concernant la présence des femmes au sein de l</w:t>
      </w:r>
      <w:r w:rsidR="00E16237" w:rsidRPr="005F28B2">
        <w:rPr>
          <w:lang w:val="fr-FR"/>
        </w:rPr>
        <w:t>’</w:t>
      </w:r>
      <w:r w:rsidRPr="005F28B2">
        <w:rPr>
          <w:lang w:val="fr-FR"/>
        </w:rPr>
        <w:t>Instance provisoire de la justice judiciaire que sur la base de l</w:t>
      </w:r>
      <w:r w:rsidR="00E16237" w:rsidRPr="005F28B2">
        <w:rPr>
          <w:lang w:val="fr-FR"/>
        </w:rPr>
        <w:t>’</w:t>
      </w:r>
      <w:r w:rsidR="00755707" w:rsidRPr="005F28B2">
        <w:rPr>
          <w:lang w:val="fr-FR"/>
        </w:rPr>
        <w:t>article </w:t>
      </w:r>
      <w:r w:rsidRPr="005F28B2">
        <w:rPr>
          <w:lang w:val="fr-FR"/>
        </w:rPr>
        <w:t xml:space="preserve">5 de la loi organique </w:t>
      </w:r>
      <w:r w:rsidRPr="005F28B2">
        <w:rPr>
          <w:lang w:val="fr-FR" w:bidi="ar-TN"/>
        </w:rPr>
        <w:t>n</w:t>
      </w:r>
      <w:r w:rsidR="00C24D3E" w:rsidRPr="005F28B2">
        <w:rPr>
          <w:vertAlign w:val="superscript"/>
          <w:lang w:val="fr-FR" w:bidi="ar-TN"/>
        </w:rPr>
        <w:t>o</w:t>
      </w:r>
      <w:r w:rsidR="00D22E11" w:rsidRPr="005F28B2">
        <w:rPr>
          <w:lang w:val="fr-FR" w:bidi="ar-TN"/>
        </w:rPr>
        <w:t> </w:t>
      </w:r>
      <w:r w:rsidRPr="005F28B2">
        <w:rPr>
          <w:lang w:val="fr-FR"/>
        </w:rPr>
        <w:t>2013-13 du 2 mai 2013 relative à cette Instance</w:t>
      </w:r>
      <w:r w:rsidR="00E16237" w:rsidRPr="005F28B2">
        <w:rPr>
          <w:lang w:val="fr-FR"/>
        </w:rPr>
        <w:t>,</w:t>
      </w:r>
      <w:r w:rsidRPr="005F28B2">
        <w:rPr>
          <w:lang w:val="fr-FR"/>
        </w:rPr>
        <w:t xml:space="preserve"> la représentativité des magistrates a été prise en compte dans la composition de cet organe</w:t>
      </w:r>
      <w:r w:rsidR="00E16237" w:rsidRPr="005F28B2">
        <w:rPr>
          <w:lang w:val="fr-FR"/>
        </w:rPr>
        <w:t>,</w:t>
      </w:r>
      <w:r w:rsidRPr="005F28B2">
        <w:rPr>
          <w:lang w:val="fr-FR"/>
        </w:rPr>
        <w:t xml:space="preserve"> ce qui a permis de porter leur pourcentage à 45 % en son sein. </w:t>
      </w:r>
    </w:p>
    <w:p w:rsidR="009052AE" w:rsidRPr="005F28B2" w:rsidRDefault="00163041" w:rsidP="00D90449">
      <w:pPr>
        <w:pStyle w:val="SingleTxtG"/>
        <w:rPr>
          <w:lang w:val="fr-FR"/>
        </w:rPr>
      </w:pPr>
      <w:r w:rsidRPr="005F28B2">
        <w:rPr>
          <w:lang w:val="fr-FR"/>
        </w:rPr>
        <w:t>118.</w:t>
      </w:r>
      <w:r w:rsidRPr="005F28B2">
        <w:rPr>
          <w:lang w:val="fr-FR"/>
        </w:rPr>
        <w:tab/>
        <w:t>Il convient de signaler aussi que l</w:t>
      </w:r>
      <w:r w:rsidR="00E16237" w:rsidRPr="005F28B2">
        <w:rPr>
          <w:lang w:val="fr-FR"/>
        </w:rPr>
        <w:t>’</w:t>
      </w:r>
      <w:r w:rsidRPr="005F28B2">
        <w:rPr>
          <w:lang w:val="fr-FR"/>
        </w:rPr>
        <w:t>Association des magistrats tunisiens et le Syndicat des magistrats tunisiens sont présidés par deux magistrates</w:t>
      </w:r>
      <w:bookmarkEnd w:id="49"/>
      <w:r w:rsidRPr="005F28B2">
        <w:rPr>
          <w:lang w:val="fr-FR"/>
        </w:rPr>
        <w:t>.</w:t>
      </w:r>
    </w:p>
    <w:p w:rsidR="009052AE" w:rsidRPr="005F28B2" w:rsidRDefault="00B83368" w:rsidP="00C9668D">
      <w:pPr>
        <w:pStyle w:val="SingleTxtG"/>
        <w:spacing w:before="240" w:after="0"/>
        <w:jc w:val="center"/>
        <w:rPr>
          <w:u w:val="single"/>
          <w:lang w:val="fr-FR"/>
        </w:rPr>
      </w:pPr>
      <w:r w:rsidRPr="005F28B2">
        <w:rPr>
          <w:u w:val="single"/>
          <w:lang w:val="fr-FR"/>
        </w:rPr>
        <w:tab/>
      </w:r>
      <w:r w:rsidRPr="005F28B2">
        <w:rPr>
          <w:u w:val="single"/>
          <w:lang w:val="fr-FR"/>
        </w:rPr>
        <w:tab/>
      </w:r>
      <w:r w:rsidRPr="005F28B2">
        <w:rPr>
          <w:u w:val="single"/>
          <w:lang w:val="fr-FR"/>
        </w:rPr>
        <w:tab/>
      </w:r>
    </w:p>
    <w:sectPr w:rsidR="009052AE" w:rsidRPr="005F28B2" w:rsidSect="005344EE">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99" w:rsidRDefault="00D24399" w:rsidP="009052AE">
      <w:pPr>
        <w:spacing w:after="60" w:line="240" w:lineRule="auto"/>
        <w:rPr>
          <w:i/>
        </w:rPr>
      </w:pPr>
      <w:r>
        <w:rPr>
          <w:rFonts w:ascii="Traditional Arabic" w:eastAsia="Traditional Arabic" w:hAnsi="Traditional Arabic"/>
          <w:i/>
        </w:rPr>
        <w:t>Notes</w:t>
      </w:r>
    </w:p>
  </w:endnote>
  <w:endnote w:type="continuationSeparator" w:id="0">
    <w:p w:rsidR="00D24399" w:rsidRDefault="00D24399" w:rsidP="00905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03" w:rsidRPr="00F402BE" w:rsidRDefault="00911703" w:rsidP="000573C6">
    <w:pPr>
      <w:pStyle w:val="Pieddepage"/>
      <w:tabs>
        <w:tab w:val="right" w:pos="9638"/>
      </w:tabs>
    </w:pPr>
    <w:r>
      <w:rPr>
        <w:sz w:val="18"/>
      </w:rPr>
      <w:fldChar w:fldCharType="begin"/>
    </w:r>
    <w:r>
      <w:rPr>
        <w:sz w:val="18"/>
      </w:rPr>
      <w:instrText xml:space="preserve"> PAGE  \* MERGEFORMAT </w:instrText>
    </w:r>
    <w:r>
      <w:rPr>
        <w:sz w:val="18"/>
      </w:rPr>
      <w:fldChar w:fldCharType="separate"/>
    </w:r>
    <w:r w:rsidR="00C11212" w:rsidRPr="00C11212">
      <w:rPr>
        <w:b/>
        <w:bCs/>
        <w:noProof/>
        <w:sz w:val="18"/>
      </w:rPr>
      <w:t>8</w:t>
    </w:r>
    <w:r>
      <w:rPr>
        <w:sz w:val="18"/>
      </w:rPr>
      <w:fldChar w:fldCharType="end"/>
    </w:r>
    <w:r>
      <w:rPr>
        <w:sz w:val="18"/>
      </w:rPr>
      <w:tab/>
    </w:r>
    <w:r>
      <w:t>GE.17-00703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03" w:rsidRPr="00F402BE" w:rsidRDefault="00911703" w:rsidP="000573C6">
    <w:pPr>
      <w:pStyle w:val="Pieddepage"/>
      <w:tabs>
        <w:tab w:val="right" w:pos="9638"/>
      </w:tabs>
      <w:rPr>
        <w:b/>
        <w:sz w:val="18"/>
      </w:rPr>
    </w:pPr>
    <w:r>
      <w:t>GE.17-00703  (EXT)</w:t>
    </w:r>
    <w:r>
      <w:tab/>
    </w:r>
    <w:r>
      <w:rPr>
        <w:sz w:val="18"/>
      </w:rPr>
      <w:fldChar w:fldCharType="begin"/>
    </w:r>
    <w:r>
      <w:rPr>
        <w:sz w:val="18"/>
      </w:rPr>
      <w:instrText xml:space="preserve"> PAGE  \* MERGEFORMAT </w:instrText>
    </w:r>
    <w:r>
      <w:rPr>
        <w:sz w:val="18"/>
      </w:rPr>
      <w:fldChar w:fldCharType="separate"/>
    </w:r>
    <w:r w:rsidR="00C11212" w:rsidRPr="00C11212">
      <w:rPr>
        <w:b/>
        <w:bCs/>
        <w:noProof/>
        <w:sz w:val="18"/>
      </w:rPr>
      <w:t>35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03" w:rsidRDefault="00911703" w:rsidP="002732E6">
    <w:pPr>
      <w:pStyle w:val="Pieddepage"/>
      <w:spacing w:before="240"/>
      <w:rPr>
        <w:sz w:val="20"/>
      </w:rPr>
    </w:pPr>
    <w:r>
      <w:rPr>
        <w:noProof/>
        <w:sz w:val="20"/>
        <w:lang w:eastAsia="fr-CH"/>
      </w:rPr>
      <w:drawing>
        <wp:anchor distT="0" distB="0" distL="114300" distR="114300" simplePos="0" relativeHeight="251660288" behindDoc="0" locked="0" layoutInCell="1" allowOverlap="1">
          <wp:simplePos x="0" y="0"/>
          <wp:positionH relativeFrom="margin">
            <wp:posOffset>4319905</wp:posOffset>
          </wp:positionH>
          <wp:positionV relativeFrom="margin">
            <wp:posOffset>8279765</wp:posOffset>
          </wp:positionV>
          <wp:extent cx="1104596" cy="234086"/>
          <wp:effectExtent l="0" t="0" r="635" b="0"/>
          <wp:wrapNone/>
          <wp:docPr id="2"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srcRect/>
                  <a:stretch>
                    <a:fillRect/>
                  </a:stretch>
                </pic:blipFill>
                <pic:spPr bwMode="auto">
                  <a:xfrm>
                    <a:off x="0" y="0"/>
                    <a:ext cx="1104596" cy="234086"/>
                  </a:xfrm>
                  <a:prstGeom prst="rect">
                    <a:avLst/>
                  </a:prstGeom>
                  <a:noFill/>
                  <a:ln w="9525">
                    <a:noFill/>
                    <a:miter lim="800000"/>
                    <a:headEnd/>
                    <a:tailEnd/>
                  </a:ln>
                </pic:spPr>
              </pic:pic>
            </a:graphicData>
          </a:graphic>
        </wp:anchor>
      </w:drawing>
    </w:r>
    <w:r w:rsidRPr="00C931C9">
      <w:rPr>
        <w:sz w:val="20"/>
      </w:rPr>
      <w:t>GE.1</w:t>
    </w:r>
    <w:r>
      <w:rPr>
        <w:sz w:val="20"/>
      </w:rPr>
      <w:t>7</w:t>
    </w:r>
    <w:r w:rsidRPr="00C931C9">
      <w:rPr>
        <w:sz w:val="20"/>
      </w:rPr>
      <w:t>-</w:t>
    </w:r>
    <w:r>
      <w:rPr>
        <w:sz w:val="20"/>
      </w:rPr>
      <w:t>00703</w:t>
    </w:r>
    <w:r w:rsidRPr="00C931C9">
      <w:rPr>
        <w:sz w:val="20"/>
      </w:rPr>
      <w:t xml:space="preserve">  (EXT)</w:t>
    </w:r>
  </w:p>
  <w:p w:rsidR="002732E6" w:rsidRPr="002732E6" w:rsidRDefault="002732E6" w:rsidP="002732E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8027670</wp:posOffset>
          </wp:positionV>
          <wp:extent cx="643737" cy="643738"/>
          <wp:effectExtent l="0" t="0" r="4445" b="4445"/>
          <wp:wrapNone/>
          <wp:docPr id="1" name="Image 1" descr="http://undocs.org/m2/QRCode.ashx?DS=HRI/CORE/TUN/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TUN/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99" w:rsidRDefault="00D24399" w:rsidP="009052AE">
      <w:pPr>
        <w:spacing w:after="80" w:line="200" w:lineRule="exact"/>
        <w:ind w:left="680"/>
      </w:pPr>
      <w:r>
        <w:rPr>
          <w:rFonts w:ascii="Traditional Arabic" w:eastAsia="Traditional Arabic" w:hAnsi="Traditional Arabic"/>
          <w:sz w:val="22"/>
        </w:rPr>
        <w:t>__________</w:t>
      </w:r>
    </w:p>
  </w:footnote>
  <w:footnote w:type="continuationSeparator" w:id="0">
    <w:p w:rsidR="00D24399" w:rsidRDefault="00D24399" w:rsidP="009052AE">
      <w:pPr>
        <w:spacing w:line="240" w:lineRule="auto"/>
      </w:pPr>
      <w:r>
        <w:continuationSeparator/>
      </w:r>
    </w:p>
  </w:footnote>
  <w:footnote w:id="1">
    <w:p w:rsidR="00911703" w:rsidRPr="006305D4" w:rsidRDefault="00911703">
      <w:pPr>
        <w:pStyle w:val="Notedebasdepage"/>
      </w:pPr>
      <w:r>
        <w:rPr>
          <w:rStyle w:val="Appelnotedebasdep"/>
        </w:rPr>
        <w:tab/>
      </w:r>
      <w:r w:rsidRPr="006305D4">
        <w:rPr>
          <w:rStyle w:val="Appelnotedebasdep"/>
          <w:sz w:val="20"/>
          <w:vertAlign w:val="baseline"/>
        </w:rPr>
        <w:t>*</w:t>
      </w:r>
      <w:r>
        <w:rPr>
          <w:rStyle w:val="Appelnotedebasdep"/>
          <w:sz w:val="20"/>
          <w:vertAlign w:val="baseline"/>
        </w:rPr>
        <w:tab/>
      </w:r>
      <w:r w:rsidR="000D1F54">
        <w:t>La version originale du présent document n’a pas été revue par les services d’édition.</w:t>
      </w:r>
    </w:p>
  </w:footnote>
  <w:footnote w:id="2">
    <w:p w:rsidR="00911703" w:rsidRPr="003E0192" w:rsidRDefault="00911703" w:rsidP="008E5AFE">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Conformément au 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2011-87 du 24 septembre 2011 portant organisation des partis politiques</w:t>
      </w:r>
      <w:r>
        <w:rPr>
          <w:rFonts w:eastAsia="Traditional Arabic"/>
          <w:lang w:val="fr-FR"/>
        </w:rPr>
        <w:t>,</w:t>
      </w:r>
      <w:r w:rsidRPr="003E0192">
        <w:rPr>
          <w:rFonts w:eastAsia="Traditional Arabic"/>
          <w:lang w:val="fr-FR"/>
        </w:rPr>
        <w:t xml:space="preserve"> qui vise à promouvoir la vie politique</w:t>
      </w:r>
      <w:r>
        <w:rPr>
          <w:rFonts w:eastAsia="Traditional Arabic"/>
          <w:lang w:val="fr-FR"/>
        </w:rPr>
        <w:t>,</w:t>
      </w:r>
      <w:r w:rsidRPr="003E0192">
        <w:rPr>
          <w:rFonts w:eastAsia="Traditional Arabic"/>
          <w:lang w:val="fr-FR"/>
        </w:rPr>
        <w:t xml:space="preserve"> à travers la mise en œuvre effective du droit de constituer des partis et du pluralisme politique. Il a également simplifié les dispositions relatives à la création des partis politiques. </w:t>
      </w:r>
    </w:p>
  </w:footnote>
  <w:footnote w:id="3">
    <w:p w:rsidR="00911703" w:rsidRPr="003E0192" w:rsidRDefault="00911703" w:rsidP="008E5AFE">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Le pluralisme syndical a été institué à partir de 2011 à travers la création de nouvelles entités syndicales telles que l</w:t>
      </w:r>
      <w:r>
        <w:rPr>
          <w:rFonts w:eastAsia="Traditional Arabic"/>
          <w:lang w:val="fr-FR"/>
        </w:rPr>
        <w:t>’</w:t>
      </w:r>
      <w:r w:rsidRPr="003E0192">
        <w:rPr>
          <w:rFonts w:eastAsia="Traditional Arabic"/>
          <w:lang w:val="fr-FR"/>
        </w:rPr>
        <w:t>Union des travailleurs tunisiens (UTT) et la Confédération générale tunisienne du travail (CGTT)</w:t>
      </w:r>
      <w:r>
        <w:rPr>
          <w:rFonts w:eastAsia="Traditional Arabic"/>
          <w:lang w:val="fr-FR"/>
        </w:rPr>
        <w:t>,</w:t>
      </w:r>
      <w:r w:rsidRPr="003E0192">
        <w:rPr>
          <w:rFonts w:eastAsia="Traditional Arabic"/>
          <w:lang w:val="fr-FR"/>
        </w:rPr>
        <w:t xml:space="preserve"> qui se sont ajoutées au syndicat historique du pays</w:t>
      </w:r>
      <w:r>
        <w:rPr>
          <w:rFonts w:eastAsia="Traditional Arabic"/>
          <w:lang w:val="fr-FR"/>
        </w:rPr>
        <w:t>,</w:t>
      </w:r>
      <w:r w:rsidRPr="003E0192">
        <w:rPr>
          <w:rFonts w:eastAsia="Traditional Arabic"/>
          <w:lang w:val="fr-FR"/>
        </w:rPr>
        <w:t xml:space="preserve"> l</w:t>
      </w:r>
      <w:r>
        <w:rPr>
          <w:rFonts w:eastAsia="Traditional Arabic"/>
          <w:lang w:val="fr-FR"/>
        </w:rPr>
        <w:t>’</w:t>
      </w:r>
      <w:r w:rsidRPr="003E0192">
        <w:rPr>
          <w:rFonts w:eastAsia="Traditional Arabic"/>
          <w:lang w:val="fr-FR"/>
        </w:rPr>
        <w:t>Union générale des travailleurs tunisiens (UGTT). D</w:t>
      </w:r>
      <w:r>
        <w:rPr>
          <w:rFonts w:eastAsia="Traditional Arabic"/>
          <w:lang w:val="fr-FR"/>
        </w:rPr>
        <w:t>’</w:t>
      </w:r>
      <w:r w:rsidRPr="003E0192">
        <w:rPr>
          <w:rFonts w:eastAsia="Traditional Arabic"/>
          <w:lang w:val="fr-FR"/>
        </w:rPr>
        <w:t>autres secteurs se sont vus reconnaître certains droits dont ils étaient privés auparavant</w:t>
      </w:r>
      <w:r>
        <w:rPr>
          <w:rFonts w:eastAsia="Traditional Arabic"/>
          <w:lang w:val="fr-FR"/>
        </w:rPr>
        <w:t>,</w:t>
      </w:r>
      <w:r w:rsidRPr="003E0192">
        <w:rPr>
          <w:rFonts w:eastAsia="Traditional Arabic"/>
          <w:lang w:val="fr-FR"/>
        </w:rPr>
        <w:t xml:space="preserve"> tels que les forces de sécurité intérieure qui ont désormais le droit à l</w:t>
      </w:r>
      <w:r>
        <w:rPr>
          <w:rFonts w:eastAsia="Traditional Arabic"/>
          <w:lang w:val="fr-FR"/>
        </w:rPr>
        <w:t>’</w:t>
      </w:r>
      <w:r w:rsidRPr="003E0192">
        <w:rPr>
          <w:rFonts w:eastAsia="Traditional Arabic"/>
          <w:lang w:val="fr-FR"/>
        </w:rPr>
        <w:t>action syndicale et à la constitution d</w:t>
      </w:r>
      <w:r>
        <w:rPr>
          <w:rFonts w:eastAsia="Traditional Arabic"/>
          <w:lang w:val="fr-FR"/>
        </w:rPr>
        <w:t>’</w:t>
      </w:r>
      <w:r w:rsidRPr="003E0192">
        <w:rPr>
          <w:rFonts w:eastAsia="Traditional Arabic"/>
          <w:lang w:val="fr-FR"/>
        </w:rPr>
        <w:t xml:space="preserve">organisations professionnelles (décret-loi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 xml:space="preserve">2011-42 du 25 mai 2011 modifiant et complétant le statut général des forces de sécurité intérieure). </w:t>
      </w:r>
    </w:p>
  </w:footnote>
  <w:footnote w:id="4">
    <w:p w:rsidR="00911703" w:rsidRPr="003E0192" w:rsidRDefault="00911703" w:rsidP="008E5AFE">
      <w:pPr>
        <w:pStyle w:val="Notedebasdepage"/>
        <w:rPr>
          <w:lang w:val="fr-FR"/>
        </w:rPr>
      </w:pPr>
      <w:r>
        <w:rPr>
          <w:rFonts w:eastAsia="Traditional Arabic"/>
          <w:spacing w:val="-2"/>
          <w:lang w:val="fr-FR"/>
        </w:rPr>
        <w:tab/>
      </w:r>
      <w:r w:rsidRPr="008E5AFE">
        <w:rPr>
          <w:rStyle w:val="Appelnotedebasdep"/>
        </w:rPr>
        <w:footnoteRef/>
      </w:r>
      <w:r w:rsidRPr="003E0192">
        <w:rPr>
          <w:rFonts w:eastAsia="Traditional Arabic"/>
          <w:spacing w:val="-2"/>
          <w:lang w:val="fr-FR"/>
        </w:rPr>
        <w:tab/>
      </w:r>
      <w:r w:rsidRPr="003E0192">
        <w:rPr>
          <w:rFonts w:eastAsia="Traditional Arabic"/>
          <w:lang w:val="fr-FR"/>
        </w:rPr>
        <w:t xml:space="preserve">Le 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2011-88 du 24 septembre 2011 portant organisation des associations constitue le nouveau cadre juridique de l</w:t>
      </w:r>
      <w:r>
        <w:rPr>
          <w:rFonts w:eastAsia="Traditional Arabic"/>
          <w:lang w:val="fr-FR"/>
        </w:rPr>
        <w:t>’</w:t>
      </w:r>
      <w:r w:rsidRPr="003E0192">
        <w:rPr>
          <w:rFonts w:eastAsia="Traditional Arabic"/>
          <w:lang w:val="fr-FR"/>
        </w:rPr>
        <w:t>exercice de la liberté associative. Ce texte a supprimé tous les pouvoirs précédemment accordés au Ministre de l</w:t>
      </w:r>
      <w:r>
        <w:rPr>
          <w:rFonts w:eastAsia="Traditional Arabic"/>
          <w:lang w:val="fr-FR"/>
        </w:rPr>
        <w:t>’</w:t>
      </w:r>
      <w:r w:rsidRPr="003E0192">
        <w:rPr>
          <w:rFonts w:eastAsia="Traditional Arabic"/>
          <w:lang w:val="fr-FR"/>
        </w:rPr>
        <w:t xml:space="preserve">intérieur </w:t>
      </w:r>
      <w:r w:rsidRPr="003E0192">
        <w:rPr>
          <w:rFonts w:eastAsia="Traditional Arabic"/>
          <w:spacing w:val="-2"/>
          <w:lang w:val="fr-FR"/>
        </w:rPr>
        <w:t>en matière de création d</w:t>
      </w:r>
      <w:r>
        <w:rPr>
          <w:rFonts w:eastAsia="Traditional Arabic"/>
          <w:spacing w:val="-2"/>
          <w:lang w:val="fr-FR"/>
        </w:rPr>
        <w:t>’</w:t>
      </w:r>
      <w:r w:rsidRPr="003E0192">
        <w:rPr>
          <w:rFonts w:eastAsia="Traditional Arabic"/>
          <w:spacing w:val="-2"/>
          <w:lang w:val="fr-FR"/>
        </w:rPr>
        <w:t>associations et désigné le Secrétaire général du Gouvernement comme étant l</w:t>
      </w:r>
      <w:r>
        <w:rPr>
          <w:rFonts w:eastAsia="Traditional Arabic"/>
          <w:spacing w:val="-2"/>
          <w:lang w:val="fr-FR"/>
        </w:rPr>
        <w:t>’</w:t>
      </w:r>
      <w:r w:rsidRPr="003E0192">
        <w:rPr>
          <w:rFonts w:eastAsia="Traditional Arabic"/>
          <w:spacing w:val="-2"/>
          <w:lang w:val="fr-FR"/>
        </w:rPr>
        <w:t xml:space="preserve">instance compétente dans ce domaine. </w:t>
      </w:r>
      <w:r w:rsidRPr="003E0192">
        <w:rPr>
          <w:rFonts w:eastAsia="Traditional Arabic"/>
          <w:lang w:val="fr-FR"/>
        </w:rPr>
        <w:t>Plusieurs associations spécialisées en matière de défense des droits de l</w:t>
      </w:r>
      <w:r>
        <w:rPr>
          <w:rFonts w:eastAsia="Traditional Arabic"/>
          <w:lang w:val="fr-FR"/>
        </w:rPr>
        <w:t>’</w:t>
      </w:r>
      <w:r w:rsidRPr="003E0192">
        <w:rPr>
          <w:rFonts w:eastAsia="Traditional Arabic"/>
          <w:lang w:val="fr-FR"/>
        </w:rPr>
        <w:t>homme ont vu le jour après la révolution du 14 janvier. Tous les obstacles qui entravaient l</w:t>
      </w:r>
      <w:r>
        <w:rPr>
          <w:rFonts w:eastAsia="Traditional Arabic"/>
          <w:lang w:val="fr-FR"/>
        </w:rPr>
        <w:t>’</w:t>
      </w:r>
      <w:r w:rsidRPr="003E0192">
        <w:rPr>
          <w:rFonts w:eastAsia="Traditional Arabic"/>
          <w:lang w:val="fr-FR"/>
        </w:rPr>
        <w:t>activité des associations et des organisations non gouvernementales ont également été levés.</w:t>
      </w:r>
    </w:p>
  </w:footnote>
  <w:footnote w:id="5">
    <w:p w:rsidR="00911703" w:rsidRPr="003E0192" w:rsidRDefault="00911703" w:rsidP="003C4049">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Selon l</w:t>
      </w:r>
      <w:r>
        <w:rPr>
          <w:rFonts w:eastAsia="Traditional Arabic"/>
          <w:lang w:val="fr-FR"/>
        </w:rPr>
        <w:t>’article </w:t>
      </w:r>
      <w:r w:rsidRPr="003E0192">
        <w:rPr>
          <w:rFonts w:eastAsia="Traditional Arabic"/>
          <w:lang w:val="fr-FR"/>
        </w:rPr>
        <w:t>149 de la Constitution</w:t>
      </w:r>
      <w:r>
        <w:rPr>
          <w:rFonts w:eastAsia="Traditional Arabic"/>
          <w:lang w:val="fr-FR"/>
        </w:rPr>
        <w:t>,</w:t>
      </w:r>
      <w:r w:rsidRPr="003E0192">
        <w:rPr>
          <w:rFonts w:eastAsia="Traditional Arabic"/>
          <w:lang w:val="fr-FR"/>
        </w:rPr>
        <w:t xml:space="preserve"> les tribunaux militaires continuent à exercer les attributions qui leur sont dévolues par les lois en vigueur jusqu</w:t>
      </w:r>
      <w:r>
        <w:rPr>
          <w:rFonts w:eastAsia="Traditional Arabic"/>
          <w:lang w:val="fr-FR"/>
        </w:rPr>
        <w:t>’</w:t>
      </w:r>
      <w:r w:rsidRPr="003E0192">
        <w:rPr>
          <w:rFonts w:eastAsia="Traditional Arabic"/>
          <w:lang w:val="fr-FR"/>
        </w:rPr>
        <w:t>à leur amendement conformément aux dispositions de l</w:t>
      </w:r>
      <w:r>
        <w:rPr>
          <w:rFonts w:eastAsia="Traditional Arabic"/>
          <w:lang w:val="fr-FR"/>
        </w:rPr>
        <w:t>’article </w:t>
      </w:r>
      <w:r w:rsidRPr="003E0192">
        <w:rPr>
          <w:rFonts w:eastAsia="Traditional Arabic"/>
          <w:lang w:val="fr-FR"/>
        </w:rPr>
        <w:t xml:space="preserve">110. </w:t>
      </w:r>
    </w:p>
  </w:footnote>
  <w:footnote w:id="6">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Adhésion de la Tunisie à ce Protocole par le 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 xml:space="preserve">2011-3 du 19 février 2011 et ratification par le décret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2011- 551 du 14 mai 2011.</w:t>
      </w:r>
    </w:p>
  </w:footnote>
  <w:footnote w:id="7">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Adhésion de la Tunisie à ce Protocole 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 xml:space="preserve">2008-35 du 9 juin 2008 et ratification par le décret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2008-2502 du 7 juillet 2008.</w:t>
      </w:r>
    </w:p>
  </w:footnote>
  <w:footnote w:id="8">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Adhésion de la Tunisie 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 xml:space="preserve">2008-4 du 11 février 2008 et ratification par le décret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2008</w:t>
      </w:r>
      <w:r>
        <w:rPr>
          <w:rFonts w:eastAsia="Traditional Arabic"/>
          <w:lang w:val="fr-FR" w:bidi="ar-TN"/>
        </w:rPr>
        <w:noBreakHyphen/>
      </w:r>
      <w:r w:rsidRPr="003E0192">
        <w:rPr>
          <w:rFonts w:eastAsia="Traditional Arabic"/>
          <w:lang w:val="fr-FR" w:bidi="ar-TN"/>
        </w:rPr>
        <w:t>568 du 4 mars 2008.</w:t>
      </w:r>
    </w:p>
  </w:footnote>
  <w:footnote w:id="9">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Voir le site Web de l</w:t>
      </w:r>
      <w:r>
        <w:rPr>
          <w:rFonts w:eastAsia="Traditional Arabic"/>
          <w:lang w:val="fr-FR" w:bidi="ar-TN"/>
        </w:rPr>
        <w:t>’</w:t>
      </w:r>
      <w:r w:rsidRPr="003E0192">
        <w:rPr>
          <w:rFonts w:eastAsia="Traditional Arabic"/>
          <w:lang w:val="fr-FR" w:bidi="ar-TN"/>
        </w:rPr>
        <w:t>Organisation des Nations Unies à l</w:t>
      </w:r>
      <w:r>
        <w:rPr>
          <w:rFonts w:eastAsia="Traditional Arabic"/>
          <w:lang w:val="fr-FR" w:bidi="ar-TN"/>
        </w:rPr>
        <w:t>’</w:t>
      </w:r>
      <w:r w:rsidRPr="003E0192">
        <w:rPr>
          <w:rFonts w:eastAsia="Traditional Arabic"/>
          <w:lang w:val="fr-FR" w:bidi="ar-TN"/>
        </w:rPr>
        <w:t xml:space="preserve">adresse suivante : </w:t>
      </w:r>
      <w:r w:rsidRPr="003E0192">
        <w:rPr>
          <w:lang w:val="fr-FR" w:bidi="ar-TN"/>
        </w:rPr>
        <w:t>http://www1.umn.edu/</w:t>
      </w:r>
      <w:r>
        <w:rPr>
          <w:lang w:val="fr-FR" w:bidi="ar-TN"/>
        </w:rPr>
        <w:br/>
      </w:r>
      <w:r w:rsidRPr="003E0192">
        <w:rPr>
          <w:lang w:val="fr-FR" w:bidi="ar-TN"/>
        </w:rPr>
        <w:t>humanrts/cat/general_comments</w:t>
      </w:r>
      <w:r w:rsidRPr="003E0192">
        <w:rPr>
          <w:rFonts w:eastAsia="Traditional Arabic"/>
          <w:lang w:val="fr-FR" w:bidi="ar-TN"/>
        </w:rPr>
        <w:t>.</w:t>
      </w:r>
    </w:p>
  </w:footnote>
  <w:footnote w:id="10">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Voir le site Web du Haut-Commissariat aux droits de l</w:t>
      </w:r>
      <w:r>
        <w:rPr>
          <w:rFonts w:eastAsia="Traditional Arabic"/>
          <w:lang w:val="fr-FR" w:bidi="ar-TN"/>
        </w:rPr>
        <w:t>’</w:t>
      </w:r>
      <w:r w:rsidRPr="003E0192">
        <w:rPr>
          <w:rFonts w:eastAsia="Traditional Arabic"/>
          <w:lang w:val="fr-FR" w:bidi="ar-TN"/>
        </w:rPr>
        <w:t xml:space="preserve">homme </w:t>
      </w:r>
      <w:r w:rsidRPr="003E0192">
        <w:rPr>
          <w:lang w:val="fr-FR" w:bidi="ar-TN"/>
        </w:rPr>
        <w:t>http://tbinternet.ohchr.org/_</w:t>
      </w:r>
      <w:r>
        <w:rPr>
          <w:lang w:val="fr-FR" w:bidi="ar-TN"/>
        </w:rPr>
        <w:br/>
      </w:r>
      <w:r w:rsidRPr="003E0192">
        <w:rPr>
          <w:lang w:val="fr-FR" w:bidi="ar-TN"/>
        </w:rPr>
        <w:t>layouts/TreatyBodyExternal/Countries</w:t>
      </w:r>
      <w:r w:rsidRPr="003E0192">
        <w:rPr>
          <w:rFonts w:eastAsia="Traditional Arabic"/>
          <w:lang w:val="fr-FR"/>
        </w:rPr>
        <w:t>.</w:t>
      </w:r>
    </w:p>
  </w:footnote>
  <w:footnote w:id="11">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Promulgué par le décret du 9 juillet 1913 (Journal officiel </w:t>
      </w:r>
      <w:r w:rsidRPr="00163041">
        <w:rPr>
          <w:sz w:val="20"/>
          <w:lang w:bidi="ar-TN"/>
        </w:rPr>
        <w:t>n</w:t>
      </w:r>
      <w:r w:rsidRPr="00C24D3E">
        <w:rPr>
          <w:vertAlign w:val="superscript"/>
          <w:lang w:bidi="ar-TN"/>
        </w:rPr>
        <w:t>o</w:t>
      </w:r>
      <w:r>
        <w:rPr>
          <w:sz w:val="20"/>
          <w:lang w:bidi="ar-TN"/>
        </w:rPr>
        <w:t> </w:t>
      </w:r>
      <w:r w:rsidRPr="003E0192">
        <w:rPr>
          <w:lang w:val="fr-FR"/>
        </w:rPr>
        <w:t>79 du 1</w:t>
      </w:r>
      <w:r w:rsidRPr="003E0192">
        <w:rPr>
          <w:vertAlign w:val="superscript"/>
          <w:lang w:val="fr-FR"/>
        </w:rPr>
        <w:t>er</w:t>
      </w:r>
      <w:r w:rsidRPr="003E0192">
        <w:rPr>
          <w:lang w:val="fr-FR"/>
        </w:rPr>
        <w:t xml:space="preserve"> octobre 1913).</w:t>
      </w:r>
    </w:p>
  </w:footnote>
  <w:footnote w:id="12">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Loi </w:t>
      </w:r>
      <w:r w:rsidRPr="00163041">
        <w:rPr>
          <w:sz w:val="20"/>
          <w:lang w:bidi="ar-TN"/>
        </w:rPr>
        <w:t>n</w:t>
      </w:r>
      <w:r w:rsidRPr="00C24D3E">
        <w:rPr>
          <w:vertAlign w:val="superscript"/>
          <w:lang w:bidi="ar-TN"/>
        </w:rPr>
        <w:t>o</w:t>
      </w:r>
      <w:r>
        <w:rPr>
          <w:sz w:val="20"/>
          <w:lang w:bidi="ar-TN"/>
        </w:rPr>
        <w:t> </w:t>
      </w:r>
      <w:r w:rsidRPr="003E0192">
        <w:rPr>
          <w:lang w:val="fr-FR"/>
        </w:rPr>
        <w:t xml:space="preserve">2005-46 du 6 juin 2005 (Journal officiel </w:t>
      </w:r>
      <w:r w:rsidRPr="00163041">
        <w:rPr>
          <w:sz w:val="20"/>
          <w:lang w:bidi="ar-TN"/>
        </w:rPr>
        <w:t>n</w:t>
      </w:r>
      <w:r w:rsidRPr="00C24D3E">
        <w:rPr>
          <w:vertAlign w:val="superscript"/>
          <w:lang w:bidi="ar-TN"/>
        </w:rPr>
        <w:t>o</w:t>
      </w:r>
      <w:r>
        <w:rPr>
          <w:sz w:val="20"/>
          <w:lang w:bidi="ar-TN"/>
        </w:rPr>
        <w:t> </w:t>
      </w:r>
      <w:r w:rsidRPr="003E0192">
        <w:rPr>
          <w:lang w:val="fr-FR"/>
        </w:rPr>
        <w:t>48 du 17 juin 2005</w:t>
      </w:r>
      <w:r>
        <w:rPr>
          <w:lang w:val="fr-FR"/>
        </w:rPr>
        <w:t>,</w:t>
      </w:r>
      <w:r w:rsidRPr="003E0192">
        <w:rPr>
          <w:lang w:val="fr-FR"/>
        </w:rPr>
        <w:t xml:space="preserve"> p.</w:t>
      </w:r>
      <w:r>
        <w:rPr>
          <w:lang w:val="fr-FR"/>
        </w:rPr>
        <w:t> </w:t>
      </w:r>
      <w:r w:rsidRPr="003E0192">
        <w:rPr>
          <w:lang w:val="fr-FR"/>
        </w:rPr>
        <w:t>1412).</w:t>
      </w:r>
    </w:p>
  </w:footnote>
  <w:footnote w:id="13">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Loi </w:t>
      </w:r>
      <w:r w:rsidRPr="00163041">
        <w:rPr>
          <w:sz w:val="20"/>
          <w:lang w:bidi="ar-TN"/>
        </w:rPr>
        <w:t>n</w:t>
      </w:r>
      <w:r w:rsidRPr="00C24D3E">
        <w:rPr>
          <w:vertAlign w:val="superscript"/>
          <w:lang w:bidi="ar-TN"/>
        </w:rPr>
        <w:t>o</w:t>
      </w:r>
      <w:r>
        <w:rPr>
          <w:sz w:val="20"/>
          <w:lang w:bidi="ar-TN"/>
        </w:rPr>
        <w:t> </w:t>
      </w:r>
      <w:r w:rsidRPr="003E0192">
        <w:rPr>
          <w:lang w:val="fr-FR"/>
        </w:rPr>
        <w:t>89-23 du 27 février 1989.</w:t>
      </w:r>
    </w:p>
  </w:footnote>
  <w:footnote w:id="14">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Loi </w:t>
      </w:r>
      <w:r w:rsidRPr="00163041">
        <w:rPr>
          <w:sz w:val="20"/>
          <w:lang w:bidi="ar-TN"/>
        </w:rPr>
        <w:t>n</w:t>
      </w:r>
      <w:r w:rsidRPr="00C24D3E">
        <w:rPr>
          <w:vertAlign w:val="superscript"/>
          <w:lang w:bidi="ar-TN"/>
        </w:rPr>
        <w:t>o</w:t>
      </w:r>
      <w:r>
        <w:rPr>
          <w:sz w:val="20"/>
          <w:lang w:bidi="ar-TN"/>
        </w:rPr>
        <w:t> </w:t>
      </w:r>
      <w:r w:rsidRPr="003E0192">
        <w:rPr>
          <w:lang w:val="fr-FR"/>
        </w:rPr>
        <w:t>99-89 du 2 août 1999.</w:t>
      </w:r>
    </w:p>
  </w:footnote>
  <w:footnote w:id="15">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Décret-loi </w:t>
      </w:r>
      <w:r w:rsidRPr="00163041">
        <w:rPr>
          <w:sz w:val="20"/>
          <w:lang w:bidi="ar-TN"/>
        </w:rPr>
        <w:t>n</w:t>
      </w:r>
      <w:r w:rsidRPr="00C24D3E">
        <w:rPr>
          <w:vertAlign w:val="superscript"/>
          <w:lang w:bidi="ar-TN"/>
        </w:rPr>
        <w:t>o</w:t>
      </w:r>
      <w:r>
        <w:rPr>
          <w:sz w:val="20"/>
          <w:lang w:bidi="ar-TN"/>
        </w:rPr>
        <w:t> </w:t>
      </w:r>
      <w:r w:rsidRPr="003E0192">
        <w:rPr>
          <w:lang w:val="fr-FR"/>
        </w:rPr>
        <w:t>2011-106 du 22 août 2011.</w:t>
      </w:r>
    </w:p>
  </w:footnote>
  <w:footnote w:id="16">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Loi </w:t>
      </w:r>
      <w:r w:rsidRPr="00163041">
        <w:rPr>
          <w:sz w:val="20"/>
          <w:lang w:bidi="ar-TN"/>
        </w:rPr>
        <w:t>n</w:t>
      </w:r>
      <w:r w:rsidRPr="00C24D3E">
        <w:rPr>
          <w:vertAlign w:val="superscript"/>
          <w:lang w:bidi="ar-TN"/>
        </w:rPr>
        <w:t>o</w:t>
      </w:r>
      <w:r>
        <w:rPr>
          <w:sz w:val="20"/>
          <w:lang w:bidi="ar-TN"/>
        </w:rPr>
        <w:t> </w:t>
      </w:r>
      <w:r w:rsidRPr="003E0192">
        <w:rPr>
          <w:lang w:val="fr-FR"/>
        </w:rPr>
        <w:t>2010-40 du 26 juillet 2010.</w:t>
      </w:r>
    </w:p>
  </w:footnote>
  <w:footnote w:id="17">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68-23 du 24 juillet 1968</w:t>
      </w:r>
      <w:r w:rsidRPr="003E0192">
        <w:rPr>
          <w:rFonts w:eastAsia="Traditional Arabic"/>
          <w:lang w:val="fr-FR" w:bidi="ar-TN"/>
        </w:rPr>
        <w:t>.</w:t>
      </w:r>
    </w:p>
  </w:footnote>
  <w:footnote w:id="18">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2016-5 du 16 février 2016.</w:t>
      </w:r>
    </w:p>
  </w:footnote>
  <w:footnote w:id="19">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2002-94 du 29 octobre 2002.</w:t>
      </w:r>
    </w:p>
  </w:footnote>
  <w:footnote w:id="20">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2011-1 du 19 février 2011 portant amnistie.</w:t>
      </w:r>
    </w:p>
  </w:footnote>
  <w:footnote w:id="21">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organique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2013-53 du 24 décembre 2013 relative à l</w:t>
      </w:r>
      <w:r>
        <w:rPr>
          <w:rFonts w:eastAsia="Traditional Arabic"/>
          <w:lang w:val="fr-FR" w:bidi="ar-TN"/>
        </w:rPr>
        <w:t>’</w:t>
      </w:r>
      <w:r w:rsidRPr="003E0192">
        <w:rPr>
          <w:rFonts w:eastAsia="Traditional Arabic"/>
          <w:lang w:val="fr-FR" w:bidi="ar-TN"/>
        </w:rPr>
        <w:t>instauration de la justice transitionnelle et à son organisation.</w:t>
      </w:r>
    </w:p>
  </w:footnote>
  <w:footnote w:id="22">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organique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2014-16 du 26 mai 2014 relative aux élections et aux référendums.</w:t>
      </w:r>
    </w:p>
  </w:footnote>
  <w:footnote w:id="23">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68-7 du 8 mars 1968 relative à la condition des étrangers en Tunisie.</w:t>
      </w:r>
    </w:p>
  </w:footnote>
  <w:footnote w:id="24">
    <w:p w:rsidR="00911703" w:rsidRPr="003E0192" w:rsidRDefault="00911703" w:rsidP="00C64C6F">
      <w:pPr>
        <w:pStyle w:val="Notedebasdepage"/>
      </w:pPr>
      <w:r w:rsidRPr="003E0192">
        <w:tab/>
      </w:r>
      <w:r w:rsidRPr="008E5AFE">
        <w:rPr>
          <w:rStyle w:val="Appelnotedebasdep"/>
        </w:rPr>
        <w:footnoteRef/>
      </w:r>
      <w:r w:rsidRPr="003E0192">
        <w:tab/>
        <w:t xml:space="preserve">Décret </w:t>
      </w:r>
      <w:r w:rsidRPr="00163041">
        <w:rPr>
          <w:sz w:val="20"/>
          <w:lang w:bidi="ar-TN"/>
        </w:rPr>
        <w:t>n</w:t>
      </w:r>
      <w:r w:rsidRPr="00C24D3E">
        <w:rPr>
          <w:vertAlign w:val="superscript"/>
          <w:lang w:bidi="ar-TN"/>
        </w:rPr>
        <w:t>o</w:t>
      </w:r>
      <w:r>
        <w:rPr>
          <w:sz w:val="20"/>
          <w:lang w:bidi="ar-TN"/>
        </w:rPr>
        <w:t> </w:t>
      </w:r>
      <w:r w:rsidRPr="003E0192">
        <w:t xml:space="preserve">63-6 du 28 février 1963 (4 chaoual 1382) portant refonte du Code de la nationalité tunisienne (Journal officiel du 5 mars 1963 p. 320) promulgué par la loi </w:t>
      </w:r>
      <w:r w:rsidRPr="00163041">
        <w:rPr>
          <w:sz w:val="20"/>
          <w:lang w:bidi="ar-TN"/>
        </w:rPr>
        <w:t>n</w:t>
      </w:r>
      <w:r w:rsidRPr="00C24D3E">
        <w:rPr>
          <w:vertAlign w:val="superscript"/>
          <w:lang w:bidi="ar-TN"/>
        </w:rPr>
        <w:t>o</w:t>
      </w:r>
      <w:r>
        <w:rPr>
          <w:sz w:val="20"/>
          <w:lang w:bidi="ar-TN"/>
        </w:rPr>
        <w:t> </w:t>
      </w:r>
      <w:r w:rsidRPr="003E0192">
        <w:t>63-7 du 22 avril 1963 (Journal officiel du 19-23 avril 1963. p. 588).</w:t>
      </w:r>
    </w:p>
  </w:footnote>
  <w:footnote w:id="25">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2010-55 du 1er décembre 2010.</w:t>
      </w:r>
    </w:p>
  </w:footnote>
  <w:footnote w:id="26">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2011-115 du 2 novembre 2011.</w:t>
      </w:r>
    </w:p>
  </w:footnote>
  <w:footnote w:id="27">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2011-116 du 2 novembre 2011</w:t>
      </w:r>
      <w:r w:rsidRPr="003E0192">
        <w:rPr>
          <w:rFonts w:eastAsia="Traditional Arabic"/>
          <w:lang w:val="fr-FR"/>
        </w:rPr>
        <w:t>.</w:t>
      </w:r>
    </w:p>
  </w:footnote>
  <w:footnote w:id="28">
    <w:p w:rsidR="00911703" w:rsidRPr="00956A38" w:rsidRDefault="00911703" w:rsidP="00C64C6F">
      <w:pPr>
        <w:pStyle w:val="Notedebasdepage"/>
        <w:rPr>
          <w:lang w:val="fr-FR"/>
        </w:rPr>
      </w:pPr>
      <w:r>
        <w:rPr>
          <w:rFonts w:eastAsia="Traditional Arabic"/>
          <w:b/>
          <w:lang w:val="fr-FR"/>
        </w:rPr>
        <w:tab/>
      </w:r>
      <w:r w:rsidRPr="008E5AFE">
        <w:rPr>
          <w:rStyle w:val="Appelnotedebasdep"/>
        </w:rPr>
        <w:footnoteRef/>
      </w:r>
      <w:r w:rsidRPr="003E0192">
        <w:rPr>
          <w:rFonts w:eastAsia="Traditional Arabic"/>
          <w:b/>
          <w:lang w:val="fr-FR"/>
        </w:rPr>
        <w:tab/>
      </w:r>
      <w:r w:rsidRPr="00956A38">
        <w:rPr>
          <w:rFonts w:eastAsia="Traditional Arabic"/>
          <w:lang w:val="fr-FR"/>
        </w:rPr>
        <w:t xml:space="preserve">Décret-loi </w:t>
      </w:r>
      <w:r w:rsidRPr="00163041">
        <w:rPr>
          <w:sz w:val="20"/>
          <w:lang w:bidi="ar-TN"/>
        </w:rPr>
        <w:t>n</w:t>
      </w:r>
      <w:r w:rsidRPr="00956A38">
        <w:rPr>
          <w:vertAlign w:val="superscript"/>
          <w:lang w:bidi="ar-TN"/>
        </w:rPr>
        <w:t>o</w:t>
      </w:r>
      <w:r>
        <w:rPr>
          <w:sz w:val="20"/>
          <w:lang w:bidi="ar-TN"/>
        </w:rPr>
        <w:t> </w:t>
      </w:r>
      <w:r w:rsidRPr="00956A38">
        <w:rPr>
          <w:rFonts w:eastAsia="Traditional Arabic"/>
          <w:lang w:val="fr-FR"/>
        </w:rPr>
        <w:t xml:space="preserve">2011-41 </w:t>
      </w:r>
      <w:r w:rsidRPr="00956A38">
        <w:rPr>
          <w:rFonts w:eastAsia="Traditional Arabic"/>
          <w:lang w:val="fr-FR" w:bidi="ar-TN"/>
        </w:rPr>
        <w:t xml:space="preserve">du 26 mai 2011. </w:t>
      </w:r>
    </w:p>
  </w:footnote>
  <w:footnote w:id="29">
    <w:p w:rsidR="00911703" w:rsidRPr="003E0192" w:rsidRDefault="00911703" w:rsidP="00C64C6F">
      <w:pPr>
        <w:pStyle w:val="Notedebasdepage"/>
        <w:rPr>
          <w:lang w:val="fr-FR"/>
        </w:rPr>
      </w:pPr>
      <w:r w:rsidRPr="00956A38">
        <w:rPr>
          <w:rFonts w:eastAsia="Traditional Arabic"/>
          <w:lang w:val="fr-FR" w:bidi="ar-TN"/>
        </w:rPr>
        <w:tab/>
      </w:r>
      <w:r w:rsidRPr="00956A38">
        <w:rPr>
          <w:rStyle w:val="Appelnotedebasdep"/>
        </w:rPr>
        <w:footnoteRef/>
      </w:r>
      <w:r w:rsidRPr="00956A38">
        <w:rPr>
          <w:rFonts w:eastAsia="Traditional Arabic"/>
          <w:lang w:val="fr-FR" w:bidi="ar-TN"/>
        </w:rPr>
        <w:tab/>
      </w:r>
      <w:r w:rsidRPr="003E0192">
        <w:rPr>
          <w:rFonts w:eastAsia="Traditional Arabic"/>
          <w:lang w:val="fr-FR" w:bidi="ar-TN"/>
        </w:rPr>
        <w:t xml:space="preserve">Loi organique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2016-22 du 24 mars 2016 relative au droit d</w:t>
      </w:r>
      <w:r>
        <w:rPr>
          <w:rFonts w:eastAsia="Traditional Arabic"/>
          <w:lang w:val="fr-FR" w:bidi="ar-TN"/>
        </w:rPr>
        <w:t>’</w:t>
      </w:r>
      <w:r w:rsidRPr="003E0192">
        <w:rPr>
          <w:rFonts w:eastAsia="Traditional Arabic"/>
          <w:lang w:val="fr-FR" w:bidi="ar-TN"/>
        </w:rPr>
        <w:t>accès à l</w:t>
      </w:r>
      <w:r>
        <w:rPr>
          <w:rFonts w:eastAsia="Traditional Arabic"/>
          <w:lang w:val="fr-FR" w:bidi="ar-TN"/>
        </w:rPr>
        <w:t>’</w:t>
      </w:r>
      <w:r w:rsidRPr="003E0192">
        <w:rPr>
          <w:rFonts w:eastAsia="Traditional Arabic"/>
          <w:lang w:val="fr-FR" w:bidi="ar-TN"/>
        </w:rPr>
        <w:t>information.</w:t>
      </w:r>
    </w:p>
  </w:footnote>
  <w:footnote w:id="30">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2011-88 du 24 septembre 2011 portant organisation des associations.</w:t>
      </w:r>
    </w:p>
  </w:footnote>
  <w:footnote w:id="31">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59-154 du 7 novembre 1959 relative aux associations.</w:t>
      </w:r>
    </w:p>
  </w:footnote>
  <w:footnote w:id="32">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2011-87 du 24 septembre 2011 portant organisation des partis politiques.</w:t>
      </w:r>
    </w:p>
  </w:footnote>
  <w:footnote w:id="33">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organique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88-32 du 3 mai 1988 organisant les partis politiques.</w:t>
      </w:r>
    </w:p>
  </w:footnote>
  <w:footnote w:id="34">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Promulgué par le décret </w:t>
      </w:r>
      <w:r w:rsidRPr="003E0192">
        <w:rPr>
          <w:rFonts w:eastAsia="Traditional Arabic"/>
          <w:lang w:val="fr-FR"/>
        </w:rPr>
        <w:t>du 13 août 1956</w:t>
      </w:r>
      <w:r w:rsidRPr="003E0192">
        <w:rPr>
          <w:rFonts w:eastAsia="Traditional Arabic"/>
          <w:lang w:val="fr-FR" w:bidi="ar-TN"/>
        </w:rPr>
        <w:t>.</w:t>
      </w:r>
    </w:p>
  </w:footnote>
  <w:footnote w:id="35">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93-74 du 12 juillet 1993.</w:t>
      </w:r>
    </w:p>
  </w:footnote>
  <w:footnote w:id="36">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91-63 du 29 juillet 1991.</w:t>
      </w:r>
    </w:p>
  </w:footnote>
  <w:footnote w:id="37">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92-71 du 27 juillet 1992</w:t>
      </w:r>
      <w:r>
        <w:rPr>
          <w:rFonts w:eastAsia="Traditional Arabic"/>
          <w:lang w:val="fr-FR" w:bidi="ar-TN"/>
        </w:rPr>
        <w:t>,</w:t>
      </w:r>
      <w:r w:rsidRPr="003E0192">
        <w:rPr>
          <w:rFonts w:eastAsia="Traditional Arabic"/>
          <w:lang w:val="fr-FR" w:bidi="ar-TN"/>
        </w:rPr>
        <w:t xml:space="preserve"> telle que modifiée et complétée 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2007-12.</w:t>
      </w:r>
    </w:p>
  </w:footnote>
  <w:footnote w:id="38">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Loi d</w:t>
      </w:r>
      <w:r>
        <w:rPr>
          <w:rFonts w:eastAsia="Traditional Arabic"/>
          <w:lang w:val="fr-FR"/>
        </w:rPr>
        <w:t>’</w:t>
      </w:r>
      <w:r w:rsidRPr="003E0192">
        <w:rPr>
          <w:rFonts w:eastAsia="Traditional Arabic"/>
          <w:lang w:val="fr-FR"/>
        </w:rPr>
        <w:t xml:space="preserve">orientation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2002-80 du 23 juillet 2002</w:t>
      </w:r>
      <w:r w:rsidRPr="003E0192">
        <w:rPr>
          <w:rFonts w:eastAsia="Traditional Arabic"/>
          <w:lang w:val="fr-FR" w:bidi="ar-TN"/>
        </w:rPr>
        <w:t>.</w:t>
      </w:r>
    </w:p>
  </w:footnote>
  <w:footnote w:id="39">
    <w:p w:rsidR="00911703" w:rsidRPr="003E0192" w:rsidRDefault="00911703" w:rsidP="00C64C6F">
      <w:pPr>
        <w:pStyle w:val="Notedebasdepage"/>
      </w:pPr>
      <w:r w:rsidRPr="003E0192">
        <w:tab/>
      </w:r>
      <w:r w:rsidRPr="008E5AFE">
        <w:rPr>
          <w:rStyle w:val="Appelnotedebasdep"/>
        </w:rPr>
        <w:footnoteRef/>
      </w:r>
      <w:r w:rsidRPr="003E0192">
        <w:tab/>
      </w:r>
      <w:hyperlink r:id="rId1" w:history="1">
        <w:r w:rsidRPr="003E0192">
          <w:rPr>
            <w:lang w:bidi="ar-TN"/>
          </w:rPr>
          <w:t>Loi d</w:t>
        </w:r>
        <w:r>
          <w:rPr>
            <w:lang w:bidi="ar-TN"/>
          </w:rPr>
          <w:t>’</w:t>
        </w:r>
        <w:r w:rsidRPr="003E0192">
          <w:rPr>
            <w:lang w:bidi="ar-TN"/>
          </w:rPr>
          <w:t xml:space="preserve">orientation </w:t>
        </w:r>
        <w:r w:rsidRPr="00163041">
          <w:rPr>
            <w:sz w:val="20"/>
            <w:lang w:bidi="ar-TN"/>
          </w:rPr>
          <w:t>n</w:t>
        </w:r>
        <w:r w:rsidRPr="00C24D3E">
          <w:rPr>
            <w:vertAlign w:val="superscript"/>
            <w:lang w:bidi="ar-TN"/>
          </w:rPr>
          <w:t>o</w:t>
        </w:r>
        <w:r>
          <w:rPr>
            <w:sz w:val="20"/>
            <w:lang w:bidi="ar-TN"/>
          </w:rPr>
          <w:t> </w:t>
        </w:r>
        <w:r w:rsidRPr="003E0192">
          <w:rPr>
            <w:lang w:bidi="ar-TN"/>
          </w:rPr>
          <w:t xml:space="preserve">2008-10 du 11 février 2008 </w:t>
        </w:r>
      </w:hyperlink>
      <w:r w:rsidRPr="003E0192">
        <w:rPr>
          <w:lang w:bidi="ar-TN"/>
        </w:rPr>
        <w:t>relative à la formation professionnelle.</w:t>
      </w:r>
    </w:p>
  </w:footnote>
  <w:footnote w:id="40">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Loi d</w:t>
      </w:r>
      <w:r>
        <w:rPr>
          <w:rFonts w:eastAsia="Traditional Arabic"/>
          <w:lang w:val="fr-FR"/>
        </w:rPr>
        <w:t>’</w:t>
      </w:r>
      <w:r w:rsidRPr="003E0192">
        <w:rPr>
          <w:rFonts w:eastAsia="Traditional Arabic"/>
          <w:lang w:val="fr-FR"/>
        </w:rPr>
        <w:t xml:space="preserve">orientation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2005-83 du 15 août 2005.</w:t>
      </w:r>
    </w:p>
  </w:footnote>
  <w:footnote w:id="41">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94-114 du 31 octobre 1994.</w:t>
      </w:r>
    </w:p>
  </w:footnote>
  <w:footnote w:id="42">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95- 92 du 9 novembre 1995 portant promulgation du Code de la protection de l</w:t>
      </w:r>
      <w:r>
        <w:rPr>
          <w:rFonts w:eastAsia="Traditional Arabic"/>
          <w:lang w:val="fr-FR"/>
        </w:rPr>
        <w:t>’</w:t>
      </w:r>
      <w:r w:rsidRPr="003E0192">
        <w:rPr>
          <w:rFonts w:eastAsia="Traditional Arabic"/>
          <w:lang w:val="fr-FR"/>
        </w:rPr>
        <w:t>enfant.</w:t>
      </w:r>
    </w:p>
  </w:footnote>
  <w:footnote w:id="43">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98-75 relative à l</w:t>
      </w:r>
      <w:r>
        <w:rPr>
          <w:rFonts w:eastAsia="Traditional Arabic"/>
          <w:lang w:val="fr-FR"/>
        </w:rPr>
        <w:t>’</w:t>
      </w:r>
      <w:r w:rsidRPr="003E0192">
        <w:rPr>
          <w:rFonts w:eastAsia="Traditional Arabic"/>
          <w:lang w:val="fr-FR"/>
        </w:rPr>
        <w:t>attribution d</w:t>
      </w:r>
      <w:r>
        <w:rPr>
          <w:rFonts w:eastAsia="Traditional Arabic"/>
          <w:lang w:val="fr-FR"/>
        </w:rPr>
        <w:t>’</w:t>
      </w:r>
      <w:r w:rsidRPr="003E0192">
        <w:rPr>
          <w:rFonts w:eastAsia="Traditional Arabic"/>
          <w:lang w:val="fr-FR"/>
        </w:rPr>
        <w:t>un nom patronymique aux enfants abandonnés ou de filiation inconnue</w:t>
      </w:r>
      <w:r>
        <w:rPr>
          <w:rFonts w:eastAsia="Traditional Arabic"/>
          <w:lang w:val="fr-FR"/>
        </w:rPr>
        <w:t>,</w:t>
      </w:r>
      <w:r w:rsidRPr="003E0192">
        <w:rPr>
          <w:rFonts w:eastAsia="Traditional Arabic"/>
          <w:lang w:val="fr-FR"/>
        </w:rPr>
        <w:t xml:space="preserve"> telle que modifiée 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2003-51 du 7 juillet 2003.</w:t>
      </w:r>
    </w:p>
  </w:footnote>
  <w:footnote w:id="44">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93-66 du 5 juillet 1993.</w:t>
      </w:r>
    </w:p>
  </w:footnote>
  <w:footnote w:id="45">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Décret-loi cadre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2011-120 du 14 novembre 2011 relatif à la lutte contre la corruption.</w:t>
      </w:r>
    </w:p>
  </w:footnote>
  <w:footnote w:id="46">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90-39 du 18 avril 1990 relative au Conseil constitutionnel.</w:t>
      </w:r>
    </w:p>
  </w:footnote>
  <w:footnote w:id="47">
    <w:p w:rsidR="00911703" w:rsidRPr="003E0192" w:rsidRDefault="00911703" w:rsidP="00C64C6F">
      <w:pPr>
        <w:pStyle w:val="Notedebasdepage"/>
        <w:rPr>
          <w:lang w:val="fr-FR"/>
        </w:rPr>
      </w:pPr>
      <w:r>
        <w:rPr>
          <w:vertAlign w:val="superscript"/>
          <w:lang w:val="fr-FR" w:bidi="ar-TN"/>
        </w:rPr>
        <w:tab/>
      </w:r>
      <w:r w:rsidRPr="008E5AFE">
        <w:rPr>
          <w:rStyle w:val="Appelnotedebasdep"/>
        </w:rPr>
        <w:footnoteRef/>
      </w:r>
      <w:r w:rsidRPr="003E0192">
        <w:rPr>
          <w:lang w:val="fr-FR" w:bidi="ar-TN"/>
        </w:rPr>
        <w:tab/>
        <w:t xml:space="preserve">Loi organique </w:t>
      </w:r>
      <w:r w:rsidRPr="00163041">
        <w:rPr>
          <w:sz w:val="20"/>
          <w:lang w:bidi="ar-TN"/>
        </w:rPr>
        <w:t>n</w:t>
      </w:r>
      <w:r w:rsidRPr="00C24D3E">
        <w:rPr>
          <w:vertAlign w:val="superscript"/>
          <w:lang w:bidi="ar-TN"/>
        </w:rPr>
        <w:t>o</w:t>
      </w:r>
      <w:r>
        <w:rPr>
          <w:sz w:val="20"/>
          <w:lang w:bidi="ar-TN"/>
        </w:rPr>
        <w:t> </w:t>
      </w:r>
      <w:r w:rsidRPr="003E0192">
        <w:rPr>
          <w:lang w:val="fr-FR" w:bidi="ar-TN"/>
        </w:rPr>
        <w:t>2015-50 du 3 décembre 2015 relative à la Cour constitutionnelle.</w:t>
      </w:r>
    </w:p>
  </w:footnote>
  <w:footnote w:id="48">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r>
      <w:hyperlink r:id="rId2" w:tgtFrame="_blank" w:history="1">
        <w:r w:rsidRPr="003E0192">
          <w:rPr>
            <w:lang w:val="fr-FR"/>
          </w:rPr>
          <w:t>L</w:t>
        </w:r>
        <w:r w:rsidRPr="003E0192">
          <w:rPr>
            <w:rFonts w:eastAsia="Traditional Arabic"/>
            <w:lang w:val="fr-FR" w:bidi="ar-TN"/>
          </w:rPr>
          <w:t xml:space="preserve">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67-29 du 14 juillet 1967</w:t>
        </w:r>
      </w:hyperlink>
      <w:r w:rsidRPr="003E0192">
        <w:rPr>
          <w:lang w:val="fr-FR"/>
        </w:rPr>
        <w:t xml:space="preserve"> </w:t>
      </w:r>
      <w:r w:rsidRPr="003E0192">
        <w:rPr>
          <w:rFonts w:eastAsia="Traditional Arabic"/>
          <w:lang w:val="fr-FR" w:bidi="ar-TN"/>
        </w:rPr>
        <w:t>relative au statut des magistrats et au Conseil supérieur de la magistrature.</w:t>
      </w:r>
    </w:p>
  </w:footnote>
  <w:footnote w:id="49">
    <w:p w:rsidR="00911703" w:rsidRPr="003E0192" w:rsidRDefault="00911703" w:rsidP="00C64C6F">
      <w:pPr>
        <w:pStyle w:val="Notedebasdepage"/>
        <w:rPr>
          <w:lang w:val="fr-FR"/>
        </w:rPr>
      </w:pPr>
      <w:r>
        <w:rPr>
          <w:rFonts w:eastAsia="Traditional Arabic"/>
          <w:shd w:val="clear" w:color="auto" w:fill="FFFFFF"/>
          <w:lang w:val="fr-FR"/>
        </w:rPr>
        <w:tab/>
      </w:r>
      <w:r w:rsidRPr="008E5AFE">
        <w:rPr>
          <w:rStyle w:val="Appelnotedebasdep"/>
        </w:rPr>
        <w:footnoteRef/>
      </w:r>
      <w:r w:rsidRPr="003E0192">
        <w:rPr>
          <w:rFonts w:eastAsia="Traditional Arabic"/>
          <w:shd w:val="clear" w:color="auto" w:fill="FFFFFF"/>
          <w:lang w:val="fr-FR"/>
        </w:rPr>
        <w:tab/>
        <w:t xml:space="preserve">Décret </w:t>
      </w:r>
      <w:r w:rsidRPr="00163041">
        <w:rPr>
          <w:sz w:val="20"/>
          <w:lang w:bidi="ar-TN"/>
        </w:rPr>
        <w:t>n</w:t>
      </w:r>
      <w:r w:rsidRPr="00C24D3E">
        <w:rPr>
          <w:vertAlign w:val="superscript"/>
          <w:lang w:bidi="ar-TN"/>
        </w:rPr>
        <w:t>o</w:t>
      </w:r>
      <w:r>
        <w:rPr>
          <w:sz w:val="20"/>
          <w:lang w:bidi="ar-TN"/>
        </w:rPr>
        <w:t> </w:t>
      </w:r>
      <w:r w:rsidRPr="003E0192">
        <w:rPr>
          <w:rFonts w:eastAsia="Traditional Arabic"/>
          <w:shd w:val="clear" w:color="auto" w:fill="FFFFFF"/>
          <w:lang w:val="fr-FR"/>
        </w:rPr>
        <w:t>2013-3234 du 7 août 2013.</w:t>
      </w:r>
    </w:p>
  </w:footnote>
  <w:footnote w:id="50">
    <w:p w:rsidR="00911703" w:rsidRPr="003E0192" w:rsidRDefault="00911703" w:rsidP="00C64C6F">
      <w:pPr>
        <w:pStyle w:val="Notedebasdepage"/>
        <w:rPr>
          <w:lang w:val="fr-FR"/>
        </w:rPr>
      </w:pPr>
      <w:r>
        <w:rPr>
          <w:rFonts w:eastAsia="Traditional Arabic"/>
          <w:shd w:val="clear" w:color="auto" w:fill="FFFFFF"/>
          <w:lang w:val="fr-FR"/>
        </w:rPr>
        <w:tab/>
      </w:r>
      <w:r w:rsidRPr="008E5AFE">
        <w:rPr>
          <w:rStyle w:val="Appelnotedebasdep"/>
        </w:rPr>
        <w:footnoteRef/>
      </w:r>
      <w:r w:rsidRPr="003E0192">
        <w:rPr>
          <w:rFonts w:eastAsia="Traditional Arabic"/>
          <w:shd w:val="clear" w:color="auto" w:fill="FFFFFF"/>
          <w:lang w:val="fr-FR"/>
        </w:rPr>
        <w:tab/>
        <w:t xml:space="preserve">Décret </w:t>
      </w:r>
      <w:r w:rsidRPr="00163041">
        <w:rPr>
          <w:sz w:val="20"/>
          <w:lang w:bidi="ar-TN"/>
        </w:rPr>
        <w:t>n</w:t>
      </w:r>
      <w:r w:rsidRPr="00C24D3E">
        <w:rPr>
          <w:vertAlign w:val="superscript"/>
          <w:lang w:bidi="ar-TN"/>
        </w:rPr>
        <w:t>o</w:t>
      </w:r>
      <w:r>
        <w:rPr>
          <w:sz w:val="20"/>
          <w:lang w:bidi="ar-TN"/>
        </w:rPr>
        <w:t> </w:t>
      </w:r>
      <w:r w:rsidRPr="003E0192">
        <w:rPr>
          <w:rFonts w:eastAsia="Traditional Arabic"/>
          <w:shd w:val="clear" w:color="auto" w:fill="FFFFFF"/>
          <w:lang w:val="fr-FR"/>
        </w:rPr>
        <w:t>2013-3771 du 19 septembre 2013.</w:t>
      </w:r>
    </w:p>
  </w:footnote>
  <w:footnote w:id="51">
    <w:p w:rsidR="00911703" w:rsidRPr="003E0192" w:rsidRDefault="00911703" w:rsidP="00C64C6F">
      <w:pPr>
        <w:pStyle w:val="Notedebasdepage"/>
        <w:rPr>
          <w:lang w:val="fr-FR"/>
        </w:rPr>
      </w:pPr>
      <w:r>
        <w:rPr>
          <w:rFonts w:eastAsia="Traditional Arabic"/>
          <w:spacing w:val="-2"/>
          <w:lang w:val="fr-FR" w:bidi="ar-TN"/>
        </w:rPr>
        <w:tab/>
      </w:r>
      <w:r w:rsidRPr="008E5AFE">
        <w:rPr>
          <w:rStyle w:val="Appelnotedebasdep"/>
        </w:rPr>
        <w:footnoteRef/>
      </w:r>
      <w:r w:rsidRPr="003E0192">
        <w:rPr>
          <w:rFonts w:eastAsia="Traditional Arabic"/>
          <w:spacing w:val="-2"/>
          <w:lang w:val="fr-FR" w:bidi="ar-TN"/>
        </w:rPr>
        <w:tab/>
        <w:t>D</w:t>
      </w:r>
      <w:r w:rsidRPr="003E0192">
        <w:rPr>
          <w:rFonts w:eastAsia="Traditional Arabic"/>
          <w:spacing w:val="-2"/>
          <w:lang w:val="fr-FR"/>
        </w:rPr>
        <w:t xml:space="preserve">écret </w:t>
      </w:r>
      <w:r w:rsidRPr="00163041">
        <w:rPr>
          <w:sz w:val="20"/>
          <w:lang w:bidi="ar-TN"/>
        </w:rPr>
        <w:t>n</w:t>
      </w:r>
      <w:r w:rsidRPr="00C24D3E">
        <w:rPr>
          <w:vertAlign w:val="superscript"/>
          <w:lang w:bidi="ar-TN"/>
        </w:rPr>
        <w:t>o</w:t>
      </w:r>
      <w:r>
        <w:rPr>
          <w:sz w:val="20"/>
          <w:lang w:bidi="ar-TN"/>
        </w:rPr>
        <w:t> </w:t>
      </w:r>
      <w:r w:rsidRPr="003E0192">
        <w:rPr>
          <w:rFonts w:eastAsia="Traditional Arabic"/>
          <w:spacing w:val="-2"/>
          <w:lang w:val="fr-FR"/>
        </w:rPr>
        <w:t>2009-2287 du 31 juillet 2009 fixant la compétence territoriale des tribunaux cantonaux.</w:t>
      </w:r>
    </w:p>
  </w:footnote>
  <w:footnote w:id="52">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r>
      <w:hyperlink r:id="rId3" w:tgtFrame="_blank" w:history="1">
        <w:r w:rsidRPr="003E0192">
          <w:rPr>
            <w:rFonts w:eastAsia="Traditional Arabic"/>
            <w:lang w:val="fr-FR" w:bidi="ar-TN"/>
          </w:rPr>
          <w:t>Loi du 1</w:t>
        </w:r>
        <w:r w:rsidRPr="003E0192">
          <w:rPr>
            <w:rFonts w:eastAsia="Traditional Arabic"/>
            <w:vertAlign w:val="superscript"/>
            <w:lang w:val="fr-FR" w:bidi="ar-TN"/>
          </w:rPr>
          <w:t>er</w:t>
        </w:r>
        <w:r w:rsidRPr="003E0192">
          <w:rPr>
            <w:rFonts w:eastAsia="Traditional Arabic"/>
            <w:lang w:val="fr-FR" w:bidi="ar-TN"/>
          </w:rPr>
          <w:t xml:space="preserve"> juillet 1885</w:t>
        </w:r>
      </w:hyperlink>
      <w:r w:rsidRPr="003E0192">
        <w:rPr>
          <w:lang w:val="fr-FR" w:bidi="ar-TN"/>
        </w:rPr>
        <w:t> </w:t>
      </w:r>
      <w:r w:rsidRPr="003E0192">
        <w:rPr>
          <w:rFonts w:eastAsia="Traditional Arabic"/>
          <w:lang w:val="fr-FR" w:bidi="ar-TN"/>
        </w:rPr>
        <w:t xml:space="preserve">relative à la propriété foncière. </w:t>
      </w:r>
    </w:p>
  </w:footnote>
  <w:footnote w:id="53">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r>
      <w:hyperlink r:id="rId4" w:tgtFrame="_blank" w:history="1">
        <w:r w:rsidRPr="003E0192">
          <w:rPr>
            <w:rFonts w:eastAsia="Traditional Arabic"/>
            <w:lang w:val="fr-FR"/>
          </w:rPr>
          <w:t>D</w:t>
        </w:r>
        <w:r w:rsidRPr="003E0192">
          <w:rPr>
            <w:rFonts w:eastAsia="Traditional Arabic"/>
            <w:lang w:val="fr-FR" w:bidi="ar-TN"/>
          </w:rPr>
          <w:t>écret du 19 février 195</w:t>
        </w:r>
        <w:r w:rsidRPr="003E0192">
          <w:rPr>
            <w:rFonts w:eastAsia="Traditional Arabic"/>
            <w:lang w:val="fr-FR"/>
          </w:rPr>
          <w:t>7</w:t>
        </w:r>
      </w:hyperlink>
      <w:r w:rsidRPr="003E0192">
        <w:rPr>
          <w:rFonts w:eastAsia="Traditional Arabic"/>
          <w:lang w:val="fr-FR"/>
        </w:rPr>
        <w:t>.</w:t>
      </w:r>
    </w:p>
  </w:footnote>
  <w:footnote w:id="54">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72-40 du 1</w:t>
      </w:r>
      <w:r w:rsidRPr="003E0192">
        <w:rPr>
          <w:rFonts w:eastAsia="Traditional Arabic"/>
          <w:vertAlign w:val="superscript"/>
          <w:lang w:val="fr-FR" w:bidi="ar-TN"/>
        </w:rPr>
        <w:t>er</w:t>
      </w:r>
      <w:r w:rsidRPr="003E0192">
        <w:rPr>
          <w:rFonts w:eastAsia="Traditional Arabic"/>
          <w:lang w:val="fr-FR" w:bidi="ar-TN"/>
        </w:rPr>
        <w:t xml:space="preserve"> juin 1972 relative au Tribunal administratif.</w:t>
      </w:r>
    </w:p>
  </w:footnote>
  <w:footnote w:id="55">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68-8 du 8 mars 1968.</w:t>
      </w:r>
    </w:p>
  </w:footnote>
  <w:footnote w:id="56">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85-74 du 20 juillet 1985.</w:t>
      </w:r>
    </w:p>
  </w:footnote>
  <w:footnote w:id="57">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Promulgué par le décret du 10 janvier 1957.</w:t>
      </w:r>
    </w:p>
  </w:footnote>
  <w:footnote w:id="58">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Décret-loi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2011-70 du 29 juillet 2011.</w:t>
      </w:r>
    </w:p>
  </w:footnote>
  <w:footnote w:id="59">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67-51 du 7 décembre 1967 réglementant la profession bancaire</w:t>
      </w:r>
      <w:r>
        <w:rPr>
          <w:rFonts w:eastAsia="Traditional Arabic"/>
          <w:lang w:val="fr-FR" w:bidi="ar-TN"/>
        </w:rPr>
        <w:t>,</w:t>
      </w:r>
      <w:r w:rsidRPr="003E0192">
        <w:rPr>
          <w:rFonts w:eastAsia="Traditional Arabic"/>
          <w:lang w:val="fr-FR" w:bidi="ar-TN"/>
        </w:rPr>
        <w:t xml:space="preserve"> telle que complétée et modifiée 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94-25 du 7 février 1994.</w:t>
      </w:r>
    </w:p>
  </w:footnote>
  <w:footnote w:id="60">
    <w:p w:rsidR="00911703" w:rsidRPr="003E0192" w:rsidRDefault="00911703" w:rsidP="00C64C6F">
      <w:pPr>
        <w:pStyle w:val="Notedebasdepage"/>
        <w:rPr>
          <w:lang w:val="fr-FR"/>
        </w:rPr>
      </w:pPr>
      <w:r>
        <w:rPr>
          <w:rFonts w:eastAsia="Traditional Arabic"/>
          <w:lang w:val="fr-FR" w:bidi="ar-TN"/>
        </w:rPr>
        <w:tab/>
      </w:r>
      <w:r w:rsidRPr="008E5AFE">
        <w:rPr>
          <w:rStyle w:val="Appelnotedebasdep"/>
        </w:rPr>
        <w:footnoteRef/>
      </w:r>
      <w:r w:rsidRPr="003E0192">
        <w:rPr>
          <w:rFonts w:eastAsia="Traditional Arabic"/>
          <w:lang w:val="fr-FR" w:bidi="ar-TN"/>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91-64 du 29 juillet 1991 relative à la concurrence et aux prix</w:t>
      </w:r>
      <w:r>
        <w:rPr>
          <w:rFonts w:eastAsia="Traditional Arabic"/>
          <w:lang w:val="fr-FR" w:bidi="ar-TN"/>
        </w:rPr>
        <w:t>,</w:t>
      </w:r>
      <w:r w:rsidRPr="003E0192">
        <w:rPr>
          <w:rFonts w:eastAsia="Traditional Arabic"/>
          <w:lang w:val="fr-FR" w:bidi="ar-TN"/>
        </w:rPr>
        <w:t xml:space="preserve"> complétée et modifiée par la 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bidi="ar-TN"/>
        </w:rPr>
        <w:t>2005-60 du 18 juillet 2005.</w:t>
      </w:r>
    </w:p>
  </w:footnote>
  <w:footnote w:id="61">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94-117 du 14 novembre 1994 portant réorganisation du marché financier.</w:t>
      </w:r>
    </w:p>
  </w:footnote>
  <w:footnote w:id="62">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2001-1 du 15 janvier 2001 portant promulgation du Code des télécommunications.</w:t>
      </w:r>
    </w:p>
  </w:footnote>
  <w:footnote w:id="63">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Loi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2003-75 du 10 décembre 2003 r</w:t>
      </w:r>
      <w:r w:rsidRPr="003E0192">
        <w:rPr>
          <w:rFonts w:eastAsia="Traditional Arabic"/>
          <w:lang w:val="fr-FR" w:bidi="ar-TN"/>
        </w:rPr>
        <w:t>elative au soutien des efforts internationaux de lutte contre le terrorisme et à la répression du blanchiment d</w:t>
      </w:r>
      <w:r>
        <w:rPr>
          <w:rFonts w:eastAsia="Traditional Arabic"/>
          <w:lang w:val="fr-FR" w:bidi="ar-TN"/>
        </w:rPr>
        <w:t>’</w:t>
      </w:r>
      <w:r w:rsidRPr="003E0192">
        <w:rPr>
          <w:rFonts w:eastAsia="Traditional Arabic"/>
          <w:lang w:val="fr-FR" w:bidi="ar-TN"/>
        </w:rPr>
        <w:t>argent.</w:t>
      </w:r>
    </w:p>
  </w:footnote>
  <w:footnote w:id="64">
    <w:p w:rsidR="00911703" w:rsidRPr="003E0192" w:rsidRDefault="00911703" w:rsidP="00C64C6F">
      <w:pPr>
        <w:pStyle w:val="Notedebasdepage"/>
        <w:rPr>
          <w:lang w:val="fr-FR"/>
        </w:rPr>
      </w:pPr>
      <w:r>
        <w:rPr>
          <w:lang w:val="fr-FR"/>
        </w:rPr>
        <w:tab/>
      </w:r>
      <w:r w:rsidRPr="008E5AFE">
        <w:rPr>
          <w:rStyle w:val="Appelnotedebasdep"/>
        </w:rPr>
        <w:footnoteRef/>
      </w:r>
      <w:r w:rsidRPr="003E0192">
        <w:rPr>
          <w:lang w:val="fr-FR"/>
        </w:rPr>
        <w:tab/>
        <w:t xml:space="preserve">Loi organique </w:t>
      </w:r>
      <w:r w:rsidRPr="00163041">
        <w:rPr>
          <w:sz w:val="20"/>
          <w:lang w:bidi="ar-TN"/>
        </w:rPr>
        <w:t>n</w:t>
      </w:r>
      <w:r w:rsidRPr="00C24D3E">
        <w:rPr>
          <w:vertAlign w:val="superscript"/>
          <w:lang w:bidi="ar-TN"/>
        </w:rPr>
        <w:t>o</w:t>
      </w:r>
      <w:r>
        <w:rPr>
          <w:sz w:val="20"/>
          <w:lang w:bidi="ar-TN"/>
        </w:rPr>
        <w:t> </w:t>
      </w:r>
      <w:r w:rsidRPr="003E0192">
        <w:rPr>
          <w:lang w:val="fr-FR"/>
        </w:rPr>
        <w:t>2015-26 du 7 août 2015 relative à la lutte contre le terrorisme et à la répression du blanchiment d</w:t>
      </w:r>
      <w:r>
        <w:rPr>
          <w:lang w:val="fr-FR"/>
        </w:rPr>
        <w:t>’</w:t>
      </w:r>
      <w:r w:rsidRPr="003E0192">
        <w:rPr>
          <w:lang w:val="fr-FR"/>
        </w:rPr>
        <w:t>argent.</w:t>
      </w:r>
    </w:p>
  </w:footnote>
  <w:footnote w:id="65">
    <w:p w:rsidR="00911703" w:rsidRPr="003E0192" w:rsidRDefault="00911703" w:rsidP="00C64C6F">
      <w:pPr>
        <w:pStyle w:val="Notedebasdepage"/>
        <w:rPr>
          <w:lang w:val="fr-FR"/>
        </w:rPr>
      </w:pPr>
      <w:r>
        <w:rPr>
          <w:rFonts w:eastAsia="Traditional Arabic"/>
          <w:lang w:val="fr-FR"/>
        </w:rPr>
        <w:tab/>
      </w:r>
      <w:r w:rsidRPr="008E5AFE">
        <w:rPr>
          <w:rStyle w:val="Appelnotedebasdep"/>
        </w:rPr>
        <w:footnoteRef/>
      </w:r>
      <w:r w:rsidRPr="003E0192">
        <w:rPr>
          <w:rFonts w:eastAsia="Traditional Arabic"/>
          <w:lang w:val="fr-FR"/>
        </w:rPr>
        <w:tab/>
        <w:t xml:space="preserve">Décret </w:t>
      </w:r>
      <w:r w:rsidRPr="00163041">
        <w:rPr>
          <w:sz w:val="20"/>
          <w:lang w:bidi="ar-TN"/>
        </w:rPr>
        <w:t>n</w:t>
      </w:r>
      <w:r w:rsidRPr="00C24D3E">
        <w:rPr>
          <w:vertAlign w:val="superscript"/>
          <w:lang w:bidi="ar-TN"/>
        </w:rPr>
        <w:t>o</w:t>
      </w:r>
      <w:r>
        <w:rPr>
          <w:sz w:val="20"/>
          <w:lang w:bidi="ar-TN"/>
        </w:rPr>
        <w:t> </w:t>
      </w:r>
      <w:r w:rsidRPr="003E0192">
        <w:rPr>
          <w:rFonts w:eastAsia="Traditional Arabic"/>
          <w:lang w:val="fr-FR"/>
        </w:rPr>
        <w:t>92-2143 du 10 décembre 1992 organisant les services du médiateur</w:t>
      </w:r>
      <w:r>
        <w:rPr>
          <w:rFonts w:eastAsia="Traditional Arabic"/>
          <w:lang w:val="fr-FR"/>
        </w:rPr>
        <w:t>,</w:t>
      </w:r>
      <w:r w:rsidRPr="003E0192">
        <w:rPr>
          <w:rFonts w:eastAsia="Traditional Arabic"/>
          <w:lang w:val="fr-FR"/>
        </w:rPr>
        <w:t xml:space="preserve"> fixant leurs attributions et réglementant leur fonctionnement.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03" w:rsidRPr="000573C6" w:rsidRDefault="00911703" w:rsidP="000573C6">
    <w:pPr>
      <w:pStyle w:val="En-tte"/>
      <w:suppressAutoHyphens w:val="0"/>
      <w:rPr>
        <w:rFonts w:eastAsiaTheme="minorHAnsi"/>
        <w:bCs/>
        <w:lang w:eastAsia="es-ES"/>
      </w:rPr>
    </w:pPr>
    <w:r w:rsidRPr="000573C6">
      <w:rPr>
        <w:rFonts w:eastAsiaTheme="minorHAnsi"/>
        <w:bCs/>
        <w:lang w:eastAsia="es-ES"/>
      </w:rPr>
      <w:t>HRI/CORE/TUN/2016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03" w:rsidRPr="00CD4EC3" w:rsidRDefault="00911703" w:rsidP="00CD4EC3">
    <w:pPr>
      <w:pStyle w:val="En-tte"/>
      <w:suppressAutoHyphens w:val="0"/>
      <w:jc w:val="right"/>
      <w:rPr>
        <w:rFonts w:eastAsiaTheme="minorHAnsi"/>
        <w:bCs/>
        <w:lang w:eastAsia="es-ES"/>
      </w:rPr>
    </w:pPr>
    <w:r w:rsidRPr="00CD4EC3">
      <w:rPr>
        <w:rFonts w:eastAsiaTheme="minorHAnsi"/>
        <w:bCs/>
        <w:lang w:eastAsia="es-ES"/>
      </w:rPr>
      <w:t>HRI/CORE/TUN/2016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8AE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18F4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FA50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54C7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AE78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B64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007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F017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2406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54CBD2"/>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3AA4142"/>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A75D52"/>
    <w:multiLevelType w:val="hybridMultilevel"/>
    <w:tmpl w:val="AF6C6348"/>
    <w:lvl w:ilvl="0" w:tplc="308CB36A">
      <w:start w:val="1"/>
      <w:numFmt w:val="decimal"/>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606677A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2"/>
  </w:num>
  <w:num w:numId="2">
    <w:abstractNumId w:val="1"/>
  </w:num>
  <w:num w:numId="3">
    <w:abstractNumId w:val="0"/>
  </w:num>
  <w:num w:numId="4">
    <w:abstractNumId w:val="19"/>
  </w:num>
  <w:num w:numId="5">
    <w:abstractNumId w:val="15"/>
  </w:num>
  <w:num w:numId="6">
    <w:abstractNumId w:val="6"/>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5"/>
  </w:num>
  <w:num w:numId="15">
    <w:abstractNumId w:val="4"/>
  </w:num>
  <w:num w:numId="16">
    <w:abstractNumId w:val="14"/>
  </w:num>
  <w:num w:numId="17">
    <w:abstractNumId w:val="13"/>
  </w:num>
  <w:num w:numId="18">
    <w:abstractNumId w:val="10"/>
  </w:num>
  <w:num w:numId="19">
    <w:abstractNumId w:val="17"/>
  </w:num>
  <w:num w:numId="20">
    <w:abstractNumId w:val="12"/>
  </w:num>
  <w:num w:numId="21">
    <w:abstractNumId w:val="11"/>
  </w:num>
  <w:num w:numId="22">
    <w:abstractNumId w:val="18"/>
  </w:num>
  <w:num w:numId="23">
    <w:abstractNumId w:val="16"/>
  </w:num>
  <w:num w:numId="24">
    <w:abstractNumId w:val="18"/>
  </w:num>
  <w:num w:numId="25">
    <w:abstractNumId w:val="16"/>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52"/>
    <w:rsid w:val="0000288E"/>
    <w:rsid w:val="00002F6D"/>
    <w:rsid w:val="00033C1E"/>
    <w:rsid w:val="000361D7"/>
    <w:rsid w:val="00044209"/>
    <w:rsid w:val="0005234D"/>
    <w:rsid w:val="000573C6"/>
    <w:rsid w:val="00067D97"/>
    <w:rsid w:val="00091549"/>
    <w:rsid w:val="000D1C73"/>
    <w:rsid w:val="000D1F54"/>
    <w:rsid w:val="000D69BD"/>
    <w:rsid w:val="000E60CD"/>
    <w:rsid w:val="000E655B"/>
    <w:rsid w:val="001022BD"/>
    <w:rsid w:val="001061C9"/>
    <w:rsid w:val="00114F56"/>
    <w:rsid w:val="00121464"/>
    <w:rsid w:val="00126D89"/>
    <w:rsid w:val="00127D06"/>
    <w:rsid w:val="00135FBF"/>
    <w:rsid w:val="001368F9"/>
    <w:rsid w:val="00152E73"/>
    <w:rsid w:val="00163041"/>
    <w:rsid w:val="0017491D"/>
    <w:rsid w:val="00175BE9"/>
    <w:rsid w:val="0019272B"/>
    <w:rsid w:val="001A7739"/>
    <w:rsid w:val="001B3471"/>
    <w:rsid w:val="001B5120"/>
    <w:rsid w:val="001D3278"/>
    <w:rsid w:val="001E2177"/>
    <w:rsid w:val="001E52AA"/>
    <w:rsid w:val="002009DA"/>
    <w:rsid w:val="00213C22"/>
    <w:rsid w:val="00254C05"/>
    <w:rsid w:val="0026005D"/>
    <w:rsid w:val="002732E6"/>
    <w:rsid w:val="00277DF9"/>
    <w:rsid w:val="00280BF2"/>
    <w:rsid w:val="00282ADC"/>
    <w:rsid w:val="0029455B"/>
    <w:rsid w:val="002C07AE"/>
    <w:rsid w:val="002C457C"/>
    <w:rsid w:val="002E319A"/>
    <w:rsid w:val="002F015E"/>
    <w:rsid w:val="002F496B"/>
    <w:rsid w:val="00320322"/>
    <w:rsid w:val="0032217B"/>
    <w:rsid w:val="00325EBB"/>
    <w:rsid w:val="00337451"/>
    <w:rsid w:val="00346570"/>
    <w:rsid w:val="00350C66"/>
    <w:rsid w:val="00352097"/>
    <w:rsid w:val="0035704B"/>
    <w:rsid w:val="003612FC"/>
    <w:rsid w:val="003614A9"/>
    <w:rsid w:val="003836D0"/>
    <w:rsid w:val="00391782"/>
    <w:rsid w:val="00395E89"/>
    <w:rsid w:val="00397B16"/>
    <w:rsid w:val="003C4049"/>
    <w:rsid w:val="003D6F30"/>
    <w:rsid w:val="003E0192"/>
    <w:rsid w:val="003E0E14"/>
    <w:rsid w:val="003E2DC9"/>
    <w:rsid w:val="003F099C"/>
    <w:rsid w:val="003F41B1"/>
    <w:rsid w:val="003F79B2"/>
    <w:rsid w:val="003F7D7B"/>
    <w:rsid w:val="00402FB2"/>
    <w:rsid w:val="00404595"/>
    <w:rsid w:val="00407191"/>
    <w:rsid w:val="004360C4"/>
    <w:rsid w:val="00446841"/>
    <w:rsid w:val="00453190"/>
    <w:rsid w:val="00460052"/>
    <w:rsid w:val="004739E1"/>
    <w:rsid w:val="004A1CF2"/>
    <w:rsid w:val="004B686D"/>
    <w:rsid w:val="004E4325"/>
    <w:rsid w:val="004F42F0"/>
    <w:rsid w:val="00515E3C"/>
    <w:rsid w:val="00516AF4"/>
    <w:rsid w:val="00523561"/>
    <w:rsid w:val="005344EE"/>
    <w:rsid w:val="00545FF5"/>
    <w:rsid w:val="00547CB1"/>
    <w:rsid w:val="00554B37"/>
    <w:rsid w:val="005627B3"/>
    <w:rsid w:val="005922F0"/>
    <w:rsid w:val="0059392A"/>
    <w:rsid w:val="005977E0"/>
    <w:rsid w:val="005A096F"/>
    <w:rsid w:val="005C4E13"/>
    <w:rsid w:val="005D132F"/>
    <w:rsid w:val="005E7D74"/>
    <w:rsid w:val="005F28B2"/>
    <w:rsid w:val="006134C3"/>
    <w:rsid w:val="006234B7"/>
    <w:rsid w:val="00623DFB"/>
    <w:rsid w:val="006305D4"/>
    <w:rsid w:val="00641DAB"/>
    <w:rsid w:val="00643DBB"/>
    <w:rsid w:val="006476DA"/>
    <w:rsid w:val="00655F8D"/>
    <w:rsid w:val="00670034"/>
    <w:rsid w:val="006811A9"/>
    <w:rsid w:val="00686BD4"/>
    <w:rsid w:val="006B052E"/>
    <w:rsid w:val="006B56A4"/>
    <w:rsid w:val="006F2D62"/>
    <w:rsid w:val="00702E47"/>
    <w:rsid w:val="007365FE"/>
    <w:rsid w:val="007414D3"/>
    <w:rsid w:val="00750271"/>
    <w:rsid w:val="007548AE"/>
    <w:rsid w:val="00755707"/>
    <w:rsid w:val="0077218C"/>
    <w:rsid w:val="00790997"/>
    <w:rsid w:val="007A27BA"/>
    <w:rsid w:val="007C1077"/>
    <w:rsid w:val="007D1D19"/>
    <w:rsid w:val="00803B40"/>
    <w:rsid w:val="0081107A"/>
    <w:rsid w:val="0082038B"/>
    <w:rsid w:val="00821D08"/>
    <w:rsid w:val="00885CC2"/>
    <w:rsid w:val="008862E8"/>
    <w:rsid w:val="00887F2D"/>
    <w:rsid w:val="00897D92"/>
    <w:rsid w:val="008B10D1"/>
    <w:rsid w:val="008B492A"/>
    <w:rsid w:val="008C2D59"/>
    <w:rsid w:val="008C50B7"/>
    <w:rsid w:val="008E5AFE"/>
    <w:rsid w:val="008F0EAD"/>
    <w:rsid w:val="009052AE"/>
    <w:rsid w:val="00911703"/>
    <w:rsid w:val="009163AA"/>
    <w:rsid w:val="00937324"/>
    <w:rsid w:val="00942257"/>
    <w:rsid w:val="00946B46"/>
    <w:rsid w:val="00951598"/>
    <w:rsid w:val="009519D4"/>
    <w:rsid w:val="00956A38"/>
    <w:rsid w:val="009676EC"/>
    <w:rsid w:val="00971B34"/>
    <w:rsid w:val="00980159"/>
    <w:rsid w:val="0098442E"/>
    <w:rsid w:val="009935AB"/>
    <w:rsid w:val="009C4E8A"/>
    <w:rsid w:val="009E2286"/>
    <w:rsid w:val="009E4F15"/>
    <w:rsid w:val="009E750C"/>
    <w:rsid w:val="00A0597E"/>
    <w:rsid w:val="00A11AD9"/>
    <w:rsid w:val="00A14A1A"/>
    <w:rsid w:val="00A16914"/>
    <w:rsid w:val="00A203AE"/>
    <w:rsid w:val="00A4454C"/>
    <w:rsid w:val="00A46C27"/>
    <w:rsid w:val="00A64EBC"/>
    <w:rsid w:val="00A678DC"/>
    <w:rsid w:val="00A774BF"/>
    <w:rsid w:val="00A94F8D"/>
    <w:rsid w:val="00AA2A9E"/>
    <w:rsid w:val="00AB3074"/>
    <w:rsid w:val="00AB58D0"/>
    <w:rsid w:val="00AB7543"/>
    <w:rsid w:val="00AC36E1"/>
    <w:rsid w:val="00AC3917"/>
    <w:rsid w:val="00AE1375"/>
    <w:rsid w:val="00AF4E55"/>
    <w:rsid w:val="00AF5872"/>
    <w:rsid w:val="00B0220F"/>
    <w:rsid w:val="00B300E8"/>
    <w:rsid w:val="00B323C4"/>
    <w:rsid w:val="00B429ED"/>
    <w:rsid w:val="00B464F1"/>
    <w:rsid w:val="00B6125F"/>
    <w:rsid w:val="00B626D6"/>
    <w:rsid w:val="00B80F9C"/>
    <w:rsid w:val="00B83368"/>
    <w:rsid w:val="00B84559"/>
    <w:rsid w:val="00B92171"/>
    <w:rsid w:val="00BA4875"/>
    <w:rsid w:val="00BB3FBC"/>
    <w:rsid w:val="00BE5196"/>
    <w:rsid w:val="00BE54C0"/>
    <w:rsid w:val="00C11212"/>
    <w:rsid w:val="00C1453E"/>
    <w:rsid w:val="00C17E19"/>
    <w:rsid w:val="00C207B9"/>
    <w:rsid w:val="00C24D3E"/>
    <w:rsid w:val="00C25C4B"/>
    <w:rsid w:val="00C264BF"/>
    <w:rsid w:val="00C270C6"/>
    <w:rsid w:val="00C31FCD"/>
    <w:rsid w:val="00C435C8"/>
    <w:rsid w:val="00C6161B"/>
    <w:rsid w:val="00C64C6F"/>
    <w:rsid w:val="00C736C5"/>
    <w:rsid w:val="00C86DFD"/>
    <w:rsid w:val="00C9186D"/>
    <w:rsid w:val="00C9668D"/>
    <w:rsid w:val="00CA5037"/>
    <w:rsid w:val="00CB230F"/>
    <w:rsid w:val="00CB3C60"/>
    <w:rsid w:val="00CC112C"/>
    <w:rsid w:val="00CC5240"/>
    <w:rsid w:val="00CD4EC3"/>
    <w:rsid w:val="00CF6817"/>
    <w:rsid w:val="00D14DB4"/>
    <w:rsid w:val="00D22E11"/>
    <w:rsid w:val="00D24399"/>
    <w:rsid w:val="00D64C0C"/>
    <w:rsid w:val="00D70F1F"/>
    <w:rsid w:val="00D74D40"/>
    <w:rsid w:val="00D90449"/>
    <w:rsid w:val="00D906A6"/>
    <w:rsid w:val="00DC07F3"/>
    <w:rsid w:val="00DF067B"/>
    <w:rsid w:val="00E16237"/>
    <w:rsid w:val="00E305E2"/>
    <w:rsid w:val="00E35D02"/>
    <w:rsid w:val="00E459A2"/>
    <w:rsid w:val="00E710BA"/>
    <w:rsid w:val="00EA4FE8"/>
    <w:rsid w:val="00EA576F"/>
    <w:rsid w:val="00EC4B21"/>
    <w:rsid w:val="00EC7F0F"/>
    <w:rsid w:val="00EE3CB4"/>
    <w:rsid w:val="00F06941"/>
    <w:rsid w:val="00F10626"/>
    <w:rsid w:val="00F114C7"/>
    <w:rsid w:val="00F1203B"/>
    <w:rsid w:val="00F53A1C"/>
    <w:rsid w:val="00F61D95"/>
    <w:rsid w:val="00F66ACB"/>
    <w:rsid w:val="00F76C4A"/>
    <w:rsid w:val="00F87520"/>
    <w:rsid w:val="00FB05A9"/>
    <w:rsid w:val="00FB2CE6"/>
    <w:rsid w:val="00FB7C3B"/>
    <w:rsid w:val="00FC3157"/>
    <w:rsid w:val="00FC48E7"/>
    <w:rsid w:val="00FD3A6B"/>
    <w:rsid w:val="00FD4A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locked="1" w:qFormat="1"/>
    <w:lsdException w:name="footer" w:locked="1" w:qFormat="1"/>
    <w:lsdException w:name="index heading" w:locked="1"/>
    <w:lsdException w:name="caption" w:locked="1" w:qFormat="1"/>
    <w:lsdException w:name="table of figures" w:locked="1"/>
    <w:lsdException w:name="footnote reference" w:locked="1"/>
    <w:lsdException w:name="annotation reference" w:uiPriority="99"/>
    <w:lsdException w:name="page number" w:locked="1"/>
    <w:lsdException w:name="endnote text" w:locked="1"/>
    <w:lsdException w:name="table of authorities" w:locked="1"/>
    <w:lsdException w:name="macro" w:locked="1"/>
    <w:lsdException w:name="toa heading" w:locked="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Document Map" w:locked="1"/>
    <w:lsdException w:name="HTML Top of Form" w:locked="1"/>
    <w:lsdException w:name="HTML Bottom of Form" w:locked="1"/>
    <w:lsdException w:name="Normal (Web)" w:locked="1"/>
    <w:lsdException w:name="Normal Table" w:locked="1"/>
    <w:lsdException w:name="annotation subject" w:locked="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0D1"/>
    <w:pPr>
      <w:suppressAutoHyphens/>
      <w:spacing w:line="240" w:lineRule="atLeast"/>
    </w:pPr>
    <w:rPr>
      <w:rFonts w:ascii="Times New Roman" w:hAnsi="Times New Roman" w:cs="Times New Roman"/>
      <w:lang w:eastAsia="en-US"/>
    </w:rPr>
  </w:style>
  <w:style w:type="paragraph" w:styleId="Titre1">
    <w:name w:val="heading 1"/>
    <w:aliases w:val="Table_G"/>
    <w:basedOn w:val="SingleTxtG"/>
    <w:next w:val="SingleTxtG"/>
    <w:link w:val="Titre1Car"/>
    <w:qFormat/>
    <w:rsid w:val="008B10D1"/>
    <w:pPr>
      <w:keepNext/>
      <w:keepLines/>
      <w:spacing w:after="0" w:line="240" w:lineRule="auto"/>
      <w:ind w:right="0"/>
      <w:jc w:val="left"/>
      <w:outlineLvl w:val="0"/>
    </w:pPr>
  </w:style>
  <w:style w:type="paragraph" w:styleId="Titre2">
    <w:name w:val="heading 2"/>
    <w:basedOn w:val="Normal"/>
    <w:next w:val="Normal"/>
    <w:link w:val="Titre2Car"/>
    <w:qFormat/>
    <w:rsid w:val="008B10D1"/>
    <w:pPr>
      <w:outlineLvl w:val="1"/>
    </w:pPr>
  </w:style>
  <w:style w:type="paragraph" w:styleId="Titre3">
    <w:name w:val="heading 3"/>
    <w:basedOn w:val="Normal"/>
    <w:next w:val="Normal"/>
    <w:link w:val="Titre3Car"/>
    <w:qFormat/>
    <w:rsid w:val="008B10D1"/>
    <w:pPr>
      <w:outlineLvl w:val="2"/>
    </w:pPr>
  </w:style>
  <w:style w:type="paragraph" w:styleId="Titre4">
    <w:name w:val="heading 4"/>
    <w:basedOn w:val="Normal"/>
    <w:next w:val="Normal"/>
    <w:link w:val="Titre4Car"/>
    <w:qFormat/>
    <w:rsid w:val="008B10D1"/>
    <w:pPr>
      <w:outlineLvl w:val="3"/>
    </w:pPr>
  </w:style>
  <w:style w:type="paragraph" w:styleId="Titre5">
    <w:name w:val="heading 5"/>
    <w:basedOn w:val="Normal"/>
    <w:next w:val="Normal"/>
    <w:link w:val="Titre5Car"/>
    <w:qFormat/>
    <w:rsid w:val="008B10D1"/>
    <w:pPr>
      <w:outlineLvl w:val="4"/>
    </w:pPr>
  </w:style>
  <w:style w:type="paragraph" w:styleId="Titre6">
    <w:name w:val="heading 6"/>
    <w:basedOn w:val="Normal"/>
    <w:next w:val="Normal"/>
    <w:link w:val="Titre6Car"/>
    <w:qFormat/>
    <w:rsid w:val="008B10D1"/>
    <w:pPr>
      <w:outlineLvl w:val="5"/>
    </w:pPr>
  </w:style>
  <w:style w:type="paragraph" w:styleId="Titre7">
    <w:name w:val="heading 7"/>
    <w:basedOn w:val="Normal"/>
    <w:next w:val="Normal"/>
    <w:link w:val="Titre7Car"/>
    <w:qFormat/>
    <w:rsid w:val="008B10D1"/>
    <w:pPr>
      <w:outlineLvl w:val="6"/>
    </w:pPr>
  </w:style>
  <w:style w:type="paragraph" w:styleId="Titre8">
    <w:name w:val="heading 8"/>
    <w:basedOn w:val="Normal"/>
    <w:next w:val="Normal"/>
    <w:link w:val="Titre8Car"/>
    <w:qFormat/>
    <w:rsid w:val="008B10D1"/>
    <w:pPr>
      <w:outlineLvl w:val="7"/>
    </w:pPr>
  </w:style>
  <w:style w:type="paragraph" w:styleId="Titre9">
    <w:name w:val="heading 9"/>
    <w:basedOn w:val="Normal"/>
    <w:next w:val="Normal"/>
    <w:link w:val="Titre9Car"/>
    <w:qFormat/>
    <w:rsid w:val="008B10D1"/>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B10D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B10D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B10D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B10D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10D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10D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B10D1"/>
    <w:pPr>
      <w:spacing w:after="120"/>
      <w:ind w:left="1134" w:right="1134"/>
      <w:jc w:val="both"/>
    </w:pPr>
  </w:style>
  <w:style w:type="paragraph" w:customStyle="1" w:styleId="Bullet1G">
    <w:name w:val="_Bullet 1_G"/>
    <w:basedOn w:val="Normal"/>
    <w:rsid w:val="008B10D1"/>
    <w:pPr>
      <w:numPr>
        <w:numId w:val="24"/>
      </w:numPr>
      <w:spacing w:after="120"/>
      <w:ind w:right="1134"/>
      <w:jc w:val="both"/>
    </w:pPr>
  </w:style>
  <w:style w:type="paragraph" w:customStyle="1" w:styleId="Bullet2G">
    <w:name w:val="_Bullet 2_G"/>
    <w:basedOn w:val="Normal"/>
    <w:rsid w:val="008B10D1"/>
    <w:pPr>
      <w:numPr>
        <w:numId w:val="25"/>
      </w:numPr>
      <w:spacing w:after="120"/>
      <w:ind w:right="1134"/>
      <w:jc w:val="both"/>
    </w:pPr>
  </w:style>
  <w:style w:type="character" w:styleId="Appelnotedebasdep">
    <w:name w:val="footnote reference"/>
    <w:aliases w:val="4_G"/>
    <w:basedOn w:val="Policepardfaut"/>
    <w:locked/>
    <w:rsid w:val="008B10D1"/>
    <w:rPr>
      <w:rFonts w:ascii="Times New Roman" w:hAnsi="Times New Roman"/>
      <w:sz w:val="18"/>
      <w:vertAlign w:val="superscript"/>
      <w:lang w:val="fr-CH"/>
    </w:rPr>
  </w:style>
  <w:style w:type="character" w:styleId="Appeldenotedefin">
    <w:name w:val="endnote reference"/>
    <w:aliases w:val="1_G"/>
    <w:basedOn w:val="Appelnotedebasdep"/>
    <w:rsid w:val="008B10D1"/>
    <w:rPr>
      <w:rFonts w:ascii="Times New Roman" w:hAnsi="Times New Roman"/>
      <w:sz w:val="18"/>
      <w:vertAlign w:val="superscript"/>
      <w:lang w:val="fr-CH"/>
    </w:rPr>
  </w:style>
  <w:style w:type="paragraph" w:styleId="Commentaire">
    <w:name w:val="annotation text"/>
    <w:basedOn w:val="Normal"/>
    <w:link w:val="CommentaireCar"/>
    <w:uiPriority w:val="99"/>
    <w:unhideWhenUsed/>
    <w:rsid w:val="008B10D1"/>
    <w:pPr>
      <w:suppressAutoHyphens w:val="0"/>
      <w:spacing w:after="200" w:line="276" w:lineRule="auto"/>
    </w:pPr>
    <w:rPr>
      <w:rFonts w:ascii="Calibri" w:hAnsi="Calibri"/>
      <w:lang w:val="en-AU" w:eastAsia="en-AU"/>
    </w:rPr>
  </w:style>
  <w:style w:type="character" w:customStyle="1" w:styleId="CommentaireCar">
    <w:name w:val="Commentaire Car"/>
    <w:basedOn w:val="Policepardfaut"/>
    <w:link w:val="Commentaire"/>
    <w:uiPriority w:val="99"/>
    <w:rsid w:val="00790997"/>
    <w:rPr>
      <w:rFonts w:cs="Times New Roman"/>
      <w:lang w:val="en-AU" w:eastAsia="en-AU"/>
    </w:rPr>
  </w:style>
  <w:style w:type="paragraph" w:customStyle="1" w:styleId="Default">
    <w:name w:val="Default"/>
    <w:rsid w:val="008B10D1"/>
    <w:pPr>
      <w:autoSpaceDE w:val="0"/>
      <w:autoSpaceDN w:val="0"/>
      <w:adjustRightInd w:val="0"/>
    </w:pPr>
    <w:rPr>
      <w:rFonts w:eastAsia="Calibri" w:cs="Calibri"/>
      <w:color w:val="000000"/>
      <w:sz w:val="24"/>
      <w:szCs w:val="24"/>
      <w:lang w:val="en-AU" w:eastAsia="en-AU"/>
    </w:rPr>
  </w:style>
  <w:style w:type="paragraph" w:styleId="En-ttedetabledesmatires">
    <w:name w:val="TOC Heading"/>
    <w:basedOn w:val="Titre1"/>
    <w:next w:val="Normal"/>
    <w:uiPriority w:val="39"/>
    <w:unhideWhenUsed/>
    <w:qFormat/>
    <w:rsid w:val="008B10D1"/>
    <w:pPr>
      <w:suppressAutoHyphens w:val="0"/>
      <w:spacing w:before="480" w:line="276" w:lineRule="auto"/>
      <w:ind w:left="0"/>
      <w:outlineLvl w:val="9"/>
    </w:pPr>
    <w:rPr>
      <w:rFonts w:ascii="Cambria" w:hAnsi="Cambria"/>
      <w:b/>
      <w:bCs/>
      <w:color w:val="365F91"/>
      <w:sz w:val="28"/>
      <w:szCs w:val="28"/>
      <w:lang w:val="en-AU" w:eastAsia="ja-JP"/>
    </w:rPr>
  </w:style>
  <w:style w:type="paragraph" w:styleId="En-tte">
    <w:name w:val="header"/>
    <w:aliases w:val="6_G"/>
    <w:basedOn w:val="Normal"/>
    <w:next w:val="Normal"/>
    <w:link w:val="En-tteCar"/>
    <w:qFormat/>
    <w:locked/>
    <w:rsid w:val="008B10D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90997"/>
    <w:rPr>
      <w:rFonts w:ascii="Times New Roman" w:hAnsi="Times New Roman" w:cs="Times New Roman"/>
      <w:b/>
      <w:sz w:val="18"/>
      <w:lang w:eastAsia="en-US"/>
    </w:rPr>
  </w:style>
  <w:style w:type="table" w:styleId="Grilledetableau1">
    <w:name w:val="Table Grid 1"/>
    <w:basedOn w:val="TableauNormal"/>
    <w:rsid w:val="008B10D1"/>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locked/>
    <w:rsid w:val="008B10D1"/>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locked/>
    <w:rsid w:val="008B10D1"/>
    <w:rPr>
      <w:color w:val="auto"/>
      <w:u w:val="none"/>
    </w:rPr>
  </w:style>
  <w:style w:type="character" w:styleId="Lienhypertextesuivivisit">
    <w:name w:val="FollowedHyperlink"/>
    <w:basedOn w:val="Policepardfaut"/>
    <w:rsid w:val="008B10D1"/>
    <w:rPr>
      <w:color w:val="auto"/>
      <w:u w:val="none"/>
    </w:rPr>
  </w:style>
  <w:style w:type="character" w:styleId="Marquedecommentaire">
    <w:name w:val="annotation reference"/>
    <w:uiPriority w:val="99"/>
    <w:unhideWhenUsed/>
    <w:rsid w:val="008B10D1"/>
    <w:rPr>
      <w:rFonts w:cs="Times New Roman"/>
      <w:sz w:val="16"/>
      <w:szCs w:val="16"/>
    </w:rPr>
  </w:style>
  <w:style w:type="paragraph" w:styleId="Notedebasdepage">
    <w:name w:val="footnote text"/>
    <w:aliases w:val="5_G"/>
    <w:basedOn w:val="Normal"/>
    <w:link w:val="NotedebasdepageCar"/>
    <w:locked/>
    <w:rsid w:val="008B10D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90997"/>
    <w:rPr>
      <w:rFonts w:ascii="Times New Roman" w:hAnsi="Times New Roman" w:cs="Times New Roman"/>
      <w:sz w:val="18"/>
      <w:lang w:eastAsia="en-US"/>
    </w:rPr>
  </w:style>
  <w:style w:type="paragraph" w:styleId="Notedefin">
    <w:name w:val="endnote text"/>
    <w:aliases w:val="2_G"/>
    <w:basedOn w:val="Notedebasdepage"/>
    <w:link w:val="NotedefinCar"/>
    <w:locked/>
    <w:rsid w:val="008B10D1"/>
  </w:style>
  <w:style w:type="character" w:customStyle="1" w:styleId="NotedefinCar">
    <w:name w:val="Note de fin Car"/>
    <w:aliases w:val="2_G Car"/>
    <w:basedOn w:val="Policepardfaut"/>
    <w:link w:val="Notedefin"/>
    <w:rsid w:val="00790997"/>
    <w:rPr>
      <w:rFonts w:ascii="Times New Roman" w:hAnsi="Times New Roman" w:cs="Times New Roman"/>
      <w:sz w:val="18"/>
      <w:lang w:eastAsia="en-US"/>
    </w:rPr>
  </w:style>
  <w:style w:type="character" w:styleId="Numrodepage">
    <w:name w:val="page number"/>
    <w:aliases w:val="7_G"/>
    <w:basedOn w:val="Policepardfaut"/>
    <w:locked/>
    <w:rsid w:val="008B10D1"/>
    <w:rPr>
      <w:rFonts w:ascii="Times New Roman" w:hAnsi="Times New Roman"/>
      <w:b/>
      <w:sz w:val="18"/>
      <w:lang w:val="fr-CH"/>
    </w:rPr>
  </w:style>
  <w:style w:type="character" w:customStyle="1" w:styleId="Titre1Car">
    <w:name w:val="Titre 1 Car"/>
    <w:aliases w:val="Table_G Car"/>
    <w:link w:val="Titre1"/>
    <w:locked/>
    <w:rsid w:val="00AB6758"/>
    <w:rPr>
      <w:rFonts w:ascii="Times New Roman" w:hAnsi="Times New Roman" w:cs="Times New Roman"/>
      <w:lang w:eastAsia="en-US"/>
    </w:rPr>
  </w:style>
  <w:style w:type="paragraph" w:styleId="Pieddepage">
    <w:name w:val="footer"/>
    <w:aliases w:val="3_G"/>
    <w:basedOn w:val="Normal"/>
    <w:next w:val="Normal"/>
    <w:link w:val="PieddepageCar"/>
    <w:qFormat/>
    <w:locked/>
    <w:rsid w:val="008B10D1"/>
    <w:pPr>
      <w:spacing w:line="240" w:lineRule="auto"/>
    </w:pPr>
    <w:rPr>
      <w:sz w:val="16"/>
    </w:rPr>
  </w:style>
  <w:style w:type="character" w:customStyle="1" w:styleId="PieddepageCar">
    <w:name w:val="Pied de page Car"/>
    <w:aliases w:val="3_G Car"/>
    <w:basedOn w:val="Policepardfaut"/>
    <w:link w:val="Pieddepage"/>
    <w:rsid w:val="00790997"/>
    <w:rPr>
      <w:rFonts w:ascii="Times New Roman" w:hAnsi="Times New Roman" w:cs="Times New Roman"/>
      <w:sz w:val="16"/>
      <w:lang w:eastAsia="en-US"/>
    </w:rPr>
  </w:style>
  <w:style w:type="character" w:customStyle="1" w:styleId="Titre2Car">
    <w:name w:val="Titre 2 Car"/>
    <w:link w:val="Titre2"/>
    <w:locked/>
    <w:rsid w:val="003F41B1"/>
    <w:rPr>
      <w:rFonts w:ascii="Times New Roman" w:hAnsi="Times New Roman" w:cs="Times New Roman"/>
      <w:lang w:eastAsia="en-US"/>
    </w:rPr>
  </w:style>
  <w:style w:type="paragraph" w:customStyle="1" w:styleId="Source">
    <w:name w:val="Source"/>
    <w:basedOn w:val="SingleTxtG"/>
    <w:qFormat/>
    <w:rsid w:val="008B10D1"/>
    <w:pPr>
      <w:suppressAutoHyphens w:val="0"/>
      <w:spacing w:before="120" w:after="240" w:line="240" w:lineRule="auto"/>
      <w:ind w:firstLine="170"/>
      <w:jc w:val="left"/>
    </w:pPr>
    <w:rPr>
      <w:iCs/>
      <w:sz w:val="18"/>
      <w:szCs w:val="18"/>
      <w:lang w:eastAsia="es-ES"/>
    </w:rPr>
  </w:style>
  <w:style w:type="character" w:customStyle="1" w:styleId="Titre3Car">
    <w:name w:val="Titre 3 Car"/>
    <w:link w:val="Titre3"/>
    <w:locked/>
    <w:rsid w:val="0000288E"/>
    <w:rPr>
      <w:rFonts w:ascii="Times New Roman" w:hAnsi="Times New Roman" w:cs="Times New Roman"/>
      <w:lang w:eastAsia="en-US"/>
    </w:rPr>
  </w:style>
  <w:style w:type="character" w:customStyle="1" w:styleId="Titre4Car">
    <w:name w:val="Titre 4 Car"/>
    <w:link w:val="Titre4"/>
    <w:locked/>
    <w:rsid w:val="0000288E"/>
    <w:rPr>
      <w:rFonts w:ascii="Times New Roman" w:hAnsi="Times New Roman" w:cs="Times New Roman"/>
      <w:lang w:eastAsia="en-US"/>
    </w:rPr>
  </w:style>
  <w:style w:type="character" w:customStyle="1" w:styleId="Titre5Car">
    <w:name w:val="Titre 5 Car"/>
    <w:link w:val="Titre5"/>
    <w:locked/>
    <w:rsid w:val="00C435C8"/>
    <w:rPr>
      <w:rFonts w:ascii="Times New Roman" w:hAnsi="Times New Roman" w:cs="Times New Roman"/>
      <w:lang w:eastAsia="en-US"/>
    </w:rPr>
  </w:style>
  <w:style w:type="character" w:customStyle="1" w:styleId="Titre6Car">
    <w:name w:val="Titre 6 Car"/>
    <w:link w:val="Titre6"/>
    <w:locked/>
    <w:rsid w:val="006234B7"/>
    <w:rPr>
      <w:rFonts w:ascii="Times New Roman" w:hAnsi="Times New Roman" w:cs="Times New Roman"/>
      <w:lang w:eastAsia="en-US"/>
    </w:rPr>
  </w:style>
  <w:style w:type="character" w:customStyle="1" w:styleId="Titre7Car">
    <w:name w:val="Titre 7 Car"/>
    <w:link w:val="Titre7"/>
    <w:locked/>
    <w:rsid w:val="006234B7"/>
    <w:rPr>
      <w:rFonts w:ascii="Times New Roman" w:hAnsi="Times New Roman" w:cs="Times New Roman"/>
      <w:lang w:eastAsia="en-US"/>
    </w:rPr>
  </w:style>
  <w:style w:type="character" w:customStyle="1" w:styleId="Titre8Car">
    <w:name w:val="Titre 8 Car"/>
    <w:link w:val="Titre8"/>
    <w:locked/>
    <w:rsid w:val="00EC4B6B"/>
    <w:rPr>
      <w:rFonts w:ascii="Times New Roman" w:hAnsi="Times New Roman" w:cs="Times New Roman"/>
      <w:lang w:eastAsia="en-US"/>
    </w:rPr>
  </w:style>
  <w:style w:type="character" w:customStyle="1" w:styleId="Titre9Car">
    <w:name w:val="Titre 9 Car"/>
    <w:link w:val="Titre9"/>
    <w:locked/>
    <w:rsid w:val="00EC4B6B"/>
    <w:rPr>
      <w:rFonts w:ascii="Times New Roman" w:hAnsi="Times New Roman" w:cs="Times New Roman"/>
      <w:lang w:eastAsia="en-US"/>
    </w:rPr>
  </w:style>
  <w:style w:type="paragraph" w:styleId="Textedebulles">
    <w:name w:val="Balloon Text"/>
    <w:basedOn w:val="Normal"/>
    <w:link w:val="TextedebullesCar"/>
    <w:rsid w:val="000573C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573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locked="1" w:qFormat="1"/>
    <w:lsdException w:name="footer" w:locked="1" w:qFormat="1"/>
    <w:lsdException w:name="index heading" w:locked="1"/>
    <w:lsdException w:name="caption" w:locked="1" w:qFormat="1"/>
    <w:lsdException w:name="table of figures" w:locked="1"/>
    <w:lsdException w:name="footnote reference" w:locked="1"/>
    <w:lsdException w:name="annotation reference" w:uiPriority="99"/>
    <w:lsdException w:name="page number" w:locked="1"/>
    <w:lsdException w:name="endnote text" w:locked="1"/>
    <w:lsdException w:name="table of authorities" w:locked="1"/>
    <w:lsdException w:name="macro" w:locked="1"/>
    <w:lsdException w:name="toa heading" w:locked="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Document Map" w:locked="1"/>
    <w:lsdException w:name="HTML Top of Form" w:locked="1"/>
    <w:lsdException w:name="HTML Bottom of Form" w:locked="1"/>
    <w:lsdException w:name="Normal (Web)" w:locked="1"/>
    <w:lsdException w:name="Normal Table" w:locked="1"/>
    <w:lsdException w:name="annotation subject" w:locked="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0D1"/>
    <w:pPr>
      <w:suppressAutoHyphens/>
      <w:spacing w:line="240" w:lineRule="atLeast"/>
    </w:pPr>
    <w:rPr>
      <w:rFonts w:ascii="Times New Roman" w:hAnsi="Times New Roman" w:cs="Times New Roman"/>
      <w:lang w:eastAsia="en-US"/>
    </w:rPr>
  </w:style>
  <w:style w:type="paragraph" w:styleId="Titre1">
    <w:name w:val="heading 1"/>
    <w:aliases w:val="Table_G"/>
    <w:basedOn w:val="SingleTxtG"/>
    <w:next w:val="SingleTxtG"/>
    <w:link w:val="Titre1Car"/>
    <w:qFormat/>
    <w:rsid w:val="008B10D1"/>
    <w:pPr>
      <w:keepNext/>
      <w:keepLines/>
      <w:spacing w:after="0" w:line="240" w:lineRule="auto"/>
      <w:ind w:right="0"/>
      <w:jc w:val="left"/>
      <w:outlineLvl w:val="0"/>
    </w:pPr>
  </w:style>
  <w:style w:type="paragraph" w:styleId="Titre2">
    <w:name w:val="heading 2"/>
    <w:basedOn w:val="Normal"/>
    <w:next w:val="Normal"/>
    <w:link w:val="Titre2Car"/>
    <w:qFormat/>
    <w:rsid w:val="008B10D1"/>
    <w:pPr>
      <w:outlineLvl w:val="1"/>
    </w:pPr>
  </w:style>
  <w:style w:type="paragraph" w:styleId="Titre3">
    <w:name w:val="heading 3"/>
    <w:basedOn w:val="Normal"/>
    <w:next w:val="Normal"/>
    <w:link w:val="Titre3Car"/>
    <w:qFormat/>
    <w:rsid w:val="008B10D1"/>
    <w:pPr>
      <w:outlineLvl w:val="2"/>
    </w:pPr>
  </w:style>
  <w:style w:type="paragraph" w:styleId="Titre4">
    <w:name w:val="heading 4"/>
    <w:basedOn w:val="Normal"/>
    <w:next w:val="Normal"/>
    <w:link w:val="Titre4Car"/>
    <w:qFormat/>
    <w:rsid w:val="008B10D1"/>
    <w:pPr>
      <w:outlineLvl w:val="3"/>
    </w:pPr>
  </w:style>
  <w:style w:type="paragraph" w:styleId="Titre5">
    <w:name w:val="heading 5"/>
    <w:basedOn w:val="Normal"/>
    <w:next w:val="Normal"/>
    <w:link w:val="Titre5Car"/>
    <w:qFormat/>
    <w:rsid w:val="008B10D1"/>
    <w:pPr>
      <w:outlineLvl w:val="4"/>
    </w:pPr>
  </w:style>
  <w:style w:type="paragraph" w:styleId="Titre6">
    <w:name w:val="heading 6"/>
    <w:basedOn w:val="Normal"/>
    <w:next w:val="Normal"/>
    <w:link w:val="Titre6Car"/>
    <w:qFormat/>
    <w:rsid w:val="008B10D1"/>
    <w:pPr>
      <w:outlineLvl w:val="5"/>
    </w:pPr>
  </w:style>
  <w:style w:type="paragraph" w:styleId="Titre7">
    <w:name w:val="heading 7"/>
    <w:basedOn w:val="Normal"/>
    <w:next w:val="Normal"/>
    <w:link w:val="Titre7Car"/>
    <w:qFormat/>
    <w:rsid w:val="008B10D1"/>
    <w:pPr>
      <w:outlineLvl w:val="6"/>
    </w:pPr>
  </w:style>
  <w:style w:type="paragraph" w:styleId="Titre8">
    <w:name w:val="heading 8"/>
    <w:basedOn w:val="Normal"/>
    <w:next w:val="Normal"/>
    <w:link w:val="Titre8Car"/>
    <w:qFormat/>
    <w:rsid w:val="008B10D1"/>
    <w:pPr>
      <w:outlineLvl w:val="7"/>
    </w:pPr>
  </w:style>
  <w:style w:type="paragraph" w:styleId="Titre9">
    <w:name w:val="heading 9"/>
    <w:basedOn w:val="Normal"/>
    <w:next w:val="Normal"/>
    <w:link w:val="Titre9Car"/>
    <w:qFormat/>
    <w:rsid w:val="008B10D1"/>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B10D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B10D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B10D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B10D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10D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10D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B10D1"/>
    <w:pPr>
      <w:spacing w:after="120"/>
      <w:ind w:left="1134" w:right="1134"/>
      <w:jc w:val="both"/>
    </w:pPr>
  </w:style>
  <w:style w:type="paragraph" w:customStyle="1" w:styleId="Bullet1G">
    <w:name w:val="_Bullet 1_G"/>
    <w:basedOn w:val="Normal"/>
    <w:rsid w:val="008B10D1"/>
    <w:pPr>
      <w:numPr>
        <w:numId w:val="24"/>
      </w:numPr>
      <w:spacing w:after="120"/>
      <w:ind w:right="1134"/>
      <w:jc w:val="both"/>
    </w:pPr>
  </w:style>
  <w:style w:type="paragraph" w:customStyle="1" w:styleId="Bullet2G">
    <w:name w:val="_Bullet 2_G"/>
    <w:basedOn w:val="Normal"/>
    <w:rsid w:val="008B10D1"/>
    <w:pPr>
      <w:numPr>
        <w:numId w:val="25"/>
      </w:numPr>
      <w:spacing w:after="120"/>
      <w:ind w:right="1134"/>
      <w:jc w:val="both"/>
    </w:pPr>
  </w:style>
  <w:style w:type="character" w:styleId="Appelnotedebasdep">
    <w:name w:val="footnote reference"/>
    <w:aliases w:val="4_G"/>
    <w:basedOn w:val="Policepardfaut"/>
    <w:locked/>
    <w:rsid w:val="008B10D1"/>
    <w:rPr>
      <w:rFonts w:ascii="Times New Roman" w:hAnsi="Times New Roman"/>
      <w:sz w:val="18"/>
      <w:vertAlign w:val="superscript"/>
      <w:lang w:val="fr-CH"/>
    </w:rPr>
  </w:style>
  <w:style w:type="character" w:styleId="Appeldenotedefin">
    <w:name w:val="endnote reference"/>
    <w:aliases w:val="1_G"/>
    <w:basedOn w:val="Appelnotedebasdep"/>
    <w:rsid w:val="008B10D1"/>
    <w:rPr>
      <w:rFonts w:ascii="Times New Roman" w:hAnsi="Times New Roman"/>
      <w:sz w:val="18"/>
      <w:vertAlign w:val="superscript"/>
      <w:lang w:val="fr-CH"/>
    </w:rPr>
  </w:style>
  <w:style w:type="paragraph" w:styleId="Commentaire">
    <w:name w:val="annotation text"/>
    <w:basedOn w:val="Normal"/>
    <w:link w:val="CommentaireCar"/>
    <w:uiPriority w:val="99"/>
    <w:unhideWhenUsed/>
    <w:rsid w:val="008B10D1"/>
    <w:pPr>
      <w:suppressAutoHyphens w:val="0"/>
      <w:spacing w:after="200" w:line="276" w:lineRule="auto"/>
    </w:pPr>
    <w:rPr>
      <w:rFonts w:ascii="Calibri" w:hAnsi="Calibri"/>
      <w:lang w:val="en-AU" w:eastAsia="en-AU"/>
    </w:rPr>
  </w:style>
  <w:style w:type="character" w:customStyle="1" w:styleId="CommentaireCar">
    <w:name w:val="Commentaire Car"/>
    <w:basedOn w:val="Policepardfaut"/>
    <w:link w:val="Commentaire"/>
    <w:uiPriority w:val="99"/>
    <w:rsid w:val="00790997"/>
    <w:rPr>
      <w:rFonts w:cs="Times New Roman"/>
      <w:lang w:val="en-AU" w:eastAsia="en-AU"/>
    </w:rPr>
  </w:style>
  <w:style w:type="paragraph" w:customStyle="1" w:styleId="Default">
    <w:name w:val="Default"/>
    <w:rsid w:val="008B10D1"/>
    <w:pPr>
      <w:autoSpaceDE w:val="0"/>
      <w:autoSpaceDN w:val="0"/>
      <w:adjustRightInd w:val="0"/>
    </w:pPr>
    <w:rPr>
      <w:rFonts w:eastAsia="Calibri" w:cs="Calibri"/>
      <w:color w:val="000000"/>
      <w:sz w:val="24"/>
      <w:szCs w:val="24"/>
      <w:lang w:val="en-AU" w:eastAsia="en-AU"/>
    </w:rPr>
  </w:style>
  <w:style w:type="paragraph" w:styleId="En-ttedetabledesmatires">
    <w:name w:val="TOC Heading"/>
    <w:basedOn w:val="Titre1"/>
    <w:next w:val="Normal"/>
    <w:uiPriority w:val="39"/>
    <w:unhideWhenUsed/>
    <w:qFormat/>
    <w:rsid w:val="008B10D1"/>
    <w:pPr>
      <w:suppressAutoHyphens w:val="0"/>
      <w:spacing w:before="480" w:line="276" w:lineRule="auto"/>
      <w:ind w:left="0"/>
      <w:outlineLvl w:val="9"/>
    </w:pPr>
    <w:rPr>
      <w:rFonts w:ascii="Cambria" w:hAnsi="Cambria"/>
      <w:b/>
      <w:bCs/>
      <w:color w:val="365F91"/>
      <w:sz w:val="28"/>
      <w:szCs w:val="28"/>
      <w:lang w:val="en-AU" w:eastAsia="ja-JP"/>
    </w:rPr>
  </w:style>
  <w:style w:type="paragraph" w:styleId="En-tte">
    <w:name w:val="header"/>
    <w:aliases w:val="6_G"/>
    <w:basedOn w:val="Normal"/>
    <w:next w:val="Normal"/>
    <w:link w:val="En-tteCar"/>
    <w:qFormat/>
    <w:locked/>
    <w:rsid w:val="008B10D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90997"/>
    <w:rPr>
      <w:rFonts w:ascii="Times New Roman" w:hAnsi="Times New Roman" w:cs="Times New Roman"/>
      <w:b/>
      <w:sz w:val="18"/>
      <w:lang w:eastAsia="en-US"/>
    </w:rPr>
  </w:style>
  <w:style w:type="table" w:styleId="Grilledetableau1">
    <w:name w:val="Table Grid 1"/>
    <w:basedOn w:val="TableauNormal"/>
    <w:rsid w:val="008B10D1"/>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locked/>
    <w:rsid w:val="008B10D1"/>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locked/>
    <w:rsid w:val="008B10D1"/>
    <w:rPr>
      <w:color w:val="auto"/>
      <w:u w:val="none"/>
    </w:rPr>
  </w:style>
  <w:style w:type="character" w:styleId="Lienhypertextesuivivisit">
    <w:name w:val="FollowedHyperlink"/>
    <w:basedOn w:val="Policepardfaut"/>
    <w:rsid w:val="008B10D1"/>
    <w:rPr>
      <w:color w:val="auto"/>
      <w:u w:val="none"/>
    </w:rPr>
  </w:style>
  <w:style w:type="character" w:styleId="Marquedecommentaire">
    <w:name w:val="annotation reference"/>
    <w:uiPriority w:val="99"/>
    <w:unhideWhenUsed/>
    <w:rsid w:val="008B10D1"/>
    <w:rPr>
      <w:rFonts w:cs="Times New Roman"/>
      <w:sz w:val="16"/>
      <w:szCs w:val="16"/>
    </w:rPr>
  </w:style>
  <w:style w:type="paragraph" w:styleId="Notedebasdepage">
    <w:name w:val="footnote text"/>
    <w:aliases w:val="5_G"/>
    <w:basedOn w:val="Normal"/>
    <w:link w:val="NotedebasdepageCar"/>
    <w:locked/>
    <w:rsid w:val="008B10D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90997"/>
    <w:rPr>
      <w:rFonts w:ascii="Times New Roman" w:hAnsi="Times New Roman" w:cs="Times New Roman"/>
      <w:sz w:val="18"/>
      <w:lang w:eastAsia="en-US"/>
    </w:rPr>
  </w:style>
  <w:style w:type="paragraph" w:styleId="Notedefin">
    <w:name w:val="endnote text"/>
    <w:aliases w:val="2_G"/>
    <w:basedOn w:val="Notedebasdepage"/>
    <w:link w:val="NotedefinCar"/>
    <w:locked/>
    <w:rsid w:val="008B10D1"/>
  </w:style>
  <w:style w:type="character" w:customStyle="1" w:styleId="NotedefinCar">
    <w:name w:val="Note de fin Car"/>
    <w:aliases w:val="2_G Car"/>
    <w:basedOn w:val="Policepardfaut"/>
    <w:link w:val="Notedefin"/>
    <w:rsid w:val="00790997"/>
    <w:rPr>
      <w:rFonts w:ascii="Times New Roman" w:hAnsi="Times New Roman" w:cs="Times New Roman"/>
      <w:sz w:val="18"/>
      <w:lang w:eastAsia="en-US"/>
    </w:rPr>
  </w:style>
  <w:style w:type="character" w:styleId="Numrodepage">
    <w:name w:val="page number"/>
    <w:aliases w:val="7_G"/>
    <w:basedOn w:val="Policepardfaut"/>
    <w:locked/>
    <w:rsid w:val="008B10D1"/>
    <w:rPr>
      <w:rFonts w:ascii="Times New Roman" w:hAnsi="Times New Roman"/>
      <w:b/>
      <w:sz w:val="18"/>
      <w:lang w:val="fr-CH"/>
    </w:rPr>
  </w:style>
  <w:style w:type="character" w:customStyle="1" w:styleId="Titre1Car">
    <w:name w:val="Titre 1 Car"/>
    <w:aliases w:val="Table_G Car"/>
    <w:link w:val="Titre1"/>
    <w:locked/>
    <w:rsid w:val="00AB6758"/>
    <w:rPr>
      <w:rFonts w:ascii="Times New Roman" w:hAnsi="Times New Roman" w:cs="Times New Roman"/>
      <w:lang w:eastAsia="en-US"/>
    </w:rPr>
  </w:style>
  <w:style w:type="paragraph" w:styleId="Pieddepage">
    <w:name w:val="footer"/>
    <w:aliases w:val="3_G"/>
    <w:basedOn w:val="Normal"/>
    <w:next w:val="Normal"/>
    <w:link w:val="PieddepageCar"/>
    <w:qFormat/>
    <w:locked/>
    <w:rsid w:val="008B10D1"/>
    <w:pPr>
      <w:spacing w:line="240" w:lineRule="auto"/>
    </w:pPr>
    <w:rPr>
      <w:sz w:val="16"/>
    </w:rPr>
  </w:style>
  <w:style w:type="character" w:customStyle="1" w:styleId="PieddepageCar">
    <w:name w:val="Pied de page Car"/>
    <w:aliases w:val="3_G Car"/>
    <w:basedOn w:val="Policepardfaut"/>
    <w:link w:val="Pieddepage"/>
    <w:rsid w:val="00790997"/>
    <w:rPr>
      <w:rFonts w:ascii="Times New Roman" w:hAnsi="Times New Roman" w:cs="Times New Roman"/>
      <w:sz w:val="16"/>
      <w:lang w:eastAsia="en-US"/>
    </w:rPr>
  </w:style>
  <w:style w:type="character" w:customStyle="1" w:styleId="Titre2Car">
    <w:name w:val="Titre 2 Car"/>
    <w:link w:val="Titre2"/>
    <w:locked/>
    <w:rsid w:val="003F41B1"/>
    <w:rPr>
      <w:rFonts w:ascii="Times New Roman" w:hAnsi="Times New Roman" w:cs="Times New Roman"/>
      <w:lang w:eastAsia="en-US"/>
    </w:rPr>
  </w:style>
  <w:style w:type="paragraph" w:customStyle="1" w:styleId="Source">
    <w:name w:val="Source"/>
    <w:basedOn w:val="SingleTxtG"/>
    <w:qFormat/>
    <w:rsid w:val="008B10D1"/>
    <w:pPr>
      <w:suppressAutoHyphens w:val="0"/>
      <w:spacing w:before="120" w:after="240" w:line="240" w:lineRule="auto"/>
      <w:ind w:firstLine="170"/>
      <w:jc w:val="left"/>
    </w:pPr>
    <w:rPr>
      <w:iCs/>
      <w:sz w:val="18"/>
      <w:szCs w:val="18"/>
      <w:lang w:eastAsia="es-ES"/>
    </w:rPr>
  </w:style>
  <w:style w:type="character" w:customStyle="1" w:styleId="Titre3Car">
    <w:name w:val="Titre 3 Car"/>
    <w:link w:val="Titre3"/>
    <w:locked/>
    <w:rsid w:val="0000288E"/>
    <w:rPr>
      <w:rFonts w:ascii="Times New Roman" w:hAnsi="Times New Roman" w:cs="Times New Roman"/>
      <w:lang w:eastAsia="en-US"/>
    </w:rPr>
  </w:style>
  <w:style w:type="character" w:customStyle="1" w:styleId="Titre4Car">
    <w:name w:val="Titre 4 Car"/>
    <w:link w:val="Titre4"/>
    <w:locked/>
    <w:rsid w:val="0000288E"/>
    <w:rPr>
      <w:rFonts w:ascii="Times New Roman" w:hAnsi="Times New Roman" w:cs="Times New Roman"/>
      <w:lang w:eastAsia="en-US"/>
    </w:rPr>
  </w:style>
  <w:style w:type="character" w:customStyle="1" w:styleId="Titre5Car">
    <w:name w:val="Titre 5 Car"/>
    <w:link w:val="Titre5"/>
    <w:locked/>
    <w:rsid w:val="00C435C8"/>
    <w:rPr>
      <w:rFonts w:ascii="Times New Roman" w:hAnsi="Times New Roman" w:cs="Times New Roman"/>
      <w:lang w:eastAsia="en-US"/>
    </w:rPr>
  </w:style>
  <w:style w:type="character" w:customStyle="1" w:styleId="Titre6Car">
    <w:name w:val="Titre 6 Car"/>
    <w:link w:val="Titre6"/>
    <w:locked/>
    <w:rsid w:val="006234B7"/>
    <w:rPr>
      <w:rFonts w:ascii="Times New Roman" w:hAnsi="Times New Roman" w:cs="Times New Roman"/>
      <w:lang w:eastAsia="en-US"/>
    </w:rPr>
  </w:style>
  <w:style w:type="character" w:customStyle="1" w:styleId="Titre7Car">
    <w:name w:val="Titre 7 Car"/>
    <w:link w:val="Titre7"/>
    <w:locked/>
    <w:rsid w:val="006234B7"/>
    <w:rPr>
      <w:rFonts w:ascii="Times New Roman" w:hAnsi="Times New Roman" w:cs="Times New Roman"/>
      <w:lang w:eastAsia="en-US"/>
    </w:rPr>
  </w:style>
  <w:style w:type="character" w:customStyle="1" w:styleId="Titre8Car">
    <w:name w:val="Titre 8 Car"/>
    <w:link w:val="Titre8"/>
    <w:locked/>
    <w:rsid w:val="00EC4B6B"/>
    <w:rPr>
      <w:rFonts w:ascii="Times New Roman" w:hAnsi="Times New Roman" w:cs="Times New Roman"/>
      <w:lang w:eastAsia="en-US"/>
    </w:rPr>
  </w:style>
  <w:style w:type="character" w:customStyle="1" w:styleId="Titre9Car">
    <w:name w:val="Titre 9 Car"/>
    <w:link w:val="Titre9"/>
    <w:locked/>
    <w:rsid w:val="00EC4B6B"/>
    <w:rPr>
      <w:rFonts w:ascii="Times New Roman" w:hAnsi="Times New Roman" w:cs="Times New Roman"/>
      <w:lang w:eastAsia="en-US"/>
    </w:rPr>
  </w:style>
  <w:style w:type="paragraph" w:styleId="Textedebulles">
    <w:name w:val="Balloon Text"/>
    <w:basedOn w:val="Normal"/>
    <w:link w:val="TextedebullesCar"/>
    <w:rsid w:val="000573C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573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tn/fileadmin/fichiers_site_arabe/org_juridictionnelle/L_96_38_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justice.tn/fileadmin/fichiers_site_arabe/creation_tribunaux/cassation_trib_immobilier_ar/D_1956_reorg_ministere_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tn/fileadmin/fichiers_site_arabe/org_juridictionnelle/constitutionde_la_republique.pdf" TargetMode="External"/><Relationship Id="rId5" Type="http://schemas.openxmlformats.org/officeDocument/2006/relationships/settings" Target="settings.xml"/><Relationship Id="rId15" Type="http://schemas.openxmlformats.org/officeDocument/2006/relationships/hyperlink" Target="https://ar.wikipedia.org/wiki/9_%D8%A3%D9%83%D8%AA%D9%88%D8%A8%D8%B1" TargetMode="External"/><Relationship Id="rId10" Type="http://schemas.openxmlformats.org/officeDocument/2006/relationships/hyperlink" Target="http://www.legislation.tn/detailtexte/Loi-num-1972-11-du-10-03-1972-jort-1972-011__1972011000111?shorten=4vh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r.wikipedia.org/wiki/%D8%AF%D8%B3%D8%AA%D9%88%D8%B1_%D8%AA%D9%88%D9%86%D8%B3_201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justice.tn/fileadmin/images/repertoire_musee/husseinite_apres_protec/L_pro_fonc_1885.pdf" TargetMode="External"/><Relationship Id="rId2" Type="http://schemas.openxmlformats.org/officeDocument/2006/relationships/hyperlink" Target="http://www.e-justice.tn/fileadmin/fichiers_site_arabe/org_juridictionnelle/L_1967_29.pdf" TargetMode="External"/><Relationship Id="rId1" Type="http://schemas.openxmlformats.org/officeDocument/2006/relationships/hyperlink" Target="https://www.google.tn/url?sa=t&amp;rct=j&amp;q=&amp;esrc=s&amp;source=web&amp;cd=3&amp;cad=rja&amp;uact=8&amp;ved=0ahUKEwi004uB5N7MAhURkRQKHeD1CT4QFggrMAI&amp;url=http%3A%2F%2Fwww.arp.tn%2Fsite%2Fservlet%2FFichier%3Fcode_obj%3D68403%26code_exp%3D1%26langue%3D1&amp;usg=AFQjCNGijf7-uBFF9MAUBAezF40XZ0_o0w&amp;sig2=BM9u5QrpgQvGHh26mPTbgg" TargetMode="External"/><Relationship Id="rId4" Type="http://schemas.openxmlformats.org/officeDocument/2006/relationships/hyperlink" Target="http://www.e-justice.tn/fileadmin/fichiers_site_arabe/creation_tribunaux/cassation_trib_immobilier_ar/D_1957_reorganisation_tribunal_imm_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6BA1-29D0-4042-AAE9-31B4CD3A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66</TotalTime>
  <Pages>36</Pages>
  <Words>18127</Words>
  <Characters>99703</Characters>
  <Application>Microsoft Office Word</Application>
  <DocSecurity>0</DocSecurity>
  <Lines>830</Lines>
  <Paragraphs>235</Paragraphs>
  <ScaleCrop>false</ScaleCrop>
  <HeadingPairs>
    <vt:vector size="2" baseType="variant">
      <vt:variant>
        <vt:lpstr>Titre</vt:lpstr>
      </vt:variant>
      <vt:variant>
        <vt:i4>1</vt:i4>
      </vt:variant>
    </vt:vector>
  </HeadingPairs>
  <TitlesOfParts>
    <vt:vector size="1" baseType="lpstr">
      <vt:lpstr>HRI/CORE/TUN/2016</vt:lpstr>
    </vt:vector>
  </TitlesOfParts>
  <Company>EXT</Company>
  <LinksUpToDate>false</LinksUpToDate>
  <CharactersWithSpaces>117595</CharactersWithSpaces>
  <SharedDoc>false</SharedDoc>
  <HLinks>
    <vt:vector size="372" baseType="variant">
      <vt:variant>
        <vt:i4>4063306</vt:i4>
      </vt:variant>
      <vt:variant>
        <vt:i4>330</vt:i4>
      </vt:variant>
      <vt:variant>
        <vt:i4>0</vt:i4>
      </vt:variant>
      <vt:variant>
        <vt:i4>5</vt:i4>
      </vt:variant>
      <vt:variant>
        <vt:lpwstr>https://ar.wikipedia.org/wiki/9_%D8%A3%D9%83%D8%AA%D9%88%D8%A8%D8%B1</vt:lpwstr>
      </vt:variant>
      <vt:variant>
        <vt:lpwstr/>
      </vt:variant>
      <vt:variant>
        <vt:i4>1376340</vt:i4>
      </vt:variant>
      <vt:variant>
        <vt:i4>327</vt:i4>
      </vt:variant>
      <vt:variant>
        <vt:i4>0</vt:i4>
      </vt:variant>
      <vt:variant>
        <vt:i4>5</vt:i4>
      </vt:variant>
      <vt:variant>
        <vt:lpwstr>https://ar.wikipedia.org/wiki/%D8%AF%D8%B3%D8%AA%D9%88%D8%B1_%D8%AA%D9%88%D9%86%D8%B3_2014</vt:lpwstr>
      </vt:variant>
      <vt:variant>
        <vt:lpwstr/>
      </vt:variant>
      <vt:variant>
        <vt:i4>6488110</vt:i4>
      </vt:variant>
      <vt:variant>
        <vt:i4>324</vt:i4>
      </vt:variant>
      <vt:variant>
        <vt:i4>0</vt:i4>
      </vt:variant>
      <vt:variant>
        <vt:i4>5</vt:i4>
      </vt:variant>
      <vt:variant>
        <vt:lpwstr>http://www.e-justice.tn/fileadmin/fichiers_site_arabe/org_juridictionnelle/L_96_38_ar.pdf</vt:lpwstr>
      </vt:variant>
      <vt:variant>
        <vt:lpwstr/>
      </vt:variant>
      <vt:variant>
        <vt:i4>4194385</vt:i4>
      </vt:variant>
      <vt:variant>
        <vt:i4>321</vt:i4>
      </vt:variant>
      <vt:variant>
        <vt:i4>0</vt:i4>
      </vt:variant>
      <vt:variant>
        <vt:i4>5</vt:i4>
      </vt:variant>
      <vt:variant>
        <vt:lpwstr>http://www.e-justice.tn/fileadmin/fichiers_site_arabe/creation_tribunaux/cassation_trib_immobilier_ar/D_1956_reorg_ministere_ar.pdf</vt:lpwstr>
      </vt:variant>
      <vt:variant>
        <vt:lpwstr/>
      </vt:variant>
      <vt:variant>
        <vt:i4>96</vt:i4>
      </vt:variant>
      <vt:variant>
        <vt:i4>318</vt:i4>
      </vt:variant>
      <vt:variant>
        <vt:i4>0</vt:i4>
      </vt:variant>
      <vt:variant>
        <vt:i4>5</vt:i4>
      </vt:variant>
      <vt:variant>
        <vt:lpwstr>http://www.e-justice.tn/fileadmin/fichiers_site_arabe/org_juridictionnelle/constitutionde_la_republique.pdf</vt:lpwstr>
      </vt:variant>
      <vt:variant>
        <vt:lpwstr/>
      </vt:variant>
      <vt:variant>
        <vt:i4>7798888</vt:i4>
      </vt:variant>
      <vt:variant>
        <vt:i4>315</vt:i4>
      </vt:variant>
      <vt:variant>
        <vt:i4>0</vt:i4>
      </vt:variant>
      <vt:variant>
        <vt:i4>5</vt:i4>
      </vt:variant>
      <vt:variant>
        <vt:lpwstr>http://www.legislation.tn/detailtexte/Loi-num-1972-11-du-10-03-1972-jort-1972-011__1972011000111?shorten=4vha</vt:lpwstr>
      </vt:variant>
      <vt:variant>
        <vt:lpwstr/>
      </vt:variant>
      <vt:variant>
        <vt:i4>1572920</vt:i4>
      </vt:variant>
      <vt:variant>
        <vt:i4>308</vt:i4>
      </vt:variant>
      <vt:variant>
        <vt:i4>0</vt:i4>
      </vt:variant>
      <vt:variant>
        <vt:i4>5</vt:i4>
      </vt:variant>
      <vt:variant>
        <vt:lpwstr/>
      </vt:variant>
      <vt:variant>
        <vt:lpwstr>_Toc478218526</vt:lpwstr>
      </vt:variant>
      <vt:variant>
        <vt:i4>1572920</vt:i4>
      </vt:variant>
      <vt:variant>
        <vt:i4>302</vt:i4>
      </vt:variant>
      <vt:variant>
        <vt:i4>0</vt:i4>
      </vt:variant>
      <vt:variant>
        <vt:i4>5</vt:i4>
      </vt:variant>
      <vt:variant>
        <vt:lpwstr/>
      </vt:variant>
      <vt:variant>
        <vt:lpwstr>_Toc478218525</vt:lpwstr>
      </vt:variant>
      <vt:variant>
        <vt:i4>1572920</vt:i4>
      </vt:variant>
      <vt:variant>
        <vt:i4>296</vt:i4>
      </vt:variant>
      <vt:variant>
        <vt:i4>0</vt:i4>
      </vt:variant>
      <vt:variant>
        <vt:i4>5</vt:i4>
      </vt:variant>
      <vt:variant>
        <vt:lpwstr/>
      </vt:variant>
      <vt:variant>
        <vt:lpwstr>_Toc478218524</vt:lpwstr>
      </vt:variant>
      <vt:variant>
        <vt:i4>1572920</vt:i4>
      </vt:variant>
      <vt:variant>
        <vt:i4>290</vt:i4>
      </vt:variant>
      <vt:variant>
        <vt:i4>0</vt:i4>
      </vt:variant>
      <vt:variant>
        <vt:i4>5</vt:i4>
      </vt:variant>
      <vt:variant>
        <vt:lpwstr/>
      </vt:variant>
      <vt:variant>
        <vt:lpwstr>_Toc478218523</vt:lpwstr>
      </vt:variant>
      <vt:variant>
        <vt:i4>1572920</vt:i4>
      </vt:variant>
      <vt:variant>
        <vt:i4>284</vt:i4>
      </vt:variant>
      <vt:variant>
        <vt:i4>0</vt:i4>
      </vt:variant>
      <vt:variant>
        <vt:i4>5</vt:i4>
      </vt:variant>
      <vt:variant>
        <vt:lpwstr/>
      </vt:variant>
      <vt:variant>
        <vt:lpwstr>_Toc478218522</vt:lpwstr>
      </vt:variant>
      <vt:variant>
        <vt:i4>1572920</vt:i4>
      </vt:variant>
      <vt:variant>
        <vt:i4>278</vt:i4>
      </vt:variant>
      <vt:variant>
        <vt:i4>0</vt:i4>
      </vt:variant>
      <vt:variant>
        <vt:i4>5</vt:i4>
      </vt:variant>
      <vt:variant>
        <vt:lpwstr/>
      </vt:variant>
      <vt:variant>
        <vt:lpwstr>_Toc478218521</vt:lpwstr>
      </vt:variant>
      <vt:variant>
        <vt:i4>1572920</vt:i4>
      </vt:variant>
      <vt:variant>
        <vt:i4>272</vt:i4>
      </vt:variant>
      <vt:variant>
        <vt:i4>0</vt:i4>
      </vt:variant>
      <vt:variant>
        <vt:i4>5</vt:i4>
      </vt:variant>
      <vt:variant>
        <vt:lpwstr/>
      </vt:variant>
      <vt:variant>
        <vt:lpwstr>_Toc478218520</vt:lpwstr>
      </vt:variant>
      <vt:variant>
        <vt:i4>1769528</vt:i4>
      </vt:variant>
      <vt:variant>
        <vt:i4>266</vt:i4>
      </vt:variant>
      <vt:variant>
        <vt:i4>0</vt:i4>
      </vt:variant>
      <vt:variant>
        <vt:i4>5</vt:i4>
      </vt:variant>
      <vt:variant>
        <vt:lpwstr/>
      </vt:variant>
      <vt:variant>
        <vt:lpwstr>_Toc478218519</vt:lpwstr>
      </vt:variant>
      <vt:variant>
        <vt:i4>1769528</vt:i4>
      </vt:variant>
      <vt:variant>
        <vt:i4>260</vt:i4>
      </vt:variant>
      <vt:variant>
        <vt:i4>0</vt:i4>
      </vt:variant>
      <vt:variant>
        <vt:i4>5</vt:i4>
      </vt:variant>
      <vt:variant>
        <vt:lpwstr/>
      </vt:variant>
      <vt:variant>
        <vt:lpwstr>_Toc478218518</vt:lpwstr>
      </vt:variant>
      <vt:variant>
        <vt:i4>1769528</vt:i4>
      </vt:variant>
      <vt:variant>
        <vt:i4>254</vt:i4>
      </vt:variant>
      <vt:variant>
        <vt:i4>0</vt:i4>
      </vt:variant>
      <vt:variant>
        <vt:i4>5</vt:i4>
      </vt:variant>
      <vt:variant>
        <vt:lpwstr/>
      </vt:variant>
      <vt:variant>
        <vt:lpwstr>_Toc478218517</vt:lpwstr>
      </vt:variant>
      <vt:variant>
        <vt:i4>1769528</vt:i4>
      </vt:variant>
      <vt:variant>
        <vt:i4>248</vt:i4>
      </vt:variant>
      <vt:variant>
        <vt:i4>0</vt:i4>
      </vt:variant>
      <vt:variant>
        <vt:i4>5</vt:i4>
      </vt:variant>
      <vt:variant>
        <vt:lpwstr/>
      </vt:variant>
      <vt:variant>
        <vt:lpwstr>_Toc478218516</vt:lpwstr>
      </vt:variant>
      <vt:variant>
        <vt:i4>1769528</vt:i4>
      </vt:variant>
      <vt:variant>
        <vt:i4>242</vt:i4>
      </vt:variant>
      <vt:variant>
        <vt:i4>0</vt:i4>
      </vt:variant>
      <vt:variant>
        <vt:i4>5</vt:i4>
      </vt:variant>
      <vt:variant>
        <vt:lpwstr/>
      </vt:variant>
      <vt:variant>
        <vt:lpwstr>_Toc478218515</vt:lpwstr>
      </vt:variant>
      <vt:variant>
        <vt:i4>1769528</vt:i4>
      </vt:variant>
      <vt:variant>
        <vt:i4>236</vt:i4>
      </vt:variant>
      <vt:variant>
        <vt:i4>0</vt:i4>
      </vt:variant>
      <vt:variant>
        <vt:i4>5</vt:i4>
      </vt:variant>
      <vt:variant>
        <vt:lpwstr/>
      </vt:variant>
      <vt:variant>
        <vt:lpwstr>_Toc478218514</vt:lpwstr>
      </vt:variant>
      <vt:variant>
        <vt:i4>1769528</vt:i4>
      </vt:variant>
      <vt:variant>
        <vt:i4>230</vt:i4>
      </vt:variant>
      <vt:variant>
        <vt:i4>0</vt:i4>
      </vt:variant>
      <vt:variant>
        <vt:i4>5</vt:i4>
      </vt:variant>
      <vt:variant>
        <vt:lpwstr/>
      </vt:variant>
      <vt:variant>
        <vt:lpwstr>_Toc478218513</vt:lpwstr>
      </vt:variant>
      <vt:variant>
        <vt:i4>1769528</vt:i4>
      </vt:variant>
      <vt:variant>
        <vt:i4>224</vt:i4>
      </vt:variant>
      <vt:variant>
        <vt:i4>0</vt:i4>
      </vt:variant>
      <vt:variant>
        <vt:i4>5</vt:i4>
      </vt:variant>
      <vt:variant>
        <vt:lpwstr/>
      </vt:variant>
      <vt:variant>
        <vt:lpwstr>_Toc478218512</vt:lpwstr>
      </vt:variant>
      <vt:variant>
        <vt:i4>1769528</vt:i4>
      </vt:variant>
      <vt:variant>
        <vt:i4>218</vt:i4>
      </vt:variant>
      <vt:variant>
        <vt:i4>0</vt:i4>
      </vt:variant>
      <vt:variant>
        <vt:i4>5</vt:i4>
      </vt:variant>
      <vt:variant>
        <vt:lpwstr/>
      </vt:variant>
      <vt:variant>
        <vt:lpwstr>_Toc478218511</vt:lpwstr>
      </vt:variant>
      <vt:variant>
        <vt:i4>1769528</vt:i4>
      </vt:variant>
      <vt:variant>
        <vt:i4>212</vt:i4>
      </vt:variant>
      <vt:variant>
        <vt:i4>0</vt:i4>
      </vt:variant>
      <vt:variant>
        <vt:i4>5</vt:i4>
      </vt:variant>
      <vt:variant>
        <vt:lpwstr/>
      </vt:variant>
      <vt:variant>
        <vt:lpwstr>_Toc478218510</vt:lpwstr>
      </vt:variant>
      <vt:variant>
        <vt:i4>1703992</vt:i4>
      </vt:variant>
      <vt:variant>
        <vt:i4>206</vt:i4>
      </vt:variant>
      <vt:variant>
        <vt:i4>0</vt:i4>
      </vt:variant>
      <vt:variant>
        <vt:i4>5</vt:i4>
      </vt:variant>
      <vt:variant>
        <vt:lpwstr/>
      </vt:variant>
      <vt:variant>
        <vt:lpwstr>_Toc478218509</vt:lpwstr>
      </vt:variant>
      <vt:variant>
        <vt:i4>1703992</vt:i4>
      </vt:variant>
      <vt:variant>
        <vt:i4>200</vt:i4>
      </vt:variant>
      <vt:variant>
        <vt:i4>0</vt:i4>
      </vt:variant>
      <vt:variant>
        <vt:i4>5</vt:i4>
      </vt:variant>
      <vt:variant>
        <vt:lpwstr/>
      </vt:variant>
      <vt:variant>
        <vt:lpwstr>_Toc478218508</vt:lpwstr>
      </vt:variant>
      <vt:variant>
        <vt:i4>1703992</vt:i4>
      </vt:variant>
      <vt:variant>
        <vt:i4>194</vt:i4>
      </vt:variant>
      <vt:variant>
        <vt:i4>0</vt:i4>
      </vt:variant>
      <vt:variant>
        <vt:i4>5</vt:i4>
      </vt:variant>
      <vt:variant>
        <vt:lpwstr/>
      </vt:variant>
      <vt:variant>
        <vt:lpwstr>_Toc478218507</vt:lpwstr>
      </vt:variant>
      <vt:variant>
        <vt:i4>1703992</vt:i4>
      </vt:variant>
      <vt:variant>
        <vt:i4>188</vt:i4>
      </vt:variant>
      <vt:variant>
        <vt:i4>0</vt:i4>
      </vt:variant>
      <vt:variant>
        <vt:i4>5</vt:i4>
      </vt:variant>
      <vt:variant>
        <vt:lpwstr/>
      </vt:variant>
      <vt:variant>
        <vt:lpwstr>_Toc478218506</vt:lpwstr>
      </vt:variant>
      <vt:variant>
        <vt:i4>1703992</vt:i4>
      </vt:variant>
      <vt:variant>
        <vt:i4>182</vt:i4>
      </vt:variant>
      <vt:variant>
        <vt:i4>0</vt:i4>
      </vt:variant>
      <vt:variant>
        <vt:i4>5</vt:i4>
      </vt:variant>
      <vt:variant>
        <vt:lpwstr/>
      </vt:variant>
      <vt:variant>
        <vt:lpwstr>_Toc478218505</vt:lpwstr>
      </vt:variant>
      <vt:variant>
        <vt:i4>1703992</vt:i4>
      </vt:variant>
      <vt:variant>
        <vt:i4>176</vt:i4>
      </vt:variant>
      <vt:variant>
        <vt:i4>0</vt:i4>
      </vt:variant>
      <vt:variant>
        <vt:i4>5</vt:i4>
      </vt:variant>
      <vt:variant>
        <vt:lpwstr/>
      </vt:variant>
      <vt:variant>
        <vt:lpwstr>_Toc478218504</vt:lpwstr>
      </vt:variant>
      <vt:variant>
        <vt:i4>1703992</vt:i4>
      </vt:variant>
      <vt:variant>
        <vt:i4>170</vt:i4>
      </vt:variant>
      <vt:variant>
        <vt:i4>0</vt:i4>
      </vt:variant>
      <vt:variant>
        <vt:i4>5</vt:i4>
      </vt:variant>
      <vt:variant>
        <vt:lpwstr/>
      </vt:variant>
      <vt:variant>
        <vt:lpwstr>_Toc478218503</vt:lpwstr>
      </vt:variant>
      <vt:variant>
        <vt:i4>1703992</vt:i4>
      </vt:variant>
      <vt:variant>
        <vt:i4>164</vt:i4>
      </vt:variant>
      <vt:variant>
        <vt:i4>0</vt:i4>
      </vt:variant>
      <vt:variant>
        <vt:i4>5</vt:i4>
      </vt:variant>
      <vt:variant>
        <vt:lpwstr/>
      </vt:variant>
      <vt:variant>
        <vt:lpwstr>_Toc478218502</vt:lpwstr>
      </vt:variant>
      <vt:variant>
        <vt:i4>1703992</vt:i4>
      </vt:variant>
      <vt:variant>
        <vt:i4>158</vt:i4>
      </vt:variant>
      <vt:variant>
        <vt:i4>0</vt:i4>
      </vt:variant>
      <vt:variant>
        <vt:i4>5</vt:i4>
      </vt:variant>
      <vt:variant>
        <vt:lpwstr/>
      </vt:variant>
      <vt:variant>
        <vt:lpwstr>_Toc478218501</vt:lpwstr>
      </vt:variant>
      <vt:variant>
        <vt:i4>1703992</vt:i4>
      </vt:variant>
      <vt:variant>
        <vt:i4>152</vt:i4>
      </vt:variant>
      <vt:variant>
        <vt:i4>0</vt:i4>
      </vt:variant>
      <vt:variant>
        <vt:i4>5</vt:i4>
      </vt:variant>
      <vt:variant>
        <vt:lpwstr/>
      </vt:variant>
      <vt:variant>
        <vt:lpwstr>_Toc478218500</vt:lpwstr>
      </vt:variant>
      <vt:variant>
        <vt:i4>1245241</vt:i4>
      </vt:variant>
      <vt:variant>
        <vt:i4>146</vt:i4>
      </vt:variant>
      <vt:variant>
        <vt:i4>0</vt:i4>
      </vt:variant>
      <vt:variant>
        <vt:i4>5</vt:i4>
      </vt:variant>
      <vt:variant>
        <vt:lpwstr/>
      </vt:variant>
      <vt:variant>
        <vt:lpwstr>_Toc478218499</vt:lpwstr>
      </vt:variant>
      <vt:variant>
        <vt:i4>1245241</vt:i4>
      </vt:variant>
      <vt:variant>
        <vt:i4>140</vt:i4>
      </vt:variant>
      <vt:variant>
        <vt:i4>0</vt:i4>
      </vt:variant>
      <vt:variant>
        <vt:i4>5</vt:i4>
      </vt:variant>
      <vt:variant>
        <vt:lpwstr/>
      </vt:variant>
      <vt:variant>
        <vt:lpwstr>_Toc478218498</vt:lpwstr>
      </vt:variant>
      <vt:variant>
        <vt:i4>1245241</vt:i4>
      </vt:variant>
      <vt:variant>
        <vt:i4>134</vt:i4>
      </vt:variant>
      <vt:variant>
        <vt:i4>0</vt:i4>
      </vt:variant>
      <vt:variant>
        <vt:i4>5</vt:i4>
      </vt:variant>
      <vt:variant>
        <vt:lpwstr/>
      </vt:variant>
      <vt:variant>
        <vt:lpwstr>_Toc478218497</vt:lpwstr>
      </vt:variant>
      <vt:variant>
        <vt:i4>1245241</vt:i4>
      </vt:variant>
      <vt:variant>
        <vt:i4>128</vt:i4>
      </vt:variant>
      <vt:variant>
        <vt:i4>0</vt:i4>
      </vt:variant>
      <vt:variant>
        <vt:i4>5</vt:i4>
      </vt:variant>
      <vt:variant>
        <vt:lpwstr/>
      </vt:variant>
      <vt:variant>
        <vt:lpwstr>_Toc478218496</vt:lpwstr>
      </vt:variant>
      <vt:variant>
        <vt:i4>1245241</vt:i4>
      </vt:variant>
      <vt:variant>
        <vt:i4>122</vt:i4>
      </vt:variant>
      <vt:variant>
        <vt:i4>0</vt:i4>
      </vt:variant>
      <vt:variant>
        <vt:i4>5</vt:i4>
      </vt:variant>
      <vt:variant>
        <vt:lpwstr/>
      </vt:variant>
      <vt:variant>
        <vt:lpwstr>_Toc478218495</vt:lpwstr>
      </vt:variant>
      <vt:variant>
        <vt:i4>1245241</vt:i4>
      </vt:variant>
      <vt:variant>
        <vt:i4>116</vt:i4>
      </vt:variant>
      <vt:variant>
        <vt:i4>0</vt:i4>
      </vt:variant>
      <vt:variant>
        <vt:i4>5</vt:i4>
      </vt:variant>
      <vt:variant>
        <vt:lpwstr/>
      </vt:variant>
      <vt:variant>
        <vt:lpwstr>_Toc478218494</vt:lpwstr>
      </vt:variant>
      <vt:variant>
        <vt:i4>1245241</vt:i4>
      </vt:variant>
      <vt:variant>
        <vt:i4>110</vt:i4>
      </vt:variant>
      <vt:variant>
        <vt:i4>0</vt:i4>
      </vt:variant>
      <vt:variant>
        <vt:i4>5</vt:i4>
      </vt:variant>
      <vt:variant>
        <vt:lpwstr/>
      </vt:variant>
      <vt:variant>
        <vt:lpwstr>_Toc478218493</vt:lpwstr>
      </vt:variant>
      <vt:variant>
        <vt:i4>1245241</vt:i4>
      </vt:variant>
      <vt:variant>
        <vt:i4>104</vt:i4>
      </vt:variant>
      <vt:variant>
        <vt:i4>0</vt:i4>
      </vt:variant>
      <vt:variant>
        <vt:i4>5</vt:i4>
      </vt:variant>
      <vt:variant>
        <vt:lpwstr/>
      </vt:variant>
      <vt:variant>
        <vt:lpwstr>_Toc478218492</vt:lpwstr>
      </vt:variant>
      <vt:variant>
        <vt:i4>1245241</vt:i4>
      </vt:variant>
      <vt:variant>
        <vt:i4>98</vt:i4>
      </vt:variant>
      <vt:variant>
        <vt:i4>0</vt:i4>
      </vt:variant>
      <vt:variant>
        <vt:i4>5</vt:i4>
      </vt:variant>
      <vt:variant>
        <vt:lpwstr/>
      </vt:variant>
      <vt:variant>
        <vt:lpwstr>_Toc478218491</vt:lpwstr>
      </vt:variant>
      <vt:variant>
        <vt:i4>1245241</vt:i4>
      </vt:variant>
      <vt:variant>
        <vt:i4>92</vt:i4>
      </vt:variant>
      <vt:variant>
        <vt:i4>0</vt:i4>
      </vt:variant>
      <vt:variant>
        <vt:i4>5</vt:i4>
      </vt:variant>
      <vt:variant>
        <vt:lpwstr/>
      </vt:variant>
      <vt:variant>
        <vt:lpwstr>_Toc478218490</vt:lpwstr>
      </vt:variant>
      <vt:variant>
        <vt:i4>1179705</vt:i4>
      </vt:variant>
      <vt:variant>
        <vt:i4>86</vt:i4>
      </vt:variant>
      <vt:variant>
        <vt:i4>0</vt:i4>
      </vt:variant>
      <vt:variant>
        <vt:i4>5</vt:i4>
      </vt:variant>
      <vt:variant>
        <vt:lpwstr/>
      </vt:variant>
      <vt:variant>
        <vt:lpwstr>_Toc478218489</vt:lpwstr>
      </vt:variant>
      <vt:variant>
        <vt:i4>1179705</vt:i4>
      </vt:variant>
      <vt:variant>
        <vt:i4>80</vt:i4>
      </vt:variant>
      <vt:variant>
        <vt:i4>0</vt:i4>
      </vt:variant>
      <vt:variant>
        <vt:i4>5</vt:i4>
      </vt:variant>
      <vt:variant>
        <vt:lpwstr/>
      </vt:variant>
      <vt:variant>
        <vt:lpwstr>_Toc478218488</vt:lpwstr>
      </vt:variant>
      <vt:variant>
        <vt:i4>1179705</vt:i4>
      </vt:variant>
      <vt:variant>
        <vt:i4>74</vt:i4>
      </vt:variant>
      <vt:variant>
        <vt:i4>0</vt:i4>
      </vt:variant>
      <vt:variant>
        <vt:i4>5</vt:i4>
      </vt:variant>
      <vt:variant>
        <vt:lpwstr/>
      </vt:variant>
      <vt:variant>
        <vt:lpwstr>_Toc478218487</vt:lpwstr>
      </vt:variant>
      <vt:variant>
        <vt:i4>1179705</vt:i4>
      </vt:variant>
      <vt:variant>
        <vt:i4>68</vt:i4>
      </vt:variant>
      <vt:variant>
        <vt:i4>0</vt:i4>
      </vt:variant>
      <vt:variant>
        <vt:i4>5</vt:i4>
      </vt:variant>
      <vt:variant>
        <vt:lpwstr/>
      </vt:variant>
      <vt:variant>
        <vt:lpwstr>_Toc478218486</vt:lpwstr>
      </vt:variant>
      <vt:variant>
        <vt:i4>1179705</vt:i4>
      </vt:variant>
      <vt:variant>
        <vt:i4>62</vt:i4>
      </vt:variant>
      <vt:variant>
        <vt:i4>0</vt:i4>
      </vt:variant>
      <vt:variant>
        <vt:i4>5</vt:i4>
      </vt:variant>
      <vt:variant>
        <vt:lpwstr/>
      </vt:variant>
      <vt:variant>
        <vt:lpwstr>_Toc478218485</vt:lpwstr>
      </vt:variant>
      <vt:variant>
        <vt:i4>1179705</vt:i4>
      </vt:variant>
      <vt:variant>
        <vt:i4>56</vt:i4>
      </vt:variant>
      <vt:variant>
        <vt:i4>0</vt:i4>
      </vt:variant>
      <vt:variant>
        <vt:i4>5</vt:i4>
      </vt:variant>
      <vt:variant>
        <vt:lpwstr/>
      </vt:variant>
      <vt:variant>
        <vt:lpwstr>_Toc478218484</vt:lpwstr>
      </vt:variant>
      <vt:variant>
        <vt:i4>1179705</vt:i4>
      </vt:variant>
      <vt:variant>
        <vt:i4>50</vt:i4>
      </vt:variant>
      <vt:variant>
        <vt:i4>0</vt:i4>
      </vt:variant>
      <vt:variant>
        <vt:i4>5</vt:i4>
      </vt:variant>
      <vt:variant>
        <vt:lpwstr/>
      </vt:variant>
      <vt:variant>
        <vt:lpwstr>_Toc478218483</vt:lpwstr>
      </vt:variant>
      <vt:variant>
        <vt:i4>1179705</vt:i4>
      </vt:variant>
      <vt:variant>
        <vt:i4>44</vt:i4>
      </vt:variant>
      <vt:variant>
        <vt:i4>0</vt:i4>
      </vt:variant>
      <vt:variant>
        <vt:i4>5</vt:i4>
      </vt:variant>
      <vt:variant>
        <vt:lpwstr/>
      </vt:variant>
      <vt:variant>
        <vt:lpwstr>_Toc478218482</vt:lpwstr>
      </vt:variant>
      <vt:variant>
        <vt:i4>1179705</vt:i4>
      </vt:variant>
      <vt:variant>
        <vt:i4>38</vt:i4>
      </vt:variant>
      <vt:variant>
        <vt:i4>0</vt:i4>
      </vt:variant>
      <vt:variant>
        <vt:i4>5</vt:i4>
      </vt:variant>
      <vt:variant>
        <vt:lpwstr/>
      </vt:variant>
      <vt:variant>
        <vt:lpwstr>_Toc478218481</vt:lpwstr>
      </vt:variant>
      <vt:variant>
        <vt:i4>1179705</vt:i4>
      </vt:variant>
      <vt:variant>
        <vt:i4>32</vt:i4>
      </vt:variant>
      <vt:variant>
        <vt:i4>0</vt:i4>
      </vt:variant>
      <vt:variant>
        <vt:i4>5</vt:i4>
      </vt:variant>
      <vt:variant>
        <vt:lpwstr/>
      </vt:variant>
      <vt:variant>
        <vt:lpwstr>_Toc478218480</vt:lpwstr>
      </vt:variant>
      <vt:variant>
        <vt:i4>1900601</vt:i4>
      </vt:variant>
      <vt:variant>
        <vt:i4>26</vt:i4>
      </vt:variant>
      <vt:variant>
        <vt:i4>0</vt:i4>
      </vt:variant>
      <vt:variant>
        <vt:i4>5</vt:i4>
      </vt:variant>
      <vt:variant>
        <vt:lpwstr/>
      </vt:variant>
      <vt:variant>
        <vt:lpwstr>_Toc478218479</vt:lpwstr>
      </vt:variant>
      <vt:variant>
        <vt:i4>1900601</vt:i4>
      </vt:variant>
      <vt:variant>
        <vt:i4>20</vt:i4>
      </vt:variant>
      <vt:variant>
        <vt:i4>0</vt:i4>
      </vt:variant>
      <vt:variant>
        <vt:i4>5</vt:i4>
      </vt:variant>
      <vt:variant>
        <vt:lpwstr/>
      </vt:variant>
      <vt:variant>
        <vt:lpwstr>_Toc478218478</vt:lpwstr>
      </vt:variant>
      <vt:variant>
        <vt:i4>1900601</vt:i4>
      </vt:variant>
      <vt:variant>
        <vt:i4>14</vt:i4>
      </vt:variant>
      <vt:variant>
        <vt:i4>0</vt:i4>
      </vt:variant>
      <vt:variant>
        <vt:i4>5</vt:i4>
      </vt:variant>
      <vt:variant>
        <vt:lpwstr/>
      </vt:variant>
      <vt:variant>
        <vt:lpwstr>_Toc478218477</vt:lpwstr>
      </vt:variant>
      <vt:variant>
        <vt:i4>1900601</vt:i4>
      </vt:variant>
      <vt:variant>
        <vt:i4>8</vt:i4>
      </vt:variant>
      <vt:variant>
        <vt:i4>0</vt:i4>
      </vt:variant>
      <vt:variant>
        <vt:i4>5</vt:i4>
      </vt:variant>
      <vt:variant>
        <vt:lpwstr/>
      </vt:variant>
      <vt:variant>
        <vt:lpwstr>_Toc478218476</vt:lpwstr>
      </vt:variant>
      <vt:variant>
        <vt:i4>1900601</vt:i4>
      </vt:variant>
      <vt:variant>
        <vt:i4>2</vt:i4>
      </vt:variant>
      <vt:variant>
        <vt:i4>0</vt:i4>
      </vt:variant>
      <vt:variant>
        <vt:i4>5</vt:i4>
      </vt:variant>
      <vt:variant>
        <vt:lpwstr/>
      </vt:variant>
      <vt:variant>
        <vt:lpwstr>_Toc478218475</vt:lpwstr>
      </vt:variant>
      <vt:variant>
        <vt:i4>8257629</vt:i4>
      </vt:variant>
      <vt:variant>
        <vt:i4>9</vt:i4>
      </vt:variant>
      <vt:variant>
        <vt:i4>0</vt:i4>
      </vt:variant>
      <vt:variant>
        <vt:i4>5</vt:i4>
      </vt:variant>
      <vt:variant>
        <vt:lpwstr>http://www.e-justice.tn/fileadmin/fichiers_site_arabe/creation_tribunaux/cassation_trib_immobilier_ar/D_1957_reorganisation_tribunal_imm_ar.pdf</vt:lpwstr>
      </vt:variant>
      <vt:variant>
        <vt:lpwstr/>
      </vt:variant>
      <vt:variant>
        <vt:i4>3211323</vt:i4>
      </vt:variant>
      <vt:variant>
        <vt:i4>6</vt:i4>
      </vt:variant>
      <vt:variant>
        <vt:i4>0</vt:i4>
      </vt:variant>
      <vt:variant>
        <vt:i4>5</vt:i4>
      </vt:variant>
      <vt:variant>
        <vt:lpwstr>http://www.e-justice.tn/fileadmin/images/repertoire_musee/husseinite_apres_protec/L_pro_fonc_1885.pdf</vt:lpwstr>
      </vt:variant>
      <vt:variant>
        <vt:lpwstr/>
      </vt:variant>
      <vt:variant>
        <vt:i4>6356992</vt:i4>
      </vt:variant>
      <vt:variant>
        <vt:i4>3</vt:i4>
      </vt:variant>
      <vt:variant>
        <vt:i4>0</vt:i4>
      </vt:variant>
      <vt:variant>
        <vt:i4>5</vt:i4>
      </vt:variant>
      <vt:variant>
        <vt:lpwstr>http://www.e-justice.tn/fileadmin/fichiers_site_arabe/org_juridictionnelle/L_1967_29.pdf</vt:lpwstr>
      </vt:variant>
      <vt:variant>
        <vt:lpwstr/>
      </vt:variant>
      <vt:variant>
        <vt:i4>1966086</vt:i4>
      </vt:variant>
      <vt:variant>
        <vt:i4>0</vt:i4>
      </vt:variant>
      <vt:variant>
        <vt:i4>0</vt:i4>
      </vt:variant>
      <vt:variant>
        <vt:i4>5</vt:i4>
      </vt:variant>
      <vt:variant>
        <vt:lpwstr>https://www.google.tn/url?sa=t&amp;rct=j&amp;q=&amp;esrc=s&amp;source=web&amp;cd=3&amp;cad=rja&amp;uact=8&amp;ved=0ahUKEwi004uB5N7MAhURkRQKHeD1CT4QFggrMAI&amp;url=http%3A%2F%2Fwww.arp.tn%2Fsite%2Fservlet%2FFichier%3Fcode_obj%3D68403%26code_exp%3D1%26langue%3D1&amp;usg=AFQjCNGijf7-uBFF9MAUBAezF40XZ0_o0w&amp;sig2=BM9u5QrpgQvGHh26mPTbg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HRI/CORE/TUN/2016</dc:title>
  <dc:subject>GE.17-00703</dc:subject>
  <dc:creator>Christine Fanelli</dc:creator>
  <cp:keywords>ODS. 1644220</cp:keywords>
  <dc:description>Distr.: Générale Date : 3 janvier 2017 Français _x000d_
Original: Arabe</dc:description>
  <cp:lastModifiedBy>Gisela y Oscar</cp:lastModifiedBy>
  <cp:revision>4</cp:revision>
  <cp:lastPrinted>2017-06-12T13:35:00Z</cp:lastPrinted>
  <dcterms:created xsi:type="dcterms:W3CDTF">2017-06-12T12:29:00Z</dcterms:created>
  <dcterms:modified xsi:type="dcterms:W3CDTF">2017-06-12T13:43:00Z</dcterms:modified>
</cp:coreProperties>
</file>