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первой (открытой) части</w:t>
      </w:r>
      <w:r>
        <w:rPr>
          <w:rStyle w:val="FootnoteReference"/>
          <w:b w:val="0"/>
        </w:rPr>
        <w:footnoteReference w:customMarkFollows="1" w:id="1"/>
        <w:t>*</w:t>
      </w:r>
      <w:r>
        <w:t xml:space="preserve"> 1836-го заседания,</w:t>
      </w:r>
    </w:p>
    <w:p w:rsidR="00000000" w:rsidRDefault="00000000">
      <w:r>
        <w:t>состоявшегося в Центральных учреждениях, Нью-Йорк, в четверг, 30 марта 2000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н Амор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t xml:space="preserve">          позднее: г</w:t>
      </w:r>
      <w:r>
        <w:noBreakHyphen/>
        <w:t>жа Медина Кирога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  <w:rPr>
          <w:i/>
        </w:rPr>
      </w:pPr>
      <w:r>
        <w:t>Организационные и прочие вопросы (</w:t>
      </w:r>
      <w:r>
        <w:rPr>
          <w:i/>
        </w:rPr>
        <w:t>продолжение)</w:t>
      </w:r>
    </w:p>
    <w:p w:rsidR="00000000" w:rsidRDefault="00000000">
      <w:pPr>
        <w:pStyle w:val="SingleTxt"/>
        <w:suppressAutoHyphens/>
        <w:ind w:left="1742"/>
        <w:jc w:val="left"/>
        <w:rPr>
          <w:i/>
        </w:rPr>
      </w:pPr>
      <w:r>
        <w:rPr>
          <w:i/>
        </w:rPr>
        <w:t>Перечни вопросов, подлежащих обсуждению в связи с рассмотрением докладов, представленных государствами-участниками в соответствии со статьей 40 Пакта</w:t>
      </w:r>
    </w:p>
    <w:p w:rsidR="00000000" w:rsidRDefault="00000000">
      <w:pPr>
        <w:pStyle w:val="SingleTxt"/>
        <w:spacing w:after="0" w:line="240" w:lineRule="auto"/>
        <w:ind w:left="1742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г</w:t>
      </w:r>
      <w:r>
        <w:noBreakHyphen/>
        <w:t>жи Медины Кироги г</w:t>
      </w:r>
      <w:r>
        <w:noBreakHyphen/>
        <w:t>н Амор, заместитель Председателя, занимает место Предс</w:t>
      </w:r>
      <w:r>
        <w:t>е</w:t>
      </w:r>
      <w:r>
        <w:t>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Организационные и прочие вопросы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Перечни вопросов, подлежащих обсуждению в связи с рассмотрением докладов, представленных государствами-участниками в соответствии со стат</w:t>
      </w:r>
      <w:r>
        <w:t>ь</w:t>
      </w:r>
      <w:r>
        <w:t>ей 40 Пакта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Проект перечня вопросов, подлежащих обсуждению в связи с рассмотрением первоначального доклада Государства Кувейт (CCPR/C/120/Add.1)</w:t>
      </w:r>
      <w:r>
        <w:rPr>
          <w:b w:val="0"/>
        </w:rPr>
        <w:t xml:space="preserve"> (CCPR/C/69/Q/KWT/3)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вносит на рассмотрение проект п</w:t>
      </w:r>
      <w:r>
        <w:t>е</w:t>
      </w:r>
      <w:r>
        <w:t>речня вопросов (CCPR/C/69/Q/KWT/3), подгото</w:t>
      </w:r>
      <w:r>
        <w:t>в</w:t>
      </w:r>
      <w:r>
        <w:t>ленный Рабочей группой и включающий поправки, предложенные другими членами Комитета в отн</w:t>
      </w:r>
      <w:r>
        <w:t>о</w:t>
      </w:r>
      <w:r>
        <w:t>шении первоначального доклада Кувейта (CCPR/C/</w:t>
      </w:r>
      <w:r>
        <w:br/>
        <w:t>120/Add.1).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Конституционные и правовые рамки, в которых осуществляется Пакт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i/>
        </w:rPr>
        <w:t>Вопросы 1, 2 и 3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Равноправие мужчин и женщин и национальность детей (статьи 3, 23, 24, 25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говорит, что заключенное в ско</w:t>
      </w:r>
      <w:r>
        <w:t>б</w:t>
      </w:r>
      <w:r>
        <w:t>ки второе предложение вопроса 4 в его нынешней формулировке предполагает представление ра</w:t>
      </w:r>
      <w:r>
        <w:t>с</w:t>
      </w:r>
      <w:r>
        <w:t>плывчатых ответов, в то время как Комитет нужд</w:t>
      </w:r>
      <w:r>
        <w:t>а</w:t>
      </w:r>
      <w:r>
        <w:t>ется в конкретных фактах.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Ялден </w:t>
      </w:r>
      <w:r>
        <w:t>говорит, что, поскольку Комитет фактически стремится к получению дезагрегир</w:t>
      </w:r>
      <w:r>
        <w:t>о</w:t>
      </w:r>
      <w:r>
        <w:t>ванных статистических данных, возможно, ему сл</w:t>
      </w:r>
      <w:r>
        <w:t>е</w:t>
      </w:r>
      <w:r>
        <w:t>дует заявить об этом.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предлагает сформулировать это предложение следующим образом: «Может ли гос</w:t>
      </w:r>
      <w:r>
        <w:t>у</w:t>
      </w:r>
      <w:r>
        <w:t>дарство-участник представить подробные статист</w:t>
      </w:r>
      <w:r>
        <w:t>и</w:t>
      </w:r>
      <w:r>
        <w:t>ческие данные о положении женщин в обществе, в сфере труда, управления, образования и в универс</w:t>
      </w:r>
      <w:r>
        <w:t>и</w:t>
      </w:r>
      <w:r>
        <w:t>т</w:t>
      </w:r>
      <w:r>
        <w:t>е</w:t>
      </w:r>
      <w:r>
        <w:t>тах?».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i/>
        </w:rPr>
        <w:t>Вопрос 4 с внесенными в него поправками пр</w:t>
      </w:r>
      <w:r>
        <w:rPr>
          <w:i/>
        </w:rPr>
        <w:t>и</w:t>
      </w:r>
      <w:r>
        <w:rPr>
          <w:i/>
        </w:rPr>
        <w:t>нимается.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Хенкин </w:t>
      </w:r>
      <w:r>
        <w:t>высказывает мнение о том, что второе предложение вопроса 5 является слишком неопределенным и что поэтому оно лишено смысла. Он предлагает сформулировать его следующим о</w:t>
      </w:r>
      <w:r>
        <w:t>б</w:t>
      </w:r>
      <w:r>
        <w:t>разом: «Имеют ли женщины, не являющиеся м</w:t>
      </w:r>
      <w:r>
        <w:t>у</w:t>
      </w:r>
      <w:r>
        <w:t>сульманками, те же самые права в этом отношении, что и же</w:t>
      </w:r>
      <w:r>
        <w:t>н</w:t>
      </w:r>
      <w:r>
        <w:t>щины-мусульманки?».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 xml:space="preserve"> говорит, что заключенное в скобки третье предложение в вопросе 5 нуждается в пер</w:t>
      </w:r>
      <w:r>
        <w:t>е</w:t>
      </w:r>
      <w:r>
        <w:t>фразировании, поскольку Комитет выступает за л</w:t>
      </w:r>
      <w:r>
        <w:t>и</w:t>
      </w:r>
      <w:r>
        <w:t>квидацию большей части упоминаемой в нем пра</w:t>
      </w:r>
      <w:r>
        <w:t>к</w:t>
      </w:r>
      <w:r>
        <w:t>тики, а не за одинаковый подход в тех случаях, к</w:t>
      </w:r>
      <w:r>
        <w:t>о</w:t>
      </w:r>
      <w:r>
        <w:t>гда она имеет место.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говорит, что вместо того, чтобы интересоваться вопросом об  одинаковом подходе, Комитету следует просто запросить информацию относительно развода по одностороннему заявл</w:t>
      </w:r>
      <w:r>
        <w:t>е</w:t>
      </w:r>
      <w:r>
        <w:t>нию, полиг</w:t>
      </w:r>
      <w:r>
        <w:t>а</w:t>
      </w:r>
      <w:r>
        <w:t>мии и т.д.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, </w:t>
      </w:r>
      <w:r>
        <w:rPr>
          <w:b/>
        </w:rPr>
        <w:t>г</w:t>
      </w:r>
      <w:r>
        <w:rPr>
          <w:b/>
        </w:rPr>
        <w:noBreakHyphen/>
        <w:t xml:space="preserve">н Кляйн </w:t>
      </w:r>
      <w:r>
        <w:t xml:space="preserve">и </w:t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говорят, что поинтересоваться, существует ли одинаковый подход в случае развода по одностороннему заявл</w:t>
      </w:r>
      <w:r>
        <w:t>е</w:t>
      </w:r>
      <w:r>
        <w:t>нию, нарушения супружеской верности и способн</w:t>
      </w:r>
      <w:r>
        <w:t>о</w:t>
      </w:r>
      <w:r>
        <w:t>сти выступать в качестве свидетеля, было бы ум</w:t>
      </w:r>
      <w:r>
        <w:t>е</w:t>
      </w:r>
      <w:r>
        <w:t>стным, однако вопросам полигамии и «преступл</w:t>
      </w:r>
      <w:r>
        <w:t>е</w:t>
      </w:r>
      <w:r>
        <w:t>ний в защиту чести» следует посвятить отдельное предлож</w:t>
      </w:r>
      <w:r>
        <w:t>е</w:t>
      </w:r>
      <w:r>
        <w:t>ние как нежелательной практике.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говорит, что Комитет может согл</w:t>
      </w:r>
      <w:r>
        <w:t>а</w:t>
      </w:r>
      <w:r>
        <w:t>ситься с тем, чтобы «преступления в защиту чести» рассматривались в качестве явно порочной практ</w:t>
      </w:r>
      <w:r>
        <w:t>и</w:t>
      </w:r>
      <w:r>
        <w:t>ки и чтобы нарушение супружеской верности и способность выступать в качестве свидетеля ра</w:t>
      </w:r>
      <w:r>
        <w:t>с</w:t>
      </w:r>
      <w:r>
        <w:t>сматривались как области, в которых не должно быть дискриминации в обращении с женщинами и мужчинами. Однако он считает, что консенсуса в вопросе о том, как относиться к разводу по одн</w:t>
      </w:r>
      <w:r>
        <w:t>о</w:t>
      </w:r>
      <w:r>
        <w:t>стороннему заявлению и полигамии или многом</w:t>
      </w:r>
      <w:r>
        <w:t>у</w:t>
      </w:r>
      <w:r>
        <w:t>жию, не существует. Он предлагает обойти этот в</w:t>
      </w:r>
      <w:r>
        <w:t>о</w:t>
      </w:r>
      <w:r>
        <w:t>прос, предусмотрев представление «подробной и</w:t>
      </w:r>
      <w:r>
        <w:t>н</w:t>
      </w:r>
      <w:r>
        <w:t>формации о существующем в государстве-участни-ке положении с точки зрения законодательства и практики, касающихся развода по одностороннему заявлению, полигамии, «преступлений в защиту чести», супружеской измены и способности давать свидетельские показания».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Лорд Колвилл</w:t>
      </w:r>
      <w:r>
        <w:t xml:space="preserve"> говорит, что он согласен с тем, чтобы в перечне вопросов Комитет просто запросил информацию по этим аспектам и чтобы позднее он задал более конкретные вопросы непосредственно членам д</w:t>
      </w:r>
      <w:r>
        <w:t>е</w:t>
      </w:r>
      <w:r>
        <w:t>легации.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i/>
        </w:rPr>
        <w:t>Вопрос 5 с внесенными в него поправками пр</w:t>
      </w:r>
      <w:r>
        <w:rPr>
          <w:i/>
        </w:rPr>
        <w:t>и</w:t>
      </w:r>
      <w:r>
        <w:rPr>
          <w:i/>
        </w:rPr>
        <w:t>нимается</w:t>
      </w:r>
      <w:r>
        <w:t>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i/>
        </w:rPr>
        <w:t>Вопрос 6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Принцип недопущения дискриминации и защиты меньшинств (статьи 26 и 27 Па</w:t>
      </w:r>
      <w:r>
        <w:t>к</w:t>
      </w:r>
      <w:r>
        <w:t>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i/>
        </w:rPr>
        <w:t>Вопрос 7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отмечает, что термин «бедун», использованный в первом предложении вопроса 8, вводит в заблуждение, поскольку можно понять, что речь идет о бедуинах. Поскольку Пре</w:t>
      </w:r>
      <w:r>
        <w:t>д</w:t>
      </w:r>
      <w:r>
        <w:t>седатель пояснила, что в основе этого термина л</w:t>
      </w:r>
      <w:r>
        <w:t>е</w:t>
      </w:r>
      <w:r>
        <w:t>жат слова «без документов», возможно, стоит отк</w:t>
      </w:r>
      <w:r>
        <w:t>а</w:t>
      </w:r>
      <w:r>
        <w:t>заться от этого местного выражения, использовав вместо этого короткую фразу, которая легко пон</w:t>
      </w:r>
      <w:r>
        <w:t>и</w:t>
      </w:r>
      <w:r>
        <w:t>мается всеми, например «лица без гражданства» или «рабочие без докуме</w:t>
      </w:r>
      <w:r>
        <w:t>н</w:t>
      </w:r>
      <w:r>
        <w:t>тов».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разъясняет, что «бедун» — термин, используемый теми, кто знаком с положением дел в Кувейте. Неправительственные организации пр</w:t>
      </w:r>
      <w:r>
        <w:t>е</w:t>
      </w:r>
      <w:r>
        <w:t>доставили Рабочей группе большой объем инфо</w:t>
      </w:r>
      <w:r>
        <w:t>р</w:t>
      </w:r>
      <w:r>
        <w:t>мации по данному вопросу. Данный термин испол</w:t>
      </w:r>
      <w:r>
        <w:t>ь</w:t>
      </w:r>
      <w:r>
        <w:t>зовался при рассмотрении доклада Кувейта Комит</w:t>
      </w:r>
      <w:r>
        <w:t>е</w:t>
      </w:r>
      <w:r>
        <w:t>ту по правам ребенка. Тяжелое положение бедунов является исключительно важной проблемой прав человека в Кувейте, однако дать им точное опред</w:t>
      </w:r>
      <w:r>
        <w:t>е</w:t>
      </w:r>
      <w:r>
        <w:t>ление с использованием какого-либо другого те</w:t>
      </w:r>
      <w:r>
        <w:t>р</w:t>
      </w:r>
      <w:r>
        <w:t>мина — трудно. Кроме того, в Кувейте имеются другие лица без гражданства или лица без докуме</w:t>
      </w:r>
      <w:r>
        <w:t>н</w:t>
      </w:r>
      <w:r>
        <w:t>тов, которые не являются б</w:t>
      </w:r>
      <w:r>
        <w:t>е</w:t>
      </w:r>
      <w:r>
        <w:t xml:space="preserve">дунами. 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 xml:space="preserve"> говорит, что она разделяет мнение г</w:t>
      </w:r>
      <w:r>
        <w:noBreakHyphen/>
        <w:t>на Кляйна и считает, что эту проблему можно ра</w:t>
      </w:r>
      <w:r>
        <w:t>з</w:t>
      </w:r>
      <w:r>
        <w:t>решить путем заключения слова «бедун» в кавычки и добавления слов «постоянные жители без док</w:t>
      </w:r>
      <w:r>
        <w:t>у</w:t>
      </w:r>
      <w:r>
        <w:t>ментов», з</w:t>
      </w:r>
      <w:r>
        <w:t>а</w:t>
      </w:r>
      <w:r>
        <w:t>ключенных в скобки.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i/>
        </w:rPr>
        <w:t>Вопрос 8 с внесенными в него поправками пр</w:t>
      </w:r>
      <w:r>
        <w:rPr>
          <w:i/>
        </w:rPr>
        <w:t>и</w:t>
      </w:r>
      <w:r>
        <w:rPr>
          <w:i/>
        </w:rPr>
        <w:t>нимается</w:t>
      </w:r>
      <w:r>
        <w:t>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i/>
        </w:rPr>
        <w:t>Вопросы 9 и 10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жизнь, предотвращение пыток и унижающего достоинство обращения (статьи 6</w:t>
      </w:r>
      <w:r>
        <w:br/>
        <w:t>и 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i/>
        </w:rPr>
        <w:t>Г</w:t>
      </w:r>
      <w:r>
        <w:rPr>
          <w:i/>
        </w:rPr>
        <w:noBreakHyphen/>
        <w:t>жа Медина Кирога занимает место Пре</w:t>
      </w:r>
      <w:r>
        <w:rPr>
          <w:i/>
        </w:rPr>
        <w:t>д</w:t>
      </w:r>
      <w:r>
        <w:rPr>
          <w:i/>
        </w:rPr>
        <w:t>седателя</w:t>
      </w:r>
      <w:r>
        <w:t>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>, ссылаясь на вопрос 11, говорит, что она находит странным, особенно в случае пе</w:t>
      </w:r>
      <w:r>
        <w:t>р</w:t>
      </w:r>
      <w:r>
        <w:t>воначального доклада, включение вопроса о смер</w:t>
      </w:r>
      <w:r>
        <w:t>т</w:t>
      </w:r>
      <w:r>
        <w:t>ной казни и отсутствие какого-либо вопроса о с</w:t>
      </w:r>
      <w:r>
        <w:t>у</w:t>
      </w:r>
      <w:r>
        <w:t>дебной системе как таковой. Это было бы особенно уместно в отношении Кувейта, в котором вводилось военное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поясняет, что первоначальный проект включал такой вопрос, однако Рабочая гру</w:t>
      </w:r>
      <w:r>
        <w:t>п</w:t>
      </w:r>
      <w:r>
        <w:t>па, сочтя перечень вопросов слишком длинным, и</w:t>
      </w:r>
      <w:r>
        <w:t>с</w:t>
      </w:r>
      <w:r>
        <w:t>ключ</w:t>
      </w:r>
      <w:r>
        <w:t>и</w:t>
      </w:r>
      <w:r>
        <w:t>ла его.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Лорд Колвилл</w:t>
      </w:r>
      <w:r>
        <w:t xml:space="preserve"> говорит, что вопрос об осущ</w:t>
      </w:r>
      <w:r>
        <w:t>е</w:t>
      </w:r>
      <w:r>
        <w:t>ствлении статьи 14 в целом, включая все его аспе</w:t>
      </w:r>
      <w:r>
        <w:t>к</w:t>
      </w:r>
      <w:r>
        <w:t>ты, такие, как надлежащая процедура и независ</w:t>
      </w:r>
      <w:r>
        <w:t>и</w:t>
      </w:r>
      <w:r>
        <w:t>мость судебной системы, бесспорно, нео</w:t>
      </w:r>
      <w:r>
        <w:t>б</w:t>
      </w:r>
      <w:r>
        <w:t>ходим.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Председатель </w:t>
      </w:r>
      <w:r>
        <w:t>говорит, что наилучшим реш</w:t>
      </w:r>
      <w:r>
        <w:t>е</w:t>
      </w:r>
      <w:r>
        <w:t>нием было бы включение этого вопроса в посл</w:t>
      </w:r>
      <w:r>
        <w:t>е</w:t>
      </w:r>
      <w:r>
        <w:t>дующую часть списка в качестве отдельного пун</w:t>
      </w:r>
      <w:r>
        <w:t>к</w:t>
      </w:r>
      <w:r>
        <w:t>та.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i/>
        </w:rPr>
        <w:t>Вопрос 11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i/>
        </w:rPr>
        <w:t>Вопросы 12 и 13 принимаются</w:t>
      </w:r>
      <w:r>
        <w:t>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предлагает перефразировать в</w:t>
      </w:r>
      <w:r>
        <w:t>о</w:t>
      </w:r>
      <w:r>
        <w:t>прос 14, сформулировав его следующим образом: «Запрещен ли аборт и предусматриваются ли к</w:t>
      </w:r>
      <w:r>
        <w:t>а</w:t>
      </w:r>
      <w:r>
        <w:t>кие-либо исключения (пункты 84 и 85)?».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i/>
        </w:rPr>
        <w:t>Вопрос 14 с внесенными в него устными изм</w:t>
      </w:r>
      <w:r>
        <w:rPr>
          <w:i/>
        </w:rPr>
        <w:t>е</w:t>
      </w:r>
      <w:r>
        <w:rPr>
          <w:i/>
        </w:rPr>
        <w:t>нениями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i/>
        </w:rPr>
        <w:t>Вопрос 15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/>
        </w:rPr>
      </w:pPr>
      <w:r>
        <w:tab/>
        <w:t>Свобода и безопасность личности; обращение с заключенными (статьи 9 и 10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предлагает разделить первое предложение вопроса 16 на две части, первая из к</w:t>
      </w:r>
      <w:r>
        <w:t>о</w:t>
      </w:r>
      <w:r>
        <w:t>торых заканчивалась бы словами «судебная власть». Вторая часть этой фразы стала бы отдельным пре</w:t>
      </w:r>
      <w:r>
        <w:t>д</w:t>
      </w:r>
      <w:r>
        <w:t>ложением следующего содержания: «Какова допу</w:t>
      </w:r>
      <w:r>
        <w:t>с</w:t>
      </w:r>
      <w:r>
        <w:t>тимая продолжительность предварительного соде</w:t>
      </w:r>
      <w:r>
        <w:t>р</w:t>
      </w:r>
      <w:r>
        <w:t>жания под стражей (пункты 161 и 162)?»; и она предлагает сделать его третьим предложением в</w:t>
      </w:r>
      <w:r>
        <w:t>о</w:t>
      </w:r>
      <w:r>
        <w:t>проса 16, следующим после нынешнего второго предлож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i/>
        </w:rPr>
        <w:t>Вопрос 16 с внесенными в него устными изм</w:t>
      </w:r>
      <w:r>
        <w:rPr>
          <w:i/>
        </w:rPr>
        <w:t>е</w:t>
      </w:r>
      <w:r>
        <w:rPr>
          <w:i/>
        </w:rPr>
        <w:t>нениями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i/>
        </w:rPr>
        <w:t>Вопрос 17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Лорд Колвилл</w:t>
      </w:r>
      <w:r>
        <w:t xml:space="preserve"> предлагает включить отдел</w:t>
      </w:r>
      <w:r>
        <w:t>ь</w:t>
      </w:r>
      <w:r>
        <w:t>ный пункт, касающийся статьи 14 и посвященный судебной системе, о чем говорилось ранее, и сфо</w:t>
      </w:r>
      <w:r>
        <w:t>р</w:t>
      </w:r>
      <w:r>
        <w:t>мулировать в рамках этого пункта новый вопрос 18 следующего соде</w:t>
      </w:r>
      <w:r>
        <w:t>р</w:t>
      </w:r>
      <w:r>
        <w:t>жания:</w:t>
      </w:r>
    </w:p>
    <w:p w:rsidR="00000000" w:rsidRDefault="00000000">
      <w:pPr>
        <w:pStyle w:val="DualTxt"/>
        <w:rPr>
          <w:i/>
        </w:rPr>
      </w:pPr>
      <w:r>
        <w:tab/>
      </w:r>
      <w:r>
        <w:rPr>
          <w:i/>
        </w:rPr>
        <w:t>«Судебная система (статья 14 Пакта)</w:t>
      </w: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tab/>
        <w:t>18.</w:t>
      </w:r>
      <w:r>
        <w:tab/>
        <w:t>Просьба описать, каким образом суде</w:t>
      </w:r>
      <w:r>
        <w:t>б</w:t>
      </w:r>
      <w:r>
        <w:t>ные власти и судебная система обеспечивают соблюдение в судах всех положений ст</w:t>
      </w:r>
      <w:r>
        <w:t>а</w:t>
      </w:r>
      <w:r>
        <w:t>тьи 14».</w:t>
      </w:r>
    </w:p>
    <w:p w:rsidR="00000000" w:rsidRDefault="00000000">
      <w:pPr>
        <w:pStyle w:val="DualTxt"/>
        <w:tabs>
          <w:tab w:val="clear" w:pos="480"/>
          <w:tab w:val="left" w:pos="475"/>
        </w:tabs>
      </w:pPr>
      <w:r>
        <w:t>Последующие вопросы были бы перенумерованы соотве</w:t>
      </w:r>
      <w:r>
        <w:t>т</w:t>
      </w:r>
      <w:r>
        <w:t>ствующим образом</w:t>
      </w:r>
    </w:p>
    <w:p w:rsidR="00000000" w:rsidRDefault="00000000">
      <w:pPr>
        <w:pStyle w:val="DualTxt"/>
        <w:tabs>
          <w:tab w:val="clear" w:pos="480"/>
          <w:tab w:val="left" w:pos="475"/>
        </w:tabs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Свобода религии (статья 18 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i/>
        </w:rPr>
        <w:t>Вопрос 18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слова и ассоциации (статьи 19, 22 и 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i/>
        </w:rPr>
        <w:t>Вопросы 19–21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 о Пакте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i/>
        </w:rPr>
        <w:t>Вопрос 22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i/>
        </w:rPr>
        <w:t>Проект перечня вопросов, подлежащих обс</w:t>
      </w:r>
      <w:r>
        <w:rPr>
          <w:i/>
        </w:rPr>
        <w:t>у</w:t>
      </w:r>
      <w:r>
        <w:rPr>
          <w:i/>
        </w:rPr>
        <w:t>ждению в связи с рассмотрением первоначального доклада Государства Кувейт, с внесенными в него поправками принимается в целом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Проект перечня вопросов, подлежащих обсуждению в связи с рассмотрением второго периодического доклада Ирландии (CCPR/C/IRL/98/2) (HRI/CORE/1/Add.15/</w:t>
      </w:r>
      <w:r>
        <w:br/>
        <w:t xml:space="preserve">Rev.1) </w:t>
      </w:r>
      <w:r>
        <w:rPr>
          <w:b w:val="0"/>
        </w:rPr>
        <w:t>(CCPR/C/69/Q/IRL/4)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b w:val="0"/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 xml:space="preserve"> вносит на рассмотрение проект п</w:t>
      </w:r>
      <w:r>
        <w:t>е</w:t>
      </w:r>
      <w:r>
        <w:t>речня вопросов, в основу которого частично пол</w:t>
      </w:r>
      <w:r>
        <w:t>о</w:t>
      </w:r>
      <w:r>
        <w:t>жены заключительные замечания Комитета в отн</w:t>
      </w:r>
      <w:r>
        <w:t>о</w:t>
      </w:r>
      <w:r>
        <w:t>шении первоначального доклада И</w:t>
      </w:r>
      <w:r>
        <w:t>р</w:t>
      </w:r>
      <w:r>
        <w:t>ландии.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Конституционные и правовые рамки, в которых осуществляются Пакт и Факультативный протокол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i/>
        </w:rPr>
        <w:t>Вопросы 1–4 пр</w:t>
      </w:r>
      <w:r>
        <w:rPr>
          <w:i/>
        </w:rPr>
        <w:t>и</w:t>
      </w:r>
      <w:r>
        <w:rPr>
          <w:i/>
        </w:rPr>
        <w:t>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Отступления во время чрезвычайного положения (статья 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i/>
        </w:rPr>
        <w:t>Вопрос 5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жизнь, свободу и личную неприкосновенность, обращение с лицами, лишенными свободы, и право на справедливое судебное разбирательство (статьи 6, 7, 9, 10 и 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i/>
        </w:rPr>
        <w:t>Вопросы 6–8 пр</w:t>
      </w:r>
      <w:r>
        <w:rPr>
          <w:i/>
        </w:rPr>
        <w:t>и</w:t>
      </w:r>
      <w:r>
        <w:rPr>
          <w:i/>
        </w:rPr>
        <w:t>нимаются</w:t>
      </w:r>
      <w:r>
        <w:t>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Лорд Колвилл</w:t>
      </w:r>
      <w:r>
        <w:t>, ссылаясь на заключительную часть вопроса 9, предлагает заменить слова «допо</w:t>
      </w:r>
      <w:r>
        <w:t>л</w:t>
      </w:r>
      <w:r>
        <w:t>нительное доказательство виновности» фразой «с</w:t>
      </w:r>
      <w:r>
        <w:t>о</w:t>
      </w:r>
      <w:r>
        <w:t>ответствующий материал, как правило, свидетел</w:t>
      </w:r>
      <w:r>
        <w:t>ь</w:t>
      </w:r>
      <w:r>
        <w:t>ствующий о в</w:t>
      </w:r>
      <w:r>
        <w:t>и</w:t>
      </w:r>
      <w:r>
        <w:t>новности».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i/>
        </w:rPr>
        <w:t>Вопрос 9 с внесенными в него поправками пр</w:t>
      </w:r>
      <w:r>
        <w:rPr>
          <w:i/>
        </w:rPr>
        <w:t>и</w:t>
      </w:r>
      <w:r>
        <w:rPr>
          <w:i/>
        </w:rPr>
        <w:t>нимается</w:t>
      </w:r>
      <w:r>
        <w:t>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i/>
        </w:rPr>
        <w:t>Вопрос 10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 xml:space="preserve"> предлагает привести вопрос 11 в соответствие с формулировкой аналогичного в</w:t>
      </w:r>
      <w:r>
        <w:t>о</w:t>
      </w:r>
      <w:r>
        <w:t>проса, касающегося доклада Кувейта. В этом случае он гласил бы следующее: «Запрещен ли аборт и с</w:t>
      </w:r>
      <w:r>
        <w:t>у</w:t>
      </w:r>
      <w:r>
        <w:t>ществуют ли какие-либо исключ</w:t>
      </w:r>
      <w:r>
        <w:t>е</w:t>
      </w:r>
      <w:r>
        <w:t>ния?».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i/>
        </w:rPr>
        <w:t>Вопрос 11 с внесенными в него поправками принимается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Равноправие мужчин и женщин и защита от домашнего насилия (статьи 3, 7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48.</w:t>
      </w:r>
      <w:r>
        <w:tab/>
      </w:r>
      <w:r>
        <w:rPr>
          <w:i/>
        </w:rPr>
        <w:t>Вопросы 12–14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Защита детей</w:t>
      </w:r>
      <w:r>
        <w:rPr>
          <w:i/>
        </w:rPr>
        <w:t xml:space="preserve"> </w:t>
      </w:r>
      <w:r>
        <w:t>(статьи 23 и 24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i/>
        </w:rPr>
        <w:t>Вопрос 15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Защита неприкосновенности личной жизни (статья 17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50.</w:t>
      </w:r>
      <w:r>
        <w:tab/>
      </w:r>
      <w:r>
        <w:rPr>
          <w:i/>
        </w:rPr>
        <w:t>Вопрос 16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слова, мысли, совести и религии (статьи 18 и 19 Пакта)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51.</w:t>
      </w:r>
      <w:r>
        <w:tab/>
      </w:r>
      <w:r>
        <w:rPr>
          <w:i/>
        </w:rPr>
        <w:t>Вопросы 17 и 18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Права лиц, принадлежащих к меньшинствам (статьи 18, 25, 26 и 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52.</w:t>
      </w:r>
      <w:r>
        <w:tab/>
      </w:r>
      <w:r>
        <w:rPr>
          <w:i/>
        </w:rPr>
        <w:t>Вопросы 19 и 20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 о Пакте (статья 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53.</w:t>
      </w:r>
      <w:r>
        <w:tab/>
      </w:r>
      <w:r>
        <w:rPr>
          <w:i/>
        </w:rPr>
        <w:t>Вопрос 21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i/>
        </w:rPr>
        <w:t>Проект перечня вопросов, подлежащих обс</w:t>
      </w:r>
      <w:r>
        <w:rPr>
          <w:i/>
        </w:rPr>
        <w:t>у</w:t>
      </w:r>
      <w:r>
        <w:rPr>
          <w:i/>
        </w:rPr>
        <w:t>ждению  в связи с рассмотрением второго пери</w:t>
      </w:r>
      <w:r>
        <w:rPr>
          <w:i/>
        </w:rPr>
        <w:t>о</w:t>
      </w:r>
      <w:r>
        <w:rPr>
          <w:i/>
        </w:rPr>
        <w:t>дического доклада Ирландии, с внесенными в него поправками пр</w:t>
      </w:r>
      <w:r>
        <w:rPr>
          <w:i/>
        </w:rPr>
        <w:t>и</w:t>
      </w:r>
      <w:r>
        <w:rPr>
          <w:i/>
        </w:rPr>
        <w:t>нимается в целом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Проект перечня вопросов, подлежащих обсуждению в связи с рассмотрением третьего и четвертого периодических докладов Австралии (CCPR/C/AUS/1998/3 и 4)</w:t>
      </w:r>
      <w:r>
        <w:rPr>
          <w:b w:val="0"/>
        </w:rPr>
        <w:t xml:space="preserve"> (CCPR/C/69/Q/AUS/1)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 xml:space="preserve"> вносит на рассмотрение проект перечня вопросов от имени г</w:t>
      </w:r>
      <w:r>
        <w:noBreakHyphen/>
        <w:t>на Крецмера, который включил в него все предложения, высказанные чл</w:t>
      </w:r>
      <w:r>
        <w:t>е</w:t>
      </w:r>
      <w:r>
        <w:t>н</w:t>
      </w:r>
      <w:r>
        <w:t>а</w:t>
      </w:r>
      <w:r>
        <w:t>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Соблюдение прав, закрепленных в Пакте, и претворение в жизнь соображений в соответствии с Факультативным протоколом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56.</w:t>
      </w:r>
      <w:r>
        <w:tab/>
      </w:r>
      <w:r>
        <w:rPr>
          <w:i/>
        </w:rPr>
        <w:t>Вопрос 1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 Шане</w:t>
      </w:r>
      <w:r>
        <w:t xml:space="preserve"> сообщила Комитету о том, что на следующий день она встретится с представителем Австралии в рамках последующей деятельности в связи с делом, которое упомянуто в вопросе 2 (С</w:t>
      </w:r>
      <w:r>
        <w:t>о</w:t>
      </w:r>
      <w:r>
        <w:t>общение № 560/1993) и соображения Комитета по которому были оспорены госуда</w:t>
      </w:r>
      <w:r>
        <w:t>р</w:t>
      </w:r>
      <w:r>
        <w:t>ством-участником.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 Шейнин</w:t>
      </w:r>
      <w:r>
        <w:t xml:space="preserve"> говорит, что этот вопрос полезен, поскольку в связи с ним можно будет обсудить да</w:t>
      </w:r>
      <w:r>
        <w:t>н</w:t>
      </w:r>
      <w:r>
        <w:t>ный пункт при рассмотрении до</w:t>
      </w:r>
      <w:r>
        <w:t>к</w:t>
      </w:r>
      <w:r>
        <w:t>лада.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i/>
        </w:rPr>
        <w:t>Вопрос 2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i/>
        </w:rPr>
        <w:t>Вопрос 3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всех народов на самоопределение и права лиц, принадлежащих к меньшинствам (статьи 1</w:t>
      </w:r>
      <w:r>
        <w:br/>
        <w:t>и 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61.</w:t>
      </w:r>
      <w:r>
        <w:tab/>
      </w:r>
      <w:r>
        <w:rPr>
          <w:i/>
        </w:rPr>
        <w:t>Вопросы 4–8 пр</w:t>
      </w:r>
      <w:r>
        <w:rPr>
          <w:i/>
        </w:rPr>
        <w:t>и</w:t>
      </w:r>
      <w:r>
        <w:rPr>
          <w:i/>
        </w:rPr>
        <w:t>нимаются</w:t>
      </w:r>
      <w:r>
        <w:t>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Дискриминация и равенство перед законом; справедливое судебное разбирательство и права детей (статьи 3, 26, 14 и 24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62.</w:t>
      </w:r>
      <w:r>
        <w:tab/>
      </w:r>
      <w:r>
        <w:rPr>
          <w:i/>
        </w:rPr>
        <w:t>Вопросы 9–12 пр</w:t>
      </w:r>
      <w:r>
        <w:rPr>
          <w:i/>
        </w:rPr>
        <w:t>и</w:t>
      </w:r>
      <w:r>
        <w:rPr>
          <w:i/>
        </w:rPr>
        <w:t>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 и предотвращение пыток и унижающего достоинство обращения (статьи 6</w:t>
      </w:r>
      <w:r>
        <w:br/>
        <w:t>и 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63.</w:t>
      </w:r>
      <w:r>
        <w:tab/>
      </w:r>
      <w:r>
        <w:rPr>
          <w:i/>
        </w:rPr>
        <w:t>Вопросы 13–15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и неприкосновенность личности; обращение с заключенными и другими лицами, лишенными свободы; свобода передвижения и права иностранцев (статьи 7, 9, 10, 12 и 13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64.</w:t>
      </w:r>
      <w:r>
        <w:tab/>
      </w:r>
      <w:r>
        <w:rPr>
          <w:i/>
        </w:rPr>
        <w:t>Вопросы 16–19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религии и запрещение дискриминации (статьи 18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65.</w:t>
      </w:r>
      <w:r>
        <w:tab/>
      </w:r>
      <w:r>
        <w:rPr>
          <w:i/>
        </w:rPr>
        <w:t>Вопрос 20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 о Пакте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66.</w:t>
      </w:r>
      <w:r>
        <w:tab/>
      </w:r>
      <w:r>
        <w:rPr>
          <w:i/>
        </w:rPr>
        <w:t>Вопрос 21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i/>
        </w:rPr>
        <w:t>Проект перечня вопросов, подлежащих обс</w:t>
      </w:r>
      <w:r>
        <w:rPr>
          <w:i/>
        </w:rPr>
        <w:t>у</w:t>
      </w:r>
      <w:r>
        <w:rPr>
          <w:i/>
        </w:rPr>
        <w:t>ждению в связи с рассмотрением третьего и че</w:t>
      </w:r>
      <w:r>
        <w:rPr>
          <w:i/>
        </w:rPr>
        <w:t>т</w:t>
      </w:r>
      <w:r>
        <w:rPr>
          <w:i/>
        </w:rPr>
        <w:t>вертого периодических докладов Австралии, пр</w:t>
      </w:r>
      <w:r>
        <w:rPr>
          <w:i/>
        </w:rPr>
        <w:t>и</w:t>
      </w:r>
      <w:r>
        <w:rPr>
          <w:i/>
        </w:rPr>
        <w:t>нимае</w:t>
      </w:r>
      <w:r>
        <w:rPr>
          <w:i/>
        </w:rPr>
        <w:t>т</w:t>
      </w:r>
      <w:r>
        <w:rPr>
          <w:i/>
        </w:rPr>
        <w:t>ся в целом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Проект перечня вопросов, подлежащих обсуждению в связи с рассмотрением первоначального доклада Кыргызстана (CCPR/C/113/Add.1) </w:t>
      </w:r>
      <w:r>
        <w:rPr>
          <w:b w:val="0"/>
        </w:rPr>
        <w:t>(CCPR/C/69/Q/КGZ/3)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>н Верушевский</w:t>
      </w:r>
      <w:r>
        <w:t>, внося на рассмотрение проект перечня вопросов, говорит, что, поскольку речь идет о первоначальном докладе Кыргызстана, перечень содержит больше вопросов, чем обычно. Некоторые из внесенных поправок были предлож</w:t>
      </w:r>
      <w:r>
        <w:t>е</w:t>
      </w:r>
      <w:r>
        <w:t>ны членами Комитета, а другие сформулированы на основании материала, который был получен в ходе сессии.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Конституционные и правовые рамки, в которых осуществляются Пакт и Факультативный протокол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69.</w:t>
      </w:r>
      <w:r>
        <w:tab/>
      </w:r>
      <w:r>
        <w:rPr>
          <w:i/>
        </w:rPr>
        <w:t>Вопрос 1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предлагает заменить слово “both” перед словом “institutions” в конце первого предл</w:t>
      </w:r>
      <w:r>
        <w:t>о</w:t>
      </w:r>
      <w:r>
        <w:t>жения вопроса 2 словами “the two”.</w:t>
      </w:r>
    </w:p>
    <w:p w:rsidR="00000000" w:rsidRDefault="00000000">
      <w:pPr>
        <w:pStyle w:val="DualTxt"/>
      </w:pPr>
      <w:r>
        <w:rPr>
          <w:i/>
        </w:rPr>
        <w:t>71.</w:t>
      </w:r>
      <w:r>
        <w:rPr>
          <w:i/>
        </w:rPr>
        <w:tab/>
        <w:t>Вопрос 2 с внесенными в него поправками пр</w:t>
      </w:r>
      <w:r>
        <w:rPr>
          <w:i/>
        </w:rPr>
        <w:t>и</w:t>
      </w:r>
      <w:r>
        <w:rPr>
          <w:i/>
        </w:rPr>
        <w:t>нимается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Чрезвычайное положение (статья 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72.</w:t>
      </w:r>
      <w:r>
        <w:tab/>
      </w:r>
      <w:r>
        <w:rPr>
          <w:i/>
        </w:rPr>
        <w:t>Вопрос 3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Равноправие мужчин и женщин (статьи 3 и 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73.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предлагает добавить слова «законы и» перед словом «программы» в первом предложении вопр</w:t>
      </w:r>
      <w:r>
        <w:t>о</w:t>
      </w:r>
      <w:r>
        <w:t>са 4.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i/>
        </w:rPr>
        <w:t>Вопрос 4 с внесенными в него поправками пр</w:t>
      </w:r>
      <w:r>
        <w:rPr>
          <w:i/>
        </w:rPr>
        <w:t>и</w:t>
      </w:r>
      <w:r>
        <w:rPr>
          <w:i/>
        </w:rPr>
        <w:t>нимается</w:t>
      </w:r>
      <w:r>
        <w:t>.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i/>
        </w:rPr>
        <w:t>Вопрос 5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76.</w:t>
      </w:r>
      <w:r>
        <w:tab/>
      </w:r>
      <w:r>
        <w:rPr>
          <w:b/>
        </w:rPr>
        <w:t>Г</w:t>
      </w:r>
      <w:r>
        <w:rPr>
          <w:b/>
        </w:rPr>
        <w:noBreakHyphen/>
        <w:t>н Верушевский</w:t>
      </w:r>
      <w:r>
        <w:t xml:space="preserve"> говорит, что вопрос 6 сл</w:t>
      </w:r>
      <w:r>
        <w:t>е</w:t>
      </w:r>
      <w:r>
        <w:t>дует исключить, поскольку он представляет собой простое повторение вопроса 4. Все последующие вопросы были бы перенумерованы соответству</w:t>
      </w:r>
      <w:r>
        <w:t>ю</w:t>
      </w:r>
      <w:r>
        <w:t>щим образом.</w:t>
      </w:r>
    </w:p>
    <w:p w:rsidR="00000000" w:rsidRDefault="00000000">
      <w:pPr>
        <w:pStyle w:val="DualTxt"/>
      </w:pPr>
      <w:r>
        <w:t>77.</w:t>
      </w:r>
      <w:r>
        <w:tab/>
      </w:r>
      <w:r>
        <w:rPr>
          <w:i/>
        </w:rPr>
        <w:t>Решение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</w:pPr>
      <w:r>
        <w:t>78.</w:t>
      </w:r>
      <w:r>
        <w:tab/>
      </w:r>
      <w:r>
        <w:rPr>
          <w:i/>
        </w:rPr>
        <w:t>Вопросы 7 и 8 пр</w:t>
      </w:r>
      <w:r>
        <w:rPr>
          <w:i/>
        </w:rPr>
        <w:t>и</w:t>
      </w:r>
      <w:r>
        <w:rPr>
          <w:i/>
        </w:rPr>
        <w:t>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 и предотвращение пыток и унижающего достоинство обращения, свобода и неприкосновенность личности (статьи 6, 7, 9 и 10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79.</w:t>
      </w:r>
      <w:r>
        <w:tab/>
      </w:r>
      <w:r>
        <w:rPr>
          <w:b/>
        </w:rPr>
        <w:t>Г</w:t>
      </w:r>
      <w:r>
        <w:rPr>
          <w:b/>
        </w:rPr>
        <w:noBreakHyphen/>
        <w:t>н Хенкин</w:t>
      </w:r>
      <w:r>
        <w:t xml:space="preserve"> говорит, что в вопросе 9 Комитету следует уточнить, продлен ли мораторий на прив</w:t>
      </w:r>
      <w:r>
        <w:t>е</w:t>
      </w:r>
      <w:r>
        <w:t>дение в исполнение смертных приговоров и прив</w:t>
      </w:r>
      <w:r>
        <w:t>е</w:t>
      </w:r>
      <w:r>
        <w:t>ло ли это к отмене смер</w:t>
      </w:r>
      <w:r>
        <w:t>т</w:t>
      </w:r>
      <w:r>
        <w:t>ной казни.</w:t>
      </w:r>
    </w:p>
    <w:p w:rsidR="00000000" w:rsidRDefault="00000000">
      <w:pPr>
        <w:pStyle w:val="DualTxt"/>
      </w:pPr>
      <w:r>
        <w:t>80.</w:t>
      </w:r>
      <w:r>
        <w:tab/>
      </w:r>
      <w:r>
        <w:rPr>
          <w:i/>
        </w:rPr>
        <w:t>Вопрос 9 с внесенными в него изменениями принимается</w:t>
      </w:r>
      <w:r>
        <w:t>.</w:t>
      </w:r>
    </w:p>
    <w:p w:rsidR="00000000" w:rsidRDefault="00000000">
      <w:pPr>
        <w:pStyle w:val="DualTxt"/>
      </w:pPr>
      <w:r>
        <w:t>81.</w:t>
      </w:r>
      <w:r>
        <w:tab/>
      </w:r>
      <w:r>
        <w:rPr>
          <w:i/>
        </w:rPr>
        <w:t>Вопросы 10–12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Свобода передвижения (статья 12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82.</w:t>
      </w:r>
      <w:r>
        <w:tab/>
      </w:r>
      <w:r>
        <w:rPr>
          <w:i/>
        </w:rPr>
        <w:t>Вопрос 13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справедливое судебное разбирательство 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83.</w:t>
      </w:r>
      <w:r>
        <w:tab/>
      </w:r>
      <w:r>
        <w:rPr>
          <w:i/>
        </w:rPr>
        <w:t>Вопросы 14–16 принимаются</w:t>
      </w:r>
      <w:r>
        <w:t>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слова, собрания и участия в ведении государственных дел (статьи 19, 21 и 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84.</w:t>
      </w:r>
      <w:r>
        <w:tab/>
      </w:r>
      <w:r>
        <w:rPr>
          <w:b/>
        </w:rPr>
        <w:t>Г</w:t>
      </w:r>
      <w:r>
        <w:rPr>
          <w:b/>
        </w:rPr>
        <w:noBreakHyphen/>
        <w:t>н Хенкин</w:t>
      </w:r>
      <w:r>
        <w:t xml:space="preserve"> предлагает заменить в вопросе 17 слова «в течение последних нескольких лет» слов</w:t>
      </w:r>
      <w:r>
        <w:t>а</w:t>
      </w:r>
      <w:r>
        <w:t>ми «в т</w:t>
      </w:r>
      <w:r>
        <w:t>е</w:t>
      </w:r>
      <w:r>
        <w:t>чение последних пяти лети».</w:t>
      </w:r>
    </w:p>
    <w:p w:rsidR="00000000" w:rsidRDefault="00000000">
      <w:pPr>
        <w:pStyle w:val="DualTxt"/>
      </w:pPr>
      <w:r>
        <w:t>85.</w:t>
      </w:r>
      <w:r>
        <w:tab/>
      </w:r>
      <w:r>
        <w:rPr>
          <w:i/>
        </w:rPr>
        <w:t>Вопрос 17 с внесенными в него поправками принимается</w:t>
      </w:r>
      <w:r>
        <w:t>.</w:t>
      </w:r>
    </w:p>
    <w:p w:rsidR="00000000" w:rsidRDefault="00000000">
      <w:pPr>
        <w:pStyle w:val="DualTxt"/>
      </w:pPr>
      <w:r>
        <w:t>86.</w:t>
      </w:r>
      <w:r>
        <w:tab/>
      </w:r>
      <w:r>
        <w:rPr>
          <w:i/>
        </w:rPr>
        <w:t>Вопросы 18 и 19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Участие в ведении государственных дел (статья 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87.</w:t>
      </w:r>
      <w:r>
        <w:tab/>
      </w:r>
      <w:r>
        <w:rPr>
          <w:b/>
        </w:rPr>
        <w:t>Лорд Колвилл</w:t>
      </w:r>
      <w:r>
        <w:t xml:space="preserve"> говорит, что в вопросе 20 слова «нынешняя избирательная кампания» следует зам</w:t>
      </w:r>
      <w:r>
        <w:t>е</w:t>
      </w:r>
      <w:r>
        <w:t>нить словами «избирательная кампания 2000 года».</w:t>
      </w:r>
    </w:p>
    <w:p w:rsidR="00000000" w:rsidRDefault="00000000">
      <w:pPr>
        <w:pStyle w:val="DualTxt"/>
      </w:pPr>
      <w:r>
        <w:t>88.</w:t>
      </w:r>
      <w:r>
        <w:tab/>
      </w:r>
      <w:r>
        <w:rPr>
          <w:i/>
        </w:rPr>
        <w:t>Вопрос 20 с внесенными в него поправками принимается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Защита детей (статьи 24 и 8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89.</w:t>
      </w:r>
      <w:r>
        <w:tab/>
      </w:r>
      <w:r>
        <w:rPr>
          <w:i/>
        </w:rPr>
        <w:t>Вопросы 21 и 22 принимаются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Равенство перед законом и права лиц, принадлежащих к меньшинствам (статьи 25, 26</w:t>
      </w:r>
      <w:r>
        <w:br/>
        <w:t>и 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90.</w:t>
      </w:r>
      <w:r>
        <w:tab/>
      </w:r>
      <w:r>
        <w:rPr>
          <w:b/>
        </w:rPr>
        <w:t>Лорд Колвилл</w:t>
      </w:r>
      <w:r>
        <w:t xml:space="preserve"> предлагает заменить в вопр</w:t>
      </w:r>
      <w:r>
        <w:t>о</w:t>
      </w:r>
      <w:r>
        <w:t>се 23 слова «наём, продвижение по службе» слов</w:t>
      </w:r>
      <w:r>
        <w:t>а</w:t>
      </w:r>
      <w:r>
        <w:t>ми «получение работы и продвижение по слу</w:t>
      </w:r>
      <w:r>
        <w:t>ж</w:t>
      </w:r>
      <w:r>
        <w:t>бе».</w:t>
      </w:r>
    </w:p>
    <w:p w:rsidR="00000000" w:rsidRDefault="00000000">
      <w:pPr>
        <w:pStyle w:val="DualTxt"/>
      </w:pPr>
      <w:r>
        <w:t>91.</w:t>
      </w:r>
      <w:r>
        <w:tab/>
      </w:r>
      <w:r>
        <w:rPr>
          <w:i/>
        </w:rPr>
        <w:t>Вопрос 23 с внесенными в него поправками принимается</w:t>
      </w:r>
      <w:r>
        <w:t>.</w:t>
      </w:r>
    </w:p>
    <w:p w:rsidR="00000000" w:rsidRDefault="00000000">
      <w:pPr>
        <w:pStyle w:val="DualTxt"/>
      </w:pPr>
      <w:r>
        <w:t>92.</w:t>
      </w:r>
      <w:r>
        <w:tab/>
      </w:r>
      <w:r>
        <w:rPr>
          <w:i/>
        </w:rPr>
        <w:t>Вопрос 24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 о Пакте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93.</w:t>
      </w:r>
      <w:r>
        <w:tab/>
      </w:r>
      <w:r>
        <w:rPr>
          <w:i/>
        </w:rPr>
        <w:t>Вопрос 25 прин</w:t>
      </w:r>
      <w:r>
        <w:rPr>
          <w:i/>
        </w:rPr>
        <w:t>и</w:t>
      </w:r>
      <w:r>
        <w:rPr>
          <w:i/>
        </w:rPr>
        <w:t>мается</w:t>
      </w:r>
      <w:r>
        <w:t>.</w:t>
      </w:r>
    </w:p>
    <w:p w:rsidR="00000000" w:rsidRDefault="00000000">
      <w:pPr>
        <w:pStyle w:val="DualTxt"/>
      </w:pPr>
      <w:r>
        <w:t>94.</w:t>
      </w:r>
      <w:r>
        <w:tab/>
      </w:r>
      <w:r>
        <w:rPr>
          <w:i/>
        </w:rPr>
        <w:t>Проект перечня вопросов, подлежащих обс</w:t>
      </w:r>
      <w:r>
        <w:rPr>
          <w:i/>
        </w:rPr>
        <w:t>у</w:t>
      </w:r>
      <w:r>
        <w:rPr>
          <w:i/>
        </w:rPr>
        <w:t>ждению в связи с рассмотрением первоначального доклада Кыргызстана, с внесенными в него попра</w:t>
      </w:r>
      <w:r>
        <w:rPr>
          <w:i/>
        </w:rPr>
        <w:t>в</w:t>
      </w:r>
      <w:r>
        <w:rPr>
          <w:i/>
        </w:rPr>
        <w:t>ками принимается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Открытая часть заседания закрывается</w:t>
      </w:r>
      <w:r>
        <w:br/>
        <w:t>в 11 ч. 55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NO&gt;&gt;N0037216R&lt;&lt;ODS JOB NO&gt;&gt;</w:t>
      </w:r>
    </w:p>
    <w:p w:rsidR="00000000" w:rsidRDefault="00000000">
      <w:pPr>
        <w:pStyle w:val="CommentText"/>
      </w:pPr>
      <w:r>
        <w:t>&lt;&lt;ODS DOC SYMBOL1&gt;&gt;CCPR/C/SR.1836&lt;&lt;ODS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00-37216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*0037216*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/>
        </w:rPr>
      </w:pPr>
      <w:r>
        <w:tab/>
      </w:r>
      <w:r>
        <w:rPr>
          <w:rStyle w:val="FootnoteReference"/>
        </w:rPr>
        <w:t>*</w:t>
      </w:r>
      <w:r>
        <w:tab/>
        <w:t>Краткий отчет о второй (закрытой) части заседания издан в качестве документа </w:t>
      </w:r>
      <w:r>
        <w:rPr>
          <w:lang w:val="en-US"/>
        </w:rPr>
        <w:t>CCPR/C/SR.1836/Add.1.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CCPR/C/SR.1836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CCPR/C/SR.1836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/C/SR.1836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20</w:t>
          </w:r>
          <w:r>
            <w:t xml:space="preserve"> December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8/12/2001 10:07 AM"/>
    <w:docVar w:name="DocCategory" w:val="SROthers"/>
    <w:docVar w:name="DocType" w:val="Final"/>
    <w:docVar w:name="JobNo" w:val="0037216R"/>
    <w:docVar w:name="OandT" w:val=" "/>
    <w:docVar w:name="Symbol1" w:val="CCPR/C/SR.183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2133</Words>
  <Characters>13230</Characters>
  <Application>Microsoft Office Word</Application>
  <DocSecurity>4</DocSecurity>
  <Lines>490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16002</CharactersWithSpaces>
  <SharedDoc>false</SharedDoc>
  <HLinks>
    <vt:vector size="6" baseType="variant">
      <vt:variant>
        <vt:i4>4522087</vt:i4>
      </vt:variant>
      <vt:variant>
        <vt:i4>33094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2001-12-19T09:15:00Z</cp:lastPrinted>
  <dcterms:created xsi:type="dcterms:W3CDTF">2001-12-19T09:17:00Z</dcterms:created>
  <dcterms:modified xsi:type="dcterms:W3CDTF">2001-12-19T09:18:00Z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0037216</vt:lpwstr>
  </property>
  <property fmtid="{D5CDD505-2E9C-101B-9397-08002B2CF9AE}" pid="3" name="Symbol1">
    <vt:lpwstr>CCPR/C/SR.1836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Mitrofanova</vt:lpwstr>
  </property>
</Properties>
</file>