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第三十五届会议会前工作组</w:t>
      </w:r>
    </w:p>
    <w:p w:rsidR="00000000" w:rsidRDefault="00000000">
      <w:pPr>
        <w:pStyle w:val="SingleTxt"/>
        <w:spacing w:after="80"/>
        <w:ind w:hanging="1264"/>
        <w:rPr>
          <w:rFonts w:hint="eastAsia"/>
        </w:rPr>
      </w:pPr>
      <w:r>
        <w:rPr>
          <w:rFonts w:hint="eastAsia"/>
        </w:rPr>
        <w:t>200</w:t>
      </w:r>
      <w:r>
        <w:t>6</w:t>
      </w:r>
      <w:r>
        <w:rPr>
          <w:rFonts w:hint="eastAsia"/>
        </w:rPr>
        <w:t>年5月15日至6月2日</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与审议报告有关的议题和问题清单</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土库曼斯坦</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会前工作组审查了土库曼斯坦初次和第二次合并定期报告(CEDAW/C/TKM/</w:t>
      </w:r>
      <w:r>
        <w:t xml:space="preserve"> </w:t>
      </w:r>
      <w:r>
        <w:rPr>
          <w:rFonts w:hint="eastAsia"/>
        </w:rPr>
        <w:t>1-2)。</w:t>
      </w:r>
    </w:p>
    <w:p w:rsidR="00000000" w:rsidRDefault="00000000">
      <w:pPr>
        <w:pStyle w:val="SingleTxt"/>
        <w:rPr>
          <w:rFonts w:ascii="SimHei" w:eastAsia="SimHei" w:hint="eastAsia"/>
          <w:color w:val="FF0000"/>
        </w:rPr>
      </w:pPr>
      <w:r>
        <w:rPr>
          <w:rFonts w:ascii="SimHei" w:eastAsia="SimHei" w:hint="eastAsia"/>
          <w:color w:val="FF0000"/>
        </w:rPr>
        <w:t>概述</w:t>
      </w:r>
    </w:p>
    <w:p w:rsidR="00000000" w:rsidRDefault="00000000">
      <w:pPr>
        <w:pStyle w:val="SingleTxt"/>
        <w:rPr>
          <w:rFonts w:hint="eastAsia"/>
        </w:rPr>
      </w:pPr>
      <w:r>
        <w:rPr>
          <w:rFonts w:hint="eastAsia"/>
        </w:rPr>
        <w:t>1.</w:t>
      </w:r>
      <w:r>
        <w:rPr>
          <w:rFonts w:hint="eastAsia"/>
        </w:rPr>
        <w:tab/>
        <w:t>请详细介绍编写初次和第二次合并定期报告的情况，说明哪些社会组织（见 报告CEDAW/C/TKM/1-2，第2段）参与这项工作，是否与民间社会和非政府组织举行过协商，内阁是否核准了这一报告，以及是否向议会提交了该报告。</w:t>
      </w:r>
    </w:p>
    <w:p w:rsidR="00000000" w:rsidRDefault="00000000">
      <w:pPr>
        <w:pStyle w:val="SingleTxt"/>
        <w:rPr>
          <w:rFonts w:hint="eastAsia"/>
        </w:rPr>
      </w:pPr>
      <w:r>
        <w:rPr>
          <w:rFonts w:ascii="SimHei" w:eastAsia="SimHei" w:hint="eastAsia"/>
          <w:color w:val="FF0000"/>
        </w:rPr>
        <w:t>第一和第二条</w:t>
      </w:r>
    </w:p>
    <w:p w:rsidR="00000000" w:rsidRDefault="00000000">
      <w:pPr>
        <w:pStyle w:val="SingleTxt"/>
        <w:rPr>
          <w:rFonts w:hint="eastAsia"/>
        </w:rPr>
      </w:pPr>
      <w:r>
        <w:rPr>
          <w:rFonts w:hint="eastAsia"/>
        </w:rPr>
        <w:t>2.</w:t>
      </w:r>
      <w:r>
        <w:tab/>
      </w:r>
      <w:r>
        <w:rPr>
          <w:rFonts w:hint="eastAsia"/>
        </w:rPr>
        <w:t>《宪法》或本国的其他法律中是否有与《公约》第一条相符、有关歧视妇女现象的定义？该定义是否明确涵盖(或是否可以解释为涵盖)实际上具有歧视性的做法以及包括私营机构和个人以及在私人或家庭范围内对妇女的歧视？</w:t>
      </w:r>
    </w:p>
    <w:p w:rsidR="00000000" w:rsidRDefault="00000000">
      <w:pPr>
        <w:pStyle w:val="SingleTxt"/>
      </w:pPr>
      <w:r>
        <w:rPr>
          <w:rFonts w:hint="eastAsia"/>
        </w:rPr>
        <w:t>3.</w:t>
      </w:r>
      <w:r>
        <w:rPr>
          <w:rFonts w:hint="eastAsia"/>
        </w:rPr>
        <w:tab/>
        <w:t>请澄清《公约》在本国司法系统中的确切地位，并说明在《公约》条款和本国法律条款有冲突的情况下，哪个条款优先。在回答这一问题时，特别欢迎提供典型的法院案例。请提供关于用来核查有关法律是否符合《宪法》程序的详细资料 (见CEDAW/C/TKM/1-2，第40段)。</w:t>
      </w:r>
    </w:p>
    <w:p w:rsidR="00000000" w:rsidRDefault="00000000">
      <w:pPr>
        <w:pStyle w:val="SingleTxt"/>
      </w:pPr>
      <w:r>
        <w:rPr>
          <w:rFonts w:hint="eastAsia"/>
        </w:rPr>
        <w:t>4.</w:t>
      </w:r>
      <w:r>
        <w:tab/>
      </w:r>
      <w:r>
        <w:rPr>
          <w:rFonts w:hint="eastAsia"/>
        </w:rPr>
        <w:t>请介绍，在基于社会性别歧视的投诉方面，1998年2月6日的《对国家机关、社会团体、地方自治机构和官员侵犯公民宪法权利和自由的行为提出的司法诉讼》和1999年1月14日的《关于公民申诉及其审理程序》为妇女提供了哪些机制/程序(见CEDAW/C/TKM/1-2，第38段)。请说明是否还有任何促进和保护妇女权利或监督《公约》执行情况的专门机构（如委员会或监察员）。这些机制/程序是如何运作的，其效果如何？</w:t>
      </w:r>
    </w:p>
    <w:p w:rsidR="00000000" w:rsidRDefault="00000000">
      <w:pPr>
        <w:pStyle w:val="SingleTxt"/>
        <w:rPr>
          <w:rFonts w:hint="eastAsia"/>
        </w:rPr>
      </w:pPr>
      <w:r>
        <w:rPr>
          <w:rFonts w:hint="eastAsia"/>
        </w:rPr>
        <w:t>5.</w:t>
      </w:r>
      <w:r>
        <w:tab/>
      </w:r>
      <w:r>
        <w:rPr>
          <w:rFonts w:hint="eastAsia"/>
        </w:rPr>
        <w:t>请举例说明，国家检察官根据《土库曼斯坦国家检察官法》第21、23和24条对侵犯或妨碍妇女权利的行为的民事诉讼请求采取了哪些行动，如果有的话。这些行动的结果如何(见CEDAW/C/TKM/1-2，第41段)?</w:t>
      </w:r>
    </w:p>
    <w:p w:rsidR="00000000" w:rsidRDefault="00000000">
      <w:pPr>
        <w:pStyle w:val="SingleTxt"/>
        <w:rPr>
          <w:rFonts w:ascii="SimHei" w:eastAsia="SimHei" w:hint="eastAsia"/>
          <w:color w:val="FF0000"/>
        </w:rPr>
      </w:pPr>
      <w:r>
        <w:rPr>
          <w:rFonts w:ascii="SimHei" w:eastAsia="SimHei" w:hint="eastAsia"/>
          <w:color w:val="FF0000"/>
        </w:rPr>
        <w:t>第三条</w:t>
      </w:r>
    </w:p>
    <w:p w:rsidR="00000000" w:rsidRDefault="00000000">
      <w:pPr>
        <w:pStyle w:val="SingleTxt"/>
        <w:rPr>
          <w:rFonts w:hint="eastAsia"/>
        </w:rPr>
      </w:pPr>
      <w:r>
        <w:rPr>
          <w:rFonts w:hint="eastAsia"/>
        </w:rPr>
        <w:t>6.</w:t>
      </w:r>
      <w:r>
        <w:rPr>
          <w:rFonts w:hint="eastAsia"/>
        </w:rPr>
        <w:tab/>
        <w:t xml:space="preserve">土库曼斯坦政府是否设想按照《北京宣言》和《行动纲领》的规定，建立一个提高妇女地位的全国机制来负责支助《公约》的执行? </w:t>
      </w:r>
    </w:p>
    <w:p w:rsidR="00000000" w:rsidRDefault="00000000">
      <w:pPr>
        <w:pStyle w:val="SingleTxt"/>
        <w:rPr>
          <w:rFonts w:hint="eastAsia"/>
        </w:rPr>
      </w:pPr>
      <w:r>
        <w:rPr>
          <w:rFonts w:hint="eastAsia"/>
        </w:rPr>
        <w:t>7.</w:t>
      </w:r>
      <w:r>
        <w:rPr>
          <w:rFonts w:hint="eastAsia"/>
        </w:rPr>
        <w:tab/>
        <w:t>该国政府打算如何解决诸如婴儿和孕产妇死亡率、入学和就业等领域缺乏可靠的按照性别和年龄分列数据问题？</w:t>
      </w:r>
    </w:p>
    <w:p w:rsidR="00000000" w:rsidRDefault="00000000">
      <w:pPr>
        <w:pStyle w:val="SingleTxt"/>
        <w:rPr>
          <w:rFonts w:hint="eastAsia"/>
        </w:rPr>
      </w:pPr>
      <w:r>
        <w:rPr>
          <w:rFonts w:hint="eastAsia"/>
        </w:rPr>
        <w:t>8.</w:t>
      </w:r>
      <w:r>
        <w:rPr>
          <w:rFonts w:hint="eastAsia"/>
        </w:rPr>
        <w:tab/>
        <w:t>土库曼斯坦政府是否已通过提高妇女地位的全国行动计划? 如果已通过，在起草和监测行动计划中，是否与民间社会组织，特别是妇女团体，包括那些代表少数民族的妇女团体协商过？</w:t>
      </w:r>
    </w:p>
    <w:p w:rsidR="00000000" w:rsidRDefault="00000000">
      <w:pPr>
        <w:pStyle w:val="SingleTxt"/>
        <w:rPr>
          <w:rFonts w:hint="eastAsia"/>
        </w:rPr>
      </w:pPr>
      <w:r>
        <w:rPr>
          <w:rFonts w:hint="eastAsia"/>
        </w:rPr>
        <w:t>9.</w:t>
      </w:r>
      <w:r>
        <w:rPr>
          <w:rFonts w:hint="eastAsia"/>
        </w:rPr>
        <w:tab/>
        <w:t>请提供有关详细资料，说明妇女非政府组织和人权非政府组织的作用，此类非政府组织的注册要求和程序，以及妇女联合会与这些非政府组织的关系。</w:t>
      </w:r>
    </w:p>
    <w:p w:rsidR="00000000" w:rsidRDefault="00000000">
      <w:pPr>
        <w:pStyle w:val="SingleTxt"/>
        <w:rPr>
          <w:rFonts w:hint="eastAsia"/>
        </w:rPr>
      </w:pPr>
      <w:r>
        <w:rPr>
          <w:rFonts w:ascii="SimHei" w:eastAsia="SimHei" w:hint="eastAsia"/>
          <w:color w:val="FF0000"/>
        </w:rPr>
        <w:t>第四条</w:t>
      </w:r>
    </w:p>
    <w:p w:rsidR="00000000" w:rsidRDefault="00000000">
      <w:pPr>
        <w:pStyle w:val="SingleTxt"/>
        <w:rPr>
          <w:rFonts w:hint="eastAsia"/>
        </w:rPr>
      </w:pPr>
      <w:r>
        <w:rPr>
          <w:rFonts w:hint="eastAsia"/>
        </w:rPr>
        <w:t>10.</w:t>
      </w:r>
      <w:r>
        <w:rPr>
          <w:rFonts w:hint="eastAsia"/>
        </w:rPr>
        <w:tab/>
        <w:t>委员会在其一般性建议第25条中强调，暂行特别措施是加速实现男女事实上的平等的必要战略的一部分，应该与改善妇女和女孩处境的永久性的一般社会政策区别开来。铭记这一区别，已经采取或设想采取哪些暂行特别措施，在《公约》的实质性条款所规定的具体领域（教育、参与政治生活、就业、卫生等）来加速妇女事实上的平等？</w:t>
      </w:r>
    </w:p>
    <w:p w:rsidR="00000000" w:rsidRDefault="00000000">
      <w:pPr>
        <w:pStyle w:val="SingleTxt"/>
        <w:rPr>
          <w:rFonts w:hint="eastAsia"/>
        </w:rPr>
      </w:pPr>
      <w:r>
        <w:rPr>
          <w:rFonts w:ascii="SimHei" w:eastAsia="SimHei" w:hint="eastAsia"/>
          <w:color w:val="FF0000"/>
        </w:rPr>
        <w:t>第五条</w:t>
      </w:r>
    </w:p>
    <w:p w:rsidR="00000000" w:rsidRDefault="00000000">
      <w:pPr>
        <w:pStyle w:val="SingleTxt"/>
        <w:rPr>
          <w:rFonts w:hint="eastAsia"/>
        </w:rPr>
      </w:pPr>
      <w:r>
        <w:rPr>
          <w:rFonts w:hint="eastAsia"/>
        </w:rPr>
        <w:t>11.</w:t>
      </w:r>
      <w:r>
        <w:tab/>
      </w:r>
      <w:r>
        <w:rPr>
          <w:rFonts w:hint="eastAsia"/>
        </w:rPr>
        <w:t>该国报告表示，男女平等政策对克服和消除“男人优于妇女思想的某些表现”(见CEDAW/C/TKM/1-2，第61段)起了决定性作用。为消除期待男子和妇女在社会和家庭中所扮演的角色的陈规定型观念方面采取了哪些努力和具体措施?</w:t>
      </w: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pPr>
      <w:r>
        <w:rPr>
          <w:rFonts w:hint="eastAsia"/>
        </w:rPr>
        <w:t>12.</w:t>
      </w:r>
      <w:r>
        <w:tab/>
      </w:r>
      <w:r>
        <w:rPr>
          <w:rFonts w:hint="eastAsia"/>
        </w:rPr>
        <w:t>暴力侵害妇女问题特别报告员在她2003年的报告(E/CN.4/2003/75/Add.1，第1224段)表示，对妇女的暴力行为在土库曼斯坦是很普遍的，但没有提供有关数据，除了一个宣传项目外，没有解决家庭暴力问题的方案。请提供详细资料，说明土库曼斯坦家庭和整个社区内对妇女暴力的形式和程度，以及现有的补救方法或向妇女受害者提供的社会支助服务，包括心理和医疗援助以及获得妥当住所的机会。</w:t>
      </w:r>
    </w:p>
    <w:p w:rsidR="00000000" w:rsidRDefault="00000000">
      <w:pPr>
        <w:pStyle w:val="SingleTxt"/>
        <w:rPr>
          <w:rFonts w:hint="eastAsia"/>
        </w:rPr>
      </w:pPr>
      <w:r>
        <w:rPr>
          <w:rFonts w:hint="eastAsia"/>
        </w:rPr>
        <w:t>13.</w:t>
      </w:r>
      <w:r>
        <w:tab/>
      </w:r>
      <w:r>
        <w:rPr>
          <w:rFonts w:hint="eastAsia"/>
        </w:rPr>
        <w:t>土库曼斯坦政府是否在设想通过反家庭暴力立法以及特别禁止工作场所和教育机构内的性骚扰的立法?</w:t>
      </w:r>
    </w:p>
    <w:p w:rsidR="00000000" w:rsidRDefault="00000000">
      <w:pPr>
        <w:pStyle w:val="SingleTxt"/>
        <w:rPr>
          <w:rFonts w:hint="eastAsia"/>
        </w:rPr>
      </w:pPr>
      <w:r>
        <w:rPr>
          <w:rFonts w:ascii="SimHei" w:eastAsia="SimHei" w:hint="eastAsia"/>
          <w:color w:val="FF0000"/>
        </w:rPr>
        <w:t>第六条</w:t>
      </w:r>
    </w:p>
    <w:p w:rsidR="00000000" w:rsidRDefault="00000000">
      <w:pPr>
        <w:pStyle w:val="SingleTxt"/>
      </w:pPr>
      <w:r>
        <w:rPr>
          <w:rFonts w:hint="eastAsia"/>
        </w:rPr>
        <w:t>14.</w:t>
      </w:r>
      <w:r>
        <w:rPr>
          <w:rFonts w:hint="eastAsia"/>
        </w:rPr>
        <w:tab/>
        <w:t>根据该国报告(见CEDAW/C/TKM/1-2，第64段)，在土库曼斯坦尚未有贩运</w:t>
      </w:r>
      <w:r>
        <w:rPr>
          <w:rFonts w:hint="eastAsia"/>
          <w:spacing w:val="-2"/>
        </w:rPr>
        <w:t>妇女的登记案例，研究也未能证实存在贩运妇女的情况。尽管情况如此，土库曼斯坦</w:t>
      </w:r>
      <w:r>
        <w:rPr>
          <w:rFonts w:hint="eastAsia"/>
        </w:rPr>
        <w:t>政府是否已经就这一事项立法或开展任何关于贩运妇女问题的提高认识运动？</w:t>
      </w:r>
    </w:p>
    <w:p w:rsidR="00000000" w:rsidRDefault="00000000">
      <w:pPr>
        <w:pStyle w:val="SingleTxt"/>
        <w:rPr>
          <w:rFonts w:hint="eastAsia"/>
        </w:rPr>
      </w:pPr>
      <w:r>
        <w:rPr>
          <w:rFonts w:hint="eastAsia"/>
        </w:rPr>
        <w:t>15.</w:t>
      </w:r>
      <w:r>
        <w:tab/>
      </w:r>
      <w:r>
        <w:rPr>
          <w:rFonts w:hint="eastAsia"/>
        </w:rPr>
        <w:t>请提供关于卖淫现象的资料，其中要包括统计数据，如果有的话，并说明为解决这一问题的根源所采取的措施，以防止对妇女和女孩的性剥削，提高对卖淫的健康和安全危险的认识，并确保妓女的保护、恢复和重返社会。</w:t>
      </w:r>
    </w:p>
    <w:p w:rsidR="00000000" w:rsidRDefault="00000000">
      <w:pPr>
        <w:pStyle w:val="SingleTxt"/>
        <w:rPr>
          <w:rFonts w:hint="eastAsia"/>
        </w:rPr>
      </w:pPr>
      <w:r>
        <w:rPr>
          <w:rFonts w:hint="eastAsia"/>
        </w:rPr>
        <w:t>16.</w:t>
      </w:r>
      <w:r>
        <w:tab/>
      </w:r>
      <w:r>
        <w:rPr>
          <w:rFonts w:hint="eastAsia"/>
        </w:rPr>
        <w:t>请更加详细说明有关规范卖淫问题的立法，包括《刑法》中关于处理贩运妓女问题的第142条。</w:t>
      </w:r>
    </w:p>
    <w:p w:rsidR="00000000" w:rsidRDefault="00000000">
      <w:pPr>
        <w:pStyle w:val="SingleTxt"/>
        <w:rPr>
          <w:rFonts w:hint="eastAsia"/>
        </w:rPr>
      </w:pPr>
      <w:r>
        <w:rPr>
          <w:rFonts w:ascii="SimHei" w:eastAsia="SimHei" w:hint="eastAsia"/>
          <w:color w:val="FF0000"/>
        </w:rPr>
        <w:t>第七和第八条</w:t>
      </w:r>
    </w:p>
    <w:p w:rsidR="00000000" w:rsidRDefault="00000000">
      <w:pPr>
        <w:pStyle w:val="SingleTxt"/>
        <w:rPr>
          <w:rFonts w:hint="eastAsia"/>
        </w:rPr>
      </w:pPr>
      <w:r>
        <w:rPr>
          <w:rFonts w:hint="eastAsia"/>
        </w:rPr>
        <w:t>17.</w:t>
      </w:r>
      <w:r>
        <w:rPr>
          <w:rFonts w:hint="eastAsia"/>
        </w:rPr>
        <w:tab/>
        <w:t>鉴于妇女在政治生活，特别是地方代表机关Gengeshi中的任职人数不足，设想采取哪些措施以便在考虑到委员会关于《公约》第四条第1款的一般性建议第25条和关于妇女参与公共生活的一般性建议第23条的情况下，使妇女能在包括外交部门在内的各级政府中实现全面和平等的参与和任职目标？</w:t>
      </w:r>
    </w:p>
    <w:p w:rsidR="00000000" w:rsidRDefault="00000000">
      <w:pPr>
        <w:pStyle w:val="SingleTxt"/>
        <w:rPr>
          <w:rFonts w:hint="eastAsia"/>
        </w:rPr>
      </w:pPr>
      <w:r>
        <w:rPr>
          <w:rFonts w:ascii="SimHei" w:eastAsia="SimHei" w:hint="eastAsia"/>
          <w:color w:val="FF0000"/>
        </w:rPr>
        <w:t>第十条</w:t>
      </w:r>
    </w:p>
    <w:p w:rsidR="00000000" w:rsidRDefault="00000000">
      <w:pPr>
        <w:pStyle w:val="SingleTxt"/>
        <w:rPr>
          <w:rFonts w:hint="eastAsia"/>
        </w:rPr>
      </w:pPr>
      <w:r>
        <w:rPr>
          <w:rFonts w:hint="eastAsia"/>
        </w:rPr>
        <w:t>18.</w:t>
      </w:r>
      <w:r>
        <w:rPr>
          <w:rFonts w:hint="eastAsia"/>
        </w:rPr>
        <w:tab/>
        <w:t>在实践中，是否存在接受教育的平等机会？小学、（专门和普通）中学以及大学毕业生中，女性占多大比例?</w:t>
      </w:r>
    </w:p>
    <w:p w:rsidR="00000000" w:rsidRDefault="00000000">
      <w:pPr>
        <w:pStyle w:val="SingleTxt"/>
        <w:rPr>
          <w:rFonts w:hint="eastAsia"/>
        </w:rPr>
      </w:pPr>
      <w:r>
        <w:rPr>
          <w:rFonts w:hint="eastAsia"/>
        </w:rPr>
        <w:t>19.</w:t>
      </w:r>
      <w:r>
        <w:rPr>
          <w:rFonts w:hint="eastAsia"/>
        </w:rPr>
        <w:tab/>
        <w:t>人权委员会在其关于土库曼斯坦人权状况的第2003/11号和第2004/12号决议中，以及大会在其关于土库曼斯坦的人权状况的第59/206号决议中，对该国在教育和就业领域歧视俄罗斯、乌孜别克和其他少数民族表示关切，请根据这一情况对少数民族妇女接受各级教育的实际机会作出评论。</w:t>
      </w:r>
    </w:p>
    <w:p w:rsidR="00000000" w:rsidRDefault="00000000">
      <w:pPr>
        <w:pStyle w:val="SingleTxt"/>
        <w:rPr>
          <w:rFonts w:hint="eastAsia"/>
        </w:rPr>
      </w:pPr>
      <w:r>
        <w:rPr>
          <w:rFonts w:hint="eastAsia"/>
        </w:rPr>
        <w:t>20.</w:t>
      </w:r>
      <w:r>
        <w:rPr>
          <w:rFonts w:hint="eastAsia"/>
        </w:rPr>
        <w:tab/>
        <w:t>根据该国报告，专业差别是妇女或男人对专业的倾向性造成的(见CEDAW/C/</w:t>
      </w:r>
      <w:r>
        <w:t xml:space="preserve"> </w:t>
      </w:r>
      <w:r>
        <w:rPr>
          <w:rFonts w:hint="eastAsia"/>
        </w:rPr>
        <w:t>TKM/1-2，第88段)。土库曼斯坦政府正在采取哪些措施鼓励女孩在学校中学习传统上由男子主导的学科？</w:t>
      </w:r>
    </w:p>
    <w:p w:rsidR="00000000" w:rsidRDefault="00000000">
      <w:pPr>
        <w:pStyle w:val="SingleTxt"/>
        <w:rPr>
          <w:rFonts w:hint="eastAsia"/>
        </w:rPr>
      </w:pPr>
      <w:r>
        <w:rPr>
          <w:rFonts w:ascii="SimHei" w:eastAsia="SimHei" w:hint="eastAsia"/>
          <w:color w:val="FF0000"/>
        </w:rPr>
        <w:t>第十一条</w:t>
      </w:r>
    </w:p>
    <w:p w:rsidR="00000000" w:rsidRDefault="00000000">
      <w:pPr>
        <w:pStyle w:val="SingleTxt"/>
        <w:rPr>
          <w:rFonts w:hint="eastAsia"/>
        </w:rPr>
      </w:pPr>
      <w:r>
        <w:rPr>
          <w:rFonts w:hint="eastAsia"/>
        </w:rPr>
        <w:t>21.</w:t>
      </w:r>
      <w:r>
        <w:tab/>
      </w:r>
      <w:r>
        <w:rPr>
          <w:rFonts w:hint="eastAsia"/>
        </w:rPr>
        <w:t>请提供按性别分列的正规经济部门垂直职业分类(如按职等分类）和工资资料以及妇女参与非正规经济部门的情况。</w:t>
      </w:r>
    </w:p>
    <w:p w:rsidR="00000000" w:rsidRDefault="00000000">
      <w:pPr>
        <w:pStyle w:val="SingleTxt"/>
      </w:pPr>
      <w:r>
        <w:rPr>
          <w:rFonts w:hint="eastAsia"/>
        </w:rPr>
        <w:t>22.</w:t>
      </w:r>
      <w:r>
        <w:rPr>
          <w:rFonts w:hint="eastAsia"/>
        </w:rPr>
        <w:tab/>
        <w:t>尽管有工作的妇女的分布情况有其自身的特点(见CEDAW/C/TKM/1-2，第94段)，土库曼斯坦政府是否为妇女担任传统上由男子从事的职业创造了机会？怎样创造的?</w:t>
      </w:r>
    </w:p>
    <w:p w:rsidR="00000000" w:rsidRDefault="00000000">
      <w:pPr>
        <w:pStyle w:val="SingleTxt"/>
      </w:pPr>
      <w:r>
        <w:rPr>
          <w:rFonts w:hint="eastAsia"/>
        </w:rPr>
        <w:t>23.</w:t>
      </w:r>
      <w:r>
        <w:tab/>
      </w:r>
      <w:r>
        <w:rPr>
          <w:rFonts w:hint="eastAsia"/>
        </w:rPr>
        <w:t>该国报告(见/CEDAW/C/TKM/1-2)第96段提及“妇女劳动”的保护性立法（《土库曼斯坦劳动法典》第十一章）。是否根据《公约》第11条第3款的规定要求对该立法进行过任何研究？有无从妇女参加劳动力市场的情况以及对妇女就业机会的影响的角度来评估该立法的影响？</w:t>
      </w:r>
    </w:p>
    <w:p w:rsidR="00000000" w:rsidRDefault="00000000">
      <w:pPr>
        <w:pStyle w:val="SingleTxt"/>
        <w:rPr>
          <w:rFonts w:hint="eastAsia"/>
        </w:rPr>
      </w:pPr>
      <w:r>
        <w:rPr>
          <w:rFonts w:hint="eastAsia"/>
        </w:rPr>
        <w:t>24</w:t>
      </w:r>
      <w:r>
        <w:t>.</w:t>
      </w:r>
      <w:r>
        <w:tab/>
      </w:r>
      <w:r>
        <w:rPr>
          <w:rFonts w:hint="eastAsia"/>
        </w:rPr>
        <w:t>人权委员会在其关于土库曼斯坦人权状况的第2003/11 号和第2004/12号决议中，以及大会在其关于土库曼斯坦的人权状况的第59/206号决议中，对该国在教育和就业领域歧视俄罗斯、乌孜别克和其他少数民族表示关切，请根据这一情况对少数民族妇女就业的实际机会作出评论。</w:t>
      </w:r>
    </w:p>
    <w:p w:rsidR="00000000" w:rsidRDefault="00000000">
      <w:pPr>
        <w:pStyle w:val="SingleTxt"/>
        <w:rPr>
          <w:rFonts w:hint="eastAsia"/>
        </w:rPr>
      </w:pPr>
      <w:r>
        <w:rPr>
          <w:rFonts w:ascii="SimHei" w:eastAsia="SimHei" w:hint="eastAsia"/>
          <w:color w:val="FF0000"/>
        </w:rPr>
        <w:t>第十二条</w:t>
      </w:r>
    </w:p>
    <w:p w:rsidR="00000000" w:rsidRDefault="00000000">
      <w:pPr>
        <w:pStyle w:val="SingleTxt"/>
      </w:pPr>
      <w:r>
        <w:rPr>
          <w:rFonts w:hint="eastAsia"/>
        </w:rPr>
        <w:t>25.</w:t>
      </w:r>
      <w:r>
        <w:rPr>
          <w:rFonts w:hint="eastAsia"/>
        </w:rPr>
        <w:tab/>
        <w:t>请提供有关人工流产的资料，其中包括人工流产是否合法以及在什么情况下合法和不合法，如果人工流产不合法，是否有由于非法流产直接造成或间接引起的死亡和/或疾病的统计数据。</w:t>
      </w:r>
    </w:p>
    <w:p w:rsidR="00000000" w:rsidRDefault="00000000">
      <w:pPr>
        <w:pStyle w:val="SingleTxt"/>
        <w:rPr>
          <w:rFonts w:hint="eastAsia"/>
        </w:rPr>
      </w:pPr>
      <w:r>
        <w:rPr>
          <w:rFonts w:hint="eastAsia"/>
        </w:rPr>
        <w:t>26.</w:t>
      </w:r>
      <w:r>
        <w:tab/>
      </w:r>
      <w:r>
        <w:rPr>
          <w:rFonts w:hint="eastAsia"/>
        </w:rPr>
        <w:t>请提供少数民族妇女获得保健状况的资料，其中包括她们中间获得医疗保险的人员的百分比。</w:t>
      </w:r>
    </w:p>
    <w:p w:rsidR="00000000" w:rsidRDefault="00000000">
      <w:pPr>
        <w:pStyle w:val="SingleTxt"/>
        <w:rPr>
          <w:rFonts w:hint="eastAsia"/>
        </w:rPr>
      </w:pPr>
      <w:r>
        <w:rPr>
          <w:rFonts w:hint="eastAsia"/>
        </w:rPr>
        <w:t>27.</w:t>
      </w:r>
      <w:r>
        <w:tab/>
      </w:r>
      <w:r>
        <w:rPr>
          <w:rFonts w:hint="eastAsia"/>
        </w:rPr>
        <w:t>该国政府是否打算解决产妇保健基础设施不足、提供保健服务者临床技能和知识缺乏以及设备和供应品方面的短缺问题？</w:t>
      </w:r>
    </w:p>
    <w:p w:rsidR="00000000" w:rsidRDefault="00000000">
      <w:pPr>
        <w:pStyle w:val="SingleTxt"/>
        <w:rPr>
          <w:rFonts w:hint="eastAsia"/>
        </w:rPr>
      </w:pPr>
      <w:r>
        <w:rPr>
          <w:rFonts w:ascii="SimHei" w:eastAsia="SimHei" w:hint="eastAsia"/>
          <w:color w:val="FF0000"/>
        </w:rPr>
        <w:t>第十三条</w:t>
      </w:r>
    </w:p>
    <w:p w:rsidR="00000000" w:rsidRDefault="00000000">
      <w:pPr>
        <w:pStyle w:val="SingleTxt"/>
        <w:rPr>
          <w:rFonts w:hint="eastAsia"/>
        </w:rPr>
      </w:pPr>
      <w:r>
        <w:rPr>
          <w:rFonts w:hint="eastAsia"/>
        </w:rPr>
        <w:t>28.</w:t>
      </w:r>
      <w:r>
        <w:tab/>
      </w:r>
      <w:r>
        <w:rPr>
          <w:rFonts w:hint="eastAsia"/>
        </w:rPr>
        <w:t>根据该报告(见CEDAW/C/TKM/1-2，第122段)，在贷款方面，不允许根据性别作任何区分和限制。是否存在那些认为自己被不公平地拒绝了贷款的妇女可提出申诉的机制，是否使用了这些机制？</w:t>
      </w:r>
    </w:p>
    <w:p w:rsidR="00000000" w:rsidRDefault="00000000">
      <w:pPr>
        <w:pStyle w:val="SingleTxt"/>
        <w:rPr>
          <w:rFonts w:hint="eastAsia"/>
        </w:rPr>
      </w:pPr>
      <w:r>
        <w:rPr>
          <w:rFonts w:ascii="SimHei" w:eastAsia="SimHei" w:hint="eastAsia"/>
          <w:color w:val="FF0000"/>
        </w:rPr>
        <w:t>第十四条</w:t>
      </w:r>
    </w:p>
    <w:p w:rsidR="00000000" w:rsidRDefault="00000000">
      <w:pPr>
        <w:pStyle w:val="SingleTxt"/>
        <w:rPr>
          <w:rFonts w:hint="eastAsia"/>
        </w:rPr>
      </w:pPr>
      <w:r>
        <w:rPr>
          <w:rFonts w:hint="eastAsia"/>
        </w:rPr>
        <w:t>29.</w:t>
      </w:r>
      <w:r>
        <w:tab/>
      </w:r>
      <w:r>
        <w:rPr>
          <w:rFonts w:hint="eastAsia"/>
        </w:rPr>
        <w:t>鉴于一半以上的人口生活在农村地区(见 CEDAW/C/TKM/1-2，第8段)，请提供详细资料，说明“关于向公民提供个人所有制土地用于进行商品农业生产”的法律对农村妇女的影响，以及执行土库曼斯坦总统倡导的国家“健康”方案对农村妇女的影响(见 CEDAW/C/TKM/1-2，第132段)。</w:t>
      </w:r>
    </w:p>
    <w:p w:rsidR="00000000" w:rsidRDefault="00000000">
      <w:pPr>
        <w:pStyle w:val="SingleTxt"/>
        <w:rPr>
          <w:rFonts w:hint="eastAsia"/>
        </w:rPr>
      </w:pPr>
      <w:r>
        <w:rPr>
          <w:rFonts w:ascii="SimHei" w:eastAsia="SimHei" w:hint="eastAsia"/>
          <w:color w:val="FF0000"/>
        </w:rPr>
        <w:t>第十五和第十六条</w:t>
      </w:r>
    </w:p>
    <w:p w:rsidR="00000000" w:rsidRDefault="00000000">
      <w:pPr>
        <w:pStyle w:val="SingleTxt"/>
      </w:pPr>
      <w:r>
        <w:rPr>
          <w:rFonts w:hint="eastAsia"/>
        </w:rPr>
        <w:t>30.</w:t>
      </w:r>
      <w:r>
        <w:rPr>
          <w:rFonts w:hint="eastAsia"/>
        </w:rPr>
        <w:tab/>
        <w:t>报告说，“夫妻双方，特别是妇女，以负责任的方式决定生育子女的数量”(见CEDAW/C/TKM/1-2，第148段)。土库曼斯坦政府设想采取哪些行动来鼓励男子在生育孩子的数量和生育间隔方面承担平等责任？</w:t>
      </w:r>
    </w:p>
    <w:p w:rsidR="00000000" w:rsidRDefault="00000000">
      <w:pPr>
        <w:pStyle w:val="SingleTxt"/>
      </w:pPr>
      <w:r>
        <w:rPr>
          <w:rFonts w:hint="eastAsia"/>
        </w:rPr>
        <w:t>31.</w:t>
      </w:r>
      <w:r>
        <w:tab/>
      </w:r>
      <w:r>
        <w:rPr>
          <w:rFonts w:hint="eastAsia"/>
        </w:rPr>
        <w:t>土库曼斯坦政府是否在设想让结婚年龄与《儿童权利公约》和《消除对妇女一切形式歧视公约》的规定一致?</w:t>
      </w:r>
    </w:p>
    <w:p w:rsidR="00000000" w:rsidRDefault="00000000">
      <w:pPr>
        <w:pStyle w:val="SingleTxt"/>
        <w:rPr>
          <w:sz w:val="20"/>
        </w:rPr>
      </w:pPr>
      <w:r>
        <w:rPr>
          <w:noProof/>
          <w:sz w:val="20"/>
        </w:rPr>
        <w:pict>
          <v:line id="_x0000_s2050" style="position:absolute;left:0;text-align:left;z-index:1" from="210.25pt,16.8pt" to="282.25pt,16.8pt" strokeweight=".25pt">
            <w10:anchorlock/>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NO&gt;&gt;N0624232C&lt;&lt;ODS JOB NO&gt;&gt;</w:t>
      </w:r>
    </w:p>
    <w:p w:rsidR="00000000" w:rsidRDefault="00000000">
      <w:pPr>
        <w:pStyle w:val="CommentText"/>
      </w:pPr>
      <w:r>
        <w:t>&lt;&lt;ODS DOC SYMBOL1&gt;&gt;CEDAW/C/TKM/Q/2&lt;&lt;ODS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06-24232 (C)    020306    030306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*0624232*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CEDAW/C/TKM/Q/2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CEDAW/C/TKM/Q/2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/C/TKM/Q/2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9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6 10:10 PM"/>
    <w:docVar w:name="DocCategory" w:val="Doc"/>
    <w:docVar w:name="DocType" w:val="Final"/>
    <w:docVar w:name="JobNo" w:val="0624232C"/>
    <w:docVar w:name="OandT" w:val=" "/>
    <w:docVar w:name="Symbol1" w:val="CEDAW/C/TKM/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1</Pages>
  <Words>485</Words>
  <Characters>2765</Characters>
  <Application>Microsoft Office Word</Application>
  <DocSecurity>4</DocSecurity>
  <Lines>23</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3395</CharactersWithSpaces>
  <SharedDoc>false</SharedDoc>
  <HLinks>
    <vt:vector size="6" baseType="variant">
      <vt:variant>
        <vt:i4>4522087</vt:i4>
      </vt:variant>
      <vt:variant>
        <vt:i4>7916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Huangui Du</dc:creator>
  <cp:keywords/>
  <dc:description/>
  <cp:lastModifiedBy>IMTU</cp:lastModifiedBy>
  <cp:revision>12</cp:revision>
  <cp:lastPrinted>2006-03-03T08:42:00Z</cp:lastPrinted>
  <dcterms:created xsi:type="dcterms:W3CDTF">2006-03-02T20:10:00Z</dcterms:created>
  <dcterms:modified xsi:type="dcterms:W3CDTF">2006-03-03T08:42:00Z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CEDAW/C/TKM/Q/2</vt:lpwstr>
  </property>
</Properties>
</file>