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C2F75" w14:textId="77777777" w:rsidR="0011607A" w:rsidRPr="000B0927" w:rsidRDefault="0011607A" w:rsidP="0011607A">
      <w:pPr>
        <w:spacing w:line="240" w:lineRule="auto"/>
        <w:rPr>
          <w:sz w:val="2"/>
          <w:lang w:val="es-ES_tradnl"/>
        </w:rPr>
        <w:sectPr w:rsidR="0011607A" w:rsidRPr="000B0927" w:rsidSect="000B092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B0927">
        <w:rPr>
          <w:rStyle w:val="CommentReference"/>
          <w:szCs w:val="20"/>
          <w:lang w:val="es-ES_tradnl"/>
        </w:rPr>
        <w:commentReference w:id="0"/>
      </w:r>
    </w:p>
    <w:p w14:paraId="50BF15A1" w14:textId="77777777" w:rsidR="000B0927" w:rsidRPr="000B0927" w:rsidRDefault="000B0927" w:rsidP="000B09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0B0927">
        <w:rPr>
          <w:lang w:val="es-ES_tradnl"/>
        </w:rPr>
        <w:t>Comité para la Eliminación de la Discriminación contra la Mujer</w:t>
      </w:r>
    </w:p>
    <w:p w14:paraId="4DADAC09" w14:textId="77777777" w:rsidR="000B0927" w:rsidRPr="000B0927" w:rsidRDefault="000B0927" w:rsidP="000B0927">
      <w:pPr>
        <w:pStyle w:val="Session"/>
        <w:rPr>
          <w:lang w:val="es-ES_tradnl"/>
        </w:rPr>
      </w:pPr>
      <w:r w:rsidRPr="000B0927">
        <w:rPr>
          <w:lang w:val="es-ES_tradnl"/>
        </w:rPr>
        <w:t>82º período de sesiones</w:t>
      </w:r>
    </w:p>
    <w:p w14:paraId="1AADBA5A" w14:textId="77777777" w:rsidR="000B0927" w:rsidRPr="000B0927" w:rsidRDefault="000B0927" w:rsidP="000B0927">
      <w:pPr>
        <w:rPr>
          <w:lang w:val="es-ES_tradnl"/>
        </w:rPr>
      </w:pPr>
      <w:r w:rsidRPr="000B0927">
        <w:rPr>
          <w:lang w:val="es-ES_tradnl"/>
        </w:rPr>
        <w:t>13 de junio a 1 de julio de 2022</w:t>
      </w:r>
    </w:p>
    <w:p w14:paraId="15D2C373" w14:textId="77777777" w:rsidR="000B0927" w:rsidRPr="000B0927" w:rsidRDefault="000B0927" w:rsidP="000B0927">
      <w:pPr>
        <w:pStyle w:val="AgendaItemNormal"/>
        <w:rPr>
          <w:lang w:val="es-ES_tradnl"/>
        </w:rPr>
      </w:pPr>
      <w:r w:rsidRPr="000B0927">
        <w:rPr>
          <w:lang w:val="es-ES_tradnl"/>
        </w:rPr>
        <w:t>Tema 2 del programa provisional</w:t>
      </w:r>
    </w:p>
    <w:p w14:paraId="51A0C175" w14:textId="77777777" w:rsidR="000B0927" w:rsidRPr="000B0927" w:rsidRDefault="000B0927" w:rsidP="00A42DD5">
      <w:pPr>
        <w:pStyle w:val="AgendaTitleH2"/>
        <w:rPr>
          <w:lang w:val="es-ES_tradnl"/>
        </w:rPr>
      </w:pPr>
      <w:r w:rsidRPr="000B0927">
        <w:rPr>
          <w:lang w:val="es-ES_tradnl"/>
        </w:rPr>
        <w:t>Aprobación del programa y organización de los trabajos</w:t>
      </w:r>
    </w:p>
    <w:p w14:paraId="1F2A8590" w14:textId="6AB43EBA" w:rsidR="000B0927" w:rsidRPr="000B0927" w:rsidRDefault="000B0927" w:rsidP="000B0927">
      <w:pPr>
        <w:pStyle w:val="SingleTxt"/>
        <w:spacing w:after="0" w:line="120" w:lineRule="exact"/>
        <w:rPr>
          <w:sz w:val="10"/>
          <w:lang w:val="es-ES_tradnl"/>
        </w:rPr>
      </w:pPr>
    </w:p>
    <w:p w14:paraId="1FD74601" w14:textId="0E9D145B" w:rsidR="000B0927" w:rsidRPr="000B0927" w:rsidRDefault="000B0927" w:rsidP="000B0927">
      <w:pPr>
        <w:pStyle w:val="SingleTxt"/>
        <w:spacing w:after="0" w:line="120" w:lineRule="exact"/>
        <w:rPr>
          <w:sz w:val="10"/>
          <w:lang w:val="es-ES_tradnl"/>
        </w:rPr>
      </w:pPr>
    </w:p>
    <w:p w14:paraId="3B22AAB8" w14:textId="19E3F413" w:rsidR="000B0927" w:rsidRPr="000B0927" w:rsidRDefault="000B0927" w:rsidP="000B0927">
      <w:pPr>
        <w:pStyle w:val="SingleTxt"/>
        <w:spacing w:after="0" w:line="120" w:lineRule="exact"/>
        <w:rPr>
          <w:sz w:val="10"/>
          <w:lang w:val="es-ES_tradnl"/>
        </w:rPr>
      </w:pPr>
    </w:p>
    <w:p w14:paraId="5C275FE0" w14:textId="5B4B5E35" w:rsidR="000B0927" w:rsidRPr="000B0927" w:rsidRDefault="000B0927" w:rsidP="000B092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0B0927">
        <w:rPr>
          <w:noProof/>
          <w:w w:val="100"/>
          <w:lang w:val="es-ES_tradnl"/>
        </w:rPr>
        <mc:AlternateContent>
          <mc:Choice Requires="wps">
            <w:drawing>
              <wp:anchor distT="0" distB="0" distL="114300" distR="114300" simplePos="0" relativeHeight="251659264" behindDoc="0" locked="0" layoutInCell="1" allowOverlap="1" wp14:anchorId="0A899353" wp14:editId="30EA8C58">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E2710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0B0927">
        <w:rPr>
          <w:spacing w:val="5"/>
          <w:w w:val="104"/>
          <w:kern w:val="14"/>
          <w:sz w:val="17"/>
          <w:szCs w:val="20"/>
          <w:lang w:val="es-ES_tradnl"/>
        </w:rPr>
        <w:tab/>
        <w:t>*</w:t>
      </w:r>
      <w:r w:rsidRPr="000B0927">
        <w:rPr>
          <w:spacing w:val="5"/>
          <w:w w:val="104"/>
          <w:kern w:val="14"/>
          <w:sz w:val="17"/>
          <w:szCs w:val="20"/>
          <w:lang w:val="es-ES_tradnl"/>
        </w:rPr>
        <w:tab/>
        <w:t>Este documento se presentó fuera de plazo a fin de incluir la información más reciente.</w:t>
      </w:r>
    </w:p>
    <w:p w14:paraId="4CC47926" w14:textId="3FEDFC18" w:rsidR="000B0927" w:rsidRPr="000B0927" w:rsidRDefault="000B0927" w:rsidP="000B0927">
      <w:pPr>
        <w:pStyle w:val="TitleHCH"/>
        <w:rPr>
          <w:lang w:val="es-ES_tradnl"/>
        </w:rPr>
      </w:pPr>
      <w:r w:rsidRPr="000B0927">
        <w:rPr>
          <w:lang w:val="es-ES_tradnl"/>
        </w:rPr>
        <w:tab/>
      </w:r>
      <w:r w:rsidRPr="000B0927">
        <w:rPr>
          <w:lang w:val="es-ES_tradnl"/>
        </w:rPr>
        <w:tab/>
        <w:t>Programa provisional anotado</w:t>
      </w:r>
      <w:r w:rsidRPr="000B0927">
        <w:rPr>
          <w:b w:val="0"/>
          <w:bCs/>
          <w:sz w:val="20"/>
          <w:szCs w:val="20"/>
          <w:lang w:val="es-ES_tradnl"/>
        </w:rPr>
        <w:t>*</w:t>
      </w:r>
    </w:p>
    <w:p w14:paraId="2868812C" w14:textId="05DAA71F" w:rsidR="000B0927" w:rsidRPr="000B0927" w:rsidRDefault="000B0927" w:rsidP="000B0927">
      <w:pPr>
        <w:pStyle w:val="SingleTxt"/>
        <w:spacing w:after="0" w:line="120" w:lineRule="exact"/>
        <w:rPr>
          <w:sz w:val="10"/>
          <w:lang w:val="es-ES_tradnl"/>
        </w:rPr>
      </w:pPr>
    </w:p>
    <w:p w14:paraId="3049F6DA" w14:textId="208FD194" w:rsidR="000B0927" w:rsidRPr="000B0927" w:rsidRDefault="000B0927" w:rsidP="000B0927">
      <w:pPr>
        <w:pStyle w:val="SingleTxt"/>
        <w:spacing w:after="0" w:line="120" w:lineRule="exact"/>
        <w:rPr>
          <w:sz w:val="10"/>
          <w:lang w:val="es-ES_tradnl"/>
        </w:rPr>
      </w:pPr>
    </w:p>
    <w:p w14:paraId="6EE344A8" w14:textId="77777777" w:rsidR="000B0927" w:rsidRPr="000B0927" w:rsidRDefault="000B0927" w:rsidP="000B0927">
      <w:pPr>
        <w:pStyle w:val="TitleH1"/>
        <w:rPr>
          <w:lang w:val="es-ES_tradnl"/>
        </w:rPr>
      </w:pPr>
      <w:r w:rsidRPr="000B0927">
        <w:rPr>
          <w:lang w:val="es-ES_tradnl"/>
        </w:rPr>
        <w:tab/>
      </w:r>
      <w:r w:rsidRPr="000B0927">
        <w:rPr>
          <w:lang w:val="es-ES_tradnl"/>
        </w:rPr>
        <w:tab/>
        <w:t>Programa provisional</w:t>
      </w:r>
    </w:p>
    <w:p w14:paraId="1FCDD83F" w14:textId="540C136A" w:rsidR="000B0927" w:rsidRPr="000B0927" w:rsidRDefault="000B0927" w:rsidP="000B0927">
      <w:pPr>
        <w:pStyle w:val="SingleTxt"/>
        <w:spacing w:after="0" w:line="120" w:lineRule="exact"/>
        <w:rPr>
          <w:sz w:val="10"/>
          <w:lang w:val="es-ES_tradnl"/>
        </w:rPr>
      </w:pPr>
    </w:p>
    <w:p w14:paraId="6E51B387" w14:textId="4F614312" w:rsidR="000B0927" w:rsidRPr="000B0927" w:rsidRDefault="000B0927" w:rsidP="000B0927">
      <w:pPr>
        <w:pStyle w:val="SingleTxt"/>
        <w:spacing w:after="0" w:line="120" w:lineRule="exact"/>
        <w:rPr>
          <w:sz w:val="10"/>
          <w:lang w:val="es-ES_tradnl"/>
        </w:rPr>
      </w:pPr>
    </w:p>
    <w:p w14:paraId="5488EDF9" w14:textId="18DCFEB7" w:rsidR="000B0927" w:rsidRPr="000B0927" w:rsidRDefault="000B0927" w:rsidP="000B0927">
      <w:pPr>
        <w:pStyle w:val="SingleTxt"/>
        <w:ind w:left="1742" w:hanging="475"/>
        <w:jc w:val="left"/>
        <w:rPr>
          <w:lang w:val="es-ES_tradnl"/>
        </w:rPr>
      </w:pPr>
      <w:r w:rsidRPr="000B0927">
        <w:rPr>
          <w:lang w:val="es-ES_tradnl"/>
        </w:rPr>
        <w:t>1.</w:t>
      </w:r>
      <w:r w:rsidRPr="000B0927">
        <w:rPr>
          <w:lang w:val="es-ES_tradnl"/>
        </w:rPr>
        <w:tab/>
        <w:t>Apertura del período de sesiones</w:t>
      </w:r>
      <w:r w:rsidR="00A9583B">
        <w:rPr>
          <w:lang w:val="es-ES_tradnl"/>
        </w:rPr>
        <w:t>.</w:t>
      </w:r>
    </w:p>
    <w:p w14:paraId="241E5355" w14:textId="77777777" w:rsidR="000B0927" w:rsidRPr="000B0927" w:rsidRDefault="000B0927" w:rsidP="000B0927">
      <w:pPr>
        <w:pStyle w:val="SingleTxt"/>
        <w:ind w:left="1742" w:hanging="475"/>
        <w:jc w:val="left"/>
        <w:rPr>
          <w:lang w:val="es-ES_tradnl"/>
        </w:rPr>
      </w:pPr>
      <w:r w:rsidRPr="000B0927">
        <w:rPr>
          <w:lang w:val="es-ES_tradnl"/>
        </w:rPr>
        <w:t>2.</w:t>
      </w:r>
      <w:r w:rsidRPr="000B0927">
        <w:rPr>
          <w:lang w:val="es-ES_tradnl"/>
        </w:rPr>
        <w:tab/>
        <w:t>Aprobación del programa y organización de los trabajos.</w:t>
      </w:r>
    </w:p>
    <w:p w14:paraId="3A6FB09B" w14:textId="0E1222E6" w:rsidR="000B0927" w:rsidRPr="000B0927" w:rsidRDefault="000B0927" w:rsidP="000B0927">
      <w:pPr>
        <w:pStyle w:val="SingleTxt"/>
        <w:ind w:left="1742" w:hanging="475"/>
        <w:jc w:val="left"/>
        <w:rPr>
          <w:lang w:val="es-ES_tradnl"/>
        </w:rPr>
      </w:pPr>
      <w:r w:rsidRPr="000B0927">
        <w:rPr>
          <w:lang w:val="es-ES_tradnl"/>
        </w:rPr>
        <w:t>3.</w:t>
      </w:r>
      <w:r w:rsidRPr="000B0927">
        <w:rPr>
          <w:lang w:val="es-ES_tradnl"/>
        </w:rPr>
        <w:tab/>
        <w:t>Informe de la Presidencia sobre las actividades realizadas entre los períodos de sesiones 81º y 82º del Comité.</w:t>
      </w:r>
    </w:p>
    <w:p w14:paraId="69D70425" w14:textId="77777777" w:rsidR="000B0927" w:rsidRPr="000B0927" w:rsidRDefault="000B0927" w:rsidP="000B0927">
      <w:pPr>
        <w:pStyle w:val="SingleTxt"/>
        <w:ind w:left="1742" w:hanging="475"/>
        <w:jc w:val="left"/>
        <w:rPr>
          <w:lang w:val="es-ES_tradnl"/>
        </w:rPr>
      </w:pPr>
      <w:r w:rsidRPr="000B0927">
        <w:rPr>
          <w:lang w:val="es-ES_tradnl"/>
        </w:rPr>
        <w:t>4.</w:t>
      </w:r>
      <w:r w:rsidRPr="000B0927">
        <w:rPr>
          <w:lang w:val="es-ES_tradnl"/>
        </w:rPr>
        <w:tab/>
        <w:t>Examen de los informes presentados por los Estados partes en virtud del artículo 18 de la Convención sobre la Eliminación de Todas las Formas de Discriminación contra la Mujer.</w:t>
      </w:r>
    </w:p>
    <w:p w14:paraId="78C6F779" w14:textId="4B369B11" w:rsidR="000B0927" w:rsidRPr="000B0927" w:rsidRDefault="000B0927" w:rsidP="000B0927">
      <w:pPr>
        <w:pStyle w:val="SingleTxt"/>
        <w:ind w:left="1742" w:hanging="475"/>
        <w:jc w:val="left"/>
        <w:rPr>
          <w:lang w:val="es-ES_tradnl"/>
        </w:rPr>
      </w:pPr>
      <w:r w:rsidRPr="000B0927">
        <w:rPr>
          <w:lang w:val="es-ES_tradnl"/>
        </w:rPr>
        <w:t>5.</w:t>
      </w:r>
      <w:r w:rsidRPr="000B0927">
        <w:rPr>
          <w:lang w:val="es-ES_tradnl"/>
        </w:rPr>
        <w:tab/>
        <w:t>Seguimiento del examen de los informes presentados por los Estados partes en virtud del artículo 18 de la Convención.</w:t>
      </w:r>
    </w:p>
    <w:p w14:paraId="0410DCB7" w14:textId="77777777" w:rsidR="000B0927" w:rsidRPr="000B0927" w:rsidRDefault="000B0927" w:rsidP="000B0927">
      <w:pPr>
        <w:pStyle w:val="SingleTxt"/>
        <w:ind w:left="1742" w:hanging="475"/>
        <w:jc w:val="left"/>
        <w:rPr>
          <w:lang w:val="es-ES_tradnl"/>
        </w:rPr>
      </w:pPr>
      <w:r w:rsidRPr="000B0927">
        <w:rPr>
          <w:lang w:val="es-ES_tradnl"/>
        </w:rPr>
        <w:t>6.</w:t>
      </w:r>
      <w:r w:rsidRPr="000B0927">
        <w:rPr>
          <w:lang w:val="es-ES_tradnl"/>
        </w:rPr>
        <w:tab/>
        <w:t>Aplicación de los artículos 21 y 22 de la Convención.</w:t>
      </w:r>
    </w:p>
    <w:p w14:paraId="15F0006C" w14:textId="77777777" w:rsidR="000B0927" w:rsidRPr="000B0927" w:rsidRDefault="000B0927" w:rsidP="000B0927">
      <w:pPr>
        <w:pStyle w:val="SingleTxt"/>
        <w:ind w:left="1742" w:hanging="475"/>
        <w:jc w:val="left"/>
        <w:rPr>
          <w:lang w:val="es-ES_tradnl"/>
        </w:rPr>
      </w:pPr>
      <w:r w:rsidRPr="000B0927">
        <w:rPr>
          <w:lang w:val="es-ES_tradnl"/>
        </w:rPr>
        <w:t>7.</w:t>
      </w:r>
      <w:r w:rsidRPr="000B0927">
        <w:rPr>
          <w:lang w:val="es-ES_tradnl"/>
        </w:rPr>
        <w:tab/>
        <w:t>Medios de agilizar los trabajos del Comité.</w:t>
      </w:r>
    </w:p>
    <w:p w14:paraId="334CDB98" w14:textId="77777777" w:rsidR="000B0927" w:rsidRPr="000B0927" w:rsidRDefault="000B0927" w:rsidP="000B0927">
      <w:pPr>
        <w:pStyle w:val="SingleTxt"/>
        <w:ind w:left="1742" w:hanging="475"/>
        <w:jc w:val="left"/>
        <w:rPr>
          <w:lang w:val="es-ES_tradnl"/>
        </w:rPr>
      </w:pPr>
      <w:r w:rsidRPr="000B0927">
        <w:rPr>
          <w:lang w:val="es-ES_tradnl"/>
        </w:rPr>
        <w:t>8.</w:t>
      </w:r>
      <w:r w:rsidRPr="000B0927">
        <w:rPr>
          <w:lang w:val="es-ES_tradnl"/>
        </w:rPr>
        <w:tab/>
        <w:t>Actividades del Comité en relación con el Protocolo Facultativo de la Convención.</w:t>
      </w:r>
    </w:p>
    <w:p w14:paraId="26911E14" w14:textId="77777777" w:rsidR="000B0927" w:rsidRPr="000B0927" w:rsidRDefault="000B0927" w:rsidP="000B0927">
      <w:pPr>
        <w:pStyle w:val="SingleTxt"/>
        <w:ind w:left="1742" w:hanging="475"/>
        <w:jc w:val="left"/>
        <w:rPr>
          <w:lang w:val="es-ES_tradnl"/>
        </w:rPr>
      </w:pPr>
      <w:r w:rsidRPr="000B0927">
        <w:rPr>
          <w:lang w:val="es-ES_tradnl"/>
        </w:rPr>
        <w:t>9.</w:t>
      </w:r>
      <w:r w:rsidRPr="000B0927">
        <w:rPr>
          <w:lang w:val="es-ES_tradnl"/>
        </w:rPr>
        <w:tab/>
        <w:t>Programa provisional del 83</w:t>
      </w:r>
      <w:r w:rsidRPr="000B0927">
        <w:rPr>
          <w:vertAlign w:val="superscript"/>
          <w:lang w:val="es-ES_tradnl"/>
        </w:rPr>
        <w:t>er</w:t>
      </w:r>
      <w:r w:rsidRPr="000B0927">
        <w:rPr>
          <w:lang w:val="es-ES_tradnl"/>
        </w:rPr>
        <w:t xml:space="preserve"> período de sesiones del Comité.</w:t>
      </w:r>
    </w:p>
    <w:p w14:paraId="283BA029" w14:textId="77777777" w:rsidR="000B0927" w:rsidRPr="000B0927" w:rsidRDefault="000B0927" w:rsidP="000B0927">
      <w:pPr>
        <w:pStyle w:val="SingleTxt"/>
        <w:ind w:left="1742" w:hanging="475"/>
        <w:jc w:val="left"/>
        <w:rPr>
          <w:lang w:val="es-ES_tradnl"/>
        </w:rPr>
      </w:pPr>
      <w:r w:rsidRPr="000B0927">
        <w:rPr>
          <w:lang w:val="es-ES_tradnl"/>
        </w:rPr>
        <w:t>10.</w:t>
      </w:r>
      <w:r w:rsidRPr="000B0927">
        <w:rPr>
          <w:lang w:val="es-ES_tradnl"/>
        </w:rPr>
        <w:tab/>
        <w:t>Aprobación del informe de la Comisión sobre su 82º período de sesiones.</w:t>
      </w:r>
    </w:p>
    <w:p w14:paraId="127C15E5" w14:textId="08E7B3BF" w:rsidR="000B0927" w:rsidRPr="000B0927" w:rsidRDefault="000B0927" w:rsidP="000B0927">
      <w:pPr>
        <w:pStyle w:val="SingleTxt"/>
        <w:spacing w:after="0" w:line="120" w:lineRule="exact"/>
        <w:rPr>
          <w:sz w:val="10"/>
          <w:lang w:val="es-ES_tradnl"/>
        </w:rPr>
      </w:pPr>
    </w:p>
    <w:p w14:paraId="3259913B" w14:textId="31D246DC" w:rsidR="000B0927" w:rsidRPr="000B0927" w:rsidRDefault="000B0927" w:rsidP="000B0927">
      <w:pPr>
        <w:pStyle w:val="SingleTxt"/>
        <w:spacing w:after="0" w:line="120" w:lineRule="exact"/>
        <w:rPr>
          <w:b/>
          <w:sz w:val="10"/>
          <w:lang w:val="es-ES_tradnl"/>
        </w:rPr>
      </w:pPr>
    </w:p>
    <w:p w14:paraId="6AF5290E" w14:textId="5A34F4B2" w:rsidR="000B0927" w:rsidRPr="000B0927" w:rsidRDefault="000B0927">
      <w:pPr>
        <w:suppressAutoHyphens w:val="0"/>
        <w:spacing w:after="200" w:line="276" w:lineRule="auto"/>
        <w:rPr>
          <w:b/>
          <w:kern w:val="14"/>
          <w:sz w:val="10"/>
          <w:lang w:val="es-ES_tradnl"/>
        </w:rPr>
      </w:pPr>
      <w:r w:rsidRPr="000B0927">
        <w:rPr>
          <w:b/>
          <w:sz w:val="10"/>
          <w:lang w:val="es-ES_tradnl"/>
        </w:rPr>
        <w:br w:type="page"/>
      </w:r>
    </w:p>
    <w:p w14:paraId="41C8AB63" w14:textId="33B498E0" w:rsidR="000B0927" w:rsidRPr="000B0927" w:rsidRDefault="000B0927" w:rsidP="000B09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lastRenderedPageBreak/>
        <w:tab/>
      </w:r>
      <w:r w:rsidRPr="000B0927">
        <w:rPr>
          <w:lang w:val="es-ES_tradnl"/>
        </w:rPr>
        <w:tab/>
        <w:t>Anotaciones</w:t>
      </w:r>
    </w:p>
    <w:p w14:paraId="4A63BD58" w14:textId="0AB73779" w:rsidR="000B0927" w:rsidRPr="000B0927" w:rsidRDefault="000B0927" w:rsidP="000B0927">
      <w:pPr>
        <w:pStyle w:val="SingleTxt"/>
        <w:spacing w:after="0" w:line="120" w:lineRule="exact"/>
        <w:rPr>
          <w:sz w:val="10"/>
          <w:lang w:val="es-ES_tradnl"/>
        </w:rPr>
      </w:pPr>
    </w:p>
    <w:p w14:paraId="31D7D348" w14:textId="670BED79" w:rsidR="000B0927" w:rsidRPr="000B0927" w:rsidRDefault="000B0927" w:rsidP="000B0927">
      <w:pPr>
        <w:pStyle w:val="SingleTxt"/>
        <w:spacing w:after="0" w:line="120" w:lineRule="exact"/>
        <w:rPr>
          <w:sz w:val="10"/>
          <w:lang w:val="es-ES_tradnl"/>
        </w:rPr>
      </w:pPr>
    </w:p>
    <w:p w14:paraId="617BA217" w14:textId="022F215C" w:rsidR="000B0927" w:rsidRPr="000B0927" w:rsidRDefault="000B0927" w:rsidP="000B0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t>1.</w:t>
      </w:r>
      <w:r w:rsidRPr="000B0927">
        <w:rPr>
          <w:lang w:val="es-ES_tradnl"/>
        </w:rPr>
        <w:tab/>
        <w:t>Apertura del período de sesiones</w:t>
      </w:r>
    </w:p>
    <w:p w14:paraId="5F063661" w14:textId="651F812A" w:rsidR="000B0927" w:rsidRPr="000B0927" w:rsidRDefault="000B0927" w:rsidP="000B0927">
      <w:pPr>
        <w:pStyle w:val="SingleTxt"/>
        <w:spacing w:after="0" w:line="120" w:lineRule="exact"/>
        <w:rPr>
          <w:sz w:val="10"/>
          <w:lang w:val="es-ES_tradnl"/>
        </w:rPr>
      </w:pPr>
    </w:p>
    <w:p w14:paraId="0C6101E8" w14:textId="17D412BB" w:rsidR="000B0927" w:rsidRPr="000B0927" w:rsidRDefault="000B0927" w:rsidP="000B0927">
      <w:pPr>
        <w:pStyle w:val="SingleTxt"/>
        <w:rPr>
          <w:lang w:val="es-ES_tradnl"/>
        </w:rPr>
      </w:pPr>
      <w:r w:rsidRPr="000B0927">
        <w:rPr>
          <w:lang w:val="es-ES_tradnl"/>
        </w:rPr>
        <w:t>El 82</w:t>
      </w:r>
      <w:r w:rsidRPr="000B0927">
        <w:rPr>
          <w:vertAlign w:val="superscript"/>
          <w:lang w:val="es-ES_tradnl"/>
        </w:rPr>
        <w:t>o</w:t>
      </w:r>
      <w:r w:rsidRPr="000B0927">
        <w:rPr>
          <w:lang w:val="es-ES_tradnl"/>
        </w:rPr>
        <w:t xml:space="preserve"> período de sesiones del Comité para la Eliminación de la Discriminación contra la Mujer será inaugurado por la Presidencia del Comité el 13 de junio de 2022.</w:t>
      </w:r>
    </w:p>
    <w:p w14:paraId="0092CC85" w14:textId="3DDF45BC" w:rsidR="000B0927" w:rsidRPr="000B0927" w:rsidRDefault="000B0927" w:rsidP="000B0927">
      <w:pPr>
        <w:pStyle w:val="SingleTxt"/>
        <w:spacing w:after="0" w:line="120" w:lineRule="exact"/>
        <w:rPr>
          <w:sz w:val="10"/>
          <w:lang w:val="es-ES_tradnl"/>
        </w:rPr>
      </w:pPr>
    </w:p>
    <w:p w14:paraId="1ABCB660" w14:textId="71C2D1EC" w:rsidR="000B0927" w:rsidRPr="000B0927" w:rsidRDefault="000B0927" w:rsidP="000B0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t>2.</w:t>
      </w:r>
      <w:r w:rsidRPr="000B0927">
        <w:rPr>
          <w:lang w:val="es-ES_tradnl"/>
        </w:rPr>
        <w:tab/>
        <w:t>Aprobación del programa y organización de los trabajos</w:t>
      </w:r>
    </w:p>
    <w:p w14:paraId="54AD5339" w14:textId="59FC4AEF" w:rsidR="000B0927" w:rsidRPr="000B0927" w:rsidRDefault="000B0927" w:rsidP="000B0927">
      <w:pPr>
        <w:pStyle w:val="SingleTxt"/>
        <w:spacing w:after="0" w:line="120" w:lineRule="exact"/>
        <w:rPr>
          <w:sz w:val="10"/>
          <w:lang w:val="es-ES_tradnl"/>
        </w:rPr>
      </w:pPr>
    </w:p>
    <w:p w14:paraId="185E8897" w14:textId="77777777" w:rsidR="000B0927" w:rsidRPr="000B0927" w:rsidRDefault="000B0927" w:rsidP="000B0927">
      <w:pPr>
        <w:pStyle w:val="SingleTxt"/>
        <w:rPr>
          <w:lang w:val="es-ES_tradnl"/>
        </w:rPr>
      </w:pPr>
      <w:r w:rsidRPr="000B0927">
        <w:rPr>
          <w:lang w:val="es-ES_tradnl"/>
        </w:rPr>
        <w:t>El artículo 9 del Reglamento dispone que el primer tema sustantivo del programa provisional de cada período de sesiones será la aprobación del programa. En el artículo 7 se establece que el Secretario General, en consulta con la Presidencia del Comité, preparará el programa provisional de cada período de sesiones, de conformidad con las disposiciones pertinentes de los artículos 17 a 22 de la Convención.</w:t>
      </w:r>
    </w:p>
    <w:p w14:paraId="7DAAC099" w14:textId="77777777" w:rsidR="000B0927" w:rsidRPr="000B0927" w:rsidRDefault="000B0927" w:rsidP="000B0927">
      <w:pPr>
        <w:pStyle w:val="SingleTxt"/>
        <w:rPr>
          <w:lang w:val="es-ES_tradnl"/>
        </w:rPr>
      </w:pPr>
      <w:r w:rsidRPr="000B0927">
        <w:rPr>
          <w:lang w:val="es-ES_tradnl"/>
        </w:rPr>
        <w:t>En su 81</w:t>
      </w:r>
      <w:r w:rsidRPr="000B0927">
        <w:rPr>
          <w:vertAlign w:val="superscript"/>
          <w:lang w:val="es-ES_tradnl"/>
        </w:rPr>
        <w:t>er</w:t>
      </w:r>
      <w:r w:rsidRPr="000B0927">
        <w:rPr>
          <w:lang w:val="es-ES_tradnl"/>
        </w:rPr>
        <w:t xml:space="preserve"> período de sesiones, el Comité aprobó el programa provisional de su 82</w:t>
      </w:r>
      <w:r w:rsidRPr="000B0927">
        <w:rPr>
          <w:vertAlign w:val="superscript"/>
          <w:lang w:val="es-ES_tradnl"/>
        </w:rPr>
        <w:t>o</w:t>
      </w:r>
      <w:r w:rsidRPr="000B0927">
        <w:rPr>
          <w:lang w:val="es-ES_tradnl"/>
        </w:rPr>
        <w:t xml:space="preserve"> período de sesiones.</w:t>
      </w:r>
    </w:p>
    <w:p w14:paraId="1AABB32F" w14:textId="5951732E" w:rsidR="000B0927" w:rsidRPr="000B0927" w:rsidRDefault="000B0927" w:rsidP="000B0927">
      <w:pPr>
        <w:pStyle w:val="SingleTxt"/>
        <w:spacing w:after="0" w:line="120" w:lineRule="exact"/>
        <w:rPr>
          <w:sz w:val="10"/>
          <w:lang w:val="es-ES_tradnl"/>
        </w:rPr>
      </w:pPr>
    </w:p>
    <w:p w14:paraId="4805C074" w14:textId="696F9CAA" w:rsidR="000B0927" w:rsidRPr="000B0927" w:rsidRDefault="000B0927" w:rsidP="000B0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t>3.</w:t>
      </w:r>
      <w:r w:rsidRPr="000B0927">
        <w:rPr>
          <w:lang w:val="es-ES_tradnl"/>
        </w:rPr>
        <w:tab/>
        <w:t>Informe de la Presidencia sobre las actividades realizadas entre los períodos de sesiones 81º y 82º del Comité</w:t>
      </w:r>
    </w:p>
    <w:p w14:paraId="1FB50CB1" w14:textId="79DA031E" w:rsidR="000B0927" w:rsidRPr="000B0927" w:rsidRDefault="000B0927" w:rsidP="000B0927">
      <w:pPr>
        <w:pStyle w:val="SingleTxt"/>
        <w:spacing w:after="0" w:line="120" w:lineRule="exact"/>
        <w:rPr>
          <w:sz w:val="10"/>
          <w:lang w:val="es-ES_tradnl"/>
        </w:rPr>
      </w:pPr>
    </w:p>
    <w:p w14:paraId="7FB4A103" w14:textId="77777777" w:rsidR="000B0927" w:rsidRPr="000B0927" w:rsidRDefault="000B0927" w:rsidP="000B0927">
      <w:pPr>
        <w:pStyle w:val="SingleTxt"/>
        <w:rPr>
          <w:lang w:val="es-ES_tradnl"/>
        </w:rPr>
      </w:pPr>
      <w:r w:rsidRPr="000B0927">
        <w:rPr>
          <w:lang w:val="es-ES_tradnl"/>
        </w:rPr>
        <w:t>La Presidencia informará al Comité sobre las actividades y los acontecimientos relacionados con la labor del Comité que hayan ocurrido desde el período de sesiones anterior.</w:t>
      </w:r>
    </w:p>
    <w:p w14:paraId="4F91F191" w14:textId="62C6A1F0" w:rsidR="000B0927" w:rsidRPr="000B0927" w:rsidRDefault="000B0927" w:rsidP="000B0927">
      <w:pPr>
        <w:pStyle w:val="SingleTxt"/>
        <w:spacing w:after="0" w:line="120" w:lineRule="exact"/>
        <w:rPr>
          <w:sz w:val="10"/>
          <w:lang w:val="es-ES_tradnl"/>
        </w:rPr>
      </w:pPr>
    </w:p>
    <w:p w14:paraId="2CED1CB9" w14:textId="77777777" w:rsidR="000B0927" w:rsidRPr="000B0927" w:rsidRDefault="000B0927" w:rsidP="000B09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r>
      <w:r w:rsidRPr="000B0927">
        <w:rPr>
          <w:lang w:val="es-ES_tradnl"/>
        </w:rPr>
        <w:tab/>
        <w:t>Documentación</w:t>
      </w:r>
    </w:p>
    <w:p w14:paraId="1F739EE7" w14:textId="6D817156" w:rsidR="000B0927" w:rsidRPr="000B0927" w:rsidRDefault="000B0927" w:rsidP="000B0927">
      <w:pPr>
        <w:pStyle w:val="SingleTxt"/>
        <w:spacing w:after="0" w:line="120" w:lineRule="exact"/>
        <w:rPr>
          <w:sz w:val="10"/>
          <w:lang w:val="es-ES_tradnl"/>
        </w:rPr>
      </w:pPr>
    </w:p>
    <w:p w14:paraId="31A3D883" w14:textId="03467855" w:rsidR="000B0927" w:rsidRPr="000B0927" w:rsidRDefault="000B0927" w:rsidP="000B0927">
      <w:pPr>
        <w:pStyle w:val="SingleTxt"/>
        <w:rPr>
          <w:lang w:val="es-ES_tradnl"/>
        </w:rPr>
      </w:pPr>
      <w:r w:rsidRPr="000B0927">
        <w:rPr>
          <w:lang w:val="es-ES_tradnl"/>
        </w:rPr>
        <w:t>Programa provisional anotado (</w:t>
      </w:r>
      <w:hyperlink r:id="rId17" w:history="1">
        <w:r w:rsidRPr="000B0927">
          <w:rPr>
            <w:rStyle w:val="Hyperlink"/>
            <w:lang w:val="es-ES_tradnl"/>
          </w:rPr>
          <w:t>CEDAW/C/82/1</w:t>
        </w:r>
      </w:hyperlink>
      <w:r w:rsidRPr="000B0927">
        <w:rPr>
          <w:lang w:val="es-ES_tradnl"/>
        </w:rPr>
        <w:t>)</w:t>
      </w:r>
    </w:p>
    <w:p w14:paraId="75B5F633" w14:textId="2246999E" w:rsidR="000B0927" w:rsidRPr="000B0927" w:rsidRDefault="000B0927" w:rsidP="000B0927">
      <w:pPr>
        <w:pStyle w:val="SingleTxt"/>
        <w:spacing w:after="0" w:line="120" w:lineRule="exact"/>
        <w:rPr>
          <w:sz w:val="10"/>
          <w:lang w:val="es-ES_tradnl"/>
        </w:rPr>
      </w:pPr>
    </w:p>
    <w:p w14:paraId="60B2EFD9" w14:textId="10E257B1" w:rsidR="000B0927" w:rsidRPr="000B0927" w:rsidRDefault="000B0927" w:rsidP="000B0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t>4.</w:t>
      </w:r>
      <w:r w:rsidRPr="000B0927">
        <w:rPr>
          <w:lang w:val="es-ES_tradnl"/>
        </w:rPr>
        <w:tab/>
        <w:t>Examen de los informes presentados por los Estados partes en virtud del artículo 18 de la Convención sobre la Eliminación de Todas las Formas de Discriminación contra la Mujer</w:t>
      </w:r>
    </w:p>
    <w:p w14:paraId="4BA83245" w14:textId="564ADA3F" w:rsidR="000B0927" w:rsidRPr="000B0927" w:rsidRDefault="000B0927" w:rsidP="000B0927">
      <w:pPr>
        <w:pStyle w:val="SingleTxt"/>
        <w:spacing w:after="0" w:line="120" w:lineRule="exact"/>
        <w:rPr>
          <w:sz w:val="10"/>
          <w:lang w:val="es-ES_tradnl"/>
        </w:rPr>
      </w:pPr>
    </w:p>
    <w:p w14:paraId="0E9D6420" w14:textId="77777777" w:rsidR="000B0927" w:rsidRPr="000B0927" w:rsidRDefault="000B0927" w:rsidP="000B0927">
      <w:pPr>
        <w:pStyle w:val="SingleTxt"/>
        <w:rPr>
          <w:lang w:val="es-ES_tradnl"/>
        </w:rPr>
      </w:pPr>
      <w:r w:rsidRPr="000B0927">
        <w:rPr>
          <w:lang w:val="es-ES_tradnl"/>
        </w:rPr>
        <w:t>El artículo 18 de la Convención dispone que los Estados partes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4716D80C" w14:textId="77777777" w:rsidR="000B0927" w:rsidRPr="000B0927" w:rsidRDefault="000B0927" w:rsidP="000B0927">
      <w:pPr>
        <w:pStyle w:val="SingleTxt"/>
        <w:rPr>
          <w:lang w:val="es-ES_tradnl"/>
        </w:rPr>
      </w:pPr>
      <w:r w:rsidRPr="000B0927">
        <w:rPr>
          <w:lang w:val="es-ES_tradnl"/>
        </w:rPr>
        <w:t>Está previsto que el Comité examine los informes de los siguientes Estados partes en el 82</w:t>
      </w:r>
      <w:r w:rsidRPr="000B0927">
        <w:rPr>
          <w:vertAlign w:val="superscript"/>
          <w:lang w:val="es-ES_tradnl"/>
        </w:rPr>
        <w:t>o</w:t>
      </w:r>
      <w:r w:rsidRPr="000B0927">
        <w:rPr>
          <w:lang w:val="es-ES_tradnl"/>
        </w:rPr>
        <w:t xml:space="preserve"> período de sesiones del Comité: Azerbaiyán, Bolivia, Emiratos Árabes Unidos, Marruecos, Mongolia, Namibia, Portugal y Turquía.</w:t>
      </w:r>
    </w:p>
    <w:p w14:paraId="526B1595" w14:textId="77777777" w:rsidR="000B0927" w:rsidRPr="000B0927" w:rsidRDefault="000B0927" w:rsidP="000B0927">
      <w:pPr>
        <w:pStyle w:val="SingleTxt"/>
        <w:rPr>
          <w:lang w:val="es-ES_tradnl"/>
        </w:rPr>
      </w:pPr>
      <w:r w:rsidRPr="000B0927">
        <w:rPr>
          <w:lang w:val="es-ES_tradnl"/>
        </w:rPr>
        <w:t>El artículo 51 del Reglamento dispone que las delegaciones de los Estados partes podrán asistir a las sesiones del Comité en las que se vayan a examinar sus respectivos informes para participar en las deliberaciones y responder a las preguntas relativas a dichos informes.</w:t>
      </w:r>
    </w:p>
    <w:p w14:paraId="7127CB12" w14:textId="77777777" w:rsidR="000B0927" w:rsidRPr="000B0927" w:rsidRDefault="000B0927" w:rsidP="000B0927">
      <w:pPr>
        <w:pStyle w:val="SingleTxt"/>
        <w:rPr>
          <w:lang w:val="es-ES_tradnl"/>
        </w:rPr>
      </w:pPr>
      <w:r w:rsidRPr="000B0927">
        <w:rPr>
          <w:lang w:val="es-ES_tradnl"/>
        </w:rPr>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1EA6587E" w14:textId="3C58EA4F" w:rsidR="000B0927" w:rsidRPr="000B0927" w:rsidRDefault="000B0927" w:rsidP="000B0927">
      <w:pPr>
        <w:pStyle w:val="SingleTxt"/>
        <w:rPr>
          <w:lang w:val="es-ES_tradnl"/>
        </w:rPr>
      </w:pPr>
      <w:r w:rsidRPr="000B0927">
        <w:rPr>
          <w:lang w:val="es-ES_tradnl"/>
        </w:rPr>
        <w:lastRenderedPageBreak/>
        <w:t>Antes de cada período de sesiones se reúne un grupo de trabajo del Comité con el fin de preparar listas de las cuestiones y preguntas relativas a los informes que hay que transmitir a los Estados partes antes de las sesiones en las que se vayan a examinar sus informes. La reunión del grupo de trabajo anterior al 82</w:t>
      </w:r>
      <w:r w:rsidRPr="000B0927">
        <w:rPr>
          <w:vertAlign w:val="superscript"/>
          <w:lang w:val="es-ES_tradnl"/>
        </w:rPr>
        <w:t>o</w:t>
      </w:r>
      <w:r w:rsidRPr="000B0927">
        <w:rPr>
          <w:lang w:val="es-ES_tradnl"/>
        </w:rPr>
        <w:t xml:space="preserve"> período de sesiones no se celebró, ya que se sustituyó por una semana adicional de sesiones plenarias que tuvieron lugar del 8 al 12 de noviembre de 2021.</w:t>
      </w:r>
    </w:p>
    <w:p w14:paraId="6E9DA36D" w14:textId="6B39BA23" w:rsidR="000B0927" w:rsidRPr="000B0927" w:rsidRDefault="000B0927" w:rsidP="000B0927">
      <w:pPr>
        <w:pStyle w:val="SingleTxt"/>
        <w:spacing w:after="0" w:line="120" w:lineRule="exact"/>
        <w:rPr>
          <w:sz w:val="10"/>
          <w:lang w:val="es-ES_tradnl"/>
        </w:rPr>
      </w:pPr>
    </w:p>
    <w:p w14:paraId="30937BA5" w14:textId="77777777" w:rsidR="000B0927" w:rsidRPr="000B0927" w:rsidRDefault="000B0927" w:rsidP="000B0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r>
      <w:r w:rsidRPr="000B0927">
        <w:rPr>
          <w:lang w:val="es-ES_tradnl"/>
        </w:rPr>
        <w:tab/>
        <w:t>Documentación</w:t>
      </w:r>
    </w:p>
    <w:p w14:paraId="24FB23E9" w14:textId="3745802D" w:rsidR="000B0927" w:rsidRPr="000B0927" w:rsidRDefault="000B0927" w:rsidP="000B0927">
      <w:pPr>
        <w:pStyle w:val="SingleTxt"/>
        <w:spacing w:after="0" w:line="120" w:lineRule="exact"/>
        <w:rPr>
          <w:sz w:val="10"/>
          <w:lang w:val="es-ES_tradnl"/>
        </w:rPr>
      </w:pPr>
    </w:p>
    <w:p w14:paraId="519D799C" w14:textId="77777777" w:rsidR="000B0927" w:rsidRPr="000B0927" w:rsidRDefault="000B0927" w:rsidP="000B09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r>
      <w:r w:rsidRPr="000B0927">
        <w:rPr>
          <w:lang w:val="es-ES_tradnl"/>
        </w:rPr>
        <w:tab/>
        <w:t>Informes</w:t>
      </w:r>
    </w:p>
    <w:p w14:paraId="214F38F4" w14:textId="0C97B4D9" w:rsidR="000B0927" w:rsidRPr="000B0927" w:rsidRDefault="000B0927" w:rsidP="000B0927">
      <w:pPr>
        <w:pStyle w:val="SingleTxt"/>
        <w:spacing w:after="0" w:line="120" w:lineRule="exact"/>
        <w:rPr>
          <w:sz w:val="10"/>
          <w:lang w:val="es-ES_tradnl"/>
        </w:rPr>
      </w:pPr>
    </w:p>
    <w:p w14:paraId="7748B5F7" w14:textId="4182F5B3" w:rsidR="000B0927" w:rsidRPr="000B0927" w:rsidRDefault="000B0927" w:rsidP="000B0927">
      <w:pPr>
        <w:pStyle w:val="SingleTxt"/>
        <w:rPr>
          <w:lang w:val="es-ES_tradnl"/>
        </w:rPr>
      </w:pPr>
      <w:r w:rsidRPr="000B0927">
        <w:rPr>
          <w:lang w:val="es-ES_tradnl"/>
        </w:rPr>
        <w:t>Sexto informe periódico de Azerbaiyán (</w:t>
      </w:r>
      <w:hyperlink r:id="rId18" w:history="1">
        <w:r w:rsidRPr="000B0927">
          <w:rPr>
            <w:rStyle w:val="Hyperlink"/>
            <w:lang w:val="es-ES_tradnl"/>
          </w:rPr>
          <w:t>CEDAW/C/AZE/6</w:t>
        </w:r>
      </w:hyperlink>
      <w:r w:rsidRPr="000B0927">
        <w:rPr>
          <w:lang w:val="es-ES_tradnl"/>
        </w:rPr>
        <w:t>)</w:t>
      </w:r>
    </w:p>
    <w:p w14:paraId="3B79AFF4" w14:textId="58189CEF" w:rsidR="000B0927" w:rsidRPr="000B0927" w:rsidRDefault="000B0927" w:rsidP="000B0927">
      <w:pPr>
        <w:pStyle w:val="SingleTxt"/>
        <w:rPr>
          <w:lang w:val="es-ES_tradnl"/>
        </w:rPr>
      </w:pPr>
      <w:r w:rsidRPr="000B0927">
        <w:rPr>
          <w:lang w:val="es-ES_tradnl"/>
        </w:rPr>
        <w:t>Séptimo informe periódico del Estado Plurinacional de Bolivia (</w:t>
      </w:r>
      <w:hyperlink r:id="rId19" w:history="1">
        <w:r w:rsidRPr="000B0927">
          <w:rPr>
            <w:rStyle w:val="Hyperlink"/>
            <w:lang w:val="es-ES_tradnl"/>
          </w:rPr>
          <w:t>CEDAW/C/BOL/7</w:t>
        </w:r>
      </w:hyperlink>
      <w:r w:rsidRPr="000B0927">
        <w:rPr>
          <w:lang w:val="es-ES_tradnl"/>
        </w:rPr>
        <w:t>)</w:t>
      </w:r>
    </w:p>
    <w:p w14:paraId="465FFAC8" w14:textId="4349638D" w:rsidR="000B0927" w:rsidRPr="000B0927" w:rsidRDefault="000B0927" w:rsidP="000B0927">
      <w:pPr>
        <w:pStyle w:val="SingleTxt"/>
        <w:rPr>
          <w:lang w:val="es-ES_tradnl"/>
        </w:rPr>
      </w:pPr>
      <w:r w:rsidRPr="000B0927">
        <w:rPr>
          <w:lang w:val="es-ES_tradnl"/>
        </w:rPr>
        <w:t>Décimo informe periódico de Mongolia, presentado conforme al procedimiento simplificado (</w:t>
      </w:r>
      <w:hyperlink r:id="rId20" w:history="1">
        <w:r w:rsidRPr="000B0927">
          <w:rPr>
            <w:rStyle w:val="Hyperlink"/>
            <w:lang w:val="es-ES_tradnl"/>
          </w:rPr>
          <w:t>CEDAW/C/MNG/10</w:t>
        </w:r>
      </w:hyperlink>
      <w:r w:rsidRPr="000B0927">
        <w:rPr>
          <w:lang w:val="es-ES_tradnl"/>
        </w:rPr>
        <w:t>)</w:t>
      </w:r>
    </w:p>
    <w:p w14:paraId="6B24AE02" w14:textId="717CF32F" w:rsidR="000B0927" w:rsidRPr="000B0927" w:rsidRDefault="000B0927" w:rsidP="000B0927">
      <w:pPr>
        <w:pStyle w:val="SingleTxt"/>
        <w:rPr>
          <w:spacing w:val="2"/>
          <w:lang w:val="es-ES_tradnl"/>
        </w:rPr>
      </w:pPr>
      <w:r w:rsidRPr="000B0927">
        <w:rPr>
          <w:spacing w:val="2"/>
          <w:lang w:val="es-ES_tradnl"/>
        </w:rPr>
        <w:t>Informes periódicos quinto y sexto combinados de Marruecos (</w:t>
      </w:r>
      <w:hyperlink r:id="rId21" w:history="1">
        <w:r w:rsidRPr="000B0927">
          <w:rPr>
            <w:rStyle w:val="Hyperlink"/>
            <w:spacing w:val="2"/>
            <w:lang w:val="es-ES_tradnl"/>
          </w:rPr>
          <w:t>CEDAW/C/MAR/5-6</w:t>
        </w:r>
      </w:hyperlink>
      <w:r w:rsidRPr="000B0927">
        <w:rPr>
          <w:spacing w:val="2"/>
          <w:lang w:val="es-ES_tradnl"/>
        </w:rPr>
        <w:t>)</w:t>
      </w:r>
    </w:p>
    <w:p w14:paraId="79347D62" w14:textId="618A3F8B" w:rsidR="000B0927" w:rsidRPr="000B0927" w:rsidRDefault="000B0927" w:rsidP="000B0927">
      <w:pPr>
        <w:pStyle w:val="SingleTxt"/>
        <w:rPr>
          <w:lang w:val="es-ES_tradnl"/>
        </w:rPr>
      </w:pPr>
      <w:r w:rsidRPr="000B0927">
        <w:rPr>
          <w:lang w:val="es-ES_tradnl"/>
        </w:rPr>
        <w:t>Sexto informe periódico de Namibia (</w:t>
      </w:r>
      <w:hyperlink r:id="rId22" w:history="1">
        <w:r w:rsidRPr="000B0927">
          <w:rPr>
            <w:rStyle w:val="Hyperlink"/>
            <w:lang w:val="es-ES_tradnl"/>
          </w:rPr>
          <w:t>CEDAW/C/NAM/6</w:t>
        </w:r>
      </w:hyperlink>
      <w:r w:rsidRPr="000B0927">
        <w:rPr>
          <w:lang w:val="es-ES_tradnl"/>
        </w:rPr>
        <w:t>)</w:t>
      </w:r>
    </w:p>
    <w:p w14:paraId="6DBAFFC6" w14:textId="0FB49FE0" w:rsidR="000B0927" w:rsidRPr="000B0927" w:rsidRDefault="000B0927" w:rsidP="000B0927">
      <w:pPr>
        <w:pStyle w:val="SingleTxt"/>
        <w:rPr>
          <w:lang w:val="es-ES_tradnl"/>
        </w:rPr>
      </w:pPr>
      <w:r w:rsidRPr="000B0927">
        <w:rPr>
          <w:lang w:val="es-ES_tradnl"/>
        </w:rPr>
        <w:t>Décimo informe periódico de Portugal (</w:t>
      </w:r>
      <w:hyperlink r:id="rId23" w:history="1">
        <w:r w:rsidRPr="000B0927">
          <w:rPr>
            <w:rStyle w:val="Hyperlink"/>
            <w:lang w:val="es-ES_tradnl"/>
          </w:rPr>
          <w:t>CEDAW/C/PRT/10</w:t>
        </w:r>
      </w:hyperlink>
      <w:r w:rsidRPr="000B0927">
        <w:rPr>
          <w:lang w:val="es-ES_tradnl"/>
        </w:rPr>
        <w:t>)</w:t>
      </w:r>
    </w:p>
    <w:p w14:paraId="39F353C7" w14:textId="1F6608D4" w:rsidR="000B0927" w:rsidRPr="000B0927" w:rsidRDefault="000B0927" w:rsidP="000B0927">
      <w:pPr>
        <w:pStyle w:val="SingleTxt"/>
        <w:rPr>
          <w:lang w:val="es-ES_tradnl"/>
        </w:rPr>
      </w:pPr>
      <w:r w:rsidRPr="000B0927">
        <w:rPr>
          <w:lang w:val="es-ES_tradnl"/>
        </w:rPr>
        <w:t>Octavo informe periódico de Turquía (</w:t>
      </w:r>
      <w:hyperlink r:id="rId24" w:history="1">
        <w:r w:rsidRPr="000B0927">
          <w:rPr>
            <w:rStyle w:val="Hyperlink"/>
            <w:lang w:val="es-ES_tradnl"/>
          </w:rPr>
          <w:t>CEDAW/C/TUR/8</w:t>
        </w:r>
      </w:hyperlink>
      <w:r w:rsidRPr="000B0927">
        <w:rPr>
          <w:lang w:val="es-ES_tradnl"/>
        </w:rPr>
        <w:t>)</w:t>
      </w:r>
    </w:p>
    <w:p w14:paraId="46E1D514" w14:textId="286D6630" w:rsidR="000B0927" w:rsidRPr="000B0927" w:rsidRDefault="000B0927" w:rsidP="000B0927">
      <w:pPr>
        <w:pStyle w:val="SingleTxt"/>
        <w:rPr>
          <w:lang w:val="es-ES_tradnl"/>
        </w:rPr>
      </w:pPr>
      <w:r w:rsidRPr="000B0927">
        <w:rPr>
          <w:lang w:val="es-ES_tradnl"/>
        </w:rPr>
        <w:t>Cuarto informe periódico de los Emiratos Árabes Unidos (</w:t>
      </w:r>
      <w:hyperlink r:id="rId25" w:history="1">
        <w:r w:rsidRPr="000B0927">
          <w:rPr>
            <w:rStyle w:val="Hyperlink"/>
            <w:lang w:val="es-ES_tradnl"/>
          </w:rPr>
          <w:t>CEDAW/C/ARE/4</w:t>
        </w:r>
      </w:hyperlink>
      <w:r w:rsidRPr="000B0927">
        <w:rPr>
          <w:lang w:val="es-ES_tradnl"/>
        </w:rPr>
        <w:t>)</w:t>
      </w:r>
    </w:p>
    <w:p w14:paraId="60B84DA9" w14:textId="4DD9FE2F" w:rsidR="000B0927" w:rsidRPr="000B0927" w:rsidRDefault="000B0927" w:rsidP="000B0927">
      <w:pPr>
        <w:pStyle w:val="SingleTxt"/>
        <w:spacing w:after="0" w:line="120" w:lineRule="exact"/>
        <w:rPr>
          <w:sz w:val="10"/>
          <w:lang w:val="es-ES_tradnl"/>
        </w:rPr>
      </w:pPr>
    </w:p>
    <w:p w14:paraId="19882DBB" w14:textId="77777777" w:rsidR="000B0927" w:rsidRPr="000B0927" w:rsidRDefault="000B0927" w:rsidP="000B09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r>
      <w:r w:rsidRPr="000B0927">
        <w:rPr>
          <w:lang w:val="es-ES_tradnl"/>
        </w:rPr>
        <w:tab/>
        <w:t>Listas de cuestiones y preguntas</w:t>
      </w:r>
    </w:p>
    <w:p w14:paraId="184F108A" w14:textId="75FBFB2E" w:rsidR="000B0927" w:rsidRPr="000B0927" w:rsidRDefault="000B0927" w:rsidP="000B0927">
      <w:pPr>
        <w:pStyle w:val="SingleTxt"/>
        <w:spacing w:after="0" w:line="120" w:lineRule="exact"/>
        <w:rPr>
          <w:sz w:val="10"/>
          <w:lang w:val="es-ES_tradnl"/>
        </w:rPr>
      </w:pPr>
    </w:p>
    <w:p w14:paraId="2C3A3B0D" w14:textId="07F6099F" w:rsidR="000B0927" w:rsidRPr="000B0927" w:rsidRDefault="000B0927" w:rsidP="000B0927">
      <w:pPr>
        <w:pStyle w:val="SingleTxt"/>
        <w:rPr>
          <w:lang w:val="es-ES_tradnl"/>
        </w:rPr>
      </w:pPr>
      <w:r w:rsidRPr="000B0927">
        <w:rPr>
          <w:lang w:val="es-ES_tradnl"/>
        </w:rPr>
        <w:t>Azerbaiyán (</w:t>
      </w:r>
      <w:hyperlink r:id="rId26" w:history="1">
        <w:r w:rsidRPr="000B0927">
          <w:rPr>
            <w:rStyle w:val="Hyperlink"/>
            <w:lang w:val="es-ES_tradnl"/>
          </w:rPr>
          <w:t>CEDAW/C/AZE/Q/6</w:t>
        </w:r>
      </w:hyperlink>
      <w:r w:rsidRPr="000B0927">
        <w:rPr>
          <w:lang w:val="es-ES_tradnl"/>
        </w:rPr>
        <w:t>)</w:t>
      </w:r>
    </w:p>
    <w:p w14:paraId="50F82F0C" w14:textId="04DBC57F" w:rsidR="000B0927" w:rsidRPr="000B0927" w:rsidRDefault="000B0927" w:rsidP="000B0927">
      <w:pPr>
        <w:pStyle w:val="SingleTxt"/>
        <w:rPr>
          <w:lang w:val="es-ES_tradnl"/>
        </w:rPr>
      </w:pPr>
      <w:r w:rsidRPr="000B0927">
        <w:rPr>
          <w:lang w:val="es-ES_tradnl"/>
        </w:rPr>
        <w:t>Bolivia (Estado Plurinacional de) (</w:t>
      </w:r>
      <w:hyperlink r:id="rId27" w:history="1">
        <w:r w:rsidRPr="000B0927">
          <w:rPr>
            <w:rStyle w:val="Hyperlink"/>
            <w:lang w:val="es-ES_tradnl"/>
          </w:rPr>
          <w:t>CEDAW/C/BOL/Q/7</w:t>
        </w:r>
      </w:hyperlink>
      <w:r w:rsidRPr="000B0927">
        <w:rPr>
          <w:lang w:val="es-ES_tradnl"/>
        </w:rPr>
        <w:t>)</w:t>
      </w:r>
    </w:p>
    <w:p w14:paraId="5C31CA95" w14:textId="7E345D78" w:rsidR="000B0927" w:rsidRPr="00FF7B82" w:rsidRDefault="000B0927" w:rsidP="000B0927">
      <w:pPr>
        <w:pStyle w:val="SingleTxt"/>
        <w:rPr>
          <w:lang w:val="en-US"/>
        </w:rPr>
      </w:pPr>
      <w:r w:rsidRPr="00FF7B82">
        <w:rPr>
          <w:lang w:val="en-US"/>
        </w:rPr>
        <w:t>Mongolia (</w:t>
      </w:r>
      <w:hyperlink r:id="rId28" w:history="1">
        <w:r w:rsidRPr="00FF7B82">
          <w:rPr>
            <w:rStyle w:val="Hyperlink"/>
            <w:lang w:val="en-US"/>
          </w:rPr>
          <w:t>CEDAW/C/MNG/QPR/10</w:t>
        </w:r>
      </w:hyperlink>
      <w:r w:rsidRPr="00FF7B82">
        <w:rPr>
          <w:lang w:val="en-US"/>
        </w:rPr>
        <w:t>)</w:t>
      </w:r>
    </w:p>
    <w:p w14:paraId="7D358D31" w14:textId="39F2B79C" w:rsidR="000B0927" w:rsidRPr="000B0927" w:rsidRDefault="000B0927" w:rsidP="000B0927">
      <w:pPr>
        <w:pStyle w:val="SingleTxt"/>
        <w:rPr>
          <w:lang w:val="es-ES_tradnl"/>
        </w:rPr>
      </w:pPr>
      <w:r w:rsidRPr="000B0927">
        <w:rPr>
          <w:lang w:val="es-ES_tradnl"/>
        </w:rPr>
        <w:t>Marruecos (</w:t>
      </w:r>
      <w:hyperlink r:id="rId29" w:history="1">
        <w:r w:rsidRPr="000B0927">
          <w:rPr>
            <w:rStyle w:val="Hyperlink"/>
            <w:lang w:val="es-ES_tradnl"/>
          </w:rPr>
          <w:t>CEDAW/C/MAR/Q/5-6</w:t>
        </w:r>
      </w:hyperlink>
      <w:r w:rsidRPr="000B0927">
        <w:rPr>
          <w:lang w:val="es-ES_tradnl"/>
        </w:rPr>
        <w:t>)</w:t>
      </w:r>
    </w:p>
    <w:p w14:paraId="0A76938E" w14:textId="2F7AAE9E" w:rsidR="000B0927" w:rsidRPr="000B0927" w:rsidRDefault="000B0927" w:rsidP="000B0927">
      <w:pPr>
        <w:pStyle w:val="SingleTxt"/>
        <w:rPr>
          <w:lang w:val="es-ES_tradnl"/>
        </w:rPr>
      </w:pPr>
      <w:r w:rsidRPr="000B0927">
        <w:rPr>
          <w:lang w:val="es-ES_tradnl"/>
        </w:rPr>
        <w:t>Namibia (</w:t>
      </w:r>
      <w:hyperlink r:id="rId30" w:history="1">
        <w:r w:rsidRPr="000B0927">
          <w:rPr>
            <w:rStyle w:val="Hyperlink"/>
            <w:lang w:val="es-ES_tradnl"/>
          </w:rPr>
          <w:t>CEDAW/C/NAM/Q/6</w:t>
        </w:r>
      </w:hyperlink>
      <w:r w:rsidRPr="000B0927">
        <w:rPr>
          <w:lang w:val="es-ES_tradnl"/>
        </w:rPr>
        <w:t>)</w:t>
      </w:r>
    </w:p>
    <w:p w14:paraId="020760B8" w14:textId="1089C02A" w:rsidR="000B0927" w:rsidRPr="000B0927" w:rsidRDefault="000B0927" w:rsidP="000B0927">
      <w:pPr>
        <w:pStyle w:val="SingleTxt"/>
        <w:rPr>
          <w:lang w:val="es-ES_tradnl"/>
        </w:rPr>
      </w:pPr>
      <w:r w:rsidRPr="000B0927">
        <w:rPr>
          <w:lang w:val="es-ES_tradnl"/>
        </w:rPr>
        <w:t>Portugal (</w:t>
      </w:r>
      <w:hyperlink r:id="rId31" w:history="1">
        <w:r w:rsidRPr="000B0927">
          <w:rPr>
            <w:rStyle w:val="Hyperlink"/>
            <w:lang w:val="es-ES_tradnl"/>
          </w:rPr>
          <w:t>CEDAW/C/PRT/Q/10</w:t>
        </w:r>
      </w:hyperlink>
      <w:r w:rsidRPr="000B0927">
        <w:rPr>
          <w:lang w:val="es-ES_tradnl"/>
        </w:rPr>
        <w:t>)</w:t>
      </w:r>
    </w:p>
    <w:p w14:paraId="701613CF" w14:textId="0F9DB9CB" w:rsidR="000B0927" w:rsidRPr="000B0927" w:rsidRDefault="000B0927" w:rsidP="000B0927">
      <w:pPr>
        <w:pStyle w:val="SingleTxt"/>
        <w:rPr>
          <w:lang w:val="es-ES_tradnl"/>
        </w:rPr>
      </w:pPr>
      <w:r w:rsidRPr="000B0927">
        <w:rPr>
          <w:lang w:val="es-ES_tradnl"/>
        </w:rPr>
        <w:t>Turquía (</w:t>
      </w:r>
      <w:hyperlink r:id="rId32" w:history="1">
        <w:r w:rsidRPr="000B0927">
          <w:rPr>
            <w:rStyle w:val="Hyperlink"/>
            <w:lang w:val="es-ES_tradnl"/>
          </w:rPr>
          <w:t>CEDAW/C/TUR/Q/8</w:t>
        </w:r>
      </w:hyperlink>
      <w:r w:rsidRPr="000B0927">
        <w:rPr>
          <w:lang w:val="es-ES_tradnl"/>
        </w:rPr>
        <w:t>)</w:t>
      </w:r>
    </w:p>
    <w:p w14:paraId="1A02E969" w14:textId="30ED4C81" w:rsidR="000B0927" w:rsidRPr="000B0927" w:rsidRDefault="000B0927" w:rsidP="000B0927">
      <w:pPr>
        <w:pStyle w:val="SingleTxt"/>
        <w:rPr>
          <w:lang w:val="es-ES_tradnl"/>
        </w:rPr>
      </w:pPr>
      <w:r w:rsidRPr="000B0927">
        <w:rPr>
          <w:lang w:val="es-ES_tradnl"/>
        </w:rPr>
        <w:t>Emiratos Árabes Unidos (</w:t>
      </w:r>
      <w:hyperlink r:id="rId33" w:history="1">
        <w:r w:rsidRPr="000B0927">
          <w:rPr>
            <w:rStyle w:val="Hyperlink"/>
            <w:lang w:val="es-ES_tradnl"/>
          </w:rPr>
          <w:t>CEDAW/C/ARE/Q/4</w:t>
        </w:r>
      </w:hyperlink>
      <w:r w:rsidRPr="000B0927">
        <w:rPr>
          <w:lang w:val="es-ES_tradnl"/>
        </w:rPr>
        <w:t>)</w:t>
      </w:r>
    </w:p>
    <w:p w14:paraId="7CC11943" w14:textId="53915EF7" w:rsidR="000B0927" w:rsidRPr="000B0927" w:rsidRDefault="000B0927" w:rsidP="000B0927">
      <w:pPr>
        <w:pStyle w:val="SingleTxt"/>
        <w:spacing w:after="0" w:line="120" w:lineRule="exact"/>
        <w:rPr>
          <w:sz w:val="10"/>
          <w:lang w:val="es-ES_tradnl"/>
        </w:rPr>
      </w:pPr>
    </w:p>
    <w:p w14:paraId="16F3216B" w14:textId="77777777" w:rsidR="000B0927" w:rsidRPr="000B0927" w:rsidRDefault="000B0927" w:rsidP="000B09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r>
      <w:r w:rsidRPr="000B0927">
        <w:rPr>
          <w:lang w:val="es-ES_tradnl"/>
        </w:rPr>
        <w:tab/>
        <w:t>Respuestas a las listas de cuestiones y preguntas</w:t>
      </w:r>
    </w:p>
    <w:p w14:paraId="0855C5F0" w14:textId="735D77CE" w:rsidR="000B0927" w:rsidRPr="000B0927" w:rsidRDefault="000B0927" w:rsidP="000B0927">
      <w:pPr>
        <w:pStyle w:val="SingleTxt"/>
        <w:spacing w:after="0" w:line="120" w:lineRule="exact"/>
        <w:rPr>
          <w:sz w:val="10"/>
          <w:lang w:val="es-ES_tradnl"/>
        </w:rPr>
      </w:pPr>
    </w:p>
    <w:p w14:paraId="5D974747" w14:textId="1A9CCDB4" w:rsidR="000B0927" w:rsidRPr="000B0927" w:rsidRDefault="000B0927" w:rsidP="000B0927">
      <w:pPr>
        <w:pStyle w:val="SingleTxt"/>
        <w:rPr>
          <w:lang w:val="es-ES_tradnl"/>
        </w:rPr>
      </w:pPr>
      <w:r w:rsidRPr="000B0927">
        <w:rPr>
          <w:lang w:val="es-ES_tradnl"/>
        </w:rPr>
        <w:t>Azerbaiyán (</w:t>
      </w:r>
      <w:hyperlink r:id="rId34" w:history="1">
        <w:r w:rsidRPr="000B0927">
          <w:rPr>
            <w:rStyle w:val="Hyperlink"/>
            <w:lang w:val="es-ES_tradnl"/>
          </w:rPr>
          <w:t>CEDAW/C/AZE/RQ/6</w:t>
        </w:r>
      </w:hyperlink>
      <w:r w:rsidRPr="000B0927">
        <w:rPr>
          <w:lang w:val="es-ES_tradnl"/>
        </w:rPr>
        <w:t>)</w:t>
      </w:r>
    </w:p>
    <w:p w14:paraId="0F964663" w14:textId="0C8C27E5" w:rsidR="000B0927" w:rsidRPr="000B0927" w:rsidRDefault="000B0927" w:rsidP="000B0927">
      <w:pPr>
        <w:pStyle w:val="SingleTxt"/>
        <w:rPr>
          <w:lang w:val="es-ES_tradnl"/>
        </w:rPr>
      </w:pPr>
      <w:r w:rsidRPr="000B0927">
        <w:rPr>
          <w:lang w:val="es-ES_tradnl"/>
        </w:rPr>
        <w:t>Bolivia (Estado Plurinacional de) (</w:t>
      </w:r>
      <w:hyperlink r:id="rId35" w:history="1">
        <w:r w:rsidRPr="000B0927">
          <w:rPr>
            <w:rStyle w:val="Hyperlink"/>
            <w:lang w:val="es-ES_tradnl"/>
          </w:rPr>
          <w:t>CEDAW/C/BOL/RQ/7</w:t>
        </w:r>
      </w:hyperlink>
      <w:r w:rsidRPr="000B0927">
        <w:rPr>
          <w:lang w:val="es-ES_tradnl"/>
        </w:rPr>
        <w:t>)</w:t>
      </w:r>
    </w:p>
    <w:p w14:paraId="13170468" w14:textId="77E323D3" w:rsidR="000B0927" w:rsidRPr="000B0927" w:rsidRDefault="000B0927" w:rsidP="000B0927">
      <w:pPr>
        <w:pStyle w:val="SingleTxt"/>
        <w:rPr>
          <w:lang w:val="es-ES_tradnl"/>
        </w:rPr>
      </w:pPr>
      <w:r w:rsidRPr="000B0927">
        <w:rPr>
          <w:lang w:val="es-ES_tradnl"/>
        </w:rPr>
        <w:t>Marruecos (</w:t>
      </w:r>
      <w:hyperlink r:id="rId36" w:history="1">
        <w:r w:rsidRPr="000B0927">
          <w:rPr>
            <w:rStyle w:val="Hyperlink"/>
            <w:lang w:val="es-ES_tradnl"/>
          </w:rPr>
          <w:t>CEDAW/C/MAR/RQ/5-6</w:t>
        </w:r>
      </w:hyperlink>
      <w:r w:rsidRPr="000B0927">
        <w:rPr>
          <w:lang w:val="es-ES_tradnl"/>
        </w:rPr>
        <w:t>)</w:t>
      </w:r>
    </w:p>
    <w:p w14:paraId="7510C559" w14:textId="5FE2593A" w:rsidR="000B0927" w:rsidRPr="000B0927" w:rsidRDefault="000B0927" w:rsidP="000B0927">
      <w:pPr>
        <w:pStyle w:val="SingleTxt"/>
        <w:rPr>
          <w:lang w:val="es-ES_tradnl"/>
        </w:rPr>
      </w:pPr>
      <w:r w:rsidRPr="000B0927">
        <w:rPr>
          <w:lang w:val="es-ES_tradnl"/>
        </w:rPr>
        <w:t>Namibia (</w:t>
      </w:r>
      <w:hyperlink r:id="rId37" w:history="1">
        <w:r w:rsidRPr="000B0927">
          <w:rPr>
            <w:rStyle w:val="Hyperlink"/>
            <w:lang w:val="es-ES_tradnl"/>
          </w:rPr>
          <w:t>CEDAW/C/NAM/RQ/6</w:t>
        </w:r>
      </w:hyperlink>
      <w:r w:rsidRPr="000B0927">
        <w:rPr>
          <w:lang w:val="es-ES_tradnl"/>
        </w:rPr>
        <w:t>)</w:t>
      </w:r>
    </w:p>
    <w:p w14:paraId="1F6FD0AF" w14:textId="0985DE6A" w:rsidR="000B0927" w:rsidRPr="000B0927" w:rsidRDefault="000B0927" w:rsidP="000B0927">
      <w:pPr>
        <w:pStyle w:val="SingleTxt"/>
        <w:rPr>
          <w:lang w:val="es-ES_tradnl"/>
        </w:rPr>
      </w:pPr>
      <w:r w:rsidRPr="000B0927">
        <w:rPr>
          <w:lang w:val="es-ES_tradnl"/>
        </w:rPr>
        <w:t>Portugal (</w:t>
      </w:r>
      <w:hyperlink r:id="rId38" w:history="1">
        <w:r w:rsidRPr="000B0927">
          <w:rPr>
            <w:rStyle w:val="Hyperlink"/>
            <w:lang w:val="es-ES_tradnl"/>
          </w:rPr>
          <w:t>CEDAW/C/PRT/RQ/10</w:t>
        </w:r>
      </w:hyperlink>
      <w:r w:rsidRPr="000B0927">
        <w:rPr>
          <w:lang w:val="es-ES_tradnl"/>
        </w:rPr>
        <w:t>)</w:t>
      </w:r>
    </w:p>
    <w:p w14:paraId="1FA58C0A" w14:textId="6FB241E6" w:rsidR="000B0927" w:rsidRPr="000B0927" w:rsidRDefault="000B0927" w:rsidP="000B0927">
      <w:pPr>
        <w:pStyle w:val="SingleTxt"/>
        <w:rPr>
          <w:lang w:val="es-ES_tradnl"/>
        </w:rPr>
      </w:pPr>
      <w:r w:rsidRPr="000B0927">
        <w:rPr>
          <w:lang w:val="es-ES_tradnl"/>
        </w:rPr>
        <w:t>Turquía (</w:t>
      </w:r>
      <w:hyperlink r:id="rId39" w:history="1">
        <w:r w:rsidRPr="000B0927">
          <w:rPr>
            <w:rStyle w:val="Hyperlink"/>
            <w:lang w:val="es-ES_tradnl"/>
          </w:rPr>
          <w:t>CEDAW/C/TUR/RQ/8</w:t>
        </w:r>
      </w:hyperlink>
      <w:r w:rsidRPr="000B0927">
        <w:rPr>
          <w:lang w:val="es-ES_tradnl"/>
        </w:rPr>
        <w:t>)</w:t>
      </w:r>
    </w:p>
    <w:p w14:paraId="2CFA1388" w14:textId="24971A01" w:rsidR="000B0927" w:rsidRPr="000B0927" w:rsidRDefault="000B0927" w:rsidP="000B0927">
      <w:pPr>
        <w:pStyle w:val="SingleTxt"/>
        <w:rPr>
          <w:lang w:val="es-ES_tradnl"/>
        </w:rPr>
      </w:pPr>
      <w:r w:rsidRPr="000B0927">
        <w:rPr>
          <w:lang w:val="es-ES_tradnl"/>
        </w:rPr>
        <w:t>Emiratos Árabes Unidos (</w:t>
      </w:r>
      <w:hyperlink r:id="rId40" w:history="1">
        <w:r w:rsidRPr="000B0927">
          <w:rPr>
            <w:rStyle w:val="Hyperlink"/>
            <w:lang w:val="es-ES_tradnl"/>
          </w:rPr>
          <w:t>CEDAW/C/ARE/RQ/4</w:t>
        </w:r>
      </w:hyperlink>
      <w:r w:rsidRPr="000B0927">
        <w:rPr>
          <w:lang w:val="es-ES_tradnl"/>
        </w:rPr>
        <w:t>)</w:t>
      </w:r>
    </w:p>
    <w:p w14:paraId="10CC0F37" w14:textId="140FB326" w:rsidR="000B0927" w:rsidRPr="000B0927" w:rsidRDefault="000B0927" w:rsidP="000B0927">
      <w:pPr>
        <w:pStyle w:val="SingleTxt"/>
        <w:spacing w:after="0" w:line="120" w:lineRule="exact"/>
        <w:rPr>
          <w:sz w:val="10"/>
          <w:lang w:val="es-ES_tradnl"/>
        </w:rPr>
      </w:pPr>
    </w:p>
    <w:p w14:paraId="3958720D" w14:textId="111C2DE0" w:rsidR="000B0927" w:rsidRPr="000B0927" w:rsidRDefault="000B0927">
      <w:pPr>
        <w:suppressAutoHyphens w:val="0"/>
        <w:spacing w:after="200" w:line="276" w:lineRule="auto"/>
        <w:rPr>
          <w:kern w:val="14"/>
          <w:sz w:val="10"/>
          <w:lang w:val="es-ES_tradnl"/>
        </w:rPr>
      </w:pPr>
      <w:r w:rsidRPr="000B0927">
        <w:rPr>
          <w:sz w:val="10"/>
          <w:lang w:val="es-ES_tradnl"/>
        </w:rPr>
        <w:br w:type="page"/>
      </w:r>
    </w:p>
    <w:p w14:paraId="7F707D67" w14:textId="1BF5A868" w:rsidR="000B0927" w:rsidRPr="000B0927" w:rsidRDefault="000B0927" w:rsidP="000B0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lastRenderedPageBreak/>
        <w:tab/>
        <w:t>5.</w:t>
      </w:r>
      <w:r w:rsidRPr="000B0927">
        <w:rPr>
          <w:lang w:val="es-ES_tradnl"/>
        </w:rPr>
        <w:tab/>
        <w:t>Seguimiento del examen de los informes presentados por los Estados partes en</w:t>
      </w:r>
      <w:r w:rsidR="00B03973">
        <w:rPr>
          <w:lang w:val="es-ES_tradnl"/>
        </w:rPr>
        <w:t> </w:t>
      </w:r>
      <w:r w:rsidRPr="000B0927">
        <w:rPr>
          <w:lang w:val="es-ES_tradnl"/>
        </w:rPr>
        <w:t>virtud del artículo 18 de la Convención</w:t>
      </w:r>
    </w:p>
    <w:p w14:paraId="1987E31D" w14:textId="74C6A341" w:rsidR="000B0927" w:rsidRPr="000B0927" w:rsidRDefault="000B0927" w:rsidP="000B0927">
      <w:pPr>
        <w:pStyle w:val="SingleTxt"/>
        <w:spacing w:after="0" w:line="120" w:lineRule="exact"/>
        <w:rPr>
          <w:sz w:val="10"/>
          <w:lang w:val="es-ES_tradnl"/>
        </w:rPr>
      </w:pPr>
    </w:p>
    <w:p w14:paraId="0D208B68" w14:textId="77777777" w:rsidR="000B0927" w:rsidRPr="000B0927" w:rsidRDefault="000B0927" w:rsidP="000B0927">
      <w:pPr>
        <w:pStyle w:val="SingleTxt"/>
        <w:rPr>
          <w:lang w:val="es-ES_tradnl"/>
        </w:rPr>
      </w:pPr>
      <w:r w:rsidRPr="000B0927">
        <w:rPr>
          <w:lang w:val="es-ES_tradnl"/>
        </w:rPr>
        <w:t>El Comité examinará cuestiones relacionadas con el seguimiento de las observaciones finales.</w:t>
      </w:r>
    </w:p>
    <w:p w14:paraId="3490CD47" w14:textId="42433048" w:rsidR="000B0927" w:rsidRPr="000B0927" w:rsidRDefault="000B0927" w:rsidP="000B0927">
      <w:pPr>
        <w:pStyle w:val="SingleTxt"/>
        <w:spacing w:after="0" w:line="120" w:lineRule="exact"/>
        <w:rPr>
          <w:sz w:val="10"/>
          <w:lang w:val="es-ES_tradnl"/>
        </w:rPr>
      </w:pPr>
    </w:p>
    <w:p w14:paraId="321FF4FC" w14:textId="659955E7" w:rsidR="000B0927" w:rsidRPr="000B0927" w:rsidRDefault="000B0927" w:rsidP="000B0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t>6.</w:t>
      </w:r>
      <w:r w:rsidRPr="000B0927">
        <w:rPr>
          <w:lang w:val="es-ES_tradnl"/>
        </w:rPr>
        <w:tab/>
        <w:t>Aplicación de los artículos 21 y 22 de la Convención</w:t>
      </w:r>
    </w:p>
    <w:p w14:paraId="0F06395F" w14:textId="46816AAA" w:rsidR="000B0927" w:rsidRPr="000B0927" w:rsidRDefault="000B0927" w:rsidP="000B0927">
      <w:pPr>
        <w:pStyle w:val="SingleTxt"/>
        <w:spacing w:after="0" w:line="120" w:lineRule="exact"/>
        <w:rPr>
          <w:sz w:val="10"/>
          <w:lang w:val="es-ES_tradnl"/>
        </w:rPr>
      </w:pPr>
    </w:p>
    <w:p w14:paraId="7CD3B279" w14:textId="77777777" w:rsidR="000B0927" w:rsidRPr="000B0927" w:rsidRDefault="000B0927" w:rsidP="000B0927">
      <w:pPr>
        <w:pStyle w:val="SingleTxt"/>
        <w:rPr>
          <w:lang w:val="es-ES_tradnl"/>
        </w:rPr>
      </w:pPr>
      <w:r w:rsidRPr="000B0927">
        <w:rPr>
          <w:lang w:val="es-ES_tradnl"/>
        </w:rPr>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6072B84D" w14:textId="77777777" w:rsidR="000B0927" w:rsidRPr="000B0927" w:rsidRDefault="000B0927" w:rsidP="000B0927">
      <w:pPr>
        <w:pStyle w:val="SingleTxt"/>
        <w:rPr>
          <w:lang w:val="es-ES_tradnl"/>
        </w:rPr>
      </w:pPr>
      <w:r w:rsidRPr="000B0927">
        <w:rPr>
          <w:lang w:val="es-ES_tradnl"/>
        </w:rPr>
        <w:t>El artículo 22 de la Convención dispone que los organismos especializados tendrán derecho a estar representados en el examen de la aplicación de las disposiciones de la Convención que correspondan a la esfera de sus actividades, y el Comité podrá invitarlos a que presenten informes sobre la aplicación de la Convención en esas esferas.</w:t>
      </w:r>
    </w:p>
    <w:p w14:paraId="2C1554FD" w14:textId="26655311" w:rsidR="000B0927" w:rsidRPr="000B0927" w:rsidRDefault="000B0927" w:rsidP="000B0927">
      <w:pPr>
        <w:pStyle w:val="SingleTxt"/>
        <w:spacing w:after="0" w:line="120" w:lineRule="exact"/>
        <w:rPr>
          <w:sz w:val="10"/>
          <w:lang w:val="es-ES_tradnl"/>
        </w:rPr>
      </w:pPr>
    </w:p>
    <w:p w14:paraId="496A40C8" w14:textId="77777777" w:rsidR="000B0927" w:rsidRPr="000B0927" w:rsidRDefault="000B0927" w:rsidP="000B09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r>
      <w:r w:rsidRPr="000B0927">
        <w:rPr>
          <w:lang w:val="es-ES_tradnl"/>
        </w:rPr>
        <w:tab/>
        <w:t>Documentación</w:t>
      </w:r>
    </w:p>
    <w:p w14:paraId="0C440E74" w14:textId="140CE446" w:rsidR="000B0927" w:rsidRPr="000B0927" w:rsidRDefault="000B0927" w:rsidP="000B0927">
      <w:pPr>
        <w:pStyle w:val="SingleTxt"/>
        <w:spacing w:after="0" w:line="120" w:lineRule="exact"/>
        <w:rPr>
          <w:sz w:val="10"/>
          <w:lang w:val="es-ES_tradnl"/>
        </w:rPr>
      </w:pPr>
    </w:p>
    <w:p w14:paraId="29EB2ACB" w14:textId="77777777" w:rsidR="000B0927" w:rsidRPr="000B0927" w:rsidRDefault="000B0927" w:rsidP="000B0927">
      <w:pPr>
        <w:pStyle w:val="SingleTxt"/>
        <w:rPr>
          <w:lang w:val="es-ES_tradnl"/>
        </w:rPr>
      </w:pPr>
      <w:r w:rsidRPr="000B0927">
        <w:rPr>
          <w:lang w:val="es-ES_tradnl"/>
        </w:rPr>
        <w:t>Informes presentados por los organismos especializados del sistema de las Naciones Unidas sobre la aplicación de la Convención en la esfera de sus actividades</w:t>
      </w:r>
    </w:p>
    <w:p w14:paraId="1392C3F2" w14:textId="77777777" w:rsidR="000B0927" w:rsidRPr="000B0927" w:rsidRDefault="000B0927" w:rsidP="000B0927">
      <w:pPr>
        <w:pStyle w:val="SingleTxt"/>
        <w:spacing w:after="0" w:line="120" w:lineRule="exact"/>
        <w:rPr>
          <w:b/>
          <w:bCs/>
          <w:sz w:val="10"/>
          <w:lang w:val="es-ES_tradnl"/>
        </w:rPr>
      </w:pPr>
    </w:p>
    <w:p w14:paraId="3DD57F7E" w14:textId="0073D01E" w:rsidR="000B0927" w:rsidRPr="000B0927" w:rsidRDefault="000B0927" w:rsidP="000B0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t>7.</w:t>
      </w:r>
      <w:r w:rsidRPr="000B0927">
        <w:rPr>
          <w:lang w:val="es-ES_tradnl"/>
        </w:rPr>
        <w:tab/>
        <w:t>Medios de agilizar los trabajos del Comité</w:t>
      </w:r>
    </w:p>
    <w:p w14:paraId="4288E522" w14:textId="7603C106" w:rsidR="000B0927" w:rsidRPr="000B0927" w:rsidRDefault="000B0927" w:rsidP="000B0927">
      <w:pPr>
        <w:pStyle w:val="SingleTxt"/>
        <w:spacing w:after="0" w:line="120" w:lineRule="exact"/>
        <w:rPr>
          <w:sz w:val="10"/>
          <w:lang w:val="es-ES_tradnl"/>
        </w:rPr>
      </w:pPr>
    </w:p>
    <w:p w14:paraId="18CB1375" w14:textId="77777777" w:rsidR="000B0927" w:rsidRPr="000B0927" w:rsidRDefault="000B0927" w:rsidP="000B0927">
      <w:pPr>
        <w:pStyle w:val="SingleTxt"/>
        <w:rPr>
          <w:lang w:val="es-ES_tradnl"/>
        </w:rPr>
      </w:pPr>
      <w:r w:rsidRPr="000B0927">
        <w:rPr>
          <w:lang w:val="es-ES_tradnl"/>
        </w:rPr>
        <w:t>El Comité examinará cuestiones relacionadas con sus métodos de trabajo.</w:t>
      </w:r>
    </w:p>
    <w:p w14:paraId="41B63BA2" w14:textId="69F5A3C1" w:rsidR="000B0927" w:rsidRPr="000B0927" w:rsidRDefault="000B0927" w:rsidP="000B0927">
      <w:pPr>
        <w:pStyle w:val="SingleTxt"/>
        <w:spacing w:after="0" w:line="120" w:lineRule="exact"/>
        <w:rPr>
          <w:sz w:val="10"/>
          <w:lang w:val="es-ES_tradnl"/>
        </w:rPr>
      </w:pPr>
    </w:p>
    <w:p w14:paraId="071A7E50" w14:textId="57A72D98" w:rsidR="000B0927" w:rsidRPr="000B0927" w:rsidRDefault="000B0927" w:rsidP="000B0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t>8.</w:t>
      </w:r>
      <w:r w:rsidRPr="000B0927">
        <w:rPr>
          <w:lang w:val="es-ES_tradnl"/>
        </w:rPr>
        <w:tab/>
        <w:t>Actividades del Comité en relación con el Protocolo Facultativo de la Convención</w:t>
      </w:r>
    </w:p>
    <w:p w14:paraId="1E6C68FB" w14:textId="438CF2CA" w:rsidR="000B0927" w:rsidRPr="000B0927" w:rsidRDefault="000B0927" w:rsidP="000B0927">
      <w:pPr>
        <w:pStyle w:val="SingleTxt"/>
        <w:spacing w:after="0" w:line="120" w:lineRule="exact"/>
        <w:rPr>
          <w:sz w:val="10"/>
          <w:lang w:val="es-ES_tradnl"/>
        </w:rPr>
      </w:pPr>
    </w:p>
    <w:p w14:paraId="40041537" w14:textId="77777777" w:rsidR="000B0927" w:rsidRPr="000B0927" w:rsidRDefault="000B0927" w:rsidP="000B0927">
      <w:pPr>
        <w:pStyle w:val="SingleTxt"/>
        <w:rPr>
          <w:lang w:val="es-ES_tradnl"/>
        </w:rPr>
      </w:pPr>
      <w:r w:rsidRPr="000B0927">
        <w:rPr>
          <w:lang w:val="es-ES_tradnl"/>
        </w:rPr>
        <w:t>El 53</w:t>
      </w:r>
      <w:r w:rsidRPr="000B0927">
        <w:rPr>
          <w:vertAlign w:val="superscript"/>
          <w:lang w:val="es-ES_tradnl"/>
        </w:rPr>
        <w:t xml:space="preserve">er </w:t>
      </w:r>
      <w:r w:rsidRPr="000B0927">
        <w:rPr>
          <w:lang w:val="es-ES_tradnl"/>
        </w:rPr>
        <w:t>período de sesiones del Grupo de Trabajo sobre las Comunicaciones presentadas en virtud del Protocolo Facultativo se celebrará del 8 al 10 de junio de 2022 en Ginebra.</w:t>
      </w:r>
    </w:p>
    <w:p w14:paraId="77AEA303" w14:textId="77777777" w:rsidR="000B0927" w:rsidRPr="000B0927" w:rsidRDefault="000B0927" w:rsidP="000B0927">
      <w:pPr>
        <w:pStyle w:val="SingleTxt"/>
        <w:rPr>
          <w:lang w:val="es-ES_tradnl"/>
        </w:rPr>
      </w:pPr>
      <w:r w:rsidRPr="000B0927">
        <w:rPr>
          <w:lang w:val="es-ES_tradnl"/>
        </w:rPr>
        <w:t>El 22</w:t>
      </w:r>
      <w:r w:rsidRPr="000B0927">
        <w:rPr>
          <w:vertAlign w:val="superscript"/>
          <w:lang w:val="es-ES_tradnl"/>
        </w:rPr>
        <w:t>o</w:t>
      </w:r>
      <w:r w:rsidRPr="000B0927">
        <w:rPr>
          <w:lang w:val="es-ES_tradnl"/>
        </w:rPr>
        <w:t xml:space="preserve"> período de sesiones del Grupo de Trabajo sobre Investigaciones con arreglo al Protocolo Facultativo se celebrará los días 9 y 10 de junio de 2022 en Ginebra.</w:t>
      </w:r>
    </w:p>
    <w:p w14:paraId="01B0A799" w14:textId="77777777" w:rsidR="000B0927" w:rsidRPr="000B0927" w:rsidRDefault="000B0927" w:rsidP="000B0927">
      <w:pPr>
        <w:pStyle w:val="SingleTxt"/>
        <w:rPr>
          <w:lang w:val="es-ES_tradnl"/>
        </w:rPr>
      </w:pPr>
      <w:r w:rsidRPr="000B0927">
        <w:rPr>
          <w:lang w:val="es-ES_tradnl"/>
        </w:rPr>
        <w:t>En su 82</w:t>
      </w:r>
      <w:r w:rsidRPr="000B0927">
        <w:rPr>
          <w:vertAlign w:val="superscript"/>
          <w:lang w:val="es-ES_tradnl"/>
        </w:rPr>
        <w:t>o</w:t>
      </w:r>
      <w:r w:rsidRPr="000B0927">
        <w:rPr>
          <w:lang w:val="es-ES_tradnl"/>
        </w:rPr>
        <w:t xml:space="preserve"> período de sesiones, el Comité continuará cumpliendo su mandato en virtud de los artículos 2 y 8 del Protocolo Facultativo de la Convención.</w:t>
      </w:r>
    </w:p>
    <w:p w14:paraId="711A55A5" w14:textId="07A4D643" w:rsidR="000B0927" w:rsidRPr="000B0927" w:rsidRDefault="000B0927" w:rsidP="000B0927">
      <w:pPr>
        <w:pStyle w:val="SingleTxt"/>
        <w:spacing w:after="0" w:line="120" w:lineRule="exact"/>
        <w:rPr>
          <w:sz w:val="10"/>
          <w:lang w:val="es-ES_tradnl"/>
        </w:rPr>
      </w:pPr>
    </w:p>
    <w:p w14:paraId="1A549C93" w14:textId="327FA4E0" w:rsidR="000B0927" w:rsidRPr="000B0927" w:rsidRDefault="000B0927" w:rsidP="000B0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t>9.</w:t>
      </w:r>
      <w:r w:rsidRPr="000B0927">
        <w:rPr>
          <w:lang w:val="es-ES_tradnl"/>
        </w:rPr>
        <w:tab/>
        <w:t>Programa provisional del 83</w:t>
      </w:r>
      <w:r w:rsidRPr="000B0927">
        <w:rPr>
          <w:vertAlign w:val="superscript"/>
          <w:lang w:val="es-ES_tradnl"/>
        </w:rPr>
        <w:t>er</w:t>
      </w:r>
      <w:r w:rsidRPr="000B0927">
        <w:rPr>
          <w:lang w:val="es-ES_tradnl"/>
        </w:rPr>
        <w:t xml:space="preserve"> período de sesiones del Comité</w:t>
      </w:r>
    </w:p>
    <w:p w14:paraId="3B0760BC" w14:textId="65E4F5C5" w:rsidR="000B0927" w:rsidRPr="000B0927" w:rsidRDefault="000B0927" w:rsidP="000B0927">
      <w:pPr>
        <w:pStyle w:val="SingleTxt"/>
        <w:spacing w:after="0" w:line="120" w:lineRule="exact"/>
        <w:rPr>
          <w:sz w:val="10"/>
          <w:lang w:val="es-ES_tradnl"/>
        </w:rPr>
      </w:pPr>
    </w:p>
    <w:p w14:paraId="2516E204" w14:textId="77777777" w:rsidR="000B0927" w:rsidRPr="000B0927" w:rsidRDefault="000B0927" w:rsidP="000B09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r>
      <w:r w:rsidRPr="000B0927">
        <w:rPr>
          <w:lang w:val="es-ES_tradnl"/>
        </w:rPr>
        <w:tab/>
        <w:t>Documentación</w:t>
      </w:r>
    </w:p>
    <w:p w14:paraId="79E9857F" w14:textId="14335EA0" w:rsidR="000B0927" w:rsidRPr="000B0927" w:rsidRDefault="000B0927" w:rsidP="000B0927">
      <w:pPr>
        <w:pStyle w:val="SingleTxt"/>
        <w:spacing w:after="0" w:line="120" w:lineRule="exact"/>
        <w:rPr>
          <w:sz w:val="10"/>
          <w:lang w:val="es-ES_tradnl"/>
        </w:rPr>
      </w:pPr>
    </w:p>
    <w:p w14:paraId="0EB3555F" w14:textId="53CD5F2B" w:rsidR="000B0927" w:rsidRPr="000B0927" w:rsidRDefault="000B0927" w:rsidP="000B0927">
      <w:pPr>
        <w:pStyle w:val="SingleTxt"/>
        <w:rPr>
          <w:lang w:val="es-ES_tradnl"/>
        </w:rPr>
      </w:pPr>
      <w:r w:rsidRPr="000B0927">
        <w:rPr>
          <w:lang w:val="es-ES_tradnl"/>
        </w:rPr>
        <w:t>Programa provisional anotado del 83</w:t>
      </w:r>
      <w:r w:rsidRPr="000B0927">
        <w:rPr>
          <w:vertAlign w:val="superscript"/>
          <w:lang w:val="es-ES_tradnl"/>
        </w:rPr>
        <w:t>er</w:t>
      </w:r>
      <w:r w:rsidRPr="000B0927">
        <w:rPr>
          <w:lang w:val="es-ES_tradnl"/>
        </w:rPr>
        <w:t xml:space="preserve"> período de sesiones (</w:t>
      </w:r>
      <w:hyperlink r:id="rId41" w:history="1">
        <w:r w:rsidRPr="000B0927">
          <w:rPr>
            <w:rStyle w:val="Hyperlink"/>
            <w:lang w:val="es-ES_tradnl"/>
          </w:rPr>
          <w:t>CEDAW/C/83/1</w:t>
        </w:r>
      </w:hyperlink>
      <w:r w:rsidRPr="000B0927">
        <w:rPr>
          <w:lang w:val="es-ES_tradnl"/>
        </w:rPr>
        <w:t>)</w:t>
      </w:r>
    </w:p>
    <w:p w14:paraId="10DED749" w14:textId="5421A9A4" w:rsidR="000B0927" w:rsidRPr="000B0927" w:rsidRDefault="000B0927" w:rsidP="000B0927">
      <w:pPr>
        <w:pStyle w:val="SingleTxt"/>
        <w:spacing w:after="0" w:line="120" w:lineRule="exact"/>
        <w:rPr>
          <w:sz w:val="10"/>
          <w:lang w:val="es-ES_tradnl"/>
        </w:rPr>
      </w:pPr>
    </w:p>
    <w:p w14:paraId="4FF5C0B8" w14:textId="2AF544E8" w:rsidR="000B0927" w:rsidRPr="000B0927" w:rsidRDefault="000B0927" w:rsidP="000B0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927">
        <w:rPr>
          <w:lang w:val="es-ES_tradnl"/>
        </w:rPr>
        <w:tab/>
        <w:t>10.</w:t>
      </w:r>
      <w:r w:rsidRPr="000B0927">
        <w:rPr>
          <w:lang w:val="es-ES_tradnl"/>
        </w:rPr>
        <w:tab/>
        <w:t>Aprobación del informe de la Comisión sobre su 82º período de sesiones</w:t>
      </w:r>
    </w:p>
    <w:p w14:paraId="16825048" w14:textId="1E614C5A" w:rsidR="0011607A" w:rsidRPr="000B0927" w:rsidRDefault="0011607A" w:rsidP="000B0927">
      <w:pPr>
        <w:pStyle w:val="SingleTxt"/>
        <w:spacing w:after="0" w:line="120" w:lineRule="exact"/>
        <w:rPr>
          <w:sz w:val="10"/>
          <w:lang w:val="es-ES_tradnl"/>
        </w:rPr>
      </w:pPr>
    </w:p>
    <w:p w14:paraId="15BAEAE5" w14:textId="1BD4EE98" w:rsidR="000B0927" w:rsidRPr="000B0927" w:rsidRDefault="000B0927" w:rsidP="000B0927">
      <w:pPr>
        <w:pStyle w:val="SingleTxt"/>
        <w:rPr>
          <w:lang w:val="es-ES_tradnl"/>
        </w:rPr>
      </w:pPr>
      <w:r w:rsidRPr="000B0927">
        <w:rPr>
          <w:noProof/>
          <w:w w:val="100"/>
          <w:lang w:val="es-ES_tradnl"/>
        </w:rPr>
        <mc:AlternateContent>
          <mc:Choice Requires="wps">
            <w:drawing>
              <wp:anchor distT="0" distB="0" distL="114300" distR="114300" simplePos="0" relativeHeight="251660288" behindDoc="0" locked="0" layoutInCell="1" allowOverlap="1" wp14:anchorId="52D20B98" wp14:editId="0C6B596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5B42E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B0927" w:rsidRPr="000B0927" w:rsidSect="000B092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22T12:06:00Z" w:initials="Start">
    <w:p w14:paraId="3B8AEEE2" w14:textId="77777777" w:rsidR="0011607A" w:rsidRPr="000B0927" w:rsidRDefault="0011607A">
      <w:pPr>
        <w:pStyle w:val="CommentText"/>
        <w:rPr>
          <w:lang w:val="en-US"/>
        </w:rPr>
      </w:pPr>
      <w:r>
        <w:rPr>
          <w:rStyle w:val="CommentReference"/>
        </w:rPr>
        <w:annotationRef/>
      </w:r>
      <w:r w:rsidRPr="000B0927">
        <w:rPr>
          <w:lang w:val="en-US"/>
        </w:rPr>
        <w:t>&lt;&lt;ODS JOB NO&gt;&gt;N2231739S&lt;&lt;ODS JOB NO&gt;&gt;</w:t>
      </w:r>
    </w:p>
    <w:p w14:paraId="5BFB1BE2" w14:textId="77777777" w:rsidR="0011607A" w:rsidRPr="000B0927" w:rsidRDefault="0011607A">
      <w:pPr>
        <w:pStyle w:val="CommentText"/>
        <w:rPr>
          <w:lang w:val="en-US"/>
        </w:rPr>
      </w:pPr>
      <w:r w:rsidRPr="000B0927">
        <w:rPr>
          <w:lang w:val="en-US"/>
        </w:rPr>
        <w:t>&lt;&lt;ODS DOC SYMBOL1&gt;&gt;CEDAW/C/82/1&lt;&lt;ODS DOC SYMBOL1&gt;&gt;</w:t>
      </w:r>
    </w:p>
    <w:p w14:paraId="4B698764" w14:textId="77777777" w:rsidR="0011607A" w:rsidRPr="000B0927" w:rsidRDefault="0011607A">
      <w:pPr>
        <w:pStyle w:val="CommentText"/>
        <w:rPr>
          <w:lang w:val="en-US"/>
        </w:rPr>
      </w:pPr>
      <w:r w:rsidRPr="000B0927">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69876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D18E3" w16cex:dateUtc="2022-04-22T16: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698764" w16cid:durableId="260D18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6803F" w14:textId="77777777" w:rsidR="00525BCC" w:rsidRDefault="00525BCC" w:rsidP="00101B18">
      <w:r>
        <w:separator/>
      </w:r>
    </w:p>
  </w:endnote>
  <w:endnote w:type="continuationSeparator" w:id="0">
    <w:p w14:paraId="0480DE5E" w14:textId="77777777" w:rsidR="00525BCC" w:rsidRDefault="00525BC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1607A" w14:paraId="45C8790F" w14:textId="77777777" w:rsidTr="0011607A">
      <w:tc>
        <w:tcPr>
          <w:tcW w:w="4920" w:type="dxa"/>
          <w:shd w:val="clear" w:color="auto" w:fill="auto"/>
          <w:vAlign w:val="bottom"/>
        </w:tcPr>
        <w:p w14:paraId="210B99D5" w14:textId="77777777" w:rsidR="0011607A" w:rsidRPr="0011607A" w:rsidRDefault="0011607A" w:rsidP="0011607A">
          <w:pPr>
            <w:pStyle w:val="Footer"/>
            <w:rPr>
              <w:color w:val="000000"/>
            </w:rPr>
          </w:pPr>
          <w:r>
            <w:fldChar w:fldCharType="begin"/>
          </w:r>
          <w:r>
            <w:instrText xml:space="preserve"> PAGE  \* Arabic  \* MERGEFORMAT </w:instrText>
          </w:r>
          <w:r>
            <w:fldChar w:fldCharType="separate"/>
          </w:r>
          <w:r>
            <w:t>3</w:t>
          </w:r>
          <w:r>
            <w:fldChar w:fldCharType="end"/>
          </w:r>
          <w:r>
            <w:t>/</w:t>
          </w:r>
          <w:r w:rsidR="0049314F">
            <w:fldChar w:fldCharType="begin"/>
          </w:r>
          <w:r w:rsidR="0049314F">
            <w:instrText xml:space="preserve"> NUMPAGES  \* Arabic  \* MERGEFORMAT </w:instrText>
          </w:r>
          <w:r w:rsidR="0049314F">
            <w:fldChar w:fldCharType="separate"/>
          </w:r>
          <w:r>
            <w:t>4</w:t>
          </w:r>
          <w:r w:rsidR="0049314F">
            <w:fldChar w:fldCharType="end"/>
          </w:r>
        </w:p>
      </w:tc>
      <w:tc>
        <w:tcPr>
          <w:tcW w:w="4920" w:type="dxa"/>
          <w:shd w:val="clear" w:color="auto" w:fill="auto"/>
          <w:vAlign w:val="bottom"/>
        </w:tcPr>
        <w:p w14:paraId="55194713" w14:textId="75A2B499" w:rsidR="0011607A" w:rsidRPr="0011607A" w:rsidRDefault="0011607A" w:rsidP="0011607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9314F">
            <w:rPr>
              <w:b w:val="0"/>
              <w:color w:val="000000"/>
              <w:sz w:val="14"/>
            </w:rPr>
            <w:t>22-05532</w:t>
          </w:r>
          <w:r>
            <w:rPr>
              <w:b w:val="0"/>
              <w:color w:val="000000"/>
              <w:sz w:val="14"/>
            </w:rPr>
            <w:fldChar w:fldCharType="end"/>
          </w:r>
        </w:p>
      </w:tc>
    </w:tr>
  </w:tbl>
  <w:p w14:paraId="36D90BD1" w14:textId="77777777" w:rsidR="0011607A" w:rsidRPr="0011607A" w:rsidRDefault="0011607A" w:rsidP="001160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1607A" w14:paraId="3FCCFBEF" w14:textId="77777777" w:rsidTr="0011607A">
      <w:tc>
        <w:tcPr>
          <w:tcW w:w="4920" w:type="dxa"/>
          <w:shd w:val="clear" w:color="auto" w:fill="auto"/>
          <w:vAlign w:val="bottom"/>
        </w:tcPr>
        <w:p w14:paraId="09EFC096" w14:textId="14E3D3F1" w:rsidR="0011607A" w:rsidRPr="0011607A" w:rsidRDefault="0011607A" w:rsidP="0011607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9314F">
            <w:rPr>
              <w:b w:val="0"/>
              <w:color w:val="000000"/>
              <w:sz w:val="14"/>
            </w:rPr>
            <w:t>22-05532</w:t>
          </w:r>
          <w:r>
            <w:rPr>
              <w:b w:val="0"/>
              <w:color w:val="000000"/>
              <w:sz w:val="14"/>
            </w:rPr>
            <w:fldChar w:fldCharType="end"/>
          </w:r>
        </w:p>
      </w:tc>
      <w:tc>
        <w:tcPr>
          <w:tcW w:w="4920" w:type="dxa"/>
          <w:shd w:val="clear" w:color="auto" w:fill="auto"/>
          <w:vAlign w:val="bottom"/>
        </w:tcPr>
        <w:p w14:paraId="4DBBFC5B" w14:textId="77777777" w:rsidR="0011607A" w:rsidRPr="0011607A" w:rsidRDefault="0011607A" w:rsidP="0011607A">
          <w:pPr>
            <w:pStyle w:val="Footer"/>
            <w:jc w:val="right"/>
          </w:pPr>
          <w:r>
            <w:fldChar w:fldCharType="begin"/>
          </w:r>
          <w:r>
            <w:instrText xml:space="preserve"> PAGE  \* Arabic  \* MERGEFORMAT </w:instrText>
          </w:r>
          <w:r>
            <w:fldChar w:fldCharType="separate"/>
          </w:r>
          <w:r>
            <w:t>2</w:t>
          </w:r>
          <w:r>
            <w:fldChar w:fldCharType="end"/>
          </w:r>
          <w:r>
            <w:t>/</w:t>
          </w:r>
          <w:r w:rsidR="0049314F">
            <w:fldChar w:fldCharType="begin"/>
          </w:r>
          <w:r w:rsidR="0049314F">
            <w:instrText xml:space="preserve"> NUMPAGES  \* Arabic  \* MERGEFORMAT </w:instrText>
          </w:r>
          <w:r w:rsidR="0049314F">
            <w:fldChar w:fldCharType="separate"/>
          </w:r>
          <w:r>
            <w:t>4</w:t>
          </w:r>
          <w:r w:rsidR="0049314F">
            <w:fldChar w:fldCharType="end"/>
          </w:r>
        </w:p>
      </w:tc>
    </w:tr>
  </w:tbl>
  <w:p w14:paraId="35E9E79A" w14:textId="77777777" w:rsidR="0011607A" w:rsidRPr="0011607A" w:rsidRDefault="0011607A" w:rsidP="001160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1EA65" w14:textId="77777777" w:rsidR="0011607A" w:rsidRPr="0011607A" w:rsidRDefault="0011607A" w:rsidP="0011607A">
    <w:pPr>
      <w:pStyle w:val="Footer"/>
      <w:spacing w:line="120" w:lineRule="exact"/>
      <w:rPr>
        <w:b w:val="0"/>
        <w:sz w:val="10"/>
      </w:rPr>
    </w:pPr>
    <w:r>
      <w:rPr>
        <w:b w:val="0"/>
        <w:sz w:val="10"/>
      </w:rPr>
      <w:drawing>
        <wp:anchor distT="0" distB="0" distL="114300" distR="114300" simplePos="0" relativeHeight="251658240" behindDoc="0" locked="0" layoutInCell="1" allowOverlap="1" wp14:anchorId="23DBB897" wp14:editId="3F45303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1607A" w14:paraId="077F1BE9" w14:textId="77777777" w:rsidTr="0011607A">
      <w:tc>
        <w:tcPr>
          <w:tcW w:w="3830" w:type="dxa"/>
          <w:shd w:val="clear" w:color="auto" w:fill="auto"/>
        </w:tcPr>
        <w:p w14:paraId="0E89EF9F" w14:textId="07A403F3" w:rsidR="0011607A" w:rsidRDefault="0011607A" w:rsidP="0011607A">
          <w:pPr>
            <w:pStyle w:val="ReleaseDate0"/>
          </w:pPr>
          <w:r>
            <w:t xml:space="preserve">22-05532 (S)    </w:t>
          </w:r>
          <w:r w:rsidR="000B0927">
            <w:t>18</w:t>
          </w:r>
          <w:r>
            <w:t>0422    220422</w:t>
          </w:r>
        </w:p>
        <w:p w14:paraId="5CBA72D0" w14:textId="77777777" w:rsidR="0011607A" w:rsidRPr="0011607A" w:rsidRDefault="0011607A" w:rsidP="0011607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*2205532*</w:t>
          </w:r>
        </w:p>
      </w:tc>
      <w:tc>
        <w:tcPr>
          <w:tcW w:w="4920" w:type="dxa"/>
          <w:shd w:val="clear" w:color="auto" w:fill="auto"/>
        </w:tcPr>
        <w:p w14:paraId="77D37D69" w14:textId="77777777" w:rsidR="0011607A" w:rsidRDefault="0011607A" w:rsidP="0011607A">
          <w:pPr>
            <w:pStyle w:val="Footer"/>
            <w:jc w:val="right"/>
            <w:rPr>
              <w:b w:val="0"/>
              <w:sz w:val="20"/>
            </w:rPr>
          </w:pPr>
          <w:r>
            <w:rPr>
              <w:b w:val="0"/>
              <w:sz w:val="20"/>
            </w:rPr>
            <w:drawing>
              <wp:inline distT="0" distB="0" distL="0" distR="0" wp14:anchorId="5C5803D3" wp14:editId="37979EE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25E6960" w14:textId="77777777" w:rsidR="0011607A" w:rsidRPr="0011607A" w:rsidRDefault="0011607A" w:rsidP="0011607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A8878" w14:textId="77777777" w:rsidR="00525BCC" w:rsidRDefault="00525BCC" w:rsidP="00101B18">
      <w:r>
        <w:separator/>
      </w:r>
    </w:p>
  </w:footnote>
  <w:footnote w:type="continuationSeparator" w:id="0">
    <w:p w14:paraId="19AF2F50" w14:textId="77777777" w:rsidR="00525BCC" w:rsidRDefault="00525BCC"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1607A" w14:paraId="226B3861" w14:textId="77777777" w:rsidTr="0011607A">
      <w:trPr>
        <w:trHeight w:hRule="exact" w:val="864"/>
      </w:trPr>
      <w:tc>
        <w:tcPr>
          <w:tcW w:w="4920" w:type="dxa"/>
          <w:shd w:val="clear" w:color="auto" w:fill="auto"/>
          <w:vAlign w:val="bottom"/>
        </w:tcPr>
        <w:p w14:paraId="3D7ADCE7" w14:textId="59F8C91A" w:rsidR="0011607A" w:rsidRPr="0011607A" w:rsidRDefault="0011607A" w:rsidP="0011607A">
          <w:pPr>
            <w:pStyle w:val="Header"/>
            <w:spacing w:after="80"/>
            <w:rPr>
              <w:b/>
            </w:rPr>
          </w:pPr>
          <w:r>
            <w:rPr>
              <w:b/>
            </w:rPr>
            <w:fldChar w:fldCharType="begin"/>
          </w:r>
          <w:r>
            <w:rPr>
              <w:b/>
            </w:rPr>
            <w:instrText xml:space="preserve"> DOCVARIABLE "sss1" \* MERGEFORMAT </w:instrText>
          </w:r>
          <w:r>
            <w:rPr>
              <w:b/>
            </w:rPr>
            <w:fldChar w:fldCharType="separate"/>
          </w:r>
          <w:r w:rsidR="0049314F">
            <w:rPr>
              <w:b/>
            </w:rPr>
            <w:t>CEDAW/C/82/1</w:t>
          </w:r>
          <w:r>
            <w:rPr>
              <w:b/>
            </w:rPr>
            <w:fldChar w:fldCharType="end"/>
          </w:r>
        </w:p>
      </w:tc>
      <w:tc>
        <w:tcPr>
          <w:tcW w:w="4920" w:type="dxa"/>
          <w:shd w:val="clear" w:color="auto" w:fill="auto"/>
          <w:vAlign w:val="bottom"/>
        </w:tcPr>
        <w:p w14:paraId="2D7952D3" w14:textId="77777777" w:rsidR="0011607A" w:rsidRDefault="0011607A" w:rsidP="0011607A">
          <w:pPr>
            <w:pStyle w:val="Header"/>
          </w:pPr>
        </w:p>
      </w:tc>
    </w:tr>
  </w:tbl>
  <w:p w14:paraId="065E9EE8" w14:textId="77777777" w:rsidR="0011607A" w:rsidRPr="0011607A" w:rsidRDefault="0011607A" w:rsidP="001160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1607A" w14:paraId="0136A329" w14:textId="77777777" w:rsidTr="0011607A">
      <w:trPr>
        <w:trHeight w:hRule="exact" w:val="864"/>
      </w:trPr>
      <w:tc>
        <w:tcPr>
          <w:tcW w:w="4920" w:type="dxa"/>
          <w:shd w:val="clear" w:color="auto" w:fill="auto"/>
          <w:vAlign w:val="bottom"/>
        </w:tcPr>
        <w:p w14:paraId="46D3ACB0" w14:textId="77777777" w:rsidR="0011607A" w:rsidRDefault="0011607A" w:rsidP="0011607A">
          <w:pPr>
            <w:pStyle w:val="Header"/>
          </w:pPr>
        </w:p>
      </w:tc>
      <w:tc>
        <w:tcPr>
          <w:tcW w:w="4920" w:type="dxa"/>
          <w:shd w:val="clear" w:color="auto" w:fill="auto"/>
          <w:vAlign w:val="bottom"/>
        </w:tcPr>
        <w:p w14:paraId="4194B6D3" w14:textId="35C8E49B" w:rsidR="0011607A" w:rsidRPr="0011607A" w:rsidRDefault="0011607A" w:rsidP="0011607A">
          <w:pPr>
            <w:pStyle w:val="Header"/>
            <w:spacing w:after="80"/>
            <w:jc w:val="right"/>
            <w:rPr>
              <w:b/>
            </w:rPr>
          </w:pPr>
          <w:r>
            <w:rPr>
              <w:b/>
            </w:rPr>
            <w:fldChar w:fldCharType="begin"/>
          </w:r>
          <w:r>
            <w:rPr>
              <w:b/>
            </w:rPr>
            <w:instrText xml:space="preserve"> DOCVARIABLE "sss1" \* MERGEFORMAT </w:instrText>
          </w:r>
          <w:r>
            <w:rPr>
              <w:b/>
            </w:rPr>
            <w:fldChar w:fldCharType="separate"/>
          </w:r>
          <w:r w:rsidR="0049314F">
            <w:rPr>
              <w:b/>
            </w:rPr>
            <w:t>CEDAW/C/82/1</w:t>
          </w:r>
          <w:r>
            <w:rPr>
              <w:b/>
            </w:rPr>
            <w:fldChar w:fldCharType="end"/>
          </w:r>
        </w:p>
      </w:tc>
    </w:tr>
  </w:tbl>
  <w:p w14:paraId="281DFB97" w14:textId="77777777" w:rsidR="0011607A" w:rsidRPr="0011607A" w:rsidRDefault="0011607A" w:rsidP="001160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1607A" w14:paraId="6AE90693" w14:textId="77777777" w:rsidTr="0011607A">
      <w:trPr>
        <w:gridAfter w:val="1"/>
        <w:wAfter w:w="15" w:type="dxa"/>
        <w:trHeight w:hRule="exact" w:val="864"/>
      </w:trPr>
      <w:tc>
        <w:tcPr>
          <w:tcW w:w="1267" w:type="dxa"/>
          <w:tcBorders>
            <w:bottom w:val="single" w:sz="4" w:space="0" w:color="auto"/>
          </w:tcBorders>
          <w:shd w:val="clear" w:color="auto" w:fill="auto"/>
          <w:vAlign w:val="bottom"/>
        </w:tcPr>
        <w:p w14:paraId="2721E504" w14:textId="77777777" w:rsidR="0011607A" w:rsidRDefault="0011607A" w:rsidP="0011607A">
          <w:pPr>
            <w:pStyle w:val="Header"/>
            <w:spacing w:after="120"/>
          </w:pPr>
        </w:p>
      </w:tc>
      <w:tc>
        <w:tcPr>
          <w:tcW w:w="2059" w:type="dxa"/>
          <w:tcBorders>
            <w:bottom w:val="single" w:sz="4" w:space="0" w:color="auto"/>
          </w:tcBorders>
          <w:shd w:val="clear" w:color="auto" w:fill="auto"/>
          <w:vAlign w:val="bottom"/>
        </w:tcPr>
        <w:p w14:paraId="5A5B91A2" w14:textId="77777777" w:rsidR="0011607A" w:rsidRPr="0011607A" w:rsidRDefault="0011607A" w:rsidP="0011607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5EEE320" w14:textId="77777777" w:rsidR="0011607A" w:rsidRDefault="0011607A" w:rsidP="0011607A">
          <w:pPr>
            <w:pStyle w:val="Header"/>
            <w:spacing w:after="120"/>
          </w:pPr>
        </w:p>
      </w:tc>
      <w:tc>
        <w:tcPr>
          <w:tcW w:w="6480" w:type="dxa"/>
          <w:gridSpan w:val="3"/>
          <w:tcBorders>
            <w:bottom w:val="single" w:sz="4" w:space="0" w:color="auto"/>
          </w:tcBorders>
          <w:shd w:val="clear" w:color="auto" w:fill="auto"/>
          <w:vAlign w:val="bottom"/>
        </w:tcPr>
        <w:p w14:paraId="388BEBFC" w14:textId="77777777" w:rsidR="0011607A" w:rsidRPr="0011607A" w:rsidRDefault="0011607A" w:rsidP="0011607A">
          <w:pPr>
            <w:spacing w:after="80" w:line="240" w:lineRule="auto"/>
            <w:jc w:val="right"/>
            <w:rPr>
              <w:position w:val="-4"/>
            </w:rPr>
          </w:pPr>
          <w:r>
            <w:rPr>
              <w:position w:val="-4"/>
              <w:sz w:val="40"/>
            </w:rPr>
            <w:t>CEDAW</w:t>
          </w:r>
          <w:r>
            <w:rPr>
              <w:position w:val="-4"/>
            </w:rPr>
            <w:t>/C/82/1</w:t>
          </w:r>
        </w:p>
      </w:tc>
    </w:tr>
    <w:tr w:rsidR="0011607A" w:rsidRPr="0011607A" w14:paraId="08215386" w14:textId="77777777" w:rsidTr="0011607A">
      <w:trPr>
        <w:trHeight w:hRule="exact" w:val="2880"/>
      </w:trPr>
      <w:tc>
        <w:tcPr>
          <w:tcW w:w="1267" w:type="dxa"/>
          <w:tcBorders>
            <w:top w:val="single" w:sz="4" w:space="0" w:color="auto"/>
            <w:bottom w:val="single" w:sz="12" w:space="0" w:color="auto"/>
          </w:tcBorders>
          <w:shd w:val="clear" w:color="auto" w:fill="auto"/>
        </w:tcPr>
        <w:p w14:paraId="08AE220D" w14:textId="77777777" w:rsidR="0011607A" w:rsidRPr="0011607A" w:rsidRDefault="0011607A" w:rsidP="0011607A">
          <w:pPr>
            <w:pStyle w:val="Header"/>
            <w:spacing w:before="120"/>
            <w:jc w:val="center"/>
          </w:pPr>
          <w:r>
            <w:t xml:space="preserve"> </w:t>
          </w:r>
          <w:r>
            <w:drawing>
              <wp:inline distT="0" distB="0" distL="0" distR="0" wp14:anchorId="20AAD3A1" wp14:editId="5485961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5D0EE3" w14:textId="77777777" w:rsidR="0011607A" w:rsidRPr="0011607A" w:rsidRDefault="0011607A" w:rsidP="0011607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C10DCDA" w14:textId="77777777" w:rsidR="0011607A" w:rsidRPr="000B0927" w:rsidRDefault="0011607A" w:rsidP="0011607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DF56E7D" w14:textId="77777777" w:rsidR="0011607A" w:rsidRDefault="0011607A" w:rsidP="0011607A">
          <w:pPr>
            <w:pStyle w:val="Distribution"/>
            <w:spacing w:before="240"/>
          </w:pPr>
          <w:r>
            <w:t>Distr. general</w:t>
          </w:r>
        </w:p>
        <w:p w14:paraId="1B9C7C57" w14:textId="77777777" w:rsidR="0011607A" w:rsidRDefault="0011607A" w:rsidP="0011607A">
          <w:pPr>
            <w:pStyle w:val="Publication"/>
          </w:pPr>
          <w:r>
            <w:t>14 de abril de 2022</w:t>
          </w:r>
        </w:p>
        <w:p w14:paraId="5D5AE1A8" w14:textId="77777777" w:rsidR="0011607A" w:rsidRDefault="0011607A" w:rsidP="0011607A">
          <w:r>
            <w:t>Español</w:t>
          </w:r>
        </w:p>
        <w:p w14:paraId="53D37930" w14:textId="77777777" w:rsidR="00F546C2" w:rsidRDefault="0011607A" w:rsidP="0011607A">
          <w:pPr>
            <w:pStyle w:val="Original"/>
          </w:pPr>
          <w:r>
            <w:t xml:space="preserve">Original: </w:t>
          </w:r>
          <w:r w:rsidR="00F546C2">
            <w:t>inglés</w:t>
          </w:r>
        </w:p>
        <w:p w14:paraId="028FD1E3" w14:textId="399F1266" w:rsidR="0011607A" w:rsidRDefault="00F546C2" w:rsidP="0011607A">
          <w:pPr>
            <w:pStyle w:val="Original"/>
          </w:pPr>
          <w:r>
            <w:t>E</w:t>
          </w:r>
          <w:r w:rsidR="0011607A">
            <w:t>spañol</w:t>
          </w:r>
          <w:r>
            <w:t xml:space="preserve">, </w:t>
          </w:r>
          <w:r w:rsidR="0011607A">
            <w:t>francés</w:t>
          </w:r>
          <w:r>
            <w:t xml:space="preserve"> e </w:t>
          </w:r>
          <w:r w:rsidR="0011607A">
            <w:t>inglés</w:t>
          </w:r>
        </w:p>
        <w:p w14:paraId="26919EA9" w14:textId="3BA8D4CC" w:rsidR="00F546C2" w:rsidRPr="00F546C2" w:rsidRDefault="00F546C2" w:rsidP="00F546C2">
          <w:r>
            <w:t>únicamente</w:t>
          </w:r>
        </w:p>
        <w:p w14:paraId="62739B7F" w14:textId="77777777" w:rsidR="0011607A" w:rsidRPr="0011607A" w:rsidRDefault="0011607A" w:rsidP="0011607A"/>
      </w:tc>
    </w:tr>
  </w:tbl>
  <w:p w14:paraId="018DF3E1" w14:textId="77777777" w:rsidR="0011607A" w:rsidRPr="00F546C2" w:rsidRDefault="0011607A" w:rsidP="0011607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117024198">
    <w:abstractNumId w:val="4"/>
  </w:num>
  <w:num w:numId="2" w16cid:durableId="1106002527">
    <w:abstractNumId w:val="0"/>
  </w:num>
  <w:num w:numId="3" w16cid:durableId="975986632">
    <w:abstractNumId w:val="3"/>
  </w:num>
  <w:num w:numId="4" w16cid:durableId="890120529">
    <w:abstractNumId w:val="2"/>
  </w:num>
  <w:num w:numId="5" w16cid:durableId="12820740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defaultTabStop w:val="475"/>
  <w:autoHyphenation/>
  <w:hyphenationZone w:val="425"/>
  <w:doNotHyphenateCaps/>
  <w:evenAndOddHeaders/>
  <w:characterSpacingControl w:val="doNotCompress"/>
  <w:savePreviewPicture/>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probación del programa y organización de los trabajos_x000d_"/>
    <w:docVar w:name="Agenda1" w:val="Tema 2 del programa provisional_x000d_"/>
    <w:docVar w:name="Barcode" w:val="*2205532*"/>
    <w:docVar w:name="CreationDt" w:val="4/22/2022 12:06 PM"/>
    <w:docVar w:name="DocCategory" w:val="Doc"/>
    <w:docVar w:name="DocType" w:val="Final"/>
    <w:docVar w:name="DutyStation" w:val="New York"/>
    <w:docVar w:name="FooterJN" w:val="22-05532"/>
    <w:docVar w:name="jobn" w:val="22-05532 (S)"/>
    <w:docVar w:name="jobnDT" w:val="22-05532 (S)   220422"/>
    <w:docVar w:name="jobnDTDT" w:val="22-05532 (S)   220422   220422"/>
    <w:docVar w:name="JobNo" w:val="2205532S"/>
    <w:docVar w:name="JobNo2" w:val="223173912:06 PM"/>
    <w:docVar w:name="LocalDrive" w:val="-1"/>
    <w:docVar w:name="OandT" w:val="yb/Bernardo"/>
    <w:docVar w:name="Session1" w:val="82º período de sesiones_x000d_"/>
    <w:docVar w:name="sss1" w:val="CEDAW/C/82/1"/>
    <w:docVar w:name="sss2" w:val="-"/>
    <w:docVar w:name="Symbol1" w:val="CEDAW/C/82/1"/>
    <w:docVar w:name="Symbol2" w:val="-"/>
    <w:docVar w:name="Title1" w:val="_x0009__x0009_Programa provisional anotado*_x000d_"/>
    <w:docVar w:name="Title2" w:val="_x0009__x0009_Programa provisional_x000d_"/>
  </w:docVars>
  <w:rsids>
    <w:rsidRoot w:val="00490DA5"/>
    <w:rsid w:val="00002584"/>
    <w:rsid w:val="0006491F"/>
    <w:rsid w:val="00067B89"/>
    <w:rsid w:val="00071D43"/>
    <w:rsid w:val="00082144"/>
    <w:rsid w:val="000A6213"/>
    <w:rsid w:val="000B0927"/>
    <w:rsid w:val="000F1F99"/>
    <w:rsid w:val="00101B18"/>
    <w:rsid w:val="0011607A"/>
    <w:rsid w:val="00117EA0"/>
    <w:rsid w:val="00122A56"/>
    <w:rsid w:val="00134FEE"/>
    <w:rsid w:val="00146C6A"/>
    <w:rsid w:val="00147570"/>
    <w:rsid w:val="00151388"/>
    <w:rsid w:val="00165550"/>
    <w:rsid w:val="00166A0D"/>
    <w:rsid w:val="001D5969"/>
    <w:rsid w:val="001E4B50"/>
    <w:rsid w:val="00241B93"/>
    <w:rsid w:val="002478A0"/>
    <w:rsid w:val="00260494"/>
    <w:rsid w:val="002A5E20"/>
    <w:rsid w:val="002D1584"/>
    <w:rsid w:val="00304428"/>
    <w:rsid w:val="00356DCA"/>
    <w:rsid w:val="00366D21"/>
    <w:rsid w:val="0039127C"/>
    <w:rsid w:val="003A675A"/>
    <w:rsid w:val="003B24AA"/>
    <w:rsid w:val="003D096D"/>
    <w:rsid w:val="003F61E1"/>
    <w:rsid w:val="00415E1D"/>
    <w:rsid w:val="00431E47"/>
    <w:rsid w:val="00440C93"/>
    <w:rsid w:val="00455342"/>
    <w:rsid w:val="00480B84"/>
    <w:rsid w:val="00490DA5"/>
    <w:rsid w:val="0049314F"/>
    <w:rsid w:val="004B64F9"/>
    <w:rsid w:val="004C1A25"/>
    <w:rsid w:val="00515991"/>
    <w:rsid w:val="005225EC"/>
    <w:rsid w:val="00525097"/>
    <w:rsid w:val="00525BCC"/>
    <w:rsid w:val="005509B6"/>
    <w:rsid w:val="005F1F5F"/>
    <w:rsid w:val="00622288"/>
    <w:rsid w:val="00632C10"/>
    <w:rsid w:val="00657C5A"/>
    <w:rsid w:val="00690698"/>
    <w:rsid w:val="006E4A4B"/>
    <w:rsid w:val="00703106"/>
    <w:rsid w:val="007459AE"/>
    <w:rsid w:val="007526FF"/>
    <w:rsid w:val="007531A5"/>
    <w:rsid w:val="00753D8A"/>
    <w:rsid w:val="00771C9E"/>
    <w:rsid w:val="00783685"/>
    <w:rsid w:val="00807B29"/>
    <w:rsid w:val="0082045E"/>
    <w:rsid w:val="008222A3"/>
    <w:rsid w:val="00840664"/>
    <w:rsid w:val="008B3FC7"/>
    <w:rsid w:val="008F212E"/>
    <w:rsid w:val="008F3462"/>
    <w:rsid w:val="00935932"/>
    <w:rsid w:val="009559A6"/>
    <w:rsid w:val="00993CB7"/>
    <w:rsid w:val="009D0EE3"/>
    <w:rsid w:val="00A1038C"/>
    <w:rsid w:val="00A2494D"/>
    <w:rsid w:val="00A31C1D"/>
    <w:rsid w:val="00A42DD5"/>
    <w:rsid w:val="00A536A1"/>
    <w:rsid w:val="00A643A2"/>
    <w:rsid w:val="00A9583B"/>
    <w:rsid w:val="00AB0B7D"/>
    <w:rsid w:val="00AD5F2F"/>
    <w:rsid w:val="00AF4336"/>
    <w:rsid w:val="00B03973"/>
    <w:rsid w:val="00B114E4"/>
    <w:rsid w:val="00B224D6"/>
    <w:rsid w:val="00B858D5"/>
    <w:rsid w:val="00BB462D"/>
    <w:rsid w:val="00BD113B"/>
    <w:rsid w:val="00BF11FE"/>
    <w:rsid w:val="00C026EE"/>
    <w:rsid w:val="00C07FF6"/>
    <w:rsid w:val="00C32BC2"/>
    <w:rsid w:val="00C43505"/>
    <w:rsid w:val="00C5036A"/>
    <w:rsid w:val="00CB06FB"/>
    <w:rsid w:val="00CB63C5"/>
    <w:rsid w:val="00CF0E84"/>
    <w:rsid w:val="00D0035F"/>
    <w:rsid w:val="00D3073B"/>
    <w:rsid w:val="00D30EED"/>
    <w:rsid w:val="00DB32F0"/>
    <w:rsid w:val="00DB66DE"/>
    <w:rsid w:val="00DC7881"/>
    <w:rsid w:val="00DD5701"/>
    <w:rsid w:val="00E117BC"/>
    <w:rsid w:val="00E20A8C"/>
    <w:rsid w:val="00E343A6"/>
    <w:rsid w:val="00E37583"/>
    <w:rsid w:val="00E41997"/>
    <w:rsid w:val="00E443AC"/>
    <w:rsid w:val="00E47A1E"/>
    <w:rsid w:val="00E517AD"/>
    <w:rsid w:val="00E7105F"/>
    <w:rsid w:val="00E818DE"/>
    <w:rsid w:val="00ED1742"/>
    <w:rsid w:val="00ED471D"/>
    <w:rsid w:val="00EE37EC"/>
    <w:rsid w:val="00EF2DFA"/>
    <w:rsid w:val="00F0704E"/>
    <w:rsid w:val="00F272D7"/>
    <w:rsid w:val="00F313F6"/>
    <w:rsid w:val="00F5012D"/>
    <w:rsid w:val="00F546C2"/>
    <w:rsid w:val="00F61933"/>
    <w:rsid w:val="00F73093"/>
    <w:rsid w:val="00F873D4"/>
    <w:rsid w:val="00FA3D05"/>
    <w:rsid w:val="00FA5CC9"/>
    <w:rsid w:val="00FB0A2C"/>
    <w:rsid w:val="00FC59F1"/>
    <w:rsid w:val="00FF7B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EB8CBCE"/>
  <w15:chartTrackingRefBased/>
  <w15:docId w15:val="{365BB64B-B755-44C9-B2DA-06849D7AC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21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0A6213"/>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A6213"/>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A6213"/>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A6213"/>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A6213"/>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A6213"/>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A6213"/>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A6213"/>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A6213"/>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A6213"/>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A6213"/>
    <w:pPr>
      <w:spacing w:line="360" w:lineRule="exact"/>
    </w:pPr>
    <w:rPr>
      <w:spacing w:val="-3"/>
      <w:w w:val="99"/>
      <w:sz w:val="34"/>
    </w:rPr>
  </w:style>
  <w:style w:type="paragraph" w:customStyle="1" w:styleId="H23">
    <w:name w:val="_ H_2/3"/>
    <w:basedOn w:val="H1"/>
    <w:next w:val="SingleTxt"/>
    <w:qFormat/>
    <w:rsid w:val="000A6213"/>
    <w:pPr>
      <w:spacing w:line="240" w:lineRule="exact"/>
      <w:outlineLvl w:val="1"/>
    </w:pPr>
    <w:rPr>
      <w:spacing w:val="2"/>
      <w:sz w:val="20"/>
    </w:rPr>
  </w:style>
  <w:style w:type="paragraph" w:customStyle="1" w:styleId="H4">
    <w:name w:val="_ H_4"/>
    <w:basedOn w:val="Normal"/>
    <w:next w:val="SingleTxt"/>
    <w:qFormat/>
    <w:rsid w:val="000A6213"/>
    <w:pPr>
      <w:keepNext/>
      <w:keepLines/>
      <w:tabs>
        <w:tab w:val="right" w:pos="360"/>
      </w:tabs>
      <w:outlineLvl w:val="3"/>
    </w:pPr>
    <w:rPr>
      <w:i/>
      <w:spacing w:val="3"/>
      <w:kern w:val="14"/>
    </w:rPr>
  </w:style>
  <w:style w:type="paragraph" w:customStyle="1" w:styleId="H56">
    <w:name w:val="_ H_5/6"/>
    <w:basedOn w:val="Normal"/>
    <w:next w:val="Normal"/>
    <w:qFormat/>
    <w:rsid w:val="000A6213"/>
    <w:pPr>
      <w:keepNext/>
      <w:keepLines/>
      <w:tabs>
        <w:tab w:val="right" w:pos="360"/>
      </w:tabs>
      <w:outlineLvl w:val="4"/>
    </w:pPr>
    <w:rPr>
      <w:kern w:val="14"/>
    </w:rPr>
  </w:style>
  <w:style w:type="paragraph" w:customStyle="1" w:styleId="DualTxt">
    <w:name w:val="__Dual Txt"/>
    <w:basedOn w:val="Normal"/>
    <w:qFormat/>
    <w:rsid w:val="000A621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A621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A6213"/>
    <w:pPr>
      <w:spacing w:line="540" w:lineRule="exact"/>
    </w:pPr>
    <w:rPr>
      <w:spacing w:val="-8"/>
      <w:w w:val="96"/>
      <w:sz w:val="57"/>
    </w:rPr>
  </w:style>
  <w:style w:type="paragraph" w:customStyle="1" w:styleId="SS">
    <w:name w:val="__S_S"/>
    <w:basedOn w:val="HCh0"/>
    <w:next w:val="Normal"/>
    <w:qFormat/>
    <w:rsid w:val="000A6213"/>
    <w:pPr>
      <w:ind w:left="1267" w:right="1267"/>
    </w:pPr>
  </w:style>
  <w:style w:type="paragraph" w:customStyle="1" w:styleId="SingleTxt">
    <w:name w:val="__Single Txt"/>
    <w:basedOn w:val="Normal"/>
    <w:link w:val="SingleTxtChar"/>
    <w:qFormat/>
    <w:rsid w:val="000A6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A621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A621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42DD5"/>
    <w:pPr>
      <w:keepNext/>
      <w:keepLines/>
      <w:spacing w:line="240" w:lineRule="exact"/>
      <w:ind w:left="0" w:right="4440" w:firstLine="0"/>
      <w:outlineLvl w:val="1"/>
    </w:pPr>
    <w:rPr>
      <w:sz w:val="20"/>
    </w:rPr>
  </w:style>
  <w:style w:type="paragraph" w:styleId="BalloonText">
    <w:name w:val="Balloon Text"/>
    <w:basedOn w:val="Normal"/>
    <w:link w:val="BalloonTextChar"/>
    <w:semiHidden/>
    <w:rsid w:val="000A6213"/>
    <w:rPr>
      <w:rFonts w:ascii="Tahoma" w:hAnsi="Tahoma" w:cs="Tahoma"/>
      <w:sz w:val="16"/>
      <w:szCs w:val="16"/>
    </w:rPr>
  </w:style>
  <w:style w:type="character" w:customStyle="1" w:styleId="BalloonTextChar">
    <w:name w:val="Balloon Text Char"/>
    <w:basedOn w:val="DefaultParagraphFont"/>
    <w:link w:val="BalloonText"/>
    <w:semiHidden/>
    <w:rsid w:val="000A6213"/>
    <w:rPr>
      <w:rFonts w:ascii="Tahoma" w:eastAsiaTheme="minorHAnsi" w:hAnsi="Tahoma" w:cs="Tahoma"/>
      <w:spacing w:val="4"/>
      <w:w w:val="103"/>
      <w:sz w:val="16"/>
      <w:szCs w:val="16"/>
      <w:lang w:val="es-ES" w:eastAsia="en-US"/>
    </w:rPr>
  </w:style>
  <w:style w:type="paragraph" w:customStyle="1" w:styleId="Bullet1">
    <w:name w:val="Bullet 1"/>
    <w:basedOn w:val="Normal"/>
    <w:qFormat/>
    <w:rsid w:val="000A6213"/>
    <w:pPr>
      <w:numPr>
        <w:numId w:val="1"/>
      </w:numPr>
      <w:spacing w:after="120"/>
      <w:ind w:right="1264"/>
      <w:jc w:val="both"/>
    </w:pPr>
  </w:style>
  <w:style w:type="paragraph" w:customStyle="1" w:styleId="Bullet2">
    <w:name w:val="Bullet 2"/>
    <w:basedOn w:val="Normal"/>
    <w:qFormat/>
    <w:rsid w:val="000A6213"/>
    <w:pPr>
      <w:numPr>
        <w:numId w:val="2"/>
      </w:numPr>
      <w:spacing w:after="120"/>
      <w:ind w:right="1264"/>
      <w:jc w:val="both"/>
    </w:pPr>
  </w:style>
  <w:style w:type="paragraph" w:customStyle="1" w:styleId="Bullet3">
    <w:name w:val="Bullet 3"/>
    <w:basedOn w:val="SingleTxt"/>
    <w:qFormat/>
    <w:rsid w:val="000A621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A621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A621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A6213"/>
    <w:pPr>
      <w:spacing w:after="80"/>
    </w:pPr>
  </w:style>
  <w:style w:type="character" w:customStyle="1" w:styleId="EndnoteTextChar">
    <w:name w:val="Endnote Text Char"/>
    <w:basedOn w:val="DefaultParagraphFont"/>
    <w:link w:val="EndnoteText"/>
    <w:semiHidden/>
    <w:rsid w:val="000A6213"/>
    <w:rPr>
      <w:rFonts w:ascii="Times New Roman" w:eastAsiaTheme="minorHAnsi" w:hAnsi="Times New Roman" w:cs="Times New Roman"/>
      <w:spacing w:val="5"/>
      <w:w w:val="104"/>
      <w:sz w:val="17"/>
      <w:lang w:val="es-ES" w:eastAsia="en-US"/>
    </w:rPr>
  </w:style>
  <w:style w:type="paragraph" w:styleId="Footer">
    <w:name w:val="footer"/>
    <w:link w:val="FooterChar"/>
    <w:qFormat/>
    <w:rsid w:val="000A6213"/>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A6213"/>
    <w:rPr>
      <w:rFonts w:ascii="Times New Roman" w:eastAsiaTheme="minorHAnsi" w:hAnsi="Times New Roman" w:cs="Times New Roman"/>
      <w:b/>
      <w:noProof/>
      <w:sz w:val="17"/>
      <w:lang w:val="en-US" w:eastAsia="en-US"/>
    </w:rPr>
  </w:style>
  <w:style w:type="character" w:styleId="FootnoteReference">
    <w:name w:val="footnote reference"/>
    <w:semiHidden/>
    <w:rsid w:val="000A621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621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A6213"/>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0A6213"/>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0A621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A6213"/>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0A6213"/>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0A6213"/>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0A6213"/>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0A6213"/>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0A6213"/>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A6213"/>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0A6213"/>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0A6213"/>
    <w:rPr>
      <w:rFonts w:ascii="Cambria" w:hAnsi="Cambria" w:cs="Times New Roman"/>
      <w:i/>
      <w:iCs/>
      <w:spacing w:val="5"/>
      <w:w w:val="103"/>
      <w:sz w:val="20"/>
      <w:szCs w:val="20"/>
      <w:lang w:val="es-ES" w:eastAsia="en-US"/>
    </w:rPr>
  </w:style>
  <w:style w:type="character" w:styleId="LineNumber">
    <w:name w:val="line number"/>
    <w:qFormat/>
    <w:rsid w:val="000A6213"/>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A6213"/>
    <w:pPr>
      <w:spacing w:line="240" w:lineRule="auto"/>
    </w:pPr>
  </w:style>
  <w:style w:type="paragraph" w:customStyle="1" w:styleId="Original">
    <w:name w:val="Original"/>
    <w:next w:val="Normal"/>
    <w:autoRedefine/>
    <w:qFormat/>
    <w:rsid w:val="000A621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A6213"/>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A6213"/>
    <w:pPr>
      <w:tabs>
        <w:tab w:val="right" w:pos="9965"/>
      </w:tabs>
      <w:spacing w:line="210" w:lineRule="exact"/>
    </w:pPr>
    <w:rPr>
      <w:spacing w:val="5"/>
      <w:w w:val="104"/>
      <w:kern w:val="14"/>
      <w:sz w:val="17"/>
    </w:rPr>
  </w:style>
  <w:style w:type="paragraph" w:customStyle="1" w:styleId="SmallX">
    <w:name w:val="SmallX"/>
    <w:basedOn w:val="Small"/>
    <w:next w:val="Normal"/>
    <w:qFormat/>
    <w:rsid w:val="000A6213"/>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A62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A62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A6213"/>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A6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A6213"/>
    <w:pPr>
      <w:spacing w:line="300" w:lineRule="exact"/>
    </w:pPr>
    <w:rPr>
      <w:spacing w:val="-2"/>
      <w:sz w:val="28"/>
    </w:rPr>
  </w:style>
  <w:style w:type="paragraph" w:styleId="Caption">
    <w:name w:val="caption"/>
    <w:basedOn w:val="Normal"/>
    <w:next w:val="Normal"/>
    <w:uiPriority w:val="35"/>
    <w:semiHidden/>
    <w:unhideWhenUsed/>
    <w:rsid w:val="000A6213"/>
    <w:pPr>
      <w:spacing w:line="240" w:lineRule="auto"/>
    </w:pPr>
    <w:rPr>
      <w:b/>
      <w:bCs/>
      <w:color w:val="4F81BD"/>
      <w:sz w:val="18"/>
      <w:szCs w:val="18"/>
    </w:rPr>
  </w:style>
  <w:style w:type="character" w:styleId="CommentReference">
    <w:name w:val="annotation reference"/>
    <w:semiHidden/>
    <w:rsid w:val="000A6213"/>
    <w:rPr>
      <w:sz w:val="6"/>
    </w:rPr>
  </w:style>
  <w:style w:type="paragraph" w:customStyle="1" w:styleId="HdBanner">
    <w:name w:val="Hd Banner"/>
    <w:basedOn w:val="Normal"/>
    <w:next w:val="Normal"/>
    <w:qFormat/>
    <w:rsid w:val="000A621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A621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A6213"/>
    <w:pPr>
      <w:spacing w:before="240"/>
    </w:pPr>
    <w:rPr>
      <w:b/>
      <w:spacing w:val="-2"/>
      <w:w w:val="100"/>
    </w:rPr>
  </w:style>
  <w:style w:type="paragraph" w:customStyle="1" w:styleId="HdChapterBdLg">
    <w:name w:val="Hd Chapter Bd Lg"/>
    <w:basedOn w:val="HdChapterBD"/>
    <w:next w:val="Normal"/>
    <w:qFormat/>
    <w:rsid w:val="000A6213"/>
    <w:rPr>
      <w:spacing w:val="-3"/>
      <w:w w:val="99"/>
      <w:kern w:val="14"/>
      <w:sz w:val="34"/>
      <w:szCs w:val="34"/>
    </w:rPr>
  </w:style>
  <w:style w:type="paragraph" w:customStyle="1" w:styleId="JournalHeading1">
    <w:name w:val="Journal_Heading1"/>
    <w:basedOn w:val="Normal"/>
    <w:next w:val="Normal"/>
    <w:qFormat/>
    <w:rsid w:val="000A6213"/>
    <w:pPr>
      <w:keepNext/>
      <w:spacing w:before="190" w:line="270" w:lineRule="exact"/>
    </w:pPr>
    <w:rPr>
      <w:b/>
      <w:kern w:val="14"/>
      <w:sz w:val="24"/>
    </w:rPr>
  </w:style>
  <w:style w:type="paragraph" w:customStyle="1" w:styleId="JournalHeading2">
    <w:name w:val="Journal_Heading2"/>
    <w:basedOn w:val="Normal"/>
    <w:next w:val="Normal"/>
    <w:qFormat/>
    <w:rsid w:val="000A6213"/>
    <w:pPr>
      <w:keepNext/>
      <w:keepLines/>
      <w:spacing w:before="240"/>
      <w:outlineLvl w:val="1"/>
    </w:pPr>
    <w:rPr>
      <w:b/>
      <w:spacing w:val="2"/>
      <w:kern w:val="14"/>
    </w:rPr>
  </w:style>
  <w:style w:type="paragraph" w:customStyle="1" w:styleId="JournalHeading4">
    <w:name w:val="Journal_Heading4"/>
    <w:basedOn w:val="Normal"/>
    <w:next w:val="Normal"/>
    <w:qFormat/>
    <w:rsid w:val="000A6213"/>
    <w:pPr>
      <w:keepNext/>
      <w:keepLines/>
      <w:spacing w:before="240"/>
      <w:outlineLvl w:val="3"/>
    </w:pPr>
    <w:rPr>
      <w:i/>
      <w:kern w:val="14"/>
    </w:rPr>
  </w:style>
  <w:style w:type="paragraph" w:customStyle="1" w:styleId="NormalBullet">
    <w:name w:val="Normal Bullet"/>
    <w:basedOn w:val="Normal"/>
    <w:next w:val="Normal"/>
    <w:qFormat/>
    <w:rsid w:val="000A6213"/>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A6213"/>
    <w:pPr>
      <w:tabs>
        <w:tab w:val="left" w:leader="dot" w:pos="2218"/>
        <w:tab w:val="left" w:pos="2707"/>
        <w:tab w:val="right" w:leader="dot" w:pos="9835"/>
      </w:tabs>
    </w:pPr>
    <w:rPr>
      <w:kern w:val="14"/>
    </w:rPr>
  </w:style>
  <w:style w:type="paragraph" w:customStyle="1" w:styleId="ReleaseDate0">
    <w:name w:val="ReleaseDate"/>
    <w:next w:val="Footer"/>
    <w:autoRedefine/>
    <w:qFormat/>
    <w:rsid w:val="000A6213"/>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A6213"/>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0A6213"/>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11607A"/>
    <w:pPr>
      <w:spacing w:line="240" w:lineRule="auto"/>
    </w:pPr>
    <w:rPr>
      <w:szCs w:val="20"/>
    </w:rPr>
  </w:style>
  <w:style w:type="character" w:customStyle="1" w:styleId="CommentTextChar">
    <w:name w:val="Comment Text Char"/>
    <w:basedOn w:val="DefaultParagraphFont"/>
    <w:link w:val="CommentText"/>
    <w:uiPriority w:val="99"/>
    <w:semiHidden/>
    <w:rsid w:val="0011607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1607A"/>
    <w:rPr>
      <w:b/>
      <w:bCs/>
    </w:rPr>
  </w:style>
  <w:style w:type="character" w:customStyle="1" w:styleId="CommentSubjectChar">
    <w:name w:val="Comment Subject Char"/>
    <w:basedOn w:val="CommentTextChar"/>
    <w:link w:val="CommentSubject"/>
    <w:uiPriority w:val="99"/>
    <w:semiHidden/>
    <w:rsid w:val="0011607A"/>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0B0927"/>
    <w:rPr>
      <w:color w:val="605E5C"/>
      <w:shd w:val="clear" w:color="auto" w:fill="E1DFDD"/>
    </w:rPr>
  </w:style>
  <w:style w:type="paragraph" w:styleId="Revision">
    <w:name w:val="Revision"/>
    <w:hidden/>
    <w:uiPriority w:val="99"/>
    <w:semiHidden/>
    <w:rsid w:val="000B0927"/>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AZE/6" TargetMode="External"/><Relationship Id="rId26" Type="http://schemas.openxmlformats.org/officeDocument/2006/relationships/hyperlink" Target="https://undocs.org/es/CEDAW/C/AZE/Q/6" TargetMode="External"/><Relationship Id="rId39" Type="http://schemas.openxmlformats.org/officeDocument/2006/relationships/hyperlink" Target="https://undocs.org/es/CEDAW/C/TUR/RQ/8" TargetMode="External"/><Relationship Id="rId3" Type="http://schemas.openxmlformats.org/officeDocument/2006/relationships/settings" Target="settings.xml"/><Relationship Id="rId21" Type="http://schemas.openxmlformats.org/officeDocument/2006/relationships/hyperlink" Target="https://undocs.org/es/CEDAW/C/MAR/5-6" TargetMode="External"/><Relationship Id="rId34" Type="http://schemas.openxmlformats.org/officeDocument/2006/relationships/hyperlink" Target="https://undocs.org/es/CEDAW/C/AZE/RQ/6" TargetMode="External"/><Relationship Id="rId42"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82/1" TargetMode="External"/><Relationship Id="rId25" Type="http://schemas.openxmlformats.org/officeDocument/2006/relationships/hyperlink" Target="https://undocs.org/es/CEDAW/C/ARE/4" TargetMode="External"/><Relationship Id="rId33" Type="http://schemas.openxmlformats.org/officeDocument/2006/relationships/hyperlink" Target="https://undocs.org/es/CEDAW/C/ARE/Q/4" TargetMode="External"/><Relationship Id="rId38" Type="http://schemas.openxmlformats.org/officeDocument/2006/relationships/hyperlink" Target="https://undocs.org/es/CEDAW/C/PRT/RQ/1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MNG/10" TargetMode="External"/><Relationship Id="rId29" Type="http://schemas.openxmlformats.org/officeDocument/2006/relationships/hyperlink" Target="https://undocs.org/es/CEDAW/C/MAR/Q/5-6" TargetMode="External"/><Relationship Id="rId41" Type="http://schemas.openxmlformats.org/officeDocument/2006/relationships/hyperlink" Target="https://undocs.org/es/CEDAW/C/83/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TUR/8" TargetMode="External"/><Relationship Id="rId32" Type="http://schemas.openxmlformats.org/officeDocument/2006/relationships/hyperlink" Target="https://undocs.org/es/CEDAW/C/TUR/Q/8" TargetMode="External"/><Relationship Id="rId37" Type="http://schemas.openxmlformats.org/officeDocument/2006/relationships/hyperlink" Target="https://undocs.org/es/CEDAW/C/NAM/RQ/6" TargetMode="External"/><Relationship Id="rId40" Type="http://schemas.openxmlformats.org/officeDocument/2006/relationships/hyperlink" Target="https://undocs.org/es/CEDAW/C/ARE/RQ/4"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PRT/10" TargetMode="External"/><Relationship Id="rId28" Type="http://schemas.openxmlformats.org/officeDocument/2006/relationships/hyperlink" Target="https://undocs.org/es/CEDAW/C/MNG/QPR/10" TargetMode="External"/><Relationship Id="rId36" Type="http://schemas.openxmlformats.org/officeDocument/2006/relationships/hyperlink" Target="https://undocs.org/es/CEDAW/C/MAR/RQ/5-6" TargetMode="External"/><Relationship Id="rId10" Type="http://schemas.openxmlformats.org/officeDocument/2006/relationships/footer" Target="footer2.xml"/><Relationship Id="rId19" Type="http://schemas.openxmlformats.org/officeDocument/2006/relationships/hyperlink" Target="https://undocs.org/es/CEDAW/C/BOL/7" TargetMode="External"/><Relationship Id="rId31" Type="http://schemas.openxmlformats.org/officeDocument/2006/relationships/hyperlink" Target="https://undocs.org/es/CEDAW/C/PRT/Q/1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NAM/6" TargetMode="External"/><Relationship Id="rId27" Type="http://schemas.openxmlformats.org/officeDocument/2006/relationships/hyperlink" Target="https://undocs.org/es/CEDAW/C/BOL/Q/7" TargetMode="External"/><Relationship Id="rId30" Type="http://schemas.openxmlformats.org/officeDocument/2006/relationships/hyperlink" Target="https://undocs.org/es/CEDAW/C/NAM/Q/6" TargetMode="External"/><Relationship Id="rId35" Type="http://schemas.openxmlformats.org/officeDocument/2006/relationships/hyperlink" Target="https://undocs.org/es/CEDAW/C/BOL/RQ/7"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1375</Words>
  <Characters>7838</Characters>
  <Application>Microsoft Office Word</Application>
  <DocSecurity>0</DocSecurity>
  <Lines>65</Lines>
  <Paragraphs>18</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Comité para la Eliminación de la Discriminación contra la Mujer</vt:lpstr>
      <vt:lpstr>    82º período de sesiones</vt:lpstr>
      <vt:lpstr>    Aprobación del programa y organización de los trabajos</vt:lpstr>
      <vt:lpstr>Programa provisional anotado*</vt:lpstr>
      <vt:lpstr>Programa provisional</vt:lpstr>
      <vt:lpstr>Anotaciones</vt:lpstr>
      <vt:lpstr>    1.	Apertura del período de sesiones</vt:lpstr>
      <vt:lpstr>    2.	Aprobación del programa y organización de los trabajos</vt:lpstr>
      <vt:lpstr>    3.	Informe de la Presidencia sobre las actividades realizadas entre los período</vt:lpstr>
      <vt:lpstr>    4.	Examen de los informes presentados por los Estados partes en virtud del artí</vt:lpstr>
      <vt:lpstr>    Documentación</vt:lpstr>
      <vt:lpstr>    5.	Seguimiento del examen de los informes presentados por los Estados partes en</vt:lpstr>
      <vt:lpstr>    6.	Aplicación de los artículos 21 y 22 de la Convención</vt:lpstr>
      <vt:lpstr>    7.	Medios de agilizar los trabajos del Comité</vt:lpstr>
      <vt:lpstr>    8.	Actividades del Comité en relación con el Protocolo Facultativo de la Conven</vt:lpstr>
      <vt:lpstr>    9.	Programa provisional del 83er período de sesiones del Comité</vt:lpstr>
      <vt:lpstr>    10.	Aprobación del informe de la Comisión sobre su 82º período de sesiones</vt:lpstr>
    </vt:vector>
  </TitlesOfParts>
  <Company/>
  <LinksUpToDate>false</LinksUpToDate>
  <CharactersWithSpaces>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Joyce Janssen</cp:lastModifiedBy>
  <cp:revision>3</cp:revision>
  <cp:lastPrinted>2022-04-22T17:01:00Z</cp:lastPrinted>
  <dcterms:created xsi:type="dcterms:W3CDTF">2022-04-22T17:01:00Z</dcterms:created>
  <dcterms:modified xsi:type="dcterms:W3CDTF">2022-04-22T17:01:00Z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2205532</vt:lpwstr>
  </property>
  <property fmtid="{D5CDD505-2E9C-101B-9397-08002B2CF9AE}" pid="3" name="ODSRefJobNo">
    <vt:lpwstr>2231739</vt:lpwstr>
  </property>
  <property fmtid="{D5CDD505-2E9C-101B-9397-08002B2CF9AE}" pid="4" name="Symbol1">
    <vt:lpwstr>CEDAW/C/82/1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14 de abril de 2022</vt:lpwstr>
  </property>
  <property fmtid="{D5CDD505-2E9C-101B-9397-08002B2CF9AE}" pid="10" name="Original">
    <vt:lpwstr>español/francés/inglés</vt:lpwstr>
  </property>
  <property fmtid="{D5CDD505-2E9C-101B-9397-08002B2CF9AE}" pid="11" name="Release Date">
    <vt:lpwstr>180422</vt:lpwstr>
  </property>
  <property fmtid="{D5CDD505-2E9C-101B-9397-08002B2CF9AE}" pid="12" name="Session1">
    <vt:lpwstr>82º período de sesiones_x000d_</vt:lpwstr>
  </property>
  <property fmtid="{D5CDD505-2E9C-101B-9397-08002B2CF9AE}" pid="13" name="Agenda1">
    <vt:lpwstr>Tema 2 del programa provisional_x000d_</vt:lpwstr>
  </property>
  <property fmtid="{D5CDD505-2E9C-101B-9397-08002B2CF9AE}" pid="14" name="Agenda Title1">
    <vt:lpwstr>Aprobación del programa y organización de los trabajos_x000d_</vt:lpwstr>
  </property>
  <property fmtid="{D5CDD505-2E9C-101B-9397-08002B2CF9AE}" pid="15" name="Title1">
    <vt:lpwstr>		Programa provisional anotado*_x000d_</vt:lpwstr>
  </property>
  <property fmtid="{D5CDD505-2E9C-101B-9397-08002B2CF9AE}" pid="16" name="Title2">
    <vt:lpwstr>		Programa provisional_x000d_</vt:lpwstr>
  </property>
  <property fmtid="{D5CDD505-2E9C-101B-9397-08002B2CF9AE}" pid="17" name="Comment">
    <vt:lpwstr>finalizado</vt:lpwstr>
  </property>
  <property fmtid="{D5CDD505-2E9C-101B-9397-08002B2CF9AE}" pid="18" name="DraftPages">
    <vt:lpwstr> </vt:lpwstr>
  </property>
  <property fmtid="{D5CDD505-2E9C-101B-9397-08002B2CF9AE}" pid="19" name="Operator">
    <vt:lpwstr>yb</vt:lpwstr>
  </property>
  <property fmtid="{D5CDD505-2E9C-101B-9397-08002B2CF9AE}" pid="20" name="Translator">
    <vt:lpwstr>Bernardo</vt:lpwstr>
  </property>
</Properties>
</file>