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55589" w:rsidRDefault="00255589" w:rsidP="000D4726">
            <w:pPr>
              <w:spacing w:line="240" w:lineRule="atLeast"/>
              <w:jc w:val="right"/>
              <w:rPr>
                <w:sz w:val="20"/>
                <w:szCs w:val="21"/>
              </w:rPr>
            </w:pPr>
            <w:proofErr w:type="spellStart"/>
            <w:r>
              <w:rPr>
                <w:sz w:val="40"/>
                <w:szCs w:val="21"/>
              </w:rPr>
              <w:t>CCPR</w:t>
            </w:r>
            <w:proofErr w:type="spellEnd"/>
            <w:r>
              <w:rPr>
                <w:sz w:val="20"/>
                <w:szCs w:val="21"/>
              </w:rPr>
              <w:t>/C/158</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55AC281F" wp14:editId="488C141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255589" w:rsidP="00255589">
            <w:pPr>
              <w:spacing w:before="240" w:line="240" w:lineRule="atLeast"/>
              <w:rPr>
                <w:sz w:val="20"/>
              </w:rPr>
            </w:pPr>
            <w:r>
              <w:rPr>
                <w:sz w:val="20"/>
              </w:rPr>
              <w:t>Distr.: General</w:t>
            </w:r>
          </w:p>
          <w:p w:rsidR="00CE1D1C" w:rsidRPr="00F124C6" w:rsidRDefault="00255589" w:rsidP="000D4726">
            <w:pPr>
              <w:spacing w:line="240" w:lineRule="atLeast"/>
              <w:rPr>
                <w:sz w:val="20"/>
              </w:rPr>
            </w:pPr>
            <w:r>
              <w:rPr>
                <w:sz w:val="20"/>
              </w:rPr>
              <w:t>30 November</w:t>
            </w:r>
            <w:r w:rsidR="00EA7E67">
              <w:rPr>
                <w:sz w:val="20"/>
              </w:rPr>
              <w:t xml:space="preserve"> </w:t>
            </w:r>
            <w:r>
              <w:rPr>
                <w:sz w:val="20"/>
              </w:rPr>
              <w:t>2</w:t>
            </w:r>
            <w:r w:rsidR="00EA7E67">
              <w:rPr>
                <w:sz w:val="20"/>
              </w:rPr>
              <w:t>0</w:t>
            </w:r>
            <w:r>
              <w:rPr>
                <w:sz w:val="20"/>
              </w:rPr>
              <w:t>1</w:t>
            </w:r>
            <w:r>
              <w:rPr>
                <w:rFonts w:hint="eastAsia"/>
                <w:sz w:val="20"/>
              </w:rPr>
              <w:t>6</w:t>
            </w:r>
          </w:p>
          <w:p w:rsidR="00CE1D1C" w:rsidRPr="00F124C6" w:rsidRDefault="00255589" w:rsidP="000D4726">
            <w:pPr>
              <w:spacing w:line="240" w:lineRule="atLeast"/>
              <w:rPr>
                <w:sz w:val="20"/>
              </w:rPr>
            </w:pPr>
            <w:r>
              <w:rPr>
                <w:sz w:val="20"/>
              </w:rPr>
              <w:t>Chinese</w:t>
            </w:r>
            <w:r w:rsidR="00CE1D1C" w:rsidRPr="00F124C6">
              <w:rPr>
                <w:sz w:val="20"/>
              </w:rPr>
              <w:t xml:space="preserve"> </w:t>
            </w:r>
          </w:p>
          <w:p w:rsidR="00CE1D1C" w:rsidRPr="00F124C6" w:rsidRDefault="00255589" w:rsidP="000D4726">
            <w:pPr>
              <w:spacing w:line="240" w:lineRule="atLeast"/>
            </w:pPr>
            <w:r>
              <w:rPr>
                <w:sz w:val="20"/>
              </w:rPr>
              <w:t>Original: English</w:t>
            </w:r>
          </w:p>
        </w:tc>
      </w:tr>
    </w:tbl>
    <w:p w:rsidR="00255589" w:rsidRDefault="00255589"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DB0641" w:rsidRDefault="00DB0641" w:rsidP="008C3E07">
      <w:pPr>
        <w:pStyle w:val="HChGC"/>
        <w:spacing w:after="0"/>
      </w:pPr>
      <w:bookmarkStart w:id="0" w:name="_GoBack"/>
      <w:bookmarkEnd w:id="0"/>
    </w:p>
    <w:p w:rsidR="00255589" w:rsidRPr="00A17B8F" w:rsidRDefault="00255589" w:rsidP="008C3E07">
      <w:pPr>
        <w:pStyle w:val="HChGC"/>
        <w:spacing w:before="0"/>
      </w:pPr>
      <w:r>
        <w:tab/>
      </w:r>
      <w:r>
        <w:tab/>
      </w:r>
      <w:r w:rsidRPr="00255589">
        <w:rPr>
          <w:spacing w:val="4"/>
        </w:rPr>
        <w:t>关于《公民权利和政治权利国际公约任择议定书》</w:t>
      </w:r>
      <w:r w:rsidRPr="0067488B">
        <w:rPr>
          <w:rFonts w:ascii="Time New Roman" w:hAnsi="Time New Roman" w:hint="eastAsia"/>
          <w:spacing w:val="4"/>
        </w:rPr>
        <w:t>之</w:t>
      </w:r>
      <w:r w:rsidRPr="00255589">
        <w:rPr>
          <w:spacing w:val="4"/>
        </w:rPr>
        <w:t>下的</w:t>
      </w:r>
      <w:r w:rsidRPr="008C0588">
        <w:rPr>
          <w:rFonts w:hint="eastAsia"/>
          <w:spacing w:val="4"/>
        </w:rPr>
        <w:t>补偿</w:t>
      </w:r>
      <w:r>
        <w:t>措施的指导原则</w:t>
      </w:r>
      <w:r w:rsidRPr="00255589">
        <w:rPr>
          <w:bCs/>
        </w:rPr>
        <w:footnoteReference w:customMarkFollows="1" w:id="2"/>
        <w:t>*</w:t>
      </w:r>
    </w:p>
    <w:p w:rsidR="00255589" w:rsidRPr="00A17B8F" w:rsidRDefault="00255589" w:rsidP="00255589">
      <w:pPr>
        <w:pStyle w:val="SingleTxtGC"/>
      </w:pPr>
      <w:r>
        <w:t>1</w:t>
      </w:r>
      <w:r w:rsidRPr="00A17B8F">
        <w:t>.</w:t>
      </w:r>
      <w:r w:rsidRPr="00A17B8F">
        <w:tab/>
      </w:r>
      <w:r>
        <w:rPr>
          <w:rFonts w:hint="eastAsia"/>
        </w:rPr>
        <w:t>本指导原则概述委员会在《任择议定书》之下就个人来文通过的意见中在要求缔约国向《公约》权利受到侵犯的个人</w:t>
      </w:r>
      <w:proofErr w:type="gramStart"/>
      <w:r>
        <w:rPr>
          <w:rFonts w:hint="eastAsia"/>
        </w:rPr>
        <w:t>作出</w:t>
      </w:r>
      <w:proofErr w:type="gramEnd"/>
      <w:r>
        <w:rPr>
          <w:rFonts w:hint="eastAsia"/>
        </w:rPr>
        <w:t>充分补偿时</w:t>
      </w:r>
      <w:proofErr w:type="gramStart"/>
      <w:r>
        <w:rPr>
          <w:rFonts w:hint="eastAsia"/>
        </w:rPr>
        <w:t>作出</w:t>
      </w:r>
      <w:proofErr w:type="gramEnd"/>
      <w:r>
        <w:rPr>
          <w:rFonts w:hint="eastAsia"/>
        </w:rPr>
        <w:t>的判例。本指导原则力图统一各项标准，并确保连贯一致，从而使得本委员会的判例更加有效，同时为该领域今后的发展动态留出灵活性。</w:t>
      </w:r>
    </w:p>
    <w:p w:rsidR="00255589" w:rsidRPr="00A17B8F" w:rsidRDefault="00255589" w:rsidP="00255589">
      <w:pPr>
        <w:pStyle w:val="SingleTxtGC"/>
      </w:pPr>
      <w:r>
        <w:t>2</w:t>
      </w:r>
      <w:r w:rsidRPr="00A17B8F">
        <w:t>.</w:t>
      </w:r>
      <w:r w:rsidRPr="00A17B8F">
        <w:tab/>
      </w:r>
      <w:r>
        <w:rPr>
          <w:rFonts w:hint="eastAsia"/>
        </w:rPr>
        <w:t>如委员会认为，某一个人来文表明存在侵犯《公约》权利的行为，则会规定旨在向受害者提供充分补偿的措施</w:t>
      </w:r>
      <w:r>
        <w:rPr>
          <w:rFonts w:hint="eastAsia"/>
        </w:rPr>
        <w:t>(</w:t>
      </w:r>
      <w:r>
        <w:rPr>
          <w:rFonts w:hint="eastAsia"/>
        </w:rPr>
        <w:t>恢复、赔偿、康复和抵偿措施</w:t>
      </w:r>
      <w:r>
        <w:rPr>
          <w:rFonts w:hint="eastAsia"/>
        </w:rPr>
        <w:t>)</w:t>
      </w:r>
      <w:r>
        <w:rPr>
          <w:rFonts w:hint="eastAsia"/>
        </w:rPr>
        <w:t>，以及旨在预防今后再次发生类似侵犯权利行为的措施</w:t>
      </w:r>
      <w:r>
        <w:rPr>
          <w:rFonts w:hint="eastAsia"/>
        </w:rPr>
        <w:t>(</w:t>
      </w:r>
      <w:r>
        <w:rPr>
          <w:rFonts w:hint="eastAsia"/>
        </w:rPr>
        <w:t>保证不再发生</w:t>
      </w:r>
      <w:r>
        <w:rPr>
          <w:rFonts w:hint="eastAsia"/>
        </w:rPr>
        <w:t>)</w:t>
      </w:r>
      <w:r>
        <w:rPr>
          <w:rFonts w:hint="eastAsia"/>
        </w:rPr>
        <w:t>。</w:t>
      </w:r>
      <w:r w:rsidRPr="00B67424">
        <w:rPr>
          <w:rStyle w:val="a7"/>
          <w:rFonts w:eastAsia="宋体"/>
        </w:rPr>
        <w:footnoteReference w:id="3"/>
      </w:r>
      <w:r>
        <w:rPr>
          <w:rFonts w:hint="eastAsia"/>
        </w:rPr>
        <w:t xml:space="preserve"> </w:t>
      </w:r>
      <w:r>
        <w:rPr>
          <w:rFonts w:hint="eastAsia"/>
        </w:rPr>
        <w:t>在确定此类措施时，委员会力图做到连贯一致，并在类似情形中采用类似方法。</w:t>
      </w:r>
    </w:p>
    <w:p w:rsidR="00255589" w:rsidRPr="00A17B8F" w:rsidRDefault="00255589" w:rsidP="00255589">
      <w:pPr>
        <w:pStyle w:val="SingleTxtGC"/>
      </w:pPr>
      <w:r>
        <w:t>3</w:t>
      </w:r>
      <w:r w:rsidRPr="00A17B8F">
        <w:t>.</w:t>
      </w:r>
      <w:r w:rsidRPr="00A17B8F">
        <w:tab/>
      </w:r>
      <w:r>
        <w:rPr>
          <w:rFonts w:hint="eastAsia"/>
        </w:rPr>
        <w:t>在委员会的意见中规定补偿措施的法律依据是缔约国在《公约》第二条之下的义务。</w:t>
      </w:r>
      <w:r w:rsidRPr="00B67424">
        <w:rPr>
          <w:rStyle w:val="a7"/>
          <w:rFonts w:eastAsia="宋体"/>
        </w:rPr>
        <w:footnoteReference w:id="4"/>
      </w:r>
      <w:r>
        <w:rPr>
          <w:rFonts w:hint="eastAsia"/>
        </w:rPr>
        <w:t xml:space="preserve"> </w:t>
      </w:r>
      <w:r>
        <w:rPr>
          <w:rFonts w:hint="eastAsia"/>
        </w:rPr>
        <w:t>因此，委员会请缔约国在</w:t>
      </w:r>
      <w:r>
        <w:rPr>
          <w:rFonts w:hint="eastAsia"/>
        </w:rPr>
        <w:t>180</w:t>
      </w:r>
      <w:r>
        <w:rPr>
          <w:rFonts w:hint="eastAsia"/>
        </w:rPr>
        <w:t>天内提交资料，说明为落实委员会的意见采取了哪些措施。委员会还在每一个案件中请缔约国公布委员会的意见，并酌情规定应以哪种或哪些语言公布上述意见。</w:t>
      </w:r>
    </w:p>
    <w:p w:rsidR="00255589" w:rsidRDefault="00255589">
      <w:pPr>
        <w:tabs>
          <w:tab w:val="clear" w:pos="431"/>
        </w:tabs>
        <w:overflowPunct/>
        <w:adjustRightInd/>
        <w:snapToGrid/>
        <w:spacing w:line="240" w:lineRule="auto"/>
        <w:jc w:val="left"/>
      </w:pPr>
      <w:r>
        <w:br w:type="page"/>
      </w:r>
    </w:p>
    <w:p w:rsidR="00255589" w:rsidRPr="00A17B8F" w:rsidRDefault="00255589" w:rsidP="00255589">
      <w:pPr>
        <w:pStyle w:val="SingleTxtGC"/>
      </w:pPr>
      <w:r>
        <w:lastRenderedPageBreak/>
        <w:t>4</w:t>
      </w:r>
      <w:r w:rsidRPr="00A17B8F">
        <w:t>.</w:t>
      </w:r>
      <w:r w:rsidRPr="00A17B8F">
        <w:tab/>
      </w:r>
      <w:r>
        <w:rPr>
          <w:rFonts w:hint="eastAsia"/>
        </w:rPr>
        <w:t>在就补偿措施</w:t>
      </w:r>
      <w:proofErr w:type="gramStart"/>
      <w:r>
        <w:rPr>
          <w:rFonts w:hint="eastAsia"/>
        </w:rPr>
        <w:t>作出</w:t>
      </w:r>
      <w:proofErr w:type="gramEnd"/>
      <w:r>
        <w:rPr>
          <w:rFonts w:hint="eastAsia"/>
        </w:rPr>
        <w:t>决定时，委员会考虑的一个因素是当事方在该来文中的立场，同时避免遵守僵化的规则。因此，在处理来文时，委员会建议提交人在来文中说明他们寻求何种类型的补偿。然后，委员会请缔约国专门就提交人来文中的这一方面发表意见。提交人和缔约国在这方面提供的资料仅供委员会参考之用；委员会并不受其约束或限制。</w:t>
      </w:r>
    </w:p>
    <w:p w:rsidR="00255589" w:rsidRPr="00A17B8F" w:rsidRDefault="00255589" w:rsidP="00255589">
      <w:pPr>
        <w:pStyle w:val="SingleTxtGC"/>
      </w:pPr>
      <w:r>
        <w:t>5</w:t>
      </w:r>
      <w:r w:rsidRPr="00A17B8F">
        <w:t>.</w:t>
      </w:r>
      <w:r w:rsidRPr="00A17B8F">
        <w:tab/>
      </w:r>
      <w:r>
        <w:rPr>
          <w:rFonts w:hint="eastAsia"/>
        </w:rPr>
        <w:t>在就宜采取何种补偿措施</w:t>
      </w:r>
      <w:proofErr w:type="gramStart"/>
      <w:r>
        <w:rPr>
          <w:rFonts w:hint="eastAsia"/>
        </w:rPr>
        <w:t>作出</w:t>
      </w:r>
      <w:proofErr w:type="gramEnd"/>
      <w:r>
        <w:rPr>
          <w:rFonts w:hint="eastAsia"/>
        </w:rPr>
        <w:t>决定时，委员会应考虑到来文的具体情况。例如，在某些情况下，委员会</w:t>
      </w:r>
      <w:proofErr w:type="gramStart"/>
      <w:r>
        <w:rPr>
          <w:rFonts w:hint="eastAsia"/>
        </w:rPr>
        <w:t>作出</w:t>
      </w:r>
      <w:proofErr w:type="gramEnd"/>
      <w:r>
        <w:rPr>
          <w:rFonts w:hint="eastAsia"/>
        </w:rPr>
        <w:t>的决定考虑到了存在性别问题或某一土著群体的世界观。</w:t>
      </w:r>
    </w:p>
    <w:p w:rsidR="00255589" w:rsidRPr="00A17B8F" w:rsidRDefault="00255589" w:rsidP="007C5F23">
      <w:pPr>
        <w:pStyle w:val="H1GC"/>
      </w:pPr>
      <w:r>
        <w:tab/>
      </w:r>
      <w:r>
        <w:tab/>
      </w:r>
      <w:r>
        <w:rPr>
          <w:rFonts w:ascii="宋体" w:hAnsi="宋体" w:cs="宋体" w:hint="eastAsia"/>
        </w:rPr>
        <w:t>恢复</w:t>
      </w:r>
    </w:p>
    <w:p w:rsidR="00255589" w:rsidRPr="00A17B8F" w:rsidRDefault="00255589" w:rsidP="00255589">
      <w:pPr>
        <w:pStyle w:val="SingleTxtGC"/>
      </w:pPr>
      <w:r>
        <w:t>6</w:t>
      </w:r>
      <w:r w:rsidRPr="00A17B8F">
        <w:t>.</w:t>
      </w:r>
      <w:r w:rsidRPr="00A17B8F">
        <w:tab/>
      </w:r>
      <w:r>
        <w:rPr>
          <w:rFonts w:hint="eastAsia"/>
        </w:rPr>
        <w:t>委员会请缔约国规定恢复措施，以便恢复被侵犯的权利。例如，此类措施可包括，</w:t>
      </w:r>
      <w:proofErr w:type="gramStart"/>
      <w:r>
        <w:rPr>
          <w:rFonts w:hint="eastAsia"/>
        </w:rPr>
        <w:t>让因权利遭</w:t>
      </w:r>
      <w:proofErr w:type="gramEnd"/>
      <w:r>
        <w:rPr>
          <w:rFonts w:hint="eastAsia"/>
        </w:rPr>
        <w:t>侵犯而失去工作的受害者复职。</w:t>
      </w:r>
    </w:p>
    <w:p w:rsidR="00255589" w:rsidRPr="00A17B8F" w:rsidRDefault="00255589" w:rsidP="00255589">
      <w:pPr>
        <w:pStyle w:val="SingleTxtGC"/>
      </w:pPr>
      <w:r>
        <w:t>7</w:t>
      </w:r>
      <w:r w:rsidRPr="00A17B8F">
        <w:t>.</w:t>
      </w:r>
      <w:r w:rsidRPr="00A17B8F">
        <w:tab/>
      </w:r>
      <w:r>
        <w:rPr>
          <w:rFonts w:hint="eastAsia"/>
        </w:rPr>
        <w:t>在剥夺自由案件中，委员会可酌情请求释放此人、请国家主管部门对剥夺自由的理由进行复审，或让缔约国在重审此案或释放此人二者之间进行选择。在此类案件中，委员会采用灵活的办法，在具体情况具体分析的基础上</w:t>
      </w:r>
      <w:proofErr w:type="gramStart"/>
      <w:r>
        <w:rPr>
          <w:rFonts w:hint="eastAsia"/>
        </w:rPr>
        <w:t>作出</w:t>
      </w:r>
      <w:proofErr w:type="gramEnd"/>
      <w:r>
        <w:rPr>
          <w:rFonts w:hint="eastAsia"/>
        </w:rPr>
        <w:t>决定。</w:t>
      </w:r>
    </w:p>
    <w:p w:rsidR="00255589" w:rsidRPr="00A17B8F" w:rsidRDefault="00255589" w:rsidP="007C5F23">
      <w:pPr>
        <w:pStyle w:val="H1GC"/>
      </w:pPr>
      <w:r>
        <w:tab/>
      </w:r>
      <w:r>
        <w:tab/>
      </w:r>
      <w:r>
        <w:t>康复</w:t>
      </w:r>
    </w:p>
    <w:p w:rsidR="00255589" w:rsidRPr="00A17B8F" w:rsidRDefault="00255589" w:rsidP="00255589">
      <w:pPr>
        <w:pStyle w:val="SingleTxtGC"/>
      </w:pPr>
      <w:r>
        <w:t>8</w:t>
      </w:r>
      <w:r w:rsidRPr="00A17B8F">
        <w:t>.</w:t>
      </w:r>
      <w:r w:rsidRPr="00A17B8F">
        <w:tab/>
      </w:r>
      <w:r>
        <w:rPr>
          <w:rFonts w:hint="eastAsia"/>
        </w:rPr>
        <w:t>委员会审议补偿是否应当包括尽量实现康复所需的手段。如果是，委员会即指出，缔约国应向受害者或</w:t>
      </w:r>
      <w:proofErr w:type="gramStart"/>
      <w:r>
        <w:rPr>
          <w:rFonts w:hint="eastAsia"/>
        </w:rPr>
        <w:t>酌情向</w:t>
      </w:r>
      <w:proofErr w:type="gramEnd"/>
      <w:r>
        <w:rPr>
          <w:rFonts w:hint="eastAsia"/>
        </w:rPr>
        <w:t>其家人提供医学或心理治疗以及支付此类治疗的资金。</w:t>
      </w:r>
    </w:p>
    <w:p w:rsidR="00255589" w:rsidRPr="00CE3EF4" w:rsidRDefault="00255589" w:rsidP="007C5F23">
      <w:pPr>
        <w:pStyle w:val="H1GC"/>
      </w:pPr>
      <w:r>
        <w:tab/>
      </w:r>
      <w:r>
        <w:tab/>
      </w:r>
      <w:r>
        <w:rPr>
          <w:rFonts w:hint="eastAsia"/>
        </w:rPr>
        <w:t>赔偿</w:t>
      </w:r>
    </w:p>
    <w:p w:rsidR="00255589" w:rsidRPr="00A17B8F" w:rsidRDefault="00255589" w:rsidP="00255589">
      <w:pPr>
        <w:pStyle w:val="SingleTxtGC"/>
      </w:pPr>
      <w:r>
        <w:t>9</w:t>
      </w:r>
      <w:r w:rsidRPr="00A17B8F">
        <w:t>.</w:t>
      </w:r>
      <w:r w:rsidRPr="00A17B8F">
        <w:tab/>
      </w:r>
      <w:r>
        <w:t>作为惯例，委员会并不规定具体金额。</w:t>
      </w:r>
    </w:p>
    <w:p w:rsidR="00255589" w:rsidRPr="00A17B8F" w:rsidRDefault="00255589" w:rsidP="00255589">
      <w:pPr>
        <w:pStyle w:val="SingleTxtGC"/>
      </w:pPr>
      <w:r>
        <w:t>1</w:t>
      </w:r>
      <w:r w:rsidRPr="00A17B8F">
        <w:t>0.</w:t>
      </w:r>
      <w:r w:rsidRPr="00A17B8F">
        <w:tab/>
      </w:r>
      <w:r>
        <w:rPr>
          <w:rFonts w:hint="eastAsia"/>
        </w:rPr>
        <w:t>如适当，委员会应明确指出，</w:t>
      </w:r>
      <w:proofErr w:type="gramStart"/>
      <w:r>
        <w:rPr>
          <w:rFonts w:hint="eastAsia"/>
        </w:rPr>
        <w:t>赔偿既</w:t>
      </w:r>
      <w:proofErr w:type="gramEnd"/>
      <w:r>
        <w:rPr>
          <w:rFonts w:hint="eastAsia"/>
        </w:rPr>
        <w:t>应涵盖物质损失，也应涵盖精神</w:t>
      </w:r>
      <w:r>
        <w:rPr>
          <w:rFonts w:hint="eastAsia"/>
        </w:rPr>
        <w:t>(</w:t>
      </w:r>
      <w:r>
        <w:rPr>
          <w:rFonts w:hint="eastAsia"/>
        </w:rPr>
        <w:t>非物质</w:t>
      </w:r>
      <w:r>
        <w:rPr>
          <w:rFonts w:hint="eastAsia"/>
        </w:rPr>
        <w:t>)</w:t>
      </w:r>
      <w:r>
        <w:rPr>
          <w:rFonts w:hint="eastAsia"/>
        </w:rPr>
        <w:t>损失。</w:t>
      </w:r>
    </w:p>
    <w:p w:rsidR="00255589" w:rsidRPr="00A17B8F" w:rsidRDefault="00255589" w:rsidP="007C5F23">
      <w:pPr>
        <w:pStyle w:val="H1GC"/>
      </w:pPr>
      <w:r>
        <w:tab/>
      </w:r>
      <w:r>
        <w:tab/>
      </w:r>
      <w:r>
        <w:t>抵偿措施</w:t>
      </w:r>
    </w:p>
    <w:p w:rsidR="00255589" w:rsidRPr="00A17B8F" w:rsidRDefault="00255589" w:rsidP="00255589">
      <w:pPr>
        <w:pStyle w:val="SingleTxtGC"/>
      </w:pPr>
      <w:r>
        <w:t>11</w:t>
      </w:r>
      <w:r w:rsidRPr="00A17B8F">
        <w:t>.</w:t>
      </w:r>
      <w:r w:rsidRPr="00A17B8F">
        <w:tab/>
      </w:r>
      <w:r>
        <w:rPr>
          <w:rFonts w:hint="eastAsia"/>
        </w:rPr>
        <w:t>在规定抵偿措施时，除其他外，委员会考虑到以下因素：</w:t>
      </w:r>
    </w:p>
    <w:p w:rsidR="00255589" w:rsidRPr="00A17B8F" w:rsidRDefault="00255589" w:rsidP="007C5F23">
      <w:pPr>
        <w:pStyle w:val="SingleTxtGC"/>
        <w:numPr>
          <w:ilvl w:val="0"/>
          <w:numId w:val="12"/>
        </w:numPr>
      </w:pPr>
      <w:r>
        <w:rPr>
          <w:rFonts w:hint="eastAsia"/>
        </w:rPr>
        <w:t>如适当，委员会可说明，委员会的意见宣布发生了违反《公约》的行为本身就构成一种形式的补偿。这并不妨碍委员会规定其他补偿措施；</w:t>
      </w:r>
    </w:p>
    <w:p w:rsidR="00255589" w:rsidRPr="00A17B8F" w:rsidRDefault="00255589" w:rsidP="007C5F23">
      <w:pPr>
        <w:pStyle w:val="SingleTxtGC"/>
        <w:numPr>
          <w:ilvl w:val="0"/>
          <w:numId w:val="12"/>
        </w:numPr>
      </w:pPr>
      <w:r>
        <w:t>在很多情况下，委员会请缔约国对被认定构成侵犯《公约》权利的行为进行调查，例如涉及强迫</w:t>
      </w:r>
      <w:r>
        <w:rPr>
          <w:rFonts w:hint="eastAsia"/>
        </w:rPr>
        <w:t>失踪、法外杀害和酷刑的案件。委员会规定，此类调查必须及时、彻底和公正，必须将行为人绳之以法。特别是在强迫失踪案件中，委员会指出，缔约国</w:t>
      </w:r>
      <w:proofErr w:type="gramStart"/>
      <w:r>
        <w:rPr>
          <w:rFonts w:hint="eastAsia"/>
        </w:rPr>
        <w:t>须开展</w:t>
      </w:r>
      <w:proofErr w:type="gramEnd"/>
      <w:r>
        <w:rPr>
          <w:rFonts w:hint="eastAsia"/>
        </w:rPr>
        <w:t>必要的调查，以便确定被强迫失踪者的下落；</w:t>
      </w:r>
    </w:p>
    <w:p w:rsidR="00255589" w:rsidRPr="00A17B8F" w:rsidRDefault="00255589" w:rsidP="007C5F23">
      <w:pPr>
        <w:pStyle w:val="SingleTxtGC"/>
        <w:numPr>
          <w:ilvl w:val="0"/>
          <w:numId w:val="12"/>
        </w:numPr>
      </w:pPr>
      <w:r>
        <w:rPr>
          <w:rFonts w:hint="eastAsia"/>
        </w:rPr>
        <w:lastRenderedPageBreak/>
        <w:t>如适当，委员会请缔约国采取措施，减刑、缩短刑期或不执行判决；</w:t>
      </w:r>
    </w:p>
    <w:p w:rsidR="00255589" w:rsidRPr="00A17B8F" w:rsidRDefault="00255589" w:rsidP="007C5F23">
      <w:pPr>
        <w:pStyle w:val="SingleTxtGC"/>
        <w:numPr>
          <w:ilvl w:val="0"/>
          <w:numId w:val="12"/>
        </w:numPr>
      </w:pPr>
      <w:r>
        <w:rPr>
          <w:rFonts w:hint="eastAsia"/>
        </w:rPr>
        <w:t>委员会可请缔约国就被判处并执行死刑者的埋葬地点提供资料；</w:t>
      </w:r>
    </w:p>
    <w:p w:rsidR="00255589" w:rsidRPr="00A17B8F" w:rsidRDefault="00255589" w:rsidP="007C5F23">
      <w:pPr>
        <w:pStyle w:val="SingleTxtGC"/>
        <w:numPr>
          <w:ilvl w:val="0"/>
          <w:numId w:val="12"/>
        </w:numPr>
      </w:pPr>
      <w:r>
        <w:t>委员会可请缔约国发布公开道歉信，特别是在无法</w:t>
      </w:r>
      <w:r>
        <w:rPr>
          <w:rFonts w:hint="eastAsia"/>
        </w:rPr>
        <w:t>仅仅</w:t>
      </w:r>
      <w:r>
        <w:t>通过恢复</w:t>
      </w:r>
      <w:r>
        <w:rPr>
          <w:rFonts w:hint="eastAsia"/>
        </w:rPr>
        <w:t>或赔</w:t>
      </w:r>
      <w:r>
        <w:t>偿</w:t>
      </w:r>
      <w:r>
        <w:rPr>
          <w:rFonts w:hint="eastAsia"/>
        </w:rPr>
        <w:t>充分</w:t>
      </w:r>
      <w:r>
        <w:t>补救</w:t>
      </w:r>
      <w:r>
        <w:rPr>
          <w:rFonts w:hint="eastAsia"/>
        </w:rPr>
        <w:t>损失的</w:t>
      </w:r>
      <w:r>
        <w:t>严重</w:t>
      </w:r>
      <w:r>
        <w:rPr>
          <w:rFonts w:hint="eastAsia"/>
        </w:rPr>
        <w:t>或</w:t>
      </w:r>
      <w:r>
        <w:t>系统性侵犯人权行为</w:t>
      </w:r>
      <w:r>
        <w:rPr>
          <w:rFonts w:hint="eastAsia"/>
        </w:rPr>
        <w:t>中。委员会在规定某一案件中应提供何种补偿时应特别考虑到这一措施；</w:t>
      </w:r>
    </w:p>
    <w:p w:rsidR="00255589" w:rsidRPr="00A17B8F" w:rsidRDefault="00255589" w:rsidP="007C5F23">
      <w:pPr>
        <w:pStyle w:val="SingleTxtGC"/>
        <w:numPr>
          <w:ilvl w:val="0"/>
          <w:numId w:val="12"/>
        </w:numPr>
      </w:pPr>
      <w:r>
        <w:rPr>
          <w:rFonts w:hint="eastAsia"/>
        </w:rPr>
        <w:t>委员会可请缔约国酌情采取其他抵偿措施，例如在涉及严重或系统性侵犯人权行为的情况下，是否可修建一座纪念碑、挂起一块纪念牌匾或更改一条街道或其他公共场所的名字。</w:t>
      </w:r>
    </w:p>
    <w:p w:rsidR="00255589" w:rsidRPr="006E71BE" w:rsidRDefault="00255589" w:rsidP="007C5F23">
      <w:pPr>
        <w:pStyle w:val="H1GC"/>
      </w:pPr>
      <w:r>
        <w:tab/>
      </w:r>
      <w:r>
        <w:tab/>
      </w:r>
      <w:r>
        <w:rPr>
          <w:rFonts w:hint="eastAsia"/>
        </w:rPr>
        <w:t>保证不再发生</w:t>
      </w:r>
    </w:p>
    <w:p w:rsidR="00255589" w:rsidRPr="00A17B8F" w:rsidRDefault="00255589" w:rsidP="00255589">
      <w:pPr>
        <w:pStyle w:val="SingleTxtGC"/>
      </w:pPr>
      <w:r>
        <w:t>12</w:t>
      </w:r>
      <w:r w:rsidRPr="00A17B8F">
        <w:t>.</w:t>
      </w:r>
      <w:r w:rsidRPr="00A17B8F">
        <w:tab/>
      </w:r>
      <w:r>
        <w:rPr>
          <w:rFonts w:hint="eastAsia"/>
        </w:rPr>
        <w:t>保证不再发生范围很广，对于预防今后再次发生委员会所审议的来文中出现的这类侵犯人权行为十分重要。委员会在意见中确定和建议此类措施时应当具体，以便优化在每一个案件中提供的补偿。</w:t>
      </w:r>
    </w:p>
    <w:p w:rsidR="00255589" w:rsidRPr="00A17B8F" w:rsidRDefault="00255589" w:rsidP="00255589">
      <w:pPr>
        <w:pStyle w:val="SingleTxtGC"/>
      </w:pPr>
      <w:r>
        <w:t>13</w:t>
      </w:r>
      <w:r w:rsidRPr="00A17B8F">
        <w:t>.</w:t>
      </w:r>
      <w:r w:rsidRPr="00A17B8F">
        <w:tab/>
      </w:r>
      <w:r>
        <w:rPr>
          <w:rFonts w:hint="eastAsia"/>
        </w:rPr>
        <w:t>以下是保证不再发生的例子：</w:t>
      </w:r>
    </w:p>
    <w:p w:rsidR="00255589" w:rsidRPr="00A17B8F" w:rsidRDefault="00255589" w:rsidP="007C5F23">
      <w:pPr>
        <w:pStyle w:val="SingleTxtGC"/>
        <w:numPr>
          <w:ilvl w:val="0"/>
          <w:numId w:val="10"/>
        </w:numPr>
      </w:pPr>
      <w:r>
        <w:rPr>
          <w:rFonts w:hint="eastAsia"/>
        </w:rPr>
        <w:t>如发现缔约国的法律法规与《公约》义务不符，委员会应请缔约国废止或修订这些法律法规，使其符合《公约》。委员会应具体说明应修订哪些法律法规或某一法律或法规的哪些条款，同时说明应适用的适当国际法律标准。如果发生侵犯人权行为是因为缺乏某些法律条款，补偿措施应当包括通过必要的法律法规；</w:t>
      </w:r>
    </w:p>
    <w:p w:rsidR="00255589" w:rsidRPr="00A17B8F" w:rsidRDefault="00255589" w:rsidP="007C5F23">
      <w:pPr>
        <w:pStyle w:val="SingleTxtGC"/>
        <w:numPr>
          <w:ilvl w:val="0"/>
          <w:numId w:val="10"/>
        </w:numPr>
      </w:pPr>
      <w:r>
        <w:t>按照国际标准改善拘留场所的条件</w:t>
      </w:r>
      <w:r>
        <w:rPr>
          <w:rFonts w:hint="eastAsia"/>
        </w:rPr>
        <w:t>；</w:t>
      </w:r>
    </w:p>
    <w:p w:rsidR="00255589" w:rsidRPr="00A17B8F" w:rsidRDefault="00255589" w:rsidP="007C5F23">
      <w:pPr>
        <w:pStyle w:val="SingleTxtGC"/>
        <w:numPr>
          <w:ilvl w:val="0"/>
          <w:numId w:val="10"/>
        </w:numPr>
      </w:pPr>
      <w:r>
        <w:t>改变官方程序和做法。在规定此类措施时，委员会应当尽量具体；</w:t>
      </w:r>
    </w:p>
    <w:p w:rsidR="00255589" w:rsidRDefault="00255589" w:rsidP="007C5F23">
      <w:pPr>
        <w:pStyle w:val="SingleTxtGC"/>
        <w:numPr>
          <w:ilvl w:val="0"/>
          <w:numId w:val="10"/>
        </w:numPr>
      </w:pPr>
      <w:r>
        <w:rPr>
          <w:rFonts w:hint="eastAsia"/>
        </w:rPr>
        <w:t>如适用，委员会应考虑建议采取措施，对主管侵犯人权行为的部门开展培训，提高其认识，酌情包括执法官员、司法机关职员、医疗和行政工作人员，以便避免再次发生该来文中出现的侵犯人权行为。</w:t>
      </w:r>
    </w:p>
    <w:p w:rsidR="009E046F" w:rsidRPr="002D6A9C" w:rsidRDefault="009E04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55589" w:rsidRPr="00255589" w:rsidRDefault="00255589" w:rsidP="00255589">
      <w:pPr>
        <w:pStyle w:val="SingleTxtGC"/>
        <w:rPr>
          <w:rFonts w:ascii="Time New Roman" w:eastAsia="黑体" w:hAnsi="Time New Roman" w:hint="eastAsia"/>
          <w:sz w:val="24"/>
          <w:szCs w:val="24"/>
          <w:lang w:val="en-GB"/>
        </w:rPr>
      </w:pPr>
    </w:p>
    <w:sectPr w:rsidR="00255589" w:rsidRPr="0025558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0E6" w:rsidRPr="000D319F" w:rsidRDefault="00B940E6" w:rsidP="000D319F">
      <w:pPr>
        <w:pStyle w:val="ae"/>
        <w:spacing w:after="240"/>
        <w:ind w:left="907"/>
        <w:rPr>
          <w:rFonts w:asciiTheme="majorBidi" w:eastAsia="宋体" w:hAnsiTheme="majorBidi" w:cstheme="majorBidi"/>
          <w:sz w:val="21"/>
          <w:szCs w:val="21"/>
          <w:lang w:val="en-US"/>
        </w:rPr>
      </w:pPr>
    </w:p>
    <w:p w:rsidR="00B940E6" w:rsidRPr="000D319F" w:rsidRDefault="00B940E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940E6" w:rsidRPr="000D319F" w:rsidRDefault="00B940E6" w:rsidP="000D319F">
      <w:pPr>
        <w:pStyle w:val="ae"/>
      </w:pPr>
    </w:p>
  </w:endnote>
  <w:endnote w:type="continuationNotice" w:id="1">
    <w:p w:rsidR="00B940E6" w:rsidRDefault="00B940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55589" w:rsidRDefault="00255589" w:rsidP="0025558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B0641">
      <w:rPr>
        <w:rStyle w:val="af"/>
        <w:noProof/>
      </w:rPr>
      <w:t>2</w:t>
    </w:r>
    <w:r>
      <w:rPr>
        <w:rStyle w:val="af"/>
      </w:rPr>
      <w:fldChar w:fldCharType="end"/>
    </w:r>
    <w:r>
      <w:rPr>
        <w:rStyle w:val="af"/>
      </w:rPr>
      <w:tab/>
    </w:r>
    <w:proofErr w:type="spellStart"/>
    <w:r w:rsidRPr="00255589">
      <w:rPr>
        <w:rStyle w:val="af"/>
        <w:b w:val="0"/>
        <w:snapToGrid w:val="0"/>
        <w:sz w:val="16"/>
      </w:rPr>
      <w:t>GE.16</w:t>
    </w:r>
    <w:proofErr w:type="spellEnd"/>
    <w:r w:rsidRPr="00255589">
      <w:rPr>
        <w:rStyle w:val="af"/>
        <w:b w:val="0"/>
        <w:snapToGrid w:val="0"/>
        <w:sz w:val="16"/>
      </w:rPr>
      <w:t>-21071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55589" w:rsidRDefault="00255589" w:rsidP="00255589">
    <w:pPr>
      <w:pStyle w:val="ae"/>
      <w:tabs>
        <w:tab w:val="clear" w:pos="431"/>
        <w:tab w:val="right" w:pos="9638"/>
      </w:tabs>
      <w:rPr>
        <w:rStyle w:val="af"/>
      </w:rPr>
    </w:pPr>
    <w:proofErr w:type="spellStart"/>
    <w:r>
      <w:t>GE.16</w:t>
    </w:r>
    <w:proofErr w:type="spellEnd"/>
    <w:r>
      <w:t>-21071</w:t>
    </w:r>
    <w:r>
      <w:tab/>
    </w:r>
    <w:r>
      <w:rPr>
        <w:rStyle w:val="af"/>
      </w:rPr>
      <w:fldChar w:fldCharType="begin"/>
    </w:r>
    <w:r>
      <w:rPr>
        <w:rStyle w:val="af"/>
      </w:rPr>
      <w:instrText xml:space="preserve"> PAGE  \* MERGEFORMAT </w:instrText>
    </w:r>
    <w:r>
      <w:rPr>
        <w:rStyle w:val="af"/>
      </w:rPr>
      <w:fldChar w:fldCharType="separate"/>
    </w:r>
    <w:r w:rsidR="00DB064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255589" w:rsidP="0025558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-21071</w:t>
    </w:r>
    <w:r w:rsidR="00731A42" w:rsidRPr="00EE277A">
      <w:rPr>
        <w:sz w:val="20"/>
        <w:lang w:eastAsia="zh-CN"/>
      </w:rPr>
      <w:t xml:space="preserve"> (C)</w:t>
    </w:r>
    <w:r w:rsidR="00EA7E67">
      <w:rPr>
        <w:sz w:val="20"/>
        <w:lang w:eastAsia="zh-CN"/>
      </w:rPr>
      <w:tab/>
    </w:r>
    <w:r>
      <w:rPr>
        <w:sz w:val="20"/>
        <w:lang w:eastAsia="zh-CN"/>
      </w:rPr>
      <w:t>1212</w:t>
    </w:r>
    <w:r w:rsidR="00EA7E67">
      <w:rPr>
        <w:sz w:val="20"/>
        <w:lang w:eastAsia="zh-CN"/>
      </w:rPr>
      <w:t>1</w:t>
    </w:r>
    <w:r w:rsidR="000F5EB8">
      <w:rPr>
        <w:rFonts w:eastAsiaTheme="minorEastAsia" w:hint="eastAsia"/>
        <w:sz w:val="20"/>
        <w:lang w:eastAsia="zh-CN"/>
      </w:rPr>
      <w:t>6</w:t>
    </w:r>
    <w:r w:rsidR="00731A42">
      <w:rPr>
        <w:sz w:val="20"/>
        <w:lang w:eastAsia="zh-CN"/>
      </w:rPr>
      <w:tab/>
    </w:r>
    <w:r>
      <w:rPr>
        <w:sz w:val="20"/>
        <w:lang w:eastAsia="zh-CN"/>
      </w:rPr>
      <w:t>1312</w:t>
    </w:r>
    <w:r w:rsidR="00731A42">
      <w:rPr>
        <w:sz w:val="20"/>
        <w:lang w:eastAsia="zh-CN"/>
      </w:rPr>
      <w:t>1</w:t>
    </w:r>
    <w:r w:rsidR="000F5EB8">
      <w:rPr>
        <w:rFonts w:eastAsiaTheme="minorEastAsia" w:hint="eastAsia"/>
        <w:sz w:val="20"/>
        <w:lang w:eastAsia="zh-CN"/>
      </w:rPr>
      <w:t>6</w:t>
    </w:r>
  </w:p>
  <w:p w:rsidR="00056632" w:rsidRPr="00487939" w:rsidRDefault="00255589"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5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5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92FB5A3" wp14:editId="0657F24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0E6" w:rsidRPr="000157B1" w:rsidRDefault="00B940E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940E6" w:rsidRPr="000157B1" w:rsidRDefault="00B940E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940E6" w:rsidRDefault="00B940E6"/>
  </w:footnote>
  <w:footnote w:id="2">
    <w:p w:rsidR="00255589" w:rsidRPr="00687C3C" w:rsidRDefault="00255589" w:rsidP="00B01453">
      <w:pPr>
        <w:pStyle w:val="a6"/>
      </w:pPr>
      <w:r>
        <w:tab/>
      </w:r>
      <w:r w:rsidRPr="00255589">
        <w:rPr>
          <w:rStyle w:val="a7"/>
          <w:rFonts w:eastAsia="宋体"/>
          <w:szCs w:val="21"/>
          <w:vertAlign w:val="baseline"/>
        </w:rPr>
        <w:t>*</w:t>
      </w:r>
      <w:r>
        <w:tab/>
      </w:r>
      <w:r>
        <w:rPr>
          <w:rFonts w:hint="eastAsia"/>
        </w:rPr>
        <w:t>委员会讨论了委员会委员费边</w:t>
      </w:r>
      <w:r w:rsidR="00B01453">
        <w:rPr>
          <w:rFonts w:hint="eastAsia"/>
        </w:rPr>
        <w:t>·</w:t>
      </w:r>
      <w:r>
        <w:rPr>
          <w:rFonts w:hint="eastAsia"/>
        </w:rPr>
        <w:t>奥马尔</w:t>
      </w:r>
      <w:r w:rsidR="00B01453">
        <w:rPr>
          <w:rFonts w:hint="eastAsia"/>
        </w:rPr>
        <w:t>·</w:t>
      </w:r>
      <w:r>
        <w:rPr>
          <w:rFonts w:hint="eastAsia"/>
        </w:rPr>
        <w:t>萨尔维奥利就委员会审议个人来文范畴内规定补救措施的报告进行讨论之后</w:t>
      </w:r>
      <w:r w:rsidR="00B90B17">
        <w:rPr>
          <w:rFonts w:hint="eastAsia"/>
        </w:rPr>
        <w:t>，</w:t>
      </w:r>
      <w:r>
        <w:rPr>
          <w:rFonts w:hint="eastAsia"/>
        </w:rPr>
        <w:t>委员会第</w:t>
      </w:r>
      <w:r>
        <w:rPr>
          <w:rFonts w:hint="eastAsia"/>
        </w:rPr>
        <w:t>118</w:t>
      </w:r>
      <w:r>
        <w:rPr>
          <w:rFonts w:hint="eastAsia"/>
        </w:rPr>
        <w:t>次会议</w:t>
      </w:r>
      <w:r w:rsidR="00B90B17">
        <w:rPr>
          <w:rFonts w:hint="eastAsia"/>
        </w:rPr>
        <w:t>(</w:t>
      </w:r>
      <w:r>
        <w:rPr>
          <w:rFonts w:hint="eastAsia"/>
        </w:rPr>
        <w:t>2016</w:t>
      </w:r>
      <w:r>
        <w:rPr>
          <w:rFonts w:hint="eastAsia"/>
        </w:rPr>
        <w:t>年</w:t>
      </w:r>
      <w:r>
        <w:rPr>
          <w:rFonts w:hint="eastAsia"/>
        </w:rPr>
        <w:t>10</w:t>
      </w:r>
      <w:r>
        <w:rPr>
          <w:rFonts w:hint="eastAsia"/>
        </w:rPr>
        <w:t>月</w:t>
      </w:r>
      <w:r>
        <w:rPr>
          <w:rFonts w:hint="eastAsia"/>
        </w:rPr>
        <w:t>17</w:t>
      </w:r>
      <w:r>
        <w:rPr>
          <w:rFonts w:hint="eastAsia"/>
        </w:rPr>
        <w:t>日至</w:t>
      </w:r>
      <w:r>
        <w:rPr>
          <w:rFonts w:hint="eastAsia"/>
        </w:rPr>
        <w:t>11</w:t>
      </w:r>
      <w:r>
        <w:rPr>
          <w:rFonts w:hint="eastAsia"/>
        </w:rPr>
        <w:t>月</w:t>
      </w:r>
      <w:r>
        <w:rPr>
          <w:rFonts w:hint="eastAsia"/>
        </w:rPr>
        <w:t>4</w:t>
      </w:r>
      <w:r>
        <w:rPr>
          <w:rFonts w:hint="eastAsia"/>
        </w:rPr>
        <w:t>日</w:t>
      </w:r>
      <w:r w:rsidR="00B90B17">
        <w:rPr>
          <w:rFonts w:hint="eastAsia"/>
        </w:rPr>
        <w:t>)</w:t>
      </w:r>
      <w:r>
        <w:rPr>
          <w:rFonts w:hint="eastAsia"/>
        </w:rPr>
        <w:t>予以通过。亦见</w:t>
      </w:r>
      <w:r>
        <w:t>A</w:t>
      </w:r>
      <w:r w:rsidR="00B90B17">
        <w:t>/</w:t>
      </w:r>
      <w:r>
        <w:t>69</w:t>
      </w:r>
      <w:r w:rsidR="00B90B17">
        <w:t>/</w:t>
      </w:r>
      <w:r>
        <w:t>40</w:t>
      </w:r>
      <w:r w:rsidR="00B90B17">
        <w:t>(</w:t>
      </w:r>
      <w:r>
        <w:t>第一卷</w:t>
      </w:r>
      <w:r w:rsidR="00B90B17">
        <w:t>)</w:t>
      </w:r>
      <w:r w:rsidR="00B90B17">
        <w:t>，</w:t>
      </w:r>
      <w:r>
        <w:rPr>
          <w:rFonts w:hint="eastAsia"/>
        </w:rPr>
        <w:t>第</w:t>
      </w:r>
      <w:r>
        <w:rPr>
          <w:rFonts w:hint="eastAsia"/>
        </w:rPr>
        <w:t>70</w:t>
      </w:r>
      <w:r>
        <w:rPr>
          <w:rFonts w:hint="eastAsia"/>
        </w:rPr>
        <w:t>段。</w:t>
      </w:r>
    </w:p>
  </w:footnote>
  <w:footnote w:id="3">
    <w:p w:rsidR="00255589" w:rsidRPr="00BE3706" w:rsidRDefault="00255589" w:rsidP="00255589">
      <w:pPr>
        <w:pStyle w:val="a6"/>
      </w:pPr>
      <w:r w:rsidRPr="00BE3706">
        <w:tab/>
      </w:r>
      <w:r w:rsidRPr="00B67424">
        <w:rPr>
          <w:rStyle w:val="a7"/>
          <w:rFonts w:eastAsia="宋体"/>
        </w:rPr>
        <w:footnoteRef/>
      </w:r>
      <w:r w:rsidRPr="00BE3706">
        <w:tab/>
      </w:r>
      <w:proofErr w:type="gramStart"/>
      <w:r>
        <w:rPr>
          <w:rFonts w:hint="eastAsia"/>
        </w:rPr>
        <w:t>见</w:t>
      </w:r>
      <w:r w:rsidRPr="000E222F">
        <w:rPr>
          <w:rFonts w:hint="eastAsia"/>
        </w:rPr>
        <w:t>大会</w:t>
      </w:r>
      <w:proofErr w:type="gramEnd"/>
      <w:r w:rsidRPr="000E222F">
        <w:t>第</w:t>
      </w:r>
      <w:r w:rsidRPr="000E222F">
        <w:t>60</w:t>
      </w:r>
      <w:r w:rsidR="00B90B17">
        <w:t>/</w:t>
      </w:r>
      <w:r w:rsidRPr="000E222F">
        <w:t>147</w:t>
      </w:r>
      <w:r w:rsidRPr="000E222F">
        <w:t>号决议</w:t>
      </w:r>
      <w:r w:rsidRPr="000E222F">
        <w:rPr>
          <w:rFonts w:hint="eastAsia"/>
        </w:rPr>
        <w:t>通过</w:t>
      </w:r>
      <w:r>
        <w:rPr>
          <w:rFonts w:hint="eastAsia"/>
        </w:rPr>
        <w:t>的《</w:t>
      </w:r>
      <w:r w:rsidRPr="000E222F">
        <w:rPr>
          <w:rFonts w:hint="eastAsia"/>
        </w:rPr>
        <w:t>关于严重侵犯国际人权法和国际人道主义法行为的受害者获得补救和补偿权的基本原则和准则》。</w:t>
      </w:r>
    </w:p>
  </w:footnote>
  <w:footnote w:id="4">
    <w:p w:rsidR="00255589" w:rsidRPr="001A1C71" w:rsidRDefault="00255589" w:rsidP="00255589">
      <w:pPr>
        <w:pStyle w:val="a6"/>
      </w:pPr>
      <w:r w:rsidRPr="00BE3706">
        <w:tab/>
      </w:r>
      <w:r w:rsidRPr="00B67424">
        <w:rPr>
          <w:rStyle w:val="a7"/>
          <w:rFonts w:eastAsia="宋体"/>
        </w:rPr>
        <w:footnoteRef/>
      </w:r>
      <w:r w:rsidRPr="00BE3706">
        <w:tab/>
      </w:r>
      <w:r>
        <w:t>见委员会关于《公约》缔约国的一般法律义务</w:t>
      </w:r>
      <w:r>
        <w:rPr>
          <w:rFonts w:hint="eastAsia"/>
        </w:rPr>
        <w:t>的</w:t>
      </w:r>
      <w:r>
        <w:t>性质的第</w:t>
      </w:r>
      <w:r>
        <w:t>31</w:t>
      </w:r>
      <w:r w:rsidR="00B90B17">
        <w:t>(</w:t>
      </w:r>
      <w:r>
        <w:t>2004</w:t>
      </w:r>
      <w:r w:rsidR="00B90B17">
        <w:t>)</w:t>
      </w:r>
      <w:r>
        <w:t>号一般性意见</w:t>
      </w:r>
      <w:r w:rsidR="00B90B17">
        <w:rPr>
          <w:rFonts w:hint="eastAsia"/>
        </w:rPr>
        <w:t>，</w:t>
      </w:r>
      <w:r>
        <w:rPr>
          <w:rFonts w:hint="eastAsia"/>
        </w:rPr>
        <w:t>第</w:t>
      </w:r>
      <w:r>
        <w:rPr>
          <w:rFonts w:hint="eastAsia"/>
        </w:rPr>
        <w:t>16</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55589" w:rsidP="00255589">
    <w:pPr>
      <w:pStyle w:val="af0"/>
    </w:pPr>
    <w:proofErr w:type="spellStart"/>
    <w:r>
      <w:t>CCPR</w:t>
    </w:r>
    <w:proofErr w:type="spellEnd"/>
    <w:r>
      <w:t>/C/158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55589" w:rsidP="00255589">
    <w:pPr>
      <w:pStyle w:val="af0"/>
      <w:jc w:val="right"/>
    </w:pPr>
    <w:proofErr w:type="spellStart"/>
    <w:r>
      <w:t>CCPR</w:t>
    </w:r>
    <w:proofErr w:type="spellEnd"/>
    <w:r>
      <w:t>/C/158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DA77A41"/>
    <w:multiLevelType w:val="hybridMultilevel"/>
    <w:tmpl w:val="18ACC348"/>
    <w:lvl w:ilvl="0" w:tplc="E8A6EC5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506667F"/>
    <w:multiLevelType w:val="hybridMultilevel"/>
    <w:tmpl w:val="AC002A3E"/>
    <w:lvl w:ilvl="0" w:tplc="81EEEB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C415A3C"/>
    <w:multiLevelType w:val="hybridMultilevel"/>
    <w:tmpl w:val="58540C8C"/>
    <w:lvl w:ilvl="0" w:tplc="4CA00CE0">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9166329"/>
    <w:multiLevelType w:val="hybridMultilevel"/>
    <w:tmpl w:val="D8749476"/>
    <w:lvl w:ilvl="0" w:tplc="DB5E4C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A9B7A16"/>
    <w:multiLevelType w:val="hybridMultilevel"/>
    <w:tmpl w:val="BF300662"/>
    <w:lvl w:ilvl="0" w:tplc="4204E8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7"/>
  </w:num>
  <w:num w:numId="3">
    <w:abstractNumId w:val="3"/>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5"/>
  </w:num>
  <w:num w:numId="10">
    <w:abstractNumId w:val="4"/>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0E6"/>
    <w:rsid w:val="00011483"/>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55589"/>
    <w:rsid w:val="002E1C97"/>
    <w:rsid w:val="002F5834"/>
    <w:rsid w:val="003006AB"/>
    <w:rsid w:val="00326EBF"/>
    <w:rsid w:val="00327FE4"/>
    <w:rsid w:val="003333CC"/>
    <w:rsid w:val="00427F63"/>
    <w:rsid w:val="00434D38"/>
    <w:rsid w:val="00494EB8"/>
    <w:rsid w:val="004C4A0A"/>
    <w:rsid w:val="004F348E"/>
    <w:rsid w:val="00501220"/>
    <w:rsid w:val="005E403A"/>
    <w:rsid w:val="00604D91"/>
    <w:rsid w:val="0067488B"/>
    <w:rsid w:val="00680656"/>
    <w:rsid w:val="006B1119"/>
    <w:rsid w:val="006D3757"/>
    <w:rsid w:val="006D37EB"/>
    <w:rsid w:val="006E3E46"/>
    <w:rsid w:val="006E71B1"/>
    <w:rsid w:val="006F1404"/>
    <w:rsid w:val="0070593B"/>
    <w:rsid w:val="00705D89"/>
    <w:rsid w:val="00731A42"/>
    <w:rsid w:val="00767E69"/>
    <w:rsid w:val="0077079A"/>
    <w:rsid w:val="00771504"/>
    <w:rsid w:val="007A5599"/>
    <w:rsid w:val="007C5F23"/>
    <w:rsid w:val="00856233"/>
    <w:rsid w:val="00860F27"/>
    <w:rsid w:val="008B0560"/>
    <w:rsid w:val="008B2BFA"/>
    <w:rsid w:val="008C0588"/>
    <w:rsid w:val="008C3E07"/>
    <w:rsid w:val="008D31F4"/>
    <w:rsid w:val="008E6A3F"/>
    <w:rsid w:val="00923557"/>
    <w:rsid w:val="00936F03"/>
    <w:rsid w:val="00943B69"/>
    <w:rsid w:val="00944CB3"/>
    <w:rsid w:val="00986624"/>
    <w:rsid w:val="009B09D7"/>
    <w:rsid w:val="009D35ED"/>
    <w:rsid w:val="009E046F"/>
    <w:rsid w:val="00A03CB6"/>
    <w:rsid w:val="00A1364C"/>
    <w:rsid w:val="00A21076"/>
    <w:rsid w:val="00A31BA8"/>
    <w:rsid w:val="00A3739A"/>
    <w:rsid w:val="00A52DAF"/>
    <w:rsid w:val="00A84072"/>
    <w:rsid w:val="00B01453"/>
    <w:rsid w:val="00B16570"/>
    <w:rsid w:val="00B23B03"/>
    <w:rsid w:val="00B43EB7"/>
    <w:rsid w:val="00B53320"/>
    <w:rsid w:val="00B90B17"/>
    <w:rsid w:val="00B940E6"/>
    <w:rsid w:val="00BC6522"/>
    <w:rsid w:val="00C121D5"/>
    <w:rsid w:val="00C17349"/>
    <w:rsid w:val="00C351AA"/>
    <w:rsid w:val="00C70852"/>
    <w:rsid w:val="00C7253F"/>
    <w:rsid w:val="00C90707"/>
    <w:rsid w:val="00CE1D1C"/>
    <w:rsid w:val="00D26A05"/>
    <w:rsid w:val="00D9309B"/>
    <w:rsid w:val="00D97B98"/>
    <w:rsid w:val="00DB0641"/>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25558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25558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rsid w:val="00255589"/>
    <w:pPr>
      <w:tabs>
        <w:tab w:val="clear" w:pos="431"/>
      </w:tabs>
      <w:suppressAutoHyphens/>
      <w:overflowPunct/>
      <w:adjustRightInd/>
      <w:snapToGrid/>
      <w:spacing w:after="120" w:line="240" w:lineRule="atLeast"/>
      <w:ind w:left="1134" w:right="1134"/>
    </w:pPr>
    <w:rPr>
      <w:snapToGrid/>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25558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25558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rsid w:val="00255589"/>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419FF-0A9A-4763-85DE-CFD4A5414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1791</Words>
  <Characters>1884</Characters>
  <Application>Microsoft Office Word</Application>
  <DocSecurity>0</DocSecurity>
  <Lines>82</Lines>
  <Paragraphs>37</Paragraphs>
  <ScaleCrop>false</ScaleCrop>
  <Company>DCM</Company>
  <LinksUpToDate>false</LinksUpToDate>
  <CharactersWithSpaces>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1621071</dc:title>
  <dc:subject>CCPR/C/158</dc:subject>
  <dc:creator>tian</dc:creator>
  <cp:keywords/>
  <dc:description/>
  <cp:lastModifiedBy>Tian H.</cp:lastModifiedBy>
  <cp:revision>2</cp:revision>
  <cp:lastPrinted>2014-05-09T11:28:00Z</cp:lastPrinted>
  <dcterms:created xsi:type="dcterms:W3CDTF">2016-12-13T15:29:00Z</dcterms:created>
  <dcterms:modified xsi:type="dcterms:W3CDTF">2016-12-13T15:29:00Z</dcterms:modified>
</cp:coreProperties>
</file>