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11CE952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09CE525" w14:textId="77777777" w:rsidR="002D5AAC" w:rsidRDefault="002D5AAC" w:rsidP="0052712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E0FAACF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A18B678" w14:textId="2B25B35D" w:rsidR="002D5AAC" w:rsidRDefault="0052712B" w:rsidP="0052712B">
            <w:pPr>
              <w:jc w:val="right"/>
            </w:pPr>
            <w:r w:rsidRPr="0052712B">
              <w:rPr>
                <w:sz w:val="40"/>
              </w:rPr>
              <w:t>CCPR</w:t>
            </w:r>
            <w:r>
              <w:t>/C/MLT/CO/3</w:t>
            </w:r>
          </w:p>
        </w:tc>
      </w:tr>
      <w:tr w:rsidR="002D5AAC" w:rsidRPr="0052712B" w14:paraId="6D772281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D2FAC75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22AA950" wp14:editId="39AE15C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8F7CAC9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87F78C1" w14:textId="77777777" w:rsidR="002D5AAC" w:rsidRPr="0052712B" w:rsidRDefault="0052712B" w:rsidP="00BC3629">
            <w:pPr>
              <w:spacing w:before="240"/>
              <w:rPr>
                <w:lang w:val="en-US"/>
              </w:rPr>
            </w:pPr>
            <w:r w:rsidRPr="0052712B">
              <w:rPr>
                <w:lang w:val="en-US"/>
              </w:rPr>
              <w:t>Distr.: General</w:t>
            </w:r>
          </w:p>
          <w:p w14:paraId="27592662" w14:textId="5C403312" w:rsidR="0052712B" w:rsidRPr="0052712B" w:rsidRDefault="000D6255" w:rsidP="0052712B">
            <w:pPr>
              <w:spacing w:line="240" w:lineRule="exact"/>
              <w:rPr>
                <w:lang w:val="en-US"/>
              </w:rPr>
            </w:pPr>
            <w:r>
              <w:t>26 August 2024</w:t>
            </w:r>
          </w:p>
          <w:p w14:paraId="331E893A" w14:textId="77777777" w:rsidR="0052712B" w:rsidRPr="0052712B" w:rsidRDefault="0052712B" w:rsidP="0052712B">
            <w:pPr>
              <w:spacing w:line="240" w:lineRule="exact"/>
              <w:rPr>
                <w:lang w:val="en-US"/>
              </w:rPr>
            </w:pPr>
            <w:r w:rsidRPr="0052712B">
              <w:rPr>
                <w:lang w:val="en-US"/>
              </w:rPr>
              <w:t>Russian</w:t>
            </w:r>
          </w:p>
          <w:p w14:paraId="052B6966" w14:textId="09E82BF5" w:rsidR="0052712B" w:rsidRPr="0052712B" w:rsidRDefault="0052712B" w:rsidP="0052712B">
            <w:pPr>
              <w:spacing w:line="240" w:lineRule="exact"/>
              <w:rPr>
                <w:lang w:val="en-US"/>
              </w:rPr>
            </w:pPr>
            <w:r w:rsidRPr="0052712B">
              <w:rPr>
                <w:lang w:val="en-US"/>
              </w:rPr>
              <w:t>Original: English</w:t>
            </w:r>
          </w:p>
        </w:tc>
      </w:tr>
    </w:tbl>
    <w:p w14:paraId="259A803C" w14:textId="77777777" w:rsidR="00574132" w:rsidRPr="001A566C" w:rsidRDefault="00574132" w:rsidP="00574132">
      <w:pPr>
        <w:spacing w:before="120"/>
        <w:rPr>
          <w:b/>
          <w:bCs/>
          <w:color w:val="000000" w:themeColor="text1"/>
          <w:sz w:val="24"/>
          <w:szCs w:val="24"/>
        </w:rPr>
      </w:pPr>
      <w:r w:rsidRPr="001A566C">
        <w:rPr>
          <w:b/>
          <w:bCs/>
          <w:color w:val="000000" w:themeColor="text1"/>
          <w:sz w:val="24"/>
          <w:szCs w:val="24"/>
        </w:rPr>
        <w:t>Комитет по правам человека</w:t>
      </w:r>
    </w:p>
    <w:p w14:paraId="33364C2C" w14:textId="77777777" w:rsidR="00574132" w:rsidRPr="008B6B25" w:rsidRDefault="00574132" w:rsidP="00574132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третьему периодическому докладу Мальты</w:t>
      </w:r>
      <w:r w:rsidRPr="00D55AEE">
        <w:rPr>
          <w:b w:val="0"/>
          <w:bCs/>
          <w:sz w:val="20"/>
        </w:rPr>
        <w:footnoteReference w:customMarkFollows="1" w:id="1"/>
        <w:t>*</w:t>
      </w:r>
    </w:p>
    <w:p w14:paraId="45150DAC" w14:textId="12B7FCA4" w:rsidR="00574132" w:rsidRPr="008B6B25" w:rsidRDefault="00574132" w:rsidP="00574132">
      <w:pPr>
        <w:pStyle w:val="SingleTxtG"/>
      </w:pPr>
      <w:r>
        <w:t>1.</w:t>
      </w:r>
      <w:r>
        <w:tab/>
        <w:t>Комитет рассмотрел третий периодический доклад Мальты</w:t>
      </w:r>
      <w:r w:rsidRPr="00C26419">
        <w:rPr>
          <w:rStyle w:val="aa"/>
        </w:rPr>
        <w:footnoteReference w:id="2"/>
      </w:r>
      <w:r>
        <w:t xml:space="preserve"> на своих </w:t>
      </w:r>
      <w:r>
        <w:rPr>
          <w:lang w:val="en-US"/>
        </w:rPr>
        <w:br/>
      </w:r>
      <w:r>
        <w:t>4118-м и 4119-м заседаниях</w:t>
      </w:r>
      <w:r w:rsidRPr="00C26419">
        <w:rPr>
          <w:rStyle w:val="aa"/>
        </w:rPr>
        <w:footnoteReference w:id="3"/>
      </w:r>
      <w:r>
        <w:t>, прошедших 3 и 4 июля 2024</w:t>
      </w:r>
      <w:r>
        <w:rPr>
          <w:lang w:val="en-US"/>
        </w:rPr>
        <w:t> </w:t>
      </w:r>
      <w:r>
        <w:t xml:space="preserve">года. На своем </w:t>
      </w:r>
      <w:r w:rsidR="00BB7E62">
        <w:rPr>
          <w:lang w:val="en-US"/>
        </w:rPr>
        <w:br/>
      </w:r>
      <w:r>
        <w:t>4140-м заседании, состоявшемся 18 июля 2024</w:t>
      </w:r>
      <w:r>
        <w:rPr>
          <w:lang w:val="en-US"/>
        </w:rPr>
        <w:t> </w:t>
      </w:r>
      <w:r>
        <w:t>года, он принял настоящие заключительные замечания.</w:t>
      </w:r>
    </w:p>
    <w:p w14:paraId="53BA6995" w14:textId="77777777" w:rsidR="00574132" w:rsidRPr="008B6B25" w:rsidRDefault="00574132" w:rsidP="00574132">
      <w:pPr>
        <w:pStyle w:val="H1G"/>
      </w:pPr>
      <w:r w:rsidRPr="008B6B25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31715AC3" w14:textId="5AD5A04F" w:rsidR="00574132" w:rsidRPr="008B6B25" w:rsidRDefault="00574132" w:rsidP="00574132">
      <w:pPr>
        <w:pStyle w:val="SingleTxtG"/>
      </w:pPr>
      <w:r>
        <w:t>2.</w:t>
      </w:r>
      <w:r>
        <w:tab/>
        <w:t>Комитет выражает государству-участнику признательность за согласие следовать упрощенной процедуре представления докладов и за представление своего третьего периодического доклада в ответ на препровожденный до представления доклада перечень вопросов, который был подготовлен в рамках этой процедуры</w:t>
      </w:r>
      <w:r w:rsidRPr="00C26419">
        <w:rPr>
          <w:rStyle w:val="aa"/>
        </w:rPr>
        <w:footnoteReference w:id="4"/>
      </w:r>
      <w:r>
        <w:t>. Он</w:t>
      </w:r>
      <w:r w:rsidR="003850DE">
        <w:rPr>
          <w:lang w:val="en-US"/>
        </w:rPr>
        <w:t> </w:t>
      </w:r>
      <w:r>
        <w:t>выражает признательность и за возможность возобновления конструктивного диалога с делегацией высокого уровня государства-участника по вопросу о мерах, принятых за отчетный период с целью осуществления положений Пакта. Комитет благодарит государство-участник за устные ответы делегации в ходе конструктивного диалога, а также за дополнительную информацию, представленную ему в письменном виде.</w:t>
      </w:r>
    </w:p>
    <w:p w14:paraId="64B3B850" w14:textId="77777777" w:rsidR="00574132" w:rsidRPr="008B6B25" w:rsidRDefault="00574132" w:rsidP="00574132">
      <w:pPr>
        <w:pStyle w:val="H1G"/>
      </w:pPr>
      <w:r w:rsidRPr="001A566C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5DB2CE38" w14:textId="77777777" w:rsidR="00574132" w:rsidRPr="008B6B25" w:rsidRDefault="00574132" w:rsidP="00574132">
      <w:pPr>
        <w:pStyle w:val="SingleTxtG"/>
      </w:pPr>
      <w:r>
        <w:t>3.</w:t>
      </w:r>
      <w:r>
        <w:tab/>
        <w:t xml:space="preserve">Комитет приветствует следующие законодательные, политические и институциональные меры, принятые государством-участником: </w:t>
      </w:r>
    </w:p>
    <w:p w14:paraId="2F9E2F88" w14:textId="77777777" w:rsidR="00574132" w:rsidRPr="008B6B25" w:rsidRDefault="00574132" w:rsidP="00574132">
      <w:pPr>
        <w:pStyle w:val="SingleTxtG"/>
        <w:ind w:firstLine="567"/>
      </w:pPr>
      <w:r>
        <w:t>a)</w:t>
      </w:r>
      <w:r>
        <w:tab/>
        <w:t>принятие в 2016</w:t>
      </w:r>
      <w:r>
        <w:rPr>
          <w:lang w:val="en-US"/>
        </w:rPr>
        <w:t> </w:t>
      </w:r>
      <w:r>
        <w:t xml:space="preserve">году Закона о внесении изменений в Уголовный кодекс, отменяющего положения о преступлении, связанном с очернением римско-католической апостольской религии и других религий, допускаемых законом; </w:t>
      </w:r>
    </w:p>
    <w:p w14:paraId="6292518A" w14:textId="77777777" w:rsidR="00574132" w:rsidRPr="008B6B25" w:rsidRDefault="00574132" w:rsidP="00574132">
      <w:pPr>
        <w:pStyle w:val="SingleTxtG"/>
        <w:ind w:firstLine="567"/>
      </w:pPr>
      <w:r>
        <w:t>b)</w:t>
      </w:r>
      <w:r>
        <w:tab/>
        <w:t>внесение в 2020</w:t>
      </w:r>
      <w:r>
        <w:rPr>
          <w:lang w:val="en-US"/>
        </w:rPr>
        <w:t> </w:t>
      </w:r>
      <w:r>
        <w:t>году поправок в Закон о детях и молодежи (приказы об уходе) 1980</w:t>
      </w:r>
      <w:r>
        <w:rPr>
          <w:lang w:val="en-US"/>
        </w:rPr>
        <w:t> </w:t>
      </w:r>
      <w:r>
        <w:t>года путем принятия Закона о защите несовершеннолетних (альтернативный уход);</w:t>
      </w:r>
    </w:p>
    <w:p w14:paraId="224F12DF" w14:textId="77777777" w:rsidR="00574132" w:rsidRPr="008B6B25" w:rsidRDefault="00574132" w:rsidP="00574132">
      <w:pPr>
        <w:pStyle w:val="SingleTxtG"/>
        <w:ind w:firstLine="567"/>
      </w:pPr>
      <w:r>
        <w:t>c)</w:t>
      </w:r>
      <w:r>
        <w:tab/>
        <w:t>принятие в 2024</w:t>
      </w:r>
      <w:r>
        <w:rPr>
          <w:lang w:val="en-US"/>
        </w:rPr>
        <w:t> </w:t>
      </w:r>
      <w:r>
        <w:t>году поправки № 5 к Уголовному кодексу, запрещающей проверку девственности;</w:t>
      </w:r>
    </w:p>
    <w:p w14:paraId="4E93B287" w14:textId="77777777" w:rsidR="00574132" w:rsidRPr="008B6B25" w:rsidRDefault="00574132" w:rsidP="00574132">
      <w:pPr>
        <w:pStyle w:val="SingleTxtG"/>
        <w:ind w:firstLine="567"/>
      </w:pPr>
      <w:r>
        <w:t>d)</w:t>
      </w:r>
      <w:r>
        <w:tab/>
        <w:t>утверждение национального плана действий по борьбе с торговлей людьми на 2020–2023</w:t>
      </w:r>
      <w:r>
        <w:rPr>
          <w:lang w:val="en-US"/>
        </w:rPr>
        <w:t> </w:t>
      </w:r>
      <w:r>
        <w:t xml:space="preserve">годы; </w:t>
      </w:r>
    </w:p>
    <w:p w14:paraId="1334C3C1" w14:textId="77777777" w:rsidR="00574132" w:rsidRPr="008B6B25" w:rsidRDefault="00574132" w:rsidP="00574132">
      <w:pPr>
        <w:pStyle w:val="SingleTxtG"/>
        <w:ind w:firstLine="567"/>
      </w:pPr>
      <w:r>
        <w:lastRenderedPageBreak/>
        <w:t>e)</w:t>
      </w:r>
      <w:r>
        <w:tab/>
        <w:t>утверждение национальной стратегии по правам лиц с инвалидностью на 2021–2030</w:t>
      </w:r>
      <w:r>
        <w:rPr>
          <w:lang w:val="en-US"/>
        </w:rPr>
        <w:t> </w:t>
      </w:r>
      <w:r>
        <w:t>годы;</w:t>
      </w:r>
    </w:p>
    <w:p w14:paraId="6A468D5D" w14:textId="77777777" w:rsidR="00574132" w:rsidRPr="008B6B25" w:rsidRDefault="00574132" w:rsidP="00574132">
      <w:pPr>
        <w:pStyle w:val="SingleTxtG"/>
        <w:ind w:firstLine="567"/>
      </w:pPr>
      <w:r>
        <w:t>f)</w:t>
      </w:r>
      <w:r>
        <w:tab/>
        <w:t>утверждение в 2021</w:t>
      </w:r>
      <w:r>
        <w:rPr>
          <w:lang w:val="en-US"/>
        </w:rPr>
        <w:t> </w:t>
      </w:r>
      <w:r>
        <w:t>году стратегии по борьбе с расизмом на 2021–2023</w:t>
      </w:r>
      <w:r>
        <w:rPr>
          <w:lang w:val="en-US"/>
        </w:rPr>
        <w:t> </w:t>
      </w:r>
      <w:r>
        <w:t>годы;</w:t>
      </w:r>
    </w:p>
    <w:p w14:paraId="2FAA2937" w14:textId="77777777" w:rsidR="00574132" w:rsidRPr="008B6B25" w:rsidRDefault="00574132" w:rsidP="00574132">
      <w:pPr>
        <w:pStyle w:val="SingleTxtG"/>
        <w:ind w:firstLine="567"/>
      </w:pPr>
      <w:r>
        <w:t>g)</w:t>
      </w:r>
      <w:r>
        <w:tab/>
        <w:t>принятие в 2021</w:t>
      </w:r>
      <w:r>
        <w:rPr>
          <w:lang w:val="en-US"/>
        </w:rPr>
        <w:t> </w:t>
      </w:r>
      <w:r>
        <w:t>году поправки к Закону о защите лиц, сигнализирующих о нарушениях;</w:t>
      </w:r>
    </w:p>
    <w:p w14:paraId="2DFBE332" w14:textId="77777777" w:rsidR="00574132" w:rsidRPr="008B6B25" w:rsidRDefault="00574132" w:rsidP="00574132">
      <w:pPr>
        <w:pStyle w:val="SingleTxtG"/>
        <w:ind w:firstLine="567"/>
      </w:pPr>
      <w:r>
        <w:t>h)</w:t>
      </w:r>
      <w:r>
        <w:tab/>
        <w:t>утверждение стратегии и плана действий по обеспечению гендерного равенства и всестороннему учету гендерной проблематики на 2022–2027</w:t>
      </w:r>
      <w:r>
        <w:rPr>
          <w:lang w:val="en-US"/>
        </w:rPr>
        <w:t> </w:t>
      </w:r>
      <w:r>
        <w:t>годы;</w:t>
      </w:r>
    </w:p>
    <w:p w14:paraId="3347C231" w14:textId="77777777" w:rsidR="00574132" w:rsidRPr="008B6B25" w:rsidRDefault="00574132" w:rsidP="00574132">
      <w:pPr>
        <w:pStyle w:val="SingleTxtG"/>
        <w:ind w:firstLine="567"/>
      </w:pPr>
      <w:r>
        <w:t>i)</w:t>
      </w:r>
      <w:r>
        <w:tab/>
        <w:t>утверждение третьей национальной стратегии искоренения гендерного и домашнего насилия на 2023–2028</w:t>
      </w:r>
      <w:r>
        <w:rPr>
          <w:lang w:val="en-US"/>
        </w:rPr>
        <w:t> </w:t>
      </w:r>
      <w:r>
        <w:t>годы.</w:t>
      </w:r>
    </w:p>
    <w:p w14:paraId="62F1A126" w14:textId="77777777" w:rsidR="00574132" w:rsidRPr="008B6B25" w:rsidRDefault="00574132" w:rsidP="00574132">
      <w:pPr>
        <w:pStyle w:val="H1G"/>
      </w:pPr>
      <w:r w:rsidRPr="001A566C">
        <w:rPr>
          <w:bCs/>
        </w:rPr>
        <w:tab/>
      </w:r>
      <w:r>
        <w:rPr>
          <w:bCs/>
        </w:rPr>
        <w:t>C.</w:t>
      </w:r>
      <w:r>
        <w:tab/>
      </w:r>
      <w:r>
        <w:tab/>
      </w:r>
      <w:r>
        <w:rPr>
          <w:bCs/>
        </w:rPr>
        <w:t>Вопросы, вызывающие обеспокоенность, и рекомендации</w:t>
      </w:r>
    </w:p>
    <w:p w14:paraId="6AC0165A" w14:textId="77777777" w:rsidR="00574132" w:rsidRPr="008B6B25" w:rsidRDefault="00574132" w:rsidP="00574132">
      <w:pPr>
        <w:pStyle w:val="H23G"/>
      </w:pPr>
      <w:r>
        <w:tab/>
      </w:r>
      <w:r>
        <w:tab/>
      </w:r>
      <w:r>
        <w:rPr>
          <w:bCs/>
        </w:rPr>
        <w:t>Конституционная и правовая основа применения Пакта</w:t>
      </w:r>
    </w:p>
    <w:p w14:paraId="66267BF2" w14:textId="77777777" w:rsidR="00574132" w:rsidRPr="008B6B25" w:rsidRDefault="00574132" w:rsidP="00574132">
      <w:pPr>
        <w:pStyle w:val="SingleTxtG"/>
      </w:pPr>
      <w:r>
        <w:t>4.</w:t>
      </w:r>
      <w:r>
        <w:tab/>
        <w:t>Отмечая проведение Комитетом по судебным исследованиям учебных курсов по закрепленным в Пакте правам, включенным в национальные правовые документы, для судей, адвокатов и прокуроров, Комитет выражает сожаление по поводу отсутствия информации о случаях применения положений Пакта национальными судами и о мерах, принятых для повышения осведомленности о Пакте и Факультативном протоколе к нему среди широкой общественности (статья 2).</w:t>
      </w:r>
    </w:p>
    <w:p w14:paraId="6D6DD96A" w14:textId="77777777" w:rsidR="00574132" w:rsidRPr="008B6B25" w:rsidRDefault="00574132" w:rsidP="00574132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С учетом предыдущих рекомендаций Комитета</w:t>
      </w:r>
      <w:r w:rsidRPr="00873724">
        <w:rPr>
          <w:rStyle w:val="aa"/>
        </w:rPr>
        <w:footnoteReference w:id="5"/>
      </w:r>
      <w:r>
        <w:rPr>
          <w:b/>
          <w:bCs/>
        </w:rPr>
        <w:t xml:space="preserve"> государству-участнику следует принять все необходимые меры для уточнения внутригосударственного статуса Пакта и первого Факультативного протокола к нему с целью обеспечения возможности их прямого применения.</w:t>
      </w:r>
      <w:r>
        <w:t xml:space="preserve"> </w:t>
      </w:r>
      <w:r>
        <w:rPr>
          <w:b/>
          <w:bCs/>
        </w:rPr>
        <w:t>Государству-участнику следует осуществлять через Комитет по судебным исследованиям тщательную, доступную и регулярно обновляемую программу обучения по Пакту и Факультативному протоколу для судей, прокуроров и адвокатов.</w:t>
      </w:r>
      <w:r>
        <w:t xml:space="preserve"> </w:t>
      </w:r>
      <w:r>
        <w:rPr>
          <w:b/>
          <w:bCs/>
        </w:rPr>
        <w:t>Государству-участнику следует также принять соответствующие меры по повышению осведомленности широкой общественности о Пакте, Факультативном протоколе к нему и действующих механизмах подачи в Комитет индивидуальных жалоб на нарушение Пакта.</w:t>
      </w:r>
    </w:p>
    <w:p w14:paraId="2A3AA3EE" w14:textId="77777777" w:rsidR="00574132" w:rsidRPr="008B6B25" w:rsidRDefault="00574132" w:rsidP="00574132">
      <w:pPr>
        <w:pStyle w:val="H23G"/>
      </w:pPr>
      <w:r>
        <w:tab/>
      </w:r>
      <w:r>
        <w:tab/>
      </w:r>
      <w:r>
        <w:rPr>
          <w:bCs/>
        </w:rPr>
        <w:t>Оговорки</w:t>
      </w:r>
      <w:r>
        <w:t xml:space="preserve"> </w:t>
      </w:r>
    </w:p>
    <w:p w14:paraId="26AFB502" w14:textId="77777777" w:rsidR="00574132" w:rsidRPr="008B6B25" w:rsidRDefault="00574132" w:rsidP="00574132">
      <w:pPr>
        <w:pStyle w:val="SingleTxtG"/>
      </w:pPr>
      <w:r>
        <w:t>6.</w:t>
      </w:r>
      <w:r>
        <w:tab/>
        <w:t>Отмечая подтвержденное обязательство государства-участника принять меры по снятию своих оговорок к Пакту, Комитет по-прежнему обеспокоен тем, что государство-участник сохраняет оговорку к статье 13 на том основании, что оно не может применять ее положения, и оговорки к пунктам 2 и 6 статьи 14, а также к статьям 19, 20 и 22 на том основании, что оно оставляет за собой право ограничивать эти права или не принимать законодательных мер для их реализации. Комитет вновь выражает обеспокоенность тем, что эти оговорки подрывают приверженность государства-участника Пакту и в целом негативно сказываются на его осуществлении. Комитет обеспокоен воздействием этих оговорок на права всех людей (статья 2).</w:t>
      </w:r>
    </w:p>
    <w:p w14:paraId="3DBFD582" w14:textId="77777777" w:rsidR="00574132" w:rsidRPr="008B6B25" w:rsidRDefault="00574132" w:rsidP="00574132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С учетом предыдущих рекомендаций Комитета</w:t>
      </w:r>
      <w:r w:rsidRPr="00873724">
        <w:rPr>
          <w:rStyle w:val="aa"/>
        </w:rPr>
        <w:footnoteReference w:id="6"/>
      </w:r>
      <w:r>
        <w:rPr>
          <w:b/>
          <w:bCs/>
        </w:rPr>
        <w:t xml:space="preserve"> государству-участнику следует рассмотреть возможность снятия своих оговорок к статьям 13, 14, 19, 20 и 22 Пакта, принимая во внимание негативное воздействие законов и нормативных актов, принятых в соответствии с оговорками государства-участника, на полную и равную реализацию всех прав, закрепленных в Пакте, и обеспечение полноценного участия соответствующих заинтересованных сторон, организаций гражданского общества и экспертов по правам человека.</w:t>
      </w:r>
      <w:r>
        <w:t xml:space="preserve"> </w:t>
      </w:r>
    </w:p>
    <w:p w14:paraId="036EB685" w14:textId="77777777" w:rsidR="00574132" w:rsidRPr="008B6B25" w:rsidRDefault="00574132" w:rsidP="00574132">
      <w:pPr>
        <w:pStyle w:val="H23G"/>
      </w:pPr>
      <w:r>
        <w:lastRenderedPageBreak/>
        <w:tab/>
      </w:r>
      <w:r>
        <w:tab/>
      </w:r>
      <w:r>
        <w:rPr>
          <w:bCs/>
        </w:rPr>
        <w:t>Национальное правозащитное учреждение</w:t>
      </w:r>
    </w:p>
    <w:p w14:paraId="495CBB12" w14:textId="77777777" w:rsidR="00574132" w:rsidRPr="008B6B25" w:rsidRDefault="00574132" w:rsidP="00574132">
      <w:pPr>
        <w:pStyle w:val="SingleTxtG"/>
      </w:pPr>
      <w:r>
        <w:t>8.</w:t>
      </w:r>
      <w:r>
        <w:tab/>
        <w:t xml:space="preserve">Комитет принимает к сведению, что в </w:t>
      </w:r>
      <w:r w:rsidRPr="00A52FB8">
        <w:t>2025</w:t>
      </w:r>
      <w:r>
        <w:t> </w:t>
      </w:r>
      <w:r w:rsidRPr="00A52FB8">
        <w:t>году</w:t>
      </w:r>
      <w:r>
        <w:t xml:space="preserve"> ожидается принятие законодательства о создании Национальной комиссии по поощрению равенства и прав человека в соответствии с принципами, касающимися статуса национальных учреждений, занимающихся поощрением и защитой прав человека (Парижские принципы) (статья 2). </w:t>
      </w:r>
    </w:p>
    <w:p w14:paraId="05818892" w14:textId="77777777" w:rsidR="00574132" w:rsidRPr="008B6B25" w:rsidRDefault="00574132" w:rsidP="00574132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С учетом предыдущих рекомендаций Комитета</w:t>
      </w:r>
      <w:r w:rsidRPr="00873724">
        <w:rPr>
          <w:rStyle w:val="aa"/>
        </w:rPr>
        <w:footnoteReference w:id="7"/>
      </w:r>
      <w:r>
        <w:rPr>
          <w:b/>
          <w:bCs/>
        </w:rPr>
        <w:t xml:space="preserve"> государству-участнику следует ускорить принятие законодательных мер, нацеленных на создание Национальной комиссии по поощрению равенства и прав человека в полном соответствии с Парижскими принципами, установив четкие и конкретные сроки ее создания и обеспечив эффективное участие гражданского общества.</w:t>
      </w:r>
      <w:r>
        <w:t xml:space="preserve"> </w:t>
      </w:r>
    </w:p>
    <w:p w14:paraId="5560F326" w14:textId="77777777" w:rsidR="00574132" w:rsidRPr="008B6B25" w:rsidRDefault="00574132" w:rsidP="00574132">
      <w:pPr>
        <w:pStyle w:val="H23G"/>
      </w:pPr>
      <w:r>
        <w:tab/>
      </w:r>
      <w:r>
        <w:tab/>
      </w:r>
      <w:r>
        <w:rPr>
          <w:bCs/>
        </w:rPr>
        <w:t>Меры по борьбе с коррупцией</w:t>
      </w:r>
    </w:p>
    <w:p w14:paraId="035CD5CB" w14:textId="77777777" w:rsidR="00574132" w:rsidRPr="008B6B25" w:rsidRDefault="00574132" w:rsidP="00574132">
      <w:pPr>
        <w:pStyle w:val="SingleTxtG"/>
      </w:pPr>
      <w:r>
        <w:t>10.</w:t>
      </w:r>
      <w:r>
        <w:tab/>
        <w:t>Комитет высоко оценивает принятие в 2021 году поправки к Закону о защите лиц, сигнализирующих о нарушениях. Комитет принимает к сведению вынесенное в апреле 2024 года</w:t>
      </w:r>
      <w:r w:rsidRPr="00A52FB8">
        <w:t xml:space="preserve"> </w:t>
      </w:r>
      <w:r>
        <w:t>решение генерального прокурора о предъявлении уголовных обвинений каждому из фигурантов судебного расследования по делу о соглашении между нынешними и бывшими публичными должностными лицами о приватизации трех государственных больниц. Отмечая, что в период с 2020 по 2024 год были проведены расследования и судебные разбирательства по 24 делам о коррупции публичных должностных лиц, Комитет обеспокоен тем, что только три из них касались публичных должностных лиц, избранных на высокие посты. Комитет сожалеет об отсутствии конкретной информации о количестве дел и итогах разбирательства по ним, включая вынесенные обвинительные приговоры и назначенные наказания, а также о мерах, принятых для обеспечения независимого и беспристрастного расследования и проведения судебного разбирательства по всем делам о коррупции, в том числе по делам, касающимся публичных должностных лиц, обвиняемых в коррупции в особо крупных размерах (статьи 2 и 25).</w:t>
      </w:r>
    </w:p>
    <w:p w14:paraId="1B82902F" w14:textId="77777777" w:rsidR="00574132" w:rsidRPr="008B6B25" w:rsidRDefault="00574132" w:rsidP="00574132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Государству-участнику следует принять законодательные и институциональные меры, с тем чтобы в законодательстве и на практике гарантировать защиту лиц, сигнализирующих о нарушениях, обеспечить независимость, эффективность, прозрачность и подотчетность всех антикоррупционных органов и гарантировать оперативное и своевременное расследование всех сообщений о коррупции, включая жалобы, касающиеся высокопоставленных публичных должностных лиц, обвиняемых в коррупции в особо крупных размерах, обеспечить проведение судебного разбирательства и, в случае осуждения, назначение виновным наказания, соответствующего тяжести преступления.</w:t>
      </w:r>
    </w:p>
    <w:p w14:paraId="7AE220D4" w14:textId="77777777" w:rsidR="00574132" w:rsidRPr="008B6B25" w:rsidRDefault="00574132" w:rsidP="00574132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  <w:r>
        <w:t xml:space="preserve"> </w:t>
      </w:r>
    </w:p>
    <w:p w14:paraId="50126957" w14:textId="77777777" w:rsidR="00574132" w:rsidRPr="008B6B25" w:rsidRDefault="00574132" w:rsidP="00574132">
      <w:pPr>
        <w:pStyle w:val="SingleTxtG"/>
      </w:pPr>
      <w:r>
        <w:t>12.</w:t>
      </w:r>
      <w:r>
        <w:tab/>
        <w:t xml:space="preserve">Комитет с удовлетворением отмечает, что государство-участник заняло первое место в рейтинге Международной ассоциации лесбиянок и геев «Европейский радужный индекс», набрав 89 % баллов на основе законов и нормативных актов, оказывающих непосредственное воздействие на права человека лесбиянок, геев, бисексуальных и трансгендерных людей. Однако Комитет обеспокоен тем, что законопроект о равенстве, который призван обеспечить всеобъемлющую законодательную базу для борьбы с дискриминацией, еще не принят в качестве закона и все еще ожидает вынесения на рассмотрение парламента. Комитет обеспокоен также сохранением расовой дискриминации, ненавистнических высказываний и преступлений на почве ненависти, включая словесные нападки, разжигание ненависти в Интернете и физическое насилие, особенно в отношении уязвимых групп и групп меньшинств, включая лиц африканского происхождения и людей из других стран, мусульман, мигрантов, беженцев и просителей убежища. Кроме того, Комитет обеспокоен сообщениями о том, что публичные должностные лица и политики </w:t>
      </w:r>
      <w:r>
        <w:lastRenderedPageBreak/>
        <w:t>используют язык ненависти и занимаются подстрекательством к насилию, способствуя нагнетанию атмосферы нетерпимости и враждебности. Комитет обеспокоен тем, что преступления на почве ненависти и случаи использования языка ненависти не расследуются и по ним не проводится судебное разбирательство, что приводит к безнаказанности виновных (статьи 2, 20 и 26).</w:t>
      </w:r>
    </w:p>
    <w:p w14:paraId="6D60000D" w14:textId="77777777" w:rsidR="00574132" w:rsidRPr="008B6B25" w:rsidRDefault="00574132" w:rsidP="00574132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С учетом предыдущих рекомендаций Комитета</w:t>
      </w:r>
      <w:r w:rsidRPr="00873724">
        <w:rPr>
          <w:rStyle w:val="aa"/>
        </w:rPr>
        <w:footnoteReference w:id="8"/>
      </w:r>
      <w:r>
        <w:rPr>
          <w:b/>
          <w:bCs/>
        </w:rPr>
        <w:t xml:space="preserve"> государству-участнику следует:</w:t>
      </w:r>
    </w:p>
    <w:p w14:paraId="16EEDD93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a)</w:t>
      </w:r>
      <w:r w:rsidRPr="00574132">
        <w:rPr>
          <w:b/>
          <w:bCs/>
        </w:rPr>
        <w:tab/>
        <w:t>обеспечить сбор и публикацию дезагрегированных данных о преступлениях на почве ненависти и случаях использования языка ненависти, включая количество зафиксированных случаев, расследований, судебных разбирательств и обвинительных приговоров;</w:t>
      </w:r>
    </w:p>
    <w:p w14:paraId="64B704C6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b)</w:t>
      </w:r>
      <w:r w:rsidRPr="00574132">
        <w:rPr>
          <w:b/>
          <w:bCs/>
        </w:rPr>
        <w:tab/>
        <w:t xml:space="preserve">ускорить принятие и вступление в силу проекта закона о равенстве, обеспечивающего всеобъемлющую законодательную базу для борьбы с дискриминацией; </w:t>
      </w:r>
    </w:p>
    <w:p w14:paraId="5C3F1EDB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c)</w:t>
      </w:r>
      <w:r w:rsidRPr="00574132">
        <w:rPr>
          <w:b/>
          <w:bCs/>
        </w:rPr>
        <w:tab/>
        <w:t>следить за исполнением законов, запрещающих и криминализирующих использование языка ненависти и разжигание ненависти, в том числе со стороны публичных должностных лиц и политиков, обеспечив ответственность за такие действия и соответствующие санкции;</w:t>
      </w:r>
    </w:p>
    <w:p w14:paraId="7C8FAC38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d)</w:t>
      </w:r>
      <w:r w:rsidRPr="00574132">
        <w:rPr>
          <w:b/>
          <w:bCs/>
        </w:rPr>
        <w:tab/>
        <w:t>повысить эффективность действий по борьбе с распространением языка ненависти в Интернете в тесном сотрудничестве с поставщиками интернет-услуг, платформами социальных сетей и группами, наиболее затрагиваемыми ненавистническими высказываниями;</w:t>
      </w:r>
    </w:p>
    <w:p w14:paraId="2ECED96E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e)</w:t>
      </w:r>
      <w:r w:rsidRPr="00574132">
        <w:rPr>
          <w:b/>
          <w:bCs/>
        </w:rPr>
        <w:tab/>
        <w:t>гарантировать жертвам ненавистнических высказываний и преступлений на почве ненависти надлежащую защиту и поддержку, включая доступ к бесплатной юридической помощи, психологической поддержке и другим необходимым услугам, а также обеспечить, чтобы жертвы знали о своем праве на эффективные средства правовой защиты;</w:t>
      </w:r>
    </w:p>
    <w:p w14:paraId="507818D1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f)</w:t>
      </w:r>
      <w:r w:rsidRPr="00574132">
        <w:rPr>
          <w:b/>
          <w:bCs/>
        </w:rPr>
        <w:tab/>
        <w:t>проводить информационно-просветительские кампании среди публичных должностных лиц и широких слоев населения в целях содействия уважению к правам человека и многообразию.</w:t>
      </w:r>
    </w:p>
    <w:p w14:paraId="2A5CEB2F" w14:textId="77777777" w:rsidR="00574132" w:rsidRPr="008B6B25" w:rsidRDefault="00574132" w:rsidP="00574132">
      <w:pPr>
        <w:pStyle w:val="H23G"/>
      </w:pPr>
      <w:r>
        <w:tab/>
      </w:r>
      <w:r>
        <w:tab/>
      </w:r>
      <w:r>
        <w:rPr>
          <w:bCs/>
        </w:rPr>
        <w:t>Гендерное равноправие</w:t>
      </w:r>
      <w:r>
        <w:t xml:space="preserve"> </w:t>
      </w:r>
    </w:p>
    <w:p w14:paraId="49B73B12" w14:textId="22AA8325" w:rsidR="00574132" w:rsidRPr="008B6B25" w:rsidRDefault="00574132" w:rsidP="00574132">
      <w:pPr>
        <w:pStyle w:val="SingleTxtG"/>
      </w:pPr>
      <w:r>
        <w:t>14.</w:t>
      </w:r>
      <w:r>
        <w:tab/>
        <w:t xml:space="preserve">Комитет высоко оценивает утверждение стратегии и плана действий по обеспечению гендерного равенства и всестороннему учету гендерной проблематики на 2022–2027 годы, а также многочисленные меры, принятые для содействия равному участию мужчин и женщин в общественных и политических делах, в частности введение временных специальных мер на основе поправки 2021 года к Конституции Мальты и Закону о всеобщих выборах. Комитет принимает также к сведению, что в настоящее время женщины составляют 58 </w:t>
      </w:r>
      <w:r w:rsidR="001D5E73" w:rsidRPr="001D5E73">
        <w:t>%</w:t>
      </w:r>
      <w:r>
        <w:t xml:space="preserve"> работников судебных органов, в том числе 46 </w:t>
      </w:r>
      <w:r w:rsidR="001D5E73" w:rsidRPr="001D5E73">
        <w:t>%</w:t>
      </w:r>
      <w:r>
        <w:t xml:space="preserve"> судей. Вместе с тем Комитет по-прежнему обеспокоен сохранением гендерных предубеждений и стереотипов в отношении ролей и обязанностей женщин и мужчин в семье и обществе в целом, что, в частности, приводит к целому ряду проявлений неравенства на рынке труда, включая гендерный разрыв в уровне занятости, составляющий 13,1 %, и гендерный разрыв в уровне пенсий для лиц старше 65 лет, составляющий 41,7 % (статьи 2, 3 и 25).</w:t>
      </w:r>
    </w:p>
    <w:p w14:paraId="156208F1" w14:textId="7BDB3A52" w:rsidR="00574132" w:rsidRPr="008B6B25" w:rsidRDefault="00574132" w:rsidP="00574132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Государству-участнику следует активизировать усилия по обеспечению равенства между мужчинами и женщинами во всех сферах как в государственном, так и в частном секторе.</w:t>
      </w:r>
      <w:r>
        <w:t xml:space="preserve"> </w:t>
      </w:r>
      <w:r>
        <w:rPr>
          <w:b/>
          <w:bCs/>
        </w:rPr>
        <w:t>В частности</w:t>
      </w:r>
      <w:r w:rsidR="001D5E73">
        <w:rPr>
          <w:b/>
          <w:bCs/>
        </w:rPr>
        <w:t>,</w:t>
      </w:r>
      <w:r>
        <w:rPr>
          <w:b/>
          <w:bCs/>
        </w:rPr>
        <w:t xml:space="preserve"> государству-участнику следует:</w:t>
      </w:r>
    </w:p>
    <w:p w14:paraId="6CFDD280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lastRenderedPageBreak/>
        <w:tab/>
        <w:t>a)</w:t>
      </w:r>
      <w:r w:rsidRPr="00574132">
        <w:rPr>
          <w:b/>
          <w:bCs/>
        </w:rPr>
        <w:tab/>
        <w:t xml:space="preserve">принять эффективные меры, направленные на обеспечение равенства, на основе дезагрегированных данных о представленности женщин и мужчин в общественных или политических делах; </w:t>
      </w:r>
    </w:p>
    <w:p w14:paraId="6081673E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b)</w:t>
      </w:r>
      <w:r w:rsidRPr="00574132">
        <w:rPr>
          <w:b/>
          <w:bCs/>
        </w:rPr>
        <w:tab/>
        <w:t>принять меры, включая временные специальные меры, для устранения неравенства на рынке труда, в частности неравенства, которое в непропорционально большей степени затрагивает уязвимые группы женщин, включая пожилых женщин, и способствовать реализации принципа равной оплаты за труд равной ценности;</w:t>
      </w:r>
    </w:p>
    <w:p w14:paraId="5F62A158" w14:textId="77777777" w:rsidR="00574132" w:rsidRPr="008B6B25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c)</w:t>
      </w:r>
      <w:r w:rsidRPr="00574132">
        <w:rPr>
          <w:b/>
          <w:bCs/>
        </w:rPr>
        <w:tab/>
        <w:t>повышать осведомленность общественности о принципе равенства между женщинами и мужчинами</w:t>
      </w:r>
      <w:r>
        <w:rPr>
          <w:b/>
          <w:bCs/>
        </w:rPr>
        <w:t xml:space="preserve"> и необходимости искоренения гендерных стереотипов.</w:t>
      </w:r>
    </w:p>
    <w:p w14:paraId="65D4956B" w14:textId="77777777" w:rsidR="00574132" w:rsidRPr="008B6B25" w:rsidRDefault="00574132" w:rsidP="00574132">
      <w:pPr>
        <w:pStyle w:val="H23G"/>
      </w:pPr>
      <w:r>
        <w:tab/>
      </w:r>
      <w:r>
        <w:tab/>
      </w:r>
      <w:r>
        <w:rPr>
          <w:bCs/>
        </w:rPr>
        <w:t>Насилие в отношении женщин, включая домашнее насилие</w:t>
      </w:r>
      <w:r>
        <w:t xml:space="preserve"> </w:t>
      </w:r>
    </w:p>
    <w:p w14:paraId="27750BA8" w14:textId="77777777" w:rsidR="00574132" w:rsidRPr="008B6B25" w:rsidRDefault="00574132" w:rsidP="00574132">
      <w:pPr>
        <w:pStyle w:val="SingleTxtG"/>
      </w:pPr>
      <w:r>
        <w:t>16.</w:t>
      </w:r>
      <w:r>
        <w:tab/>
        <w:t>Комитет высоко оценивает многочисленные законодательные и институциональные меры, принятые для прекращения насилия в отношении женщин, включая домашнее насилие, в частности принятие статьи 211А Уголовного кодекса на основании Закона № X об отягчающих обстоятельствах убийства женщины от 2022 года и утверждение третьей национальной стратегии искоренения гендерного и домашнего насилия на 2023–2028 годы. Несмотря на меры, принятые государством-участником для решения проблемы неполноты данных о таких преступлениях, включая кампанию «Победи молчание», Комитет по-прежнему обеспокоен тем, что число судебных разбирательств, связанных с насилием в отношении женщин, остается низким, тогда как в рейтинге преступлений по степени распространенности домашнее насилие занимает второе место. Комитет сожалеет также об отсутствии информации о средствах правовой защиты, предоставляемых потерпевшим (статьи 2, 3, 6, 7 и 26).</w:t>
      </w:r>
    </w:p>
    <w:p w14:paraId="504CE114" w14:textId="77777777" w:rsidR="00574132" w:rsidRPr="008B6B25" w:rsidRDefault="00574132" w:rsidP="00574132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следует:</w:t>
      </w:r>
    </w:p>
    <w:p w14:paraId="3063AD2F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a)</w:t>
      </w:r>
      <w:r w:rsidRPr="00574132">
        <w:rPr>
          <w:b/>
          <w:bCs/>
        </w:rPr>
        <w:tab/>
        <w:t>обеспечить в законодательстве и на практике расследование случаев насилия в отношении женщин, в том числе домашнего насилия, проведение судебного разбирательства и, в случае осуждения, соразмерное наказание виновных, а также предоставление потерпевшим доступа к эффективным средствам правовой защиты, получение ими полного возмещения, включая компенсацию, и доступа к надлежащим мерам защиты и помощи;</w:t>
      </w:r>
    </w:p>
    <w:p w14:paraId="7AF7B3A5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b)</w:t>
      </w:r>
      <w:r w:rsidRPr="00574132">
        <w:rPr>
          <w:b/>
          <w:bCs/>
        </w:rPr>
        <w:tab/>
        <w:t>создавать и развивать доступные и конфиденциальные механизмы передачи сообщений, в том числе через Интернет и третьих лиц, с тем чтобы поощрять обращение потерпевших, членов их семей и свидетелей с сообщениями о случившемся без опасения мести или стигматизации;</w:t>
      </w:r>
    </w:p>
    <w:p w14:paraId="0BB3BD67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c)</w:t>
      </w:r>
      <w:r w:rsidRPr="00574132">
        <w:rPr>
          <w:b/>
          <w:bCs/>
        </w:rPr>
        <w:tab/>
        <w:t>усилить профессиональную и специальную подготовку юристов и сотрудников судебных и правоохранительных органов, уделяя особое внимание борьбе с гендерными предрассудками и стереотипами и повторной виктимизацией, а также уважению частной жизни потерпевших;</w:t>
      </w:r>
    </w:p>
    <w:p w14:paraId="0975C0A8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d)</w:t>
      </w:r>
      <w:r w:rsidRPr="00574132">
        <w:rPr>
          <w:b/>
          <w:bCs/>
        </w:rPr>
        <w:tab/>
        <w:t>обеспечить всем женщинам, находящимся под его юрисдикцией, включая женщин-мигрантов и женщин, ищущих убежище, равный доступ к механизмам подачи жалоб, мерам защиты, услугам психологической поддержки и эффективным средствам правовой защиты;</w:t>
      </w:r>
    </w:p>
    <w:p w14:paraId="056CB544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e)</w:t>
      </w:r>
      <w:r w:rsidRPr="00574132">
        <w:rPr>
          <w:b/>
          <w:bCs/>
        </w:rPr>
        <w:tab/>
        <w:t>повышать осведомленность населения о доступности защитных предписаний и других средств правовой защиты;</w:t>
      </w:r>
    </w:p>
    <w:p w14:paraId="3672A913" w14:textId="77777777" w:rsidR="00574132" w:rsidRPr="008B6B25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f)</w:t>
      </w:r>
      <w:r w:rsidRPr="00574132">
        <w:rPr>
          <w:b/>
          <w:bCs/>
        </w:rPr>
        <w:tab/>
        <w:t>проводить кампании по повышению осведомленности общественности, ориентированные как на мужчин, так и на женщин, с целью изменения общественных установок и искоренения патриархальных стереотипов, которые нормализуют насилие</w:t>
      </w:r>
      <w:r>
        <w:rPr>
          <w:b/>
          <w:bCs/>
        </w:rPr>
        <w:t xml:space="preserve"> в отношении женщин.</w:t>
      </w:r>
      <w:r>
        <w:t xml:space="preserve"> </w:t>
      </w:r>
    </w:p>
    <w:p w14:paraId="67CD20A8" w14:textId="77777777" w:rsidR="00574132" w:rsidRPr="008B6B25" w:rsidRDefault="00574132" w:rsidP="00574132">
      <w:pPr>
        <w:pStyle w:val="H23G"/>
      </w:pPr>
      <w:r>
        <w:tab/>
      </w:r>
      <w:r>
        <w:tab/>
      </w:r>
      <w:r>
        <w:tab/>
      </w:r>
      <w:r>
        <w:rPr>
          <w:bCs/>
        </w:rPr>
        <w:t>Добровольное прерывание беременности, сексуальные и репродуктивные права</w:t>
      </w:r>
    </w:p>
    <w:p w14:paraId="436AB64E" w14:textId="77777777" w:rsidR="00574132" w:rsidRPr="008B6B25" w:rsidRDefault="00574132" w:rsidP="00574132">
      <w:pPr>
        <w:pStyle w:val="SingleTxtG"/>
      </w:pPr>
      <w:r>
        <w:t>18.</w:t>
      </w:r>
      <w:r>
        <w:tab/>
        <w:t>Комитет принимает к сведению внесение в Уголовный кодекс на основании Закона № XXII 2023 года</w:t>
      </w:r>
      <w:r w:rsidRPr="00294C0A">
        <w:t xml:space="preserve"> </w:t>
      </w:r>
      <w:r>
        <w:t xml:space="preserve">поправок, предусматривающих исключение из общего </w:t>
      </w:r>
      <w:r>
        <w:lastRenderedPageBreak/>
        <w:t xml:space="preserve">запрета на доступ к аборту в случаях, когда жизнь или здоровье беременной женщины находится в опасности. Комитет обеспокоен: </w:t>
      </w:r>
    </w:p>
    <w:p w14:paraId="6FE0B00A" w14:textId="77777777" w:rsidR="00574132" w:rsidRPr="008B6B25" w:rsidRDefault="00574132" w:rsidP="00574132">
      <w:pPr>
        <w:pStyle w:val="SingleTxtG"/>
      </w:pPr>
      <w:r>
        <w:tab/>
        <w:t>a)</w:t>
      </w:r>
      <w:r>
        <w:tab/>
        <w:t>продолжающейся криминализацией абортов при беременности, которая может причинить значительную физическую или психологическую боль и страдания, включая беременность, наступившую в результате изнасилования или инцеста;</w:t>
      </w:r>
    </w:p>
    <w:p w14:paraId="19CE6A71" w14:textId="77777777" w:rsidR="00574132" w:rsidRPr="008B6B25" w:rsidRDefault="00574132" w:rsidP="00574132">
      <w:pPr>
        <w:pStyle w:val="SingleTxtG"/>
      </w:pPr>
      <w:r>
        <w:tab/>
        <w:t>b)</w:t>
      </w:r>
      <w:r>
        <w:tab/>
        <w:t>отсутствием информации о предоставлении и объеме финансируемых государством услуг, таких как психологическая помощь или медицинские услуги в период беременности и после ее прерывания;</w:t>
      </w:r>
    </w:p>
    <w:p w14:paraId="1ED63FCE" w14:textId="77777777" w:rsidR="00574132" w:rsidRPr="008B6B25" w:rsidRDefault="00574132" w:rsidP="00574132">
      <w:pPr>
        <w:pStyle w:val="SingleTxtG"/>
      </w:pPr>
      <w:r>
        <w:tab/>
        <w:t>c)</w:t>
      </w:r>
      <w:r>
        <w:tab/>
        <w:t>отсутствием в законодательстве и на практике гарантий предоставления услуг неправительственными организациями, в том числе в отношении выделения кадровых, технических и финансовых ресурсов;</w:t>
      </w:r>
    </w:p>
    <w:p w14:paraId="1C5A71A5" w14:textId="77777777" w:rsidR="00574132" w:rsidRPr="008B6B25" w:rsidRDefault="00574132" w:rsidP="00574132">
      <w:pPr>
        <w:pStyle w:val="SingleTxtG"/>
      </w:pPr>
      <w:r>
        <w:tab/>
        <w:t>d)</w:t>
      </w:r>
      <w:r>
        <w:tab/>
        <w:t xml:space="preserve">отсутствием информации о доступности бесплатной юридической помощи и гарантий справедливого судебного разбирательства для женщин, в отношении которых проводится расследование или судебное разбирательство, вынесен обвинительный приговор или назначено наказание в связи с абортом, в дополнение к осужденным ранее (статьи 2, 3, 6 и 8). </w:t>
      </w:r>
    </w:p>
    <w:p w14:paraId="54C67612" w14:textId="7AB9B24E" w:rsidR="00574132" w:rsidRPr="008B6B25" w:rsidRDefault="00574132" w:rsidP="00574132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С учетом предыдущих рекомендаций Комитета</w:t>
      </w:r>
      <w:r w:rsidRPr="00873724">
        <w:rPr>
          <w:rStyle w:val="aa"/>
        </w:rPr>
        <w:footnoteReference w:id="9"/>
      </w:r>
      <w:r>
        <w:rPr>
          <w:b/>
          <w:bCs/>
        </w:rPr>
        <w:t xml:space="preserve"> и его замечания общего порядка № 36 (2018) государству-участнику следует принять все необходимые меры для обеспечения того, чтобы правовые нормы, касающиеся абортов, не противоречили его обязанности создать такие условия, чтобы женщинам и девочкам не приходилось прибегать к опасным абортам.</w:t>
      </w:r>
      <w:r>
        <w:t xml:space="preserve"> </w:t>
      </w:r>
      <w:r>
        <w:rPr>
          <w:b/>
          <w:bCs/>
        </w:rPr>
        <w:t>В частности</w:t>
      </w:r>
      <w:r w:rsidR="00887D69">
        <w:rPr>
          <w:b/>
          <w:bCs/>
        </w:rPr>
        <w:t>,</w:t>
      </w:r>
      <w:r>
        <w:rPr>
          <w:b/>
          <w:bCs/>
        </w:rPr>
        <w:t xml:space="preserve"> государству-участнику следует:</w:t>
      </w:r>
      <w:r>
        <w:t xml:space="preserve"> </w:t>
      </w:r>
    </w:p>
    <w:p w14:paraId="5CAC740B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a)</w:t>
      </w:r>
      <w:r w:rsidRPr="00574132">
        <w:rPr>
          <w:b/>
          <w:bCs/>
        </w:rPr>
        <w:tab/>
        <w:t>проанализировать законы и политику, которые могут приводить к дискриминации женщин и девочек, прибегающих к аборту, или к произвольному вмешательству в их частную жизнь;</w:t>
      </w:r>
    </w:p>
    <w:p w14:paraId="5EECAC3A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b)</w:t>
      </w:r>
      <w:r w:rsidRPr="00574132">
        <w:rPr>
          <w:b/>
          <w:bCs/>
        </w:rPr>
        <w:tab/>
        <w:t>внести поправки в Уголовный кодекс, с тем чтобы гарантировать безопасный, законный, беспрепятственный, конфиденциальный и эффективный доступ к аборту в тех случаях, когда вынашивание беременности до положенного срока может причинить значительную физическую или психологическую боль и страдания, в том числе при наступлении беременности в результате изнасилования или инцеста или в случае нежизнеспособности плода;</w:t>
      </w:r>
    </w:p>
    <w:p w14:paraId="38980BEE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c)</w:t>
      </w:r>
      <w:r w:rsidRPr="00574132">
        <w:rPr>
          <w:b/>
          <w:bCs/>
        </w:rPr>
        <w:tab/>
        <w:t>обеспечить равный доступ к финансируемым государством медицинским и социальным услугам, включая социальные пособия и психологическую помощь, а также высококачественные медицинские услуги в период беременности и после ее прерывания;</w:t>
      </w:r>
    </w:p>
    <w:p w14:paraId="3C0E81A7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d)</w:t>
      </w:r>
      <w:r w:rsidRPr="00574132">
        <w:rPr>
          <w:b/>
          <w:bCs/>
        </w:rPr>
        <w:tab/>
        <w:t>создать такие условия, чтобы женщинам и девочкам не приходилось прибегать к опасным абортам, и эффективно защищать жизнь женщин и девочек от рисков для психического и физического здоровья, связанных с такими абортами;</w:t>
      </w:r>
    </w:p>
    <w:p w14:paraId="1390B57E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e)</w:t>
      </w:r>
      <w:r w:rsidRPr="00574132">
        <w:rPr>
          <w:b/>
          <w:bCs/>
        </w:rPr>
        <w:tab/>
        <w:t>разработать комплексные программы помощи женщинам и девочкам, которых законодательство государства-участника принуждает к вынашиванию беременности до положенного срока, в частности тем, чьему физическому или психическому здоровью (или чьим семьям в случае их смерти) был нанесен временный или непоправимый ущерб, а также многодетным, вынужденным бросить учебу или работу, живущим в нищете или принадлежащим к другим уязвимым группам;</w:t>
      </w:r>
    </w:p>
    <w:p w14:paraId="318F63BD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f)</w:t>
      </w:r>
      <w:r w:rsidRPr="00574132">
        <w:rPr>
          <w:b/>
          <w:bCs/>
        </w:rPr>
        <w:tab/>
        <w:t>обеспечить предоставление бесплатной юридической помощи и гарантии справедливого судебного разбирательства женщинам, в отношении которых ведется расследование или судебное разбирательство, вынесен обвинительный приговор или назначено наказание в связи с абортом;</w:t>
      </w:r>
    </w:p>
    <w:p w14:paraId="64F20FA4" w14:textId="77777777" w:rsidR="00574132" w:rsidRPr="008B6B25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lastRenderedPageBreak/>
        <w:tab/>
        <w:t>g)</w:t>
      </w:r>
      <w:r w:rsidRPr="00574132">
        <w:rPr>
          <w:b/>
          <w:bCs/>
        </w:rPr>
        <w:tab/>
        <w:t>расширять и защищать равный доступ к недорогим средствам контрацепции и ориентированным на женщин, мужчин и подростков программам повышения осведомленности о сексуальном и репродуктивном здоровье в системе образования, в рамках которых рассказывается о важности использования противозача</w:t>
      </w:r>
      <w:r>
        <w:rPr>
          <w:b/>
          <w:bCs/>
        </w:rPr>
        <w:t>точных средств и о праве на сексуальное и репродуктивное здоровье.</w:t>
      </w:r>
      <w:r>
        <w:t xml:space="preserve"> </w:t>
      </w:r>
    </w:p>
    <w:p w14:paraId="354EF972" w14:textId="77777777" w:rsidR="00574132" w:rsidRPr="008B6B25" w:rsidRDefault="00574132" w:rsidP="00574132">
      <w:pPr>
        <w:pStyle w:val="H23G"/>
      </w:pPr>
      <w:r>
        <w:tab/>
      </w:r>
      <w:r>
        <w:tab/>
      </w:r>
      <w:r>
        <w:rPr>
          <w:bCs/>
        </w:rPr>
        <w:t>Запрещение жестокого, бесчеловечного или унижающего достоинство обращения и наказания лиц, лишенных свободы, и применения чрезмерной силы</w:t>
      </w:r>
      <w:r>
        <w:t xml:space="preserve"> </w:t>
      </w:r>
    </w:p>
    <w:p w14:paraId="31C44F59" w14:textId="77777777" w:rsidR="00574132" w:rsidRPr="008B6B25" w:rsidRDefault="00574132" w:rsidP="00574132">
      <w:pPr>
        <w:pStyle w:val="SingleTxtG"/>
      </w:pPr>
      <w:r>
        <w:t>20.</w:t>
      </w:r>
      <w:r>
        <w:tab/>
        <w:t>Комитет отмечает модернизацию инфраструктуры центров содержания под стражей и работу государства-участника по усилению контроля за жестоким, бесчеловечным или унижающим достоинство обращением и наказанием лиц, лишенных свободы, включая скрининг медицинских заключений Медицинской службой для мигрантов. Вместе с тем Комитет обеспокоен:</w:t>
      </w:r>
    </w:p>
    <w:p w14:paraId="5324E75E" w14:textId="77777777" w:rsidR="00574132" w:rsidRPr="008B6B25" w:rsidRDefault="00574132" w:rsidP="00574132">
      <w:pPr>
        <w:pStyle w:val="SingleTxtG"/>
      </w:pPr>
      <w:r w:rsidRPr="00C635AF">
        <w:tab/>
      </w:r>
      <w:r>
        <w:t>a)</w:t>
      </w:r>
      <w:r>
        <w:tab/>
        <w:t>отсутствием всеобъемлющих данных о содержании под стражей мигрантов и об использовании альтернативных мер, не связанных с лишением свободы;</w:t>
      </w:r>
    </w:p>
    <w:p w14:paraId="49CCD96A" w14:textId="77777777" w:rsidR="00574132" w:rsidRPr="008B6B25" w:rsidRDefault="00574132" w:rsidP="00574132">
      <w:pPr>
        <w:pStyle w:val="SingleTxtG"/>
      </w:pPr>
      <w:r>
        <w:tab/>
        <w:t>b)</w:t>
      </w:r>
      <w:r>
        <w:tab/>
        <w:t xml:space="preserve">сообщениями об ухудшении условий содержания и о бесчеловечном обращении; </w:t>
      </w:r>
    </w:p>
    <w:p w14:paraId="52BD904C" w14:textId="77777777" w:rsidR="00574132" w:rsidRPr="008B6B25" w:rsidRDefault="00574132" w:rsidP="00574132">
      <w:pPr>
        <w:pStyle w:val="SingleTxtG"/>
      </w:pPr>
      <w:r>
        <w:tab/>
        <w:t>c)</w:t>
      </w:r>
      <w:r>
        <w:tab/>
        <w:t>сообщениями о применении в центрах содержания под стражей чрезмерной силы к мигрантам и искателям убежища;</w:t>
      </w:r>
    </w:p>
    <w:p w14:paraId="4D5596D0" w14:textId="1080C7DD" w:rsidR="00574132" w:rsidRPr="008B6B25" w:rsidRDefault="00574132" w:rsidP="00574132">
      <w:pPr>
        <w:pStyle w:val="SingleTxtG"/>
      </w:pPr>
      <w:r>
        <w:tab/>
        <w:t>d)</w:t>
      </w:r>
      <w:r>
        <w:tab/>
        <w:t xml:space="preserve">отсутствием информации об эффективных средствах правовой защиты, предоставляемых мигрантам, задержанным в соответствии с Постановлением о предупреждении заболеваний 1982 года, согласно решению Европейского суда по правам человека по делу </w:t>
      </w:r>
      <w:r>
        <w:rPr>
          <w:i/>
          <w:iCs/>
        </w:rPr>
        <w:t>А.Д. против Мальты</w:t>
      </w:r>
      <w:r w:rsidRPr="00C26419">
        <w:rPr>
          <w:rStyle w:val="aa"/>
        </w:rPr>
        <w:footnoteReference w:id="10"/>
      </w:r>
      <w:r>
        <w:rPr>
          <w:i/>
          <w:iCs/>
        </w:rPr>
        <w:t xml:space="preserve"> </w:t>
      </w:r>
      <w:r>
        <w:t>(статьи 7 и 10).</w:t>
      </w:r>
    </w:p>
    <w:p w14:paraId="67879648" w14:textId="77777777" w:rsidR="00574132" w:rsidRPr="008B6B25" w:rsidRDefault="00574132" w:rsidP="00574132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С учетом предыдущих рекомендаций Комитета</w:t>
      </w:r>
      <w:r w:rsidRPr="00873724">
        <w:rPr>
          <w:rStyle w:val="aa"/>
        </w:rPr>
        <w:footnoteReference w:id="11"/>
      </w:r>
      <w:r>
        <w:rPr>
          <w:b/>
          <w:bCs/>
        </w:rPr>
        <w:t xml:space="preserve"> государству-участнику следует:</w:t>
      </w:r>
    </w:p>
    <w:p w14:paraId="579D3780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a)</w:t>
      </w:r>
      <w:r w:rsidRPr="00574132">
        <w:rPr>
          <w:b/>
          <w:bCs/>
        </w:rPr>
        <w:tab/>
        <w:t>обеспечить сбор и публикацию всеобъемлющих данных о содержании под стражей мигрантов и об использовании в их отношении альтернативных мер, не связанных с лишением свободы;</w:t>
      </w:r>
    </w:p>
    <w:p w14:paraId="45670031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b)</w:t>
      </w:r>
      <w:r w:rsidRPr="00574132">
        <w:rPr>
          <w:b/>
          <w:bCs/>
        </w:rPr>
        <w:tab/>
        <w:t>гарантировать в законодательстве и на практике использование альтернативных мер, не связанных с лишением свободы, и применять заключение под стражу исключительно в качестве крайней меры и на максимально короткий срок;</w:t>
      </w:r>
    </w:p>
    <w:p w14:paraId="1B7F37B6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c)</w:t>
      </w:r>
      <w:r w:rsidRPr="00574132">
        <w:rPr>
          <w:b/>
          <w:bCs/>
        </w:rPr>
        <w:tab/>
        <w:t xml:space="preserve">обеспечить, чтобы принципы необходимости и соразмерности применения силы были должным образом отражены в законодательстве и нормативных актах и соблюдались на практике в соответствии с Основными принципами применения силы и огнестрельного оружия должностными лицами по поддержанию правопорядка; </w:t>
      </w:r>
    </w:p>
    <w:p w14:paraId="7A8907C5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d)</w:t>
      </w:r>
      <w:r w:rsidRPr="00574132">
        <w:rPr>
          <w:b/>
          <w:bCs/>
        </w:rPr>
        <w:tab/>
        <w:t>на устойчивой основе улучшать условия содержания в центрах приема и содержания под стражей, чтобы они соответствовали положениям Пакта и Минимальным стандартным правилам Организации Объединенных Наций в отношении обращения с заключенными (Правила Нельсона Манделы), в том числе в плане достаточной медицинской помощи и надлежащих санитарных условий, обеспечивая при этом безопасное и гуманное обращение со всеми лицами, лишенными свободы, и независимый мониторинг всех пенитенциарных учреждений и других мест содержания под стражей;</w:t>
      </w:r>
    </w:p>
    <w:p w14:paraId="75FC1BC8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lastRenderedPageBreak/>
        <w:tab/>
        <w:t>e)</w:t>
      </w:r>
      <w:r w:rsidRPr="00574132">
        <w:rPr>
          <w:b/>
          <w:bCs/>
        </w:rPr>
        <w:tab/>
        <w:t>гарантировать соответствие всех постановлений о задержании в интересах охраны здоровья населения принципам необходимости и соразмерности, обеспечивать независимый надзор за ними и предоставлять эффективные средства правовой защиты мигрантам и просителям убежища, в отношении которых установлено, что они были лишены свободы произвольно;</w:t>
      </w:r>
    </w:p>
    <w:p w14:paraId="63C2B460" w14:textId="77777777" w:rsidR="00574132" w:rsidRPr="008B6B25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f)</w:t>
      </w:r>
      <w:r w:rsidRPr="00574132">
        <w:rPr>
          <w:b/>
          <w:bCs/>
        </w:rPr>
        <w:tab/>
        <w:t>обеспечить, чтобы все случаи чрезмерного применения силы сотрудниками правоохранительных органов расследовались оперативно, беспристрастно и эффективно</w:t>
      </w:r>
      <w:r>
        <w:rPr>
          <w:b/>
          <w:bCs/>
        </w:rPr>
        <w:t>, чтобы виновные привлекались к ответственности и несли соответствующее наказание и чтобы потерпевшим предоставлялись эффективные средства правовой защиты.</w:t>
      </w:r>
      <w:r>
        <w:t xml:space="preserve"> </w:t>
      </w:r>
    </w:p>
    <w:p w14:paraId="3F8EB64B" w14:textId="77777777" w:rsidR="00574132" w:rsidRPr="008B6B25" w:rsidRDefault="00574132" w:rsidP="00574132">
      <w:pPr>
        <w:pStyle w:val="H23G"/>
      </w:pPr>
      <w:r>
        <w:tab/>
      </w:r>
      <w:r>
        <w:tab/>
      </w:r>
      <w:r>
        <w:rPr>
          <w:bCs/>
        </w:rPr>
        <w:t>Право на жизнь и невысылку</w:t>
      </w:r>
      <w:r w:rsidRPr="009E0ADA">
        <w:rPr>
          <w:bCs/>
        </w:rPr>
        <w:t xml:space="preserve"> </w:t>
      </w:r>
      <w:r>
        <w:rPr>
          <w:bCs/>
        </w:rPr>
        <w:t>мигрантов, просителей убежища и беженцев</w:t>
      </w:r>
      <w:r>
        <w:t xml:space="preserve"> </w:t>
      </w:r>
    </w:p>
    <w:p w14:paraId="60F438E8" w14:textId="77777777" w:rsidR="00574132" w:rsidRPr="008B6B25" w:rsidRDefault="00574132" w:rsidP="00574132">
      <w:pPr>
        <w:pStyle w:val="SingleTxtG"/>
      </w:pPr>
      <w:r>
        <w:t>22.</w:t>
      </w:r>
      <w:r>
        <w:tab/>
        <w:t>Комитет с глубокой обеспокоенностью отмечает:</w:t>
      </w:r>
    </w:p>
    <w:p w14:paraId="1437F812" w14:textId="77777777" w:rsidR="00574132" w:rsidRPr="008B6B25" w:rsidRDefault="00574132" w:rsidP="00574132">
      <w:pPr>
        <w:pStyle w:val="SingleTxtG"/>
      </w:pPr>
      <w:r w:rsidRPr="00C635AF">
        <w:tab/>
      </w:r>
      <w:r>
        <w:t>a)</w:t>
      </w:r>
      <w:r>
        <w:tab/>
        <w:t xml:space="preserve">сообщения, по которым не было проведено расследование, о кораблекрушениях и судах, терпящих бедствие, в водах, находящихся под юрисдикцией государства-участника, при обстоятельствах, которые могли привести к незаконному лишению жизни, включая случаи, когда государство-участник не реагировало на сигналы бедствия, реагировало на них только после значительной задержки, давало торговым судам указания не реагировать на них или перехватывать и перенаправлять такие суда; </w:t>
      </w:r>
    </w:p>
    <w:p w14:paraId="42349192" w14:textId="77777777" w:rsidR="00574132" w:rsidRPr="008B6B25" w:rsidRDefault="00574132" w:rsidP="00574132">
      <w:pPr>
        <w:pStyle w:val="SingleTxtG"/>
      </w:pPr>
      <w:r w:rsidRPr="00C635AF">
        <w:tab/>
      </w:r>
      <w:r>
        <w:t>b)</w:t>
      </w:r>
      <w:r>
        <w:tab/>
        <w:t>истолкование принципа оказания помощи любому лицу, терпящему бедствие на море, не соответствующее Международной конвенции по поиску и спасанию на море;</w:t>
      </w:r>
    </w:p>
    <w:p w14:paraId="75C16F5E" w14:textId="77777777" w:rsidR="00574132" w:rsidRPr="008B6B25" w:rsidRDefault="00574132" w:rsidP="00574132">
      <w:pPr>
        <w:pStyle w:val="SingleTxtG"/>
      </w:pPr>
      <w:r w:rsidRPr="00C635AF">
        <w:tab/>
      </w:r>
      <w:r>
        <w:t>c)</w:t>
      </w:r>
      <w:r>
        <w:tab/>
        <w:t>отсутствие гарантий соблюдения прав человека в меморандуме о взаимопонимании, подписанном с Ливией в мае 2020</w:t>
      </w:r>
      <w:r>
        <w:rPr>
          <w:lang w:val="en-US"/>
        </w:rPr>
        <w:t> </w:t>
      </w:r>
      <w:r>
        <w:t>года для борьбы с нелегальной иммиграцией;</w:t>
      </w:r>
    </w:p>
    <w:p w14:paraId="18DA677B" w14:textId="77777777" w:rsidR="00574132" w:rsidRPr="008B6B25" w:rsidRDefault="00574132" w:rsidP="00574132">
      <w:pPr>
        <w:pStyle w:val="SingleTxtG"/>
      </w:pPr>
      <w:r w:rsidRPr="00C635AF">
        <w:tab/>
      </w:r>
      <w:r>
        <w:t>d)</w:t>
      </w:r>
      <w:r>
        <w:tab/>
        <w:t xml:space="preserve">сообщения о санкциях в отношении неправительственных организаций, осуществляющих поисково-спасательные операции, включая отсутствие реагирования или реагирование с задержкой на подаваемые ими сигналы бедствия и конфискацию их судов; </w:t>
      </w:r>
    </w:p>
    <w:p w14:paraId="0DC096C1" w14:textId="77777777" w:rsidR="00574132" w:rsidRPr="008B6B25" w:rsidRDefault="00574132" w:rsidP="00574132">
      <w:pPr>
        <w:pStyle w:val="SingleTxtG"/>
      </w:pPr>
      <w:r w:rsidRPr="00C635AF">
        <w:tab/>
      </w:r>
      <w:r>
        <w:t>e)</w:t>
      </w:r>
      <w:r>
        <w:tab/>
        <w:t>отсутствие информации о мерах, принятых для обеспечения соразмерности и необходимости решений Агентства по международной защите по ходатайствам о предоставлении убежища, в частности по тем, которые были признаны «явно необоснованными»;</w:t>
      </w:r>
    </w:p>
    <w:p w14:paraId="30641F04" w14:textId="77777777" w:rsidR="00574132" w:rsidRPr="008B6B25" w:rsidRDefault="00574132" w:rsidP="00574132">
      <w:pPr>
        <w:pStyle w:val="SingleTxtG"/>
      </w:pPr>
      <w:r w:rsidRPr="00C635AF">
        <w:tab/>
      </w:r>
      <w:r>
        <w:t>f)</w:t>
      </w:r>
      <w:r>
        <w:tab/>
        <w:t>отсутствие бесплатной юридической помощи мигрантам, просителям убежища и несопровождаемым несовершеннолетним до обжалования постановлений о задержании или выдворении, определения возраста и выноса отрицательных решений по ходатайствам о предоставлении убежища в Апелляционном трибунале по вопросам международной защиты и Апелляционной комиссии по иммиграционным делам;</w:t>
      </w:r>
    </w:p>
    <w:p w14:paraId="0C069913" w14:textId="77777777" w:rsidR="00574132" w:rsidRPr="008B6B25" w:rsidRDefault="00574132" w:rsidP="00574132">
      <w:pPr>
        <w:pStyle w:val="SingleTxtG"/>
      </w:pPr>
      <w:r w:rsidRPr="00C635AF">
        <w:tab/>
      </w:r>
      <w:r>
        <w:t>g)</w:t>
      </w:r>
      <w:r>
        <w:tab/>
        <w:t>отсутствие информации о реальном праве на обжалование отрицательных решений Агентства по международной защите, например в Апелляционном трибунале по вопросам международной защиты или в независимом судебном органе;</w:t>
      </w:r>
    </w:p>
    <w:p w14:paraId="742B1F5A" w14:textId="77777777" w:rsidR="00574132" w:rsidRPr="008B6B25" w:rsidRDefault="00574132" w:rsidP="00574132">
      <w:pPr>
        <w:pStyle w:val="SingleTxtG"/>
      </w:pPr>
      <w:r w:rsidRPr="00C635AF">
        <w:tab/>
      </w:r>
      <w:r>
        <w:t>h)</w:t>
      </w:r>
      <w:r>
        <w:tab/>
        <w:t>обвинения, выдвинутые в адрес «тройки Эль-Хиблу», выступавшей против попытки властей вернуть ее в Ливию в марте 2019</w:t>
      </w:r>
      <w:r>
        <w:rPr>
          <w:lang w:val="en-US"/>
        </w:rPr>
        <w:t> </w:t>
      </w:r>
      <w:r>
        <w:t xml:space="preserve">года, включая обвинения в террористических актах по статье 328А Уголовного кодекса, которая предусматривает наказание в виде пожизненного лишения свободы (статьи 6, 7, 9 и 10). </w:t>
      </w:r>
    </w:p>
    <w:p w14:paraId="355EBB67" w14:textId="6C99B43C" w:rsidR="00574132" w:rsidRPr="008B6B25" w:rsidRDefault="00574132" w:rsidP="00574132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Ссылаясь на свои предыдущие заключительные замечания</w:t>
      </w:r>
      <w:r w:rsidRPr="00873724">
        <w:rPr>
          <w:rStyle w:val="aa"/>
        </w:rPr>
        <w:footnoteReference w:id="12"/>
      </w:r>
      <w:r>
        <w:t xml:space="preserve"> </w:t>
      </w:r>
      <w:r>
        <w:rPr>
          <w:b/>
          <w:bCs/>
        </w:rPr>
        <w:t>и пункт</w:t>
      </w:r>
      <w:r w:rsidR="009E4632">
        <w:rPr>
          <w:b/>
          <w:bCs/>
        </w:rPr>
        <w:t> </w:t>
      </w:r>
      <w:r>
        <w:rPr>
          <w:b/>
          <w:bCs/>
        </w:rPr>
        <w:t>63 своего замечания общего порядка № 36 (2018), Комитет рекомендует государству-участнику:</w:t>
      </w:r>
    </w:p>
    <w:p w14:paraId="0E483410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lastRenderedPageBreak/>
        <w:tab/>
        <w:t>a)</w:t>
      </w:r>
      <w:r w:rsidRPr="00574132">
        <w:rPr>
          <w:b/>
          <w:bCs/>
        </w:rPr>
        <w:tab/>
        <w:t xml:space="preserve">уважать и защищать жизни всех людей, оказавшихся в ситуации бедствия на море, в соответствии с международными обязательствами по спасению на море; </w:t>
      </w:r>
    </w:p>
    <w:p w14:paraId="030214E5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b)</w:t>
      </w:r>
      <w:r w:rsidRPr="00574132">
        <w:rPr>
          <w:b/>
          <w:bCs/>
        </w:rPr>
        <w:tab/>
        <w:t xml:space="preserve">принимать все необходимые меры для обеспечения того, чтобы лица, терпящие бедствие на море в поисково-спасательном районе акватории, над которой государство-участник осуществляет власть или реальный контроль, спасались без промедления и высаживались в безопасном месте, имея полный доступ к своему праву на убежище и защиту в соответствии с принципом невысылки, и чтобы при определении того, терпят ли бедствие суда с беженцами, просителями убежища или мигрантами, термин «стадия бедствия» толковался в полном соответствии с Международной конвенцией по поиску и спасанию на море; </w:t>
      </w:r>
    </w:p>
    <w:p w14:paraId="01E848D2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c)</w:t>
      </w:r>
      <w:r w:rsidRPr="00574132">
        <w:rPr>
          <w:b/>
          <w:bCs/>
        </w:rPr>
        <w:tab/>
        <w:t xml:space="preserve">применять к поисково-спасательным операциям подход, соответствующий положениям Пакта и международным обязательствам по спасанию на море, в том числе во время высадки, уделяя особое внимание оперативному выявлению лиц, подвергающихся повышенному риску; </w:t>
      </w:r>
    </w:p>
    <w:p w14:paraId="473E5989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d)</w:t>
      </w:r>
      <w:r w:rsidRPr="00574132">
        <w:rPr>
          <w:b/>
          <w:bCs/>
        </w:rPr>
        <w:tab/>
        <w:t>пересмотреть меморандум о взаимопонимании с Ливией таким образом, чтобы обеспечить защиту прав человека беженцев и мигрантов, перемещающихся по морю;</w:t>
      </w:r>
    </w:p>
    <w:p w14:paraId="3DFDC4EA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e)</w:t>
      </w:r>
      <w:r w:rsidRPr="00574132">
        <w:rPr>
          <w:b/>
          <w:bCs/>
        </w:rPr>
        <w:tab/>
        <w:t>гарантировать частным лицам и неправительственным организациям, осуществляющим поисково-спасательные операции, доступ к правосудию, включая эффективные средства правовой защиты в случае отсутствия реагирования или несвоевременного реагирования на сигналы бедствия, и обеспечить, чтобы конфискация судов во всех случаях осуществлялась только на основании предварительного судебного разрешения;</w:t>
      </w:r>
    </w:p>
    <w:p w14:paraId="4B7829A3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f)</w:t>
      </w:r>
      <w:r w:rsidRPr="00574132">
        <w:rPr>
          <w:b/>
          <w:bCs/>
        </w:rPr>
        <w:tab/>
        <w:t xml:space="preserve">пересмотреть основания для отнесения ходатайств о предоставлении убежища к категории «явно необоснованных», гарантируя соразмерность и необходимость любых ограничений; </w:t>
      </w:r>
    </w:p>
    <w:p w14:paraId="5BE229E1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g)</w:t>
      </w:r>
      <w:r w:rsidRPr="00574132">
        <w:rPr>
          <w:b/>
          <w:bCs/>
        </w:rPr>
        <w:tab/>
        <w:t>обеспечить всем мигрантам и просителям убежища, включая несопровождаемых несовершеннолетних, доступ к бесплатной юридической помощи и надлежащим услугам переводчика с самого начала разбирательства, обеспечить доступ к временным мерам в отношении постановлений о задержании или выдворении и к справедливой и полной процедуре определения статуса, а также обеспечить учет наилучших интересов ребенка при определении возраста;</w:t>
      </w:r>
    </w:p>
    <w:p w14:paraId="0E6D8A83" w14:textId="77777777" w:rsidR="00574132" w:rsidRPr="008B6B25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h)</w:t>
      </w:r>
      <w:r w:rsidRPr="00574132">
        <w:rPr>
          <w:b/>
          <w:bCs/>
        </w:rPr>
        <w:tab/>
        <w:t>обеспечить справедливое и прозрачное судебное разбирательство в отношении мигрантов,</w:t>
      </w:r>
      <w:r>
        <w:rPr>
          <w:b/>
          <w:bCs/>
        </w:rPr>
        <w:t xml:space="preserve"> которым предъявлены уголовные обвинения, как в случае с «тройкой Эль-Хиблу», в том числе путем предоставления бесплатной юридической помощи и надлежащих услуг переводчика с самого начала процесса.</w:t>
      </w:r>
    </w:p>
    <w:p w14:paraId="1B677B0A" w14:textId="77777777" w:rsidR="00574132" w:rsidRPr="008B6B25" w:rsidRDefault="00574132" w:rsidP="00574132">
      <w:pPr>
        <w:pStyle w:val="H23G"/>
      </w:pPr>
      <w:r>
        <w:tab/>
      </w:r>
      <w:r>
        <w:tab/>
      </w:r>
      <w:r>
        <w:rPr>
          <w:bCs/>
        </w:rPr>
        <w:t>Торговля людьми</w:t>
      </w:r>
      <w:r>
        <w:t xml:space="preserve"> </w:t>
      </w:r>
    </w:p>
    <w:p w14:paraId="6BE7F1FE" w14:textId="77777777" w:rsidR="00574132" w:rsidRPr="008B6B25" w:rsidRDefault="00574132" w:rsidP="00574132">
      <w:pPr>
        <w:pStyle w:val="SingleTxtG"/>
      </w:pPr>
      <w:r>
        <w:t>24.</w:t>
      </w:r>
      <w:r>
        <w:tab/>
        <w:t xml:space="preserve">Отмечая шаги, предпринятые государством-участником для повышения эффективности выявления жертв торговли людьми и оказания им соответствующих услуг, Комитет вновь выражает обеспокоенность по поводу малого числа расследований и обвинительных приговоров, связанных с торговлей людьми. Комитет обеспокоен тем, что государство-участник не приняло достаточных мер для обеспечения прав жертв на получение полного возмещения ущерба, независимо от их сотрудничества с правоохранительными органами в ходе следствия и уголовного процесса (статья 8). </w:t>
      </w:r>
    </w:p>
    <w:p w14:paraId="3C3B826D" w14:textId="77777777" w:rsidR="00574132" w:rsidRPr="008B6B25" w:rsidRDefault="00574132" w:rsidP="009E4632">
      <w:pPr>
        <w:pStyle w:val="SingleTxtG"/>
        <w:pageBreakBefore/>
        <w:rPr>
          <w:b/>
          <w:bCs/>
        </w:rPr>
      </w:pPr>
      <w:r>
        <w:lastRenderedPageBreak/>
        <w:t>25.</w:t>
      </w:r>
      <w:r>
        <w:tab/>
      </w:r>
      <w:r>
        <w:rPr>
          <w:b/>
          <w:bCs/>
        </w:rPr>
        <w:t>С учетом предыдущих рекомендаций Комитета</w:t>
      </w:r>
      <w:r w:rsidRPr="00873724">
        <w:rPr>
          <w:rStyle w:val="aa"/>
        </w:rPr>
        <w:footnoteReference w:id="13"/>
      </w:r>
      <w:r>
        <w:rPr>
          <w:b/>
          <w:bCs/>
        </w:rPr>
        <w:t xml:space="preserve"> государству-участнику следует:</w:t>
      </w:r>
    </w:p>
    <w:p w14:paraId="520771D4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a)</w:t>
      </w:r>
      <w:r w:rsidRPr="00574132">
        <w:rPr>
          <w:b/>
          <w:bCs/>
        </w:rPr>
        <w:tab/>
        <w:t>принять меры, основанные на дезагрегированных статистических данных о делах, связанных с торговлей людьми, включая количество расследований, судебных разбирательств и обвинительных приговоров;</w:t>
      </w:r>
    </w:p>
    <w:p w14:paraId="02A6B0E1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b)</w:t>
      </w:r>
      <w:r w:rsidRPr="00574132">
        <w:rPr>
          <w:b/>
          <w:bCs/>
        </w:rPr>
        <w:tab/>
        <w:t>обеспечить непрерывные и всеобъемлющие программы обучения для сотрудников полиции и иммиграционной службы, пограничников, прокуроров, судей, адвокатов и других заинтересованных сторон, с тем чтобы расширить их возможности по выявлению и расследованию таких дел и проведению судебного разбирательства, а также эффективно удовлетворять потребности жертв торговли людьми;</w:t>
      </w:r>
    </w:p>
    <w:p w14:paraId="4FDC5991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c)</w:t>
      </w:r>
      <w:r w:rsidRPr="00574132">
        <w:rPr>
          <w:b/>
          <w:bCs/>
        </w:rPr>
        <w:tab/>
        <w:t>разработать и разъяснять процедуры выявления и направления жертв торговли людьми в соответствующие службы поддержки, обеспечивающие их защиту и доступ к медицинской, психологической, социальной и юридической помощи;</w:t>
      </w:r>
    </w:p>
    <w:p w14:paraId="5364E180" w14:textId="77777777" w:rsidR="00574132" w:rsidRPr="008B6B25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d)</w:t>
      </w:r>
      <w:r w:rsidRPr="00574132">
        <w:rPr>
          <w:b/>
          <w:bCs/>
        </w:rPr>
        <w:tab/>
        <w:t>гарантировать жертвам надлежащую защиту, возмещение ущерба, компенсацию и</w:t>
      </w:r>
      <w:r>
        <w:rPr>
          <w:b/>
          <w:bCs/>
        </w:rPr>
        <w:t xml:space="preserve"> реабилитацию, в том числе путем обеспечения оперативного расследования таких дел и судебного преследования торговцев людьми, а также предоставления жертвам доступа к бесплатной юридической помощи.</w:t>
      </w:r>
    </w:p>
    <w:p w14:paraId="602BC377" w14:textId="77777777" w:rsidR="00574132" w:rsidRPr="008B6B25" w:rsidRDefault="00574132" w:rsidP="00574132">
      <w:pPr>
        <w:pStyle w:val="H23G"/>
      </w:pPr>
      <w:r>
        <w:tab/>
      </w:r>
      <w:r>
        <w:tab/>
      </w:r>
      <w:r>
        <w:rPr>
          <w:bCs/>
        </w:rPr>
        <w:t>Независимость и беспристрастность судебных органов</w:t>
      </w:r>
      <w:r>
        <w:t xml:space="preserve"> </w:t>
      </w:r>
    </w:p>
    <w:p w14:paraId="09F68F84" w14:textId="77777777" w:rsidR="00574132" w:rsidRPr="008B6B25" w:rsidRDefault="00574132" w:rsidP="00574132">
      <w:pPr>
        <w:pStyle w:val="SingleTxtG"/>
      </w:pPr>
      <w:r>
        <w:t>26.</w:t>
      </w:r>
      <w:r>
        <w:tab/>
        <w:t>Комитет отмечает внесение в Конституцию поправок на основании Закона № XLIII 2020 года, наделяющих Комитет по назначению судей правом, которое ранее принадлежало премьер-министру, представлять президенту рекомендации по вопросам назначения судей. Комитет отмечает также, что в соответствии с выводами Европейской комиссии «Демократия через закон»</w:t>
      </w:r>
      <w:r w:rsidRPr="00C26419">
        <w:rPr>
          <w:rStyle w:val="aa"/>
        </w:rPr>
        <w:footnoteReference w:id="14"/>
      </w:r>
      <w:r>
        <w:t xml:space="preserve"> государство-участник приняло меры по изменению состава Комитета по назначению судей путем исключения из него генерального прокурора и по пересмотру процедуры назначения председателя Верховного суда. Вместе с тем Комитет выражает сожаление по поводу отсутствия информации о каких-либо дополнительных мерах, принятых для обеспечения независимости и беспристрастности судебных органов, в том числе в отношении состава Комитета по назначению судей и процедуры принятия им решений (статьи 2 и 14). </w:t>
      </w:r>
    </w:p>
    <w:p w14:paraId="52EC61EA" w14:textId="77777777" w:rsidR="00574132" w:rsidRPr="008B6B25" w:rsidRDefault="00574132" w:rsidP="00574132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 принять дополнительные меры в соответствии с рекомендациями Европейской комиссии «Демократия через закон», с тем чтобы гарантировать независимость и беспристрастность судебных органов, включая законодательные меры по пересмотру состава Комитета по назначению судей и процедуры принятия им решений.</w:t>
      </w:r>
      <w:r>
        <w:t xml:space="preserve"> </w:t>
      </w:r>
      <w:r>
        <w:rPr>
          <w:b/>
          <w:bCs/>
        </w:rPr>
        <w:t>Комитет рекомендует государству-участнику также провести полноценные консультации с соответствующими заинтересованными сторонами, включая судебные органы, прокуратуру и гражданское общество, для обеспечения всеобъемлющего и эффективного характера реформ.</w:t>
      </w:r>
      <w:r>
        <w:t xml:space="preserve"> </w:t>
      </w:r>
      <w:r>
        <w:rPr>
          <w:b/>
          <w:bCs/>
        </w:rPr>
        <w:t>Государству-участнику необходимо обеспечить согласование процедур отбора судей, их назначения, повышения, временного отстранения и освобождения от должности и привлечения их к дисциплинарной ответственности</w:t>
      </w:r>
      <w:r w:rsidRPr="00567661">
        <w:rPr>
          <w:b/>
          <w:bCs/>
        </w:rPr>
        <w:t xml:space="preserve"> </w:t>
      </w:r>
      <w:r>
        <w:rPr>
          <w:b/>
          <w:bCs/>
        </w:rPr>
        <w:t>с положениями Пакта и применимыми международными стандартами, включая Основные принципы независимости судебных органов.</w:t>
      </w:r>
    </w:p>
    <w:p w14:paraId="5175393B" w14:textId="77777777" w:rsidR="00574132" w:rsidRPr="008B6B25" w:rsidRDefault="00574132" w:rsidP="00574132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  <w:r>
        <w:t xml:space="preserve"> </w:t>
      </w:r>
    </w:p>
    <w:p w14:paraId="19216381" w14:textId="77777777" w:rsidR="00574132" w:rsidRPr="008B6B25" w:rsidRDefault="00574132" w:rsidP="00574132">
      <w:pPr>
        <w:pStyle w:val="SingleTxtG"/>
      </w:pPr>
      <w:r>
        <w:t>28.</w:t>
      </w:r>
      <w:r>
        <w:tab/>
        <w:t xml:space="preserve">Комитет обеспокоен тем, что закон Мальты о Службе безопасности 1996 года позволяет премьер-министру осуществлять полномочия министра, ответственного за Службу безопасности (статья 11), назначать комиссара, контролирующего работу министра, ответственного за Службу безопасности (пункт 1 статьи 4), и входить в </w:t>
      </w:r>
      <w:r>
        <w:lastRenderedPageBreak/>
        <w:t xml:space="preserve">состав Комитета по безопасности (пункт 2 статьи 14), который осуществляет надзор за расходами Службы безопасности, управлением ею и ее нормативными актами. Комитет обеспокоен также тем, что, хотя Закон прямо не предусматривает перехвата данных в Интернете, термин «перехват» широко толкуется как включающий передачу информации в Интернете. Комитет обеспокоен тем, что отсутствие конкретики может привести к чрезмерно широкому толкованию и потенциально произвольному использованию или превышению полномочий по наблюдению, нарушению права на частную жизнь и других основных свобод без достаточного судебного надзора (статья 17). </w:t>
      </w:r>
    </w:p>
    <w:p w14:paraId="30F301E3" w14:textId="77777777" w:rsidR="00574132" w:rsidRPr="008B6B25" w:rsidRDefault="00574132" w:rsidP="00574132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Государству-участнику следует принять все необходимые меры для повышения эффективности существующих гарантий и обеспечения того, чтобы все решения, принимаемые министром, ответственным за Службу безопасности, соответствовали принципам законности, соразмерности и необходимости, включая законодательные меры по пересмотру полномочий, предоставленных премьер-министру, обеспечению независимого надзора за Службой безопасности и гарантии того, что все ордера на наблюдение и другие интрузивные меры подлежат предварительному утверждению независимым судебным органом.</w:t>
      </w:r>
      <w:r>
        <w:t xml:space="preserve"> </w:t>
      </w:r>
    </w:p>
    <w:p w14:paraId="759C39E1" w14:textId="77777777" w:rsidR="00574132" w:rsidRPr="008B6B25" w:rsidRDefault="00574132" w:rsidP="00574132">
      <w:pPr>
        <w:pStyle w:val="H23G"/>
      </w:pPr>
      <w:r>
        <w:tab/>
      </w:r>
      <w:r>
        <w:tab/>
      </w:r>
      <w:r>
        <w:rPr>
          <w:bCs/>
        </w:rPr>
        <w:t>Свобода выражения мнений</w:t>
      </w:r>
      <w:r>
        <w:t xml:space="preserve"> </w:t>
      </w:r>
    </w:p>
    <w:p w14:paraId="05655378" w14:textId="77777777" w:rsidR="00574132" w:rsidRPr="008B6B25" w:rsidRDefault="00574132" w:rsidP="00574132">
      <w:pPr>
        <w:pStyle w:val="SingleTxtG"/>
      </w:pPr>
      <w:r>
        <w:t>30.</w:t>
      </w:r>
      <w:r>
        <w:tab/>
        <w:t>Комитет с удовлетворением отмечает принятие в 2018 году Закона о СМИ и распространении порочащей информации, который декриминализировал распространение порочащих сведений. Комитет отмечает также завершенные и продолжающиеся уголовные процессы по делу о незаконном убийстве журналистки Дафны Каруаны Галиции и шаги, предпринятые государством-участником для повышения безопасности журналистов, включая разработку стандартных оперативных процедур под названием «Управление угрозами для жизни и реагирование на них». Вместе с тем Комитет обеспокоен сообщениями, свидетельствующими о повышении враждебности среды для работников СМИ, журналистов и правозащитников, такими как сообщения о кампаниях «черного пиара» и запугивании, в том числе с помощью стратегических и необоснованных судебных исков, отказа в признании удостоверений журналиста, выданных негосударственными организациями, и слежки. Кроме того, Комитет обеспокоен выводами Европейской комиссии от 2023 года о том, что СМИ и граждане по-прежнему сталкиваются с препятствиями при обращении за доступом к информации в государственные органы и к Комиссару по информации и защите данных, а также задержками в пересмотре Закона о свободе информации 2008 года (статья 19)</w:t>
      </w:r>
      <w:r w:rsidRPr="00C26419">
        <w:rPr>
          <w:rStyle w:val="aa"/>
        </w:rPr>
        <w:footnoteReference w:id="15"/>
      </w:r>
      <w:r>
        <w:t xml:space="preserve">. </w:t>
      </w:r>
    </w:p>
    <w:p w14:paraId="1B3FD745" w14:textId="77777777" w:rsidR="00574132" w:rsidRPr="008B6B25" w:rsidRDefault="00574132" w:rsidP="00574132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В соответствии со статьей 19 Пакта и замечанием общего порядка № 34 (2011) Комитета о свободе мнений и их выражения государству-участнику следует:</w:t>
      </w:r>
    </w:p>
    <w:p w14:paraId="7B324023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a)</w:t>
      </w:r>
      <w:r w:rsidRPr="00574132">
        <w:rPr>
          <w:b/>
          <w:bCs/>
        </w:rPr>
        <w:tab/>
        <w:t>обеспечить оперативное, независимое и беспристрастное расследование всех сообщений о случаях нарушения свободы выражения мнений, включая притеснение журналистов, работников СМИ и правозащитников, угрозы в их адрес и насильственные нападения на них, а также преследовать по закону подозреваемых в совершении таких действий и в случае признания их виновными назначать им соответствующие наказания, а также предоставлять потерпевшим эффективные средства правовой защиты;</w:t>
      </w:r>
    </w:p>
    <w:p w14:paraId="51D38942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b)</w:t>
      </w:r>
      <w:r w:rsidRPr="00574132">
        <w:rPr>
          <w:b/>
          <w:bCs/>
        </w:rPr>
        <w:tab/>
        <w:t>обеспечить эффективное внедрение систем предотвращения и реагирования в целях повышения безопасности журналистов, работников СМИ и правозащитников;</w:t>
      </w:r>
    </w:p>
    <w:p w14:paraId="3B457D46" w14:textId="77777777" w:rsidR="00574132" w:rsidRPr="00574132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c)</w:t>
      </w:r>
      <w:r w:rsidRPr="00574132">
        <w:rPr>
          <w:b/>
          <w:bCs/>
        </w:rPr>
        <w:tab/>
        <w:t>обеспечить независимость регулирующих институтов, включая Комиссара по информации и защите данных и Апелляционный трибунал по информации и защите данных, путем эффективного применения нормативно-правовой базы;</w:t>
      </w:r>
    </w:p>
    <w:p w14:paraId="73E3A72A" w14:textId="77777777" w:rsidR="00574132" w:rsidRPr="008B6B25" w:rsidRDefault="00574132" w:rsidP="00574132">
      <w:pPr>
        <w:pStyle w:val="SingleTxtG"/>
        <w:rPr>
          <w:rStyle w:val="aa"/>
          <w:b/>
          <w:bCs/>
        </w:rPr>
      </w:pPr>
      <w:r w:rsidRPr="00574132">
        <w:rPr>
          <w:b/>
          <w:bCs/>
        </w:rPr>
        <w:lastRenderedPageBreak/>
        <w:tab/>
        <w:t>d)</w:t>
      </w:r>
      <w:r w:rsidRPr="00574132">
        <w:rPr>
          <w:b/>
          <w:bCs/>
        </w:rPr>
        <w:tab/>
        <w:t>обеспечить наличие гарантий, препятствующих использованию стратегических и необоснованных судебных исков для незаконного преследования или ограничения деятельности организаций гражданского общества, средств массовой информации</w:t>
      </w:r>
      <w:r>
        <w:rPr>
          <w:b/>
          <w:bCs/>
        </w:rPr>
        <w:t>, журналистов и правозащитников, в том числе тех, которые были исключены в рамках законодательных мер, принятых во исполнение директивы Европейского парламента о предотвращении стратегических судебных процессов против участия общественности</w:t>
      </w:r>
      <w:r w:rsidRPr="00873724">
        <w:rPr>
          <w:rStyle w:val="aa"/>
        </w:rPr>
        <w:footnoteReference w:id="16"/>
      </w:r>
      <w:r>
        <w:rPr>
          <w:b/>
          <w:bCs/>
        </w:rPr>
        <w:t>;</w:t>
      </w:r>
    </w:p>
    <w:p w14:paraId="7F90F40F" w14:textId="77777777" w:rsidR="00574132" w:rsidRPr="008B6B25" w:rsidRDefault="00574132" w:rsidP="00574132">
      <w:pPr>
        <w:pStyle w:val="SingleTxtG"/>
        <w:rPr>
          <w:b/>
          <w:bCs/>
        </w:rPr>
      </w:pPr>
      <w:r w:rsidRPr="00574132">
        <w:rPr>
          <w:b/>
          <w:bCs/>
        </w:rPr>
        <w:tab/>
        <w:t>e)</w:t>
      </w:r>
      <w:r w:rsidRPr="00574132">
        <w:rPr>
          <w:b/>
          <w:bCs/>
        </w:rPr>
        <w:tab/>
        <w:t>принять</w:t>
      </w:r>
      <w:r>
        <w:rPr>
          <w:b/>
          <w:bCs/>
        </w:rPr>
        <w:t xml:space="preserve"> все необходимые меры для улучшения условий работы журналистов и гарантировать доступ к информации, включая право на незамедлительное обжалование отрицательных решений государственных органов в Комиссариате по информации и защите данных, Апелляционном трибунале по информации и защите данных и Апелляционном суде.</w:t>
      </w:r>
    </w:p>
    <w:p w14:paraId="76EFE2C0" w14:textId="77777777" w:rsidR="00574132" w:rsidRPr="008B6B25" w:rsidRDefault="00574132" w:rsidP="00574132">
      <w:pPr>
        <w:pStyle w:val="H23G"/>
      </w:pPr>
      <w:r>
        <w:tab/>
      </w:r>
      <w:r>
        <w:tab/>
      </w:r>
      <w:r>
        <w:rPr>
          <w:bCs/>
        </w:rPr>
        <w:t>Право на мирные собрания</w:t>
      </w:r>
      <w:r>
        <w:t xml:space="preserve"> </w:t>
      </w:r>
    </w:p>
    <w:p w14:paraId="6BDAD0F7" w14:textId="44393350" w:rsidR="00574132" w:rsidRPr="008B6B25" w:rsidRDefault="00574132" w:rsidP="00574132">
      <w:pPr>
        <w:pStyle w:val="SingleTxtG"/>
      </w:pPr>
      <w:r>
        <w:t>32.</w:t>
      </w:r>
      <w:r>
        <w:tab/>
        <w:t>Отмечая, что в прошлом Комиссар полиции разрешал проводить стихийные демонстрации, Комитет обеспокоен положениями Постановления о публичных собраниях 1931 года о требованиях и уголовных санкциях, налагаемых на лиц, осуществляющих свое право на мирные собрания, включая требование Комиссара о направлении предварительного письменного уведомления. Помимо пункта</w:t>
      </w:r>
      <w:r w:rsidR="002C27DD">
        <w:t> </w:t>
      </w:r>
      <w:r>
        <w:t>2 статьи</w:t>
      </w:r>
      <w:r w:rsidR="002C27DD">
        <w:t> </w:t>
      </w:r>
      <w:r>
        <w:t xml:space="preserve">15, который предусматривает применение силы в тех случаях, когда другие меры контроля со стороны полиции терпят неудачу, Комитет обеспокоен отсутствием правовых гарантий для защиты демонстрантов от чрезмерного применения силы или мести. Комитет обеспокоен также обвинениями, выдвинутыми в октябре 2019 года в адрес мигрантов, содержащихся в центре приема в Хал-Фаре, и их массовым привлечением к суду за участие в демонстрации против плохих условий содержания (статья 21). </w:t>
      </w:r>
    </w:p>
    <w:p w14:paraId="448F7F41" w14:textId="77777777" w:rsidR="00574132" w:rsidRPr="008B6B25" w:rsidRDefault="00574132" w:rsidP="00574132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Государству-участнику следует принять законодательные и другие меры, необходимые для создания безопасных и благоприятных условий для осуществления права на мирные собрания.</w:t>
      </w:r>
      <w:r>
        <w:t xml:space="preserve"> </w:t>
      </w:r>
      <w:r>
        <w:rPr>
          <w:b/>
          <w:bCs/>
        </w:rPr>
        <w:t>Государству-участнику следует также пересмотреть свою законодательную базу в отношении права на мирные собрания, проведя консультации с соответствующими заинтересованными сторонами, включая организации гражданского общества и экспертов по правам человека, с тем чтобы гарантировать соответствие любых ограничений этого права и любого применения силы принципам необходимости и соразмерности.</w:t>
      </w:r>
      <w:r>
        <w:t xml:space="preserve"> </w:t>
      </w:r>
      <w:r>
        <w:rPr>
          <w:b/>
          <w:bCs/>
        </w:rPr>
        <w:t>Ему следует улучшить условия содержания мигрантов и просителей убежища, находящихся в центрах приема и содержания под стражей, а также создать эффективные механизмы рассмотрения жалоб и обеспечить справедливое и прозрачное судебное разбирательство мигрантам, которым предъявлены уголовные обвинения в связи с демонстрациями, в том числе путем предоставления бесплатной юридической помощи и услуг переводчика.</w:t>
      </w:r>
    </w:p>
    <w:p w14:paraId="5011AD44" w14:textId="77777777" w:rsidR="00574132" w:rsidRPr="008B6B25" w:rsidRDefault="00574132" w:rsidP="00574132">
      <w:pPr>
        <w:pStyle w:val="H1G"/>
      </w:pPr>
      <w:r w:rsidRPr="001A566C">
        <w:rPr>
          <w:bCs/>
        </w:rPr>
        <w:tab/>
      </w:r>
      <w:r>
        <w:rPr>
          <w:bCs/>
        </w:rPr>
        <w:t>D.</w:t>
      </w:r>
      <w:r>
        <w:tab/>
      </w:r>
      <w:r>
        <w:tab/>
      </w:r>
      <w:r>
        <w:rPr>
          <w:bCs/>
        </w:rPr>
        <w:t>Распространение информации и последующая деятельность</w:t>
      </w:r>
      <w:r>
        <w:t xml:space="preserve"> </w:t>
      </w:r>
    </w:p>
    <w:p w14:paraId="5130DC93" w14:textId="77777777" w:rsidR="00574132" w:rsidRPr="008B6B25" w:rsidRDefault="00574132" w:rsidP="00574132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двух Факультативных протоколов к нему, его третьего периодического доклада и настоящих заключительных замечаний в целях повышения осведомленности о закрепленных в Пакте правах среди представителей судебных, законодательных и административных органов, гражданского общества, действующих в стране неправительственных организаций и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периодического доклада и настоящих заключительных замечаний на его официальные языки.</w:t>
      </w:r>
      <w:bookmarkStart w:id="0" w:name="_Hlk168404895"/>
      <w:bookmarkEnd w:id="0"/>
    </w:p>
    <w:p w14:paraId="5A8AC932" w14:textId="77777777" w:rsidR="00574132" w:rsidRPr="008B6B25" w:rsidRDefault="00574132" w:rsidP="00574132">
      <w:pPr>
        <w:pStyle w:val="SingleTxtG"/>
        <w:rPr>
          <w:b/>
          <w:bCs/>
        </w:rPr>
      </w:pPr>
      <w:r>
        <w:lastRenderedPageBreak/>
        <w:t>35.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23 июля 2027 года информацию о выполнении рекомендаций, сформулированных Комитетом в пунктах 9 (национальное правозащитное учреждение), 15 (гендерное равенство) и 23 (право на жизнь и невысылку мигрантов, просителей убежища и беженцев) выше.</w:t>
      </w:r>
    </w:p>
    <w:p w14:paraId="19555C2E" w14:textId="77777777" w:rsidR="00574132" w:rsidRPr="008B6B25" w:rsidRDefault="00574132" w:rsidP="00574132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В соответствии с прогнозируемым циклом рассмотрения докладов Комитетом перед подачей доклада государство-участник получит от него в 2030</w:t>
      </w:r>
      <w:r>
        <w:rPr>
          <w:b/>
          <w:bCs/>
          <w:lang w:val="en-US"/>
        </w:rPr>
        <w:t> </w:t>
      </w:r>
      <w:r>
        <w:rPr>
          <w:b/>
          <w:bCs/>
        </w:rPr>
        <w:t>году перечень вопросов, и ответы на эти вопросы, которые должны быть даны в течение года, составят его четвертый периодический доклад.</w:t>
      </w:r>
      <w:r>
        <w:t xml:space="preserve"> </w:t>
      </w:r>
      <w:r w:rsidRPr="007B6E34">
        <w:rPr>
          <w:b/>
          <w:bCs/>
        </w:rPr>
        <w:t>Кроме того,</w:t>
      </w:r>
      <w:r>
        <w:t xml:space="preserve"> </w:t>
      </w:r>
      <w:r>
        <w:rPr>
          <w:b/>
          <w:bCs/>
        </w:rPr>
        <w:t>Комитет просит государство-участник при подготовке своего доклада провести широкие консультации с представителями гражданского общества и действующими в стране неправительственными организациями.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</w:t>
      </w:r>
      <w:r>
        <w:rPr>
          <w:b/>
          <w:bCs/>
          <w:lang w:val="en-US"/>
        </w:rPr>
        <w:t> </w:t>
      </w:r>
      <w:r>
        <w:rPr>
          <w:b/>
          <w:bCs/>
        </w:rPr>
        <w:t>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Женеве в 2032</w:t>
      </w:r>
      <w:r>
        <w:rPr>
          <w:b/>
          <w:bCs/>
          <w:lang w:val="en-US"/>
        </w:rPr>
        <w:t> </w:t>
      </w:r>
      <w:r>
        <w:rPr>
          <w:b/>
          <w:bCs/>
        </w:rPr>
        <w:t>году.</w:t>
      </w:r>
    </w:p>
    <w:p w14:paraId="6EA27D34" w14:textId="47BFD275" w:rsidR="00381C24" w:rsidRPr="00574132" w:rsidRDefault="00574132" w:rsidP="00574132">
      <w:pPr>
        <w:spacing w:before="240"/>
        <w:jc w:val="center"/>
      </w:pPr>
      <w:r w:rsidRPr="008B6B25">
        <w:rPr>
          <w:u w:val="single"/>
        </w:rPr>
        <w:tab/>
      </w:r>
      <w:r w:rsidRPr="008B6B25">
        <w:rPr>
          <w:u w:val="single"/>
        </w:rPr>
        <w:tab/>
      </w:r>
      <w:r w:rsidRPr="008B6B25">
        <w:rPr>
          <w:u w:val="single"/>
        </w:rPr>
        <w:tab/>
      </w:r>
    </w:p>
    <w:sectPr w:rsidR="00381C24" w:rsidRPr="00574132" w:rsidSect="005271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25C977" w14:textId="77777777" w:rsidR="00C3322A" w:rsidRPr="00A312BC" w:rsidRDefault="00C3322A" w:rsidP="00A312BC"/>
  </w:endnote>
  <w:endnote w:type="continuationSeparator" w:id="0">
    <w:p w14:paraId="2CA5E107" w14:textId="77777777" w:rsidR="00C3322A" w:rsidRPr="00A312BC" w:rsidRDefault="00C3322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E186B" w14:textId="5178C52C" w:rsidR="0052712B" w:rsidRPr="0052712B" w:rsidRDefault="0052712B">
    <w:pPr>
      <w:pStyle w:val="a8"/>
    </w:pPr>
    <w:r w:rsidRPr="0052712B">
      <w:rPr>
        <w:b/>
        <w:sz w:val="18"/>
      </w:rPr>
      <w:fldChar w:fldCharType="begin"/>
    </w:r>
    <w:r w:rsidRPr="0052712B">
      <w:rPr>
        <w:b/>
        <w:sz w:val="18"/>
      </w:rPr>
      <w:instrText xml:space="preserve"> PAGE  \* MERGEFORMAT </w:instrText>
    </w:r>
    <w:r w:rsidRPr="0052712B">
      <w:rPr>
        <w:b/>
        <w:sz w:val="18"/>
      </w:rPr>
      <w:fldChar w:fldCharType="separate"/>
    </w:r>
    <w:r w:rsidRPr="0052712B">
      <w:rPr>
        <w:b/>
        <w:noProof/>
        <w:sz w:val="18"/>
      </w:rPr>
      <w:t>2</w:t>
    </w:r>
    <w:r w:rsidRPr="0052712B">
      <w:rPr>
        <w:b/>
        <w:sz w:val="18"/>
      </w:rPr>
      <w:fldChar w:fldCharType="end"/>
    </w:r>
    <w:r>
      <w:rPr>
        <w:b/>
        <w:sz w:val="18"/>
      </w:rPr>
      <w:tab/>
    </w:r>
    <w:r>
      <w:t>GE.24-14144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19CB1" w14:textId="55A2971A" w:rsidR="0052712B" w:rsidRPr="0052712B" w:rsidRDefault="0052712B" w:rsidP="0052712B">
    <w:pPr>
      <w:pStyle w:val="a8"/>
      <w:tabs>
        <w:tab w:val="clear" w:pos="9639"/>
        <w:tab w:val="right" w:pos="9638"/>
      </w:tabs>
      <w:rPr>
        <w:b/>
        <w:sz w:val="18"/>
      </w:rPr>
    </w:pPr>
    <w:r>
      <w:t>GE.24-14144</w:t>
    </w:r>
    <w:r>
      <w:tab/>
    </w:r>
    <w:r w:rsidRPr="0052712B">
      <w:rPr>
        <w:b/>
        <w:sz w:val="18"/>
      </w:rPr>
      <w:fldChar w:fldCharType="begin"/>
    </w:r>
    <w:r w:rsidRPr="0052712B">
      <w:rPr>
        <w:b/>
        <w:sz w:val="18"/>
      </w:rPr>
      <w:instrText xml:space="preserve"> PAGE  \* MERGEFORMAT </w:instrText>
    </w:r>
    <w:r w:rsidRPr="0052712B">
      <w:rPr>
        <w:b/>
        <w:sz w:val="18"/>
      </w:rPr>
      <w:fldChar w:fldCharType="separate"/>
    </w:r>
    <w:r w:rsidRPr="0052712B">
      <w:rPr>
        <w:b/>
        <w:noProof/>
        <w:sz w:val="18"/>
      </w:rPr>
      <w:t>3</w:t>
    </w:r>
    <w:r w:rsidRPr="0052712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6DBD63" w14:textId="30B08D62" w:rsidR="00042B72" w:rsidRPr="0052712B" w:rsidRDefault="0052712B" w:rsidP="0052712B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06116D9" wp14:editId="208C245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24-14144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C405F72" wp14:editId="4B2B7D8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011124  121124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33ACE7" w14:textId="77777777" w:rsidR="00C3322A" w:rsidRPr="001075E9" w:rsidRDefault="00C3322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AB1ECE6" w14:textId="77777777" w:rsidR="00C3322A" w:rsidRDefault="00C3322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B3CC2DC" w14:textId="19A5E577" w:rsidR="00574132" w:rsidRPr="008B6B25" w:rsidRDefault="00574132" w:rsidP="00574132">
      <w:pPr>
        <w:pStyle w:val="ad"/>
      </w:pPr>
      <w:r>
        <w:tab/>
      </w:r>
      <w:r w:rsidRPr="003850DE">
        <w:rPr>
          <w:sz w:val="20"/>
        </w:rPr>
        <w:t>*</w:t>
      </w:r>
      <w:r>
        <w:tab/>
        <w:t xml:space="preserve">Приняты Комитетом на его </w:t>
      </w:r>
      <w:r>
        <w:t>сто сорок первой</w:t>
      </w:r>
      <w:r>
        <w:t xml:space="preserve"> сессии (1−23 июля 2024</w:t>
      </w:r>
      <w:r>
        <w:rPr>
          <w:lang w:val="en-US"/>
        </w:rPr>
        <w:t> </w:t>
      </w:r>
      <w:r>
        <w:t xml:space="preserve">года). </w:t>
      </w:r>
    </w:p>
  </w:footnote>
  <w:footnote w:id="2">
    <w:p w14:paraId="150C628B" w14:textId="3450D132" w:rsidR="00574132" w:rsidRPr="008B6B25" w:rsidRDefault="00574132" w:rsidP="00574132">
      <w:pPr>
        <w:pStyle w:val="ad"/>
      </w:pPr>
      <w:r w:rsidRPr="007D6602">
        <w:tab/>
      </w:r>
      <w:r w:rsidRPr="00C26419">
        <w:rPr>
          <w:rStyle w:val="aa"/>
        </w:rPr>
        <w:footnoteRef/>
      </w:r>
      <w:r>
        <w:tab/>
      </w:r>
      <w:hyperlink r:id="rId1" w:history="1">
        <w:r w:rsidRPr="003850DE">
          <w:rPr>
            <w:rStyle w:val="af1"/>
          </w:rPr>
          <w:t>CCPR/C/MLT/3</w:t>
        </w:r>
      </w:hyperlink>
      <w:r>
        <w:t xml:space="preserve">. </w:t>
      </w:r>
    </w:p>
  </w:footnote>
  <w:footnote w:id="3">
    <w:p w14:paraId="172D2246" w14:textId="29113065" w:rsidR="00574132" w:rsidRPr="003850DE" w:rsidRDefault="00574132" w:rsidP="00574132">
      <w:pPr>
        <w:pStyle w:val="ad"/>
        <w:rPr>
          <w:lang w:val="de-CH"/>
        </w:rPr>
      </w:pPr>
      <w:r w:rsidRPr="007D6602">
        <w:tab/>
      </w:r>
      <w:r w:rsidRPr="00C26419">
        <w:rPr>
          <w:rStyle w:val="aa"/>
        </w:rPr>
        <w:footnoteRef/>
      </w:r>
      <w:r>
        <w:tab/>
        <w:t xml:space="preserve">См. </w:t>
      </w:r>
      <w:hyperlink r:id="rId2" w:history="1">
        <w:r w:rsidRPr="003850DE">
          <w:rPr>
            <w:rStyle w:val="af1"/>
            <w:lang w:val="de-CH"/>
          </w:rPr>
          <w:t>CCPR/C/SR.4118</w:t>
        </w:r>
      </w:hyperlink>
      <w:r w:rsidRPr="003850DE">
        <w:rPr>
          <w:lang w:val="de-CH"/>
        </w:rPr>
        <w:t xml:space="preserve"> </w:t>
      </w:r>
      <w:r>
        <w:t>и</w:t>
      </w:r>
      <w:r w:rsidRPr="003850DE">
        <w:rPr>
          <w:lang w:val="de-CH"/>
        </w:rPr>
        <w:t xml:space="preserve"> </w:t>
      </w:r>
      <w:hyperlink r:id="rId3" w:history="1">
        <w:r w:rsidRPr="003850DE">
          <w:rPr>
            <w:rStyle w:val="af1"/>
            <w:lang w:val="de-CH"/>
          </w:rPr>
          <w:t>CCPR/C/SR.4119</w:t>
        </w:r>
      </w:hyperlink>
      <w:r w:rsidRPr="003850DE">
        <w:rPr>
          <w:lang w:val="de-CH"/>
        </w:rPr>
        <w:t>.</w:t>
      </w:r>
    </w:p>
  </w:footnote>
  <w:footnote w:id="4">
    <w:p w14:paraId="39889E9D" w14:textId="55D7E4FB" w:rsidR="00574132" w:rsidRPr="00574132" w:rsidRDefault="00574132" w:rsidP="00574132">
      <w:pPr>
        <w:pStyle w:val="ad"/>
        <w:rPr>
          <w:lang w:val="en-US"/>
        </w:rPr>
      </w:pPr>
      <w:r w:rsidRPr="003850DE">
        <w:rPr>
          <w:lang w:val="de-CH"/>
        </w:rPr>
        <w:tab/>
      </w:r>
      <w:r w:rsidRPr="00C26419">
        <w:rPr>
          <w:rStyle w:val="aa"/>
        </w:rPr>
        <w:footnoteRef/>
      </w:r>
      <w:r w:rsidRPr="008B6B25">
        <w:rPr>
          <w:lang w:val="en-US"/>
        </w:rPr>
        <w:tab/>
      </w:r>
      <w:hyperlink r:id="rId4" w:history="1">
        <w:r w:rsidRPr="003850DE">
          <w:rPr>
            <w:rStyle w:val="af1"/>
            <w:lang w:val="en-US"/>
          </w:rPr>
          <w:t>CCPR/C/MLT/QPR/3</w:t>
        </w:r>
      </w:hyperlink>
      <w:r w:rsidRPr="008B6B25">
        <w:rPr>
          <w:lang w:val="en-US"/>
        </w:rPr>
        <w:t>.</w:t>
      </w:r>
    </w:p>
  </w:footnote>
  <w:footnote w:id="5">
    <w:p w14:paraId="4939B5F1" w14:textId="3EA5EAB0" w:rsidR="00574132" w:rsidRPr="00574132" w:rsidRDefault="00574132" w:rsidP="00574132">
      <w:pPr>
        <w:pStyle w:val="ad"/>
        <w:rPr>
          <w:lang w:val="en-US"/>
        </w:rPr>
      </w:pPr>
      <w:r w:rsidRPr="008B6B25">
        <w:rPr>
          <w:lang w:val="en-US"/>
        </w:rPr>
        <w:tab/>
      </w:r>
      <w:r w:rsidRPr="00C26419">
        <w:rPr>
          <w:rStyle w:val="aa"/>
        </w:rPr>
        <w:footnoteRef/>
      </w:r>
      <w:r w:rsidRPr="008B6B25">
        <w:rPr>
          <w:lang w:val="en-US"/>
        </w:rPr>
        <w:tab/>
      </w:r>
      <w:hyperlink r:id="rId5" w:history="1">
        <w:r w:rsidRPr="003850DE">
          <w:rPr>
            <w:rStyle w:val="af1"/>
            <w:lang w:val="en-US"/>
          </w:rPr>
          <w:t>CCPR/C/MLT/CO/2</w:t>
        </w:r>
      </w:hyperlink>
      <w:r w:rsidRPr="008B6B25">
        <w:rPr>
          <w:lang w:val="en-US"/>
        </w:rPr>
        <w:t xml:space="preserve">, </w:t>
      </w:r>
      <w:r>
        <w:t>п</w:t>
      </w:r>
      <w:r w:rsidRPr="008B6B25">
        <w:rPr>
          <w:lang w:val="en-US"/>
        </w:rPr>
        <w:t>. 5.</w:t>
      </w:r>
    </w:p>
  </w:footnote>
  <w:footnote w:id="6">
    <w:p w14:paraId="4605AE46" w14:textId="77777777" w:rsidR="00574132" w:rsidRPr="008B6B25" w:rsidRDefault="00574132" w:rsidP="00574132">
      <w:pPr>
        <w:pStyle w:val="ad"/>
      </w:pPr>
      <w:r w:rsidRPr="008B6B25">
        <w:rPr>
          <w:lang w:val="en-US"/>
        </w:rPr>
        <w:tab/>
      </w:r>
      <w:r w:rsidRPr="00C26419">
        <w:rPr>
          <w:rStyle w:val="aa"/>
        </w:rPr>
        <w:footnoteRef/>
      </w:r>
      <w:r>
        <w:tab/>
        <w:t>Там же, п. 6.</w:t>
      </w:r>
    </w:p>
  </w:footnote>
  <w:footnote w:id="7">
    <w:p w14:paraId="62FB9775" w14:textId="77777777" w:rsidR="00574132" w:rsidRPr="008B6B25" w:rsidRDefault="00574132" w:rsidP="00574132">
      <w:pPr>
        <w:pStyle w:val="ad"/>
      </w:pPr>
      <w:r w:rsidRPr="00D55AEE">
        <w:tab/>
      </w:r>
      <w:r w:rsidRPr="00C26419">
        <w:rPr>
          <w:rStyle w:val="aa"/>
        </w:rPr>
        <w:footnoteRef/>
      </w:r>
      <w:r>
        <w:tab/>
        <w:t>Там же, п. 7.</w:t>
      </w:r>
    </w:p>
  </w:footnote>
  <w:footnote w:id="8">
    <w:p w14:paraId="68EE5026" w14:textId="77777777" w:rsidR="00574132" w:rsidRPr="008B6B25" w:rsidRDefault="00574132" w:rsidP="00574132">
      <w:pPr>
        <w:pStyle w:val="ad"/>
      </w:pPr>
      <w:r w:rsidRPr="00D55AEE">
        <w:tab/>
      </w:r>
      <w:r w:rsidRPr="00C26419">
        <w:rPr>
          <w:rStyle w:val="aa"/>
        </w:rPr>
        <w:footnoteRef/>
      </w:r>
      <w:r>
        <w:tab/>
        <w:t>Там же, п. 9.</w:t>
      </w:r>
    </w:p>
  </w:footnote>
  <w:footnote w:id="9">
    <w:p w14:paraId="1985AA2F" w14:textId="77777777" w:rsidR="00574132" w:rsidRPr="008B6B25" w:rsidRDefault="00574132" w:rsidP="00574132">
      <w:pPr>
        <w:pStyle w:val="ad"/>
      </w:pPr>
      <w:r w:rsidRPr="001168B9">
        <w:tab/>
      </w:r>
      <w:r w:rsidRPr="00C26419">
        <w:rPr>
          <w:rStyle w:val="aa"/>
        </w:rPr>
        <w:footnoteRef/>
      </w:r>
      <w:r>
        <w:tab/>
        <w:t xml:space="preserve">Там же, п. 13. </w:t>
      </w:r>
    </w:p>
  </w:footnote>
  <w:footnote w:id="10">
    <w:p w14:paraId="37DE8186" w14:textId="77777777" w:rsidR="00574132" w:rsidRPr="00574132" w:rsidRDefault="00574132" w:rsidP="00574132">
      <w:pPr>
        <w:pStyle w:val="ad"/>
        <w:rPr>
          <w:lang w:val="en-US"/>
        </w:rPr>
      </w:pPr>
      <w:r w:rsidRPr="007D6602">
        <w:tab/>
      </w:r>
      <w:r w:rsidRPr="00C26419">
        <w:rPr>
          <w:rStyle w:val="aa"/>
        </w:rPr>
        <w:footnoteRef/>
      </w:r>
      <w:r w:rsidRPr="008B6B25">
        <w:rPr>
          <w:lang w:val="en-US"/>
        </w:rPr>
        <w:tab/>
        <w:t xml:space="preserve">European Court of Human Rights, </w:t>
      </w:r>
      <w:r w:rsidRPr="008B6B25">
        <w:rPr>
          <w:i/>
          <w:iCs/>
          <w:lang w:val="en-US"/>
        </w:rPr>
        <w:t>A.D. v. Malta</w:t>
      </w:r>
      <w:r w:rsidRPr="008B6B25">
        <w:rPr>
          <w:lang w:val="en-US"/>
        </w:rPr>
        <w:t>, Application No. 12427/22, Judgment, 17 October 2023, arts. 7 and 10.</w:t>
      </w:r>
    </w:p>
  </w:footnote>
  <w:footnote w:id="11">
    <w:p w14:paraId="6E1BD136" w14:textId="02DCFF8C" w:rsidR="00574132" w:rsidRPr="00574132" w:rsidRDefault="00574132" w:rsidP="00574132">
      <w:pPr>
        <w:pStyle w:val="ad"/>
        <w:rPr>
          <w:lang w:val="en-US"/>
        </w:rPr>
      </w:pPr>
      <w:r w:rsidRPr="008B6B25">
        <w:rPr>
          <w:lang w:val="en-US"/>
        </w:rPr>
        <w:tab/>
      </w:r>
      <w:r w:rsidRPr="00C26419">
        <w:rPr>
          <w:rStyle w:val="aa"/>
        </w:rPr>
        <w:footnoteRef/>
      </w:r>
      <w:r w:rsidRPr="008B6B25">
        <w:rPr>
          <w:lang w:val="en-US"/>
        </w:rPr>
        <w:tab/>
      </w:r>
      <w:hyperlink r:id="rId6" w:history="1">
        <w:r w:rsidRPr="003850DE">
          <w:rPr>
            <w:rStyle w:val="af1"/>
            <w:lang w:val="en-US"/>
          </w:rPr>
          <w:t>CCPR/C/MLT/CO/2</w:t>
        </w:r>
      </w:hyperlink>
      <w:r w:rsidRPr="008B6B25">
        <w:rPr>
          <w:lang w:val="en-US"/>
        </w:rPr>
        <w:t xml:space="preserve">, </w:t>
      </w:r>
      <w:r>
        <w:t>п</w:t>
      </w:r>
      <w:r w:rsidRPr="008B6B25">
        <w:rPr>
          <w:lang w:val="en-US"/>
        </w:rPr>
        <w:t>. 18.</w:t>
      </w:r>
    </w:p>
  </w:footnote>
  <w:footnote w:id="12">
    <w:p w14:paraId="3C35F529" w14:textId="3A9461CD" w:rsidR="00574132" w:rsidRPr="00574132" w:rsidRDefault="00574132" w:rsidP="00574132">
      <w:pPr>
        <w:pStyle w:val="ad"/>
        <w:rPr>
          <w:lang w:val="en-US"/>
        </w:rPr>
      </w:pPr>
      <w:r w:rsidRPr="008B6B25">
        <w:rPr>
          <w:rStyle w:val="aa"/>
          <w:lang w:val="en-US"/>
        </w:rPr>
        <w:tab/>
      </w:r>
      <w:r w:rsidRPr="00C26419">
        <w:rPr>
          <w:rStyle w:val="aa"/>
        </w:rPr>
        <w:footnoteRef/>
      </w:r>
      <w:r w:rsidRPr="008B6B25">
        <w:rPr>
          <w:lang w:val="en-US"/>
        </w:rPr>
        <w:tab/>
      </w:r>
      <w:hyperlink r:id="rId7" w:history="1">
        <w:r w:rsidRPr="003850DE">
          <w:rPr>
            <w:rStyle w:val="af1"/>
            <w:lang w:val="en-US"/>
          </w:rPr>
          <w:t>CCPR/C/MLT/CO/2</w:t>
        </w:r>
      </w:hyperlink>
      <w:r w:rsidRPr="008B6B25">
        <w:rPr>
          <w:lang w:val="en-US"/>
        </w:rPr>
        <w:t>.</w:t>
      </w:r>
    </w:p>
  </w:footnote>
  <w:footnote w:id="13">
    <w:p w14:paraId="7D0AF923" w14:textId="77777777" w:rsidR="00574132" w:rsidRPr="00574132" w:rsidRDefault="00574132" w:rsidP="00574132">
      <w:pPr>
        <w:pStyle w:val="ad"/>
        <w:rPr>
          <w:lang w:val="en-US"/>
        </w:rPr>
      </w:pPr>
      <w:r w:rsidRPr="008B6B25">
        <w:rPr>
          <w:lang w:val="en-US"/>
        </w:rPr>
        <w:tab/>
      </w:r>
      <w:r w:rsidRPr="00C26419">
        <w:rPr>
          <w:rStyle w:val="aa"/>
        </w:rPr>
        <w:footnoteRef/>
      </w:r>
      <w:r w:rsidRPr="008B6B25">
        <w:rPr>
          <w:lang w:val="en-US"/>
        </w:rPr>
        <w:tab/>
      </w:r>
      <w:r>
        <w:t>Там</w:t>
      </w:r>
      <w:r w:rsidRPr="008B6B25">
        <w:rPr>
          <w:lang w:val="en-US"/>
        </w:rPr>
        <w:t xml:space="preserve"> </w:t>
      </w:r>
      <w:r>
        <w:t>же</w:t>
      </w:r>
      <w:r w:rsidRPr="008B6B25">
        <w:rPr>
          <w:lang w:val="en-US"/>
        </w:rPr>
        <w:t xml:space="preserve">, </w:t>
      </w:r>
      <w:r>
        <w:t>п</w:t>
      </w:r>
      <w:r w:rsidRPr="008B6B25">
        <w:rPr>
          <w:lang w:val="en-US"/>
        </w:rPr>
        <w:t>. 15.</w:t>
      </w:r>
    </w:p>
  </w:footnote>
  <w:footnote w:id="14">
    <w:p w14:paraId="2904AC5A" w14:textId="77777777" w:rsidR="00574132" w:rsidRPr="00574132" w:rsidRDefault="00574132" w:rsidP="00574132">
      <w:pPr>
        <w:pStyle w:val="ad"/>
        <w:rPr>
          <w:lang w:val="en-US"/>
        </w:rPr>
      </w:pPr>
      <w:r w:rsidRPr="008B6B25">
        <w:rPr>
          <w:lang w:val="en-US"/>
        </w:rPr>
        <w:tab/>
      </w:r>
      <w:r w:rsidRPr="00C26419">
        <w:rPr>
          <w:rStyle w:val="aa"/>
        </w:rPr>
        <w:footnoteRef/>
      </w:r>
      <w:r w:rsidRPr="008B6B25">
        <w:rPr>
          <w:lang w:val="en-US"/>
        </w:rPr>
        <w:tab/>
        <w:t>European Commission for Democracy through Law, Opinion No. 986/2020, 19 June 2020.</w:t>
      </w:r>
    </w:p>
  </w:footnote>
  <w:footnote w:id="15">
    <w:p w14:paraId="3354BD41" w14:textId="70192499" w:rsidR="00574132" w:rsidRPr="00574132" w:rsidRDefault="00574132" w:rsidP="00574132">
      <w:pPr>
        <w:pStyle w:val="ad"/>
        <w:rPr>
          <w:lang w:val="en-US"/>
        </w:rPr>
      </w:pPr>
      <w:r w:rsidRPr="008B6B25">
        <w:rPr>
          <w:lang w:val="en-US"/>
        </w:rPr>
        <w:tab/>
      </w:r>
      <w:r w:rsidRPr="00C26419">
        <w:rPr>
          <w:rStyle w:val="aa"/>
        </w:rPr>
        <w:footnoteRef/>
      </w:r>
      <w:r w:rsidRPr="008B6B25">
        <w:rPr>
          <w:lang w:val="en-US"/>
        </w:rPr>
        <w:tab/>
        <w:t xml:space="preserve">European Commission, </w:t>
      </w:r>
      <w:r w:rsidRPr="008B6B25">
        <w:rPr>
          <w:i/>
          <w:iCs/>
          <w:lang w:val="en-US"/>
        </w:rPr>
        <w:t>2023 Rule of Law Report</w:t>
      </w:r>
      <w:r w:rsidRPr="008B6B25">
        <w:rPr>
          <w:lang w:val="en-US"/>
        </w:rPr>
        <w:t xml:space="preserve"> (SWD</w:t>
      </w:r>
      <w:r w:rsidR="007512DA" w:rsidRPr="007512DA">
        <w:rPr>
          <w:lang w:val="en-US"/>
        </w:rPr>
        <w:t xml:space="preserve"> </w:t>
      </w:r>
      <w:r w:rsidRPr="008B6B25">
        <w:rPr>
          <w:lang w:val="en-US"/>
        </w:rPr>
        <w:t>(2023) 818 final) (Brussels, 2023).</w:t>
      </w:r>
    </w:p>
  </w:footnote>
  <w:footnote w:id="16">
    <w:p w14:paraId="54ED482B" w14:textId="77777777" w:rsidR="00574132" w:rsidRPr="00574132" w:rsidRDefault="00574132" w:rsidP="00574132">
      <w:pPr>
        <w:pStyle w:val="ad"/>
        <w:jc w:val="both"/>
        <w:rPr>
          <w:lang w:val="en-US"/>
        </w:rPr>
      </w:pPr>
      <w:r w:rsidRPr="008B6B25">
        <w:rPr>
          <w:lang w:val="en-US"/>
        </w:rPr>
        <w:tab/>
      </w:r>
      <w:r w:rsidRPr="00C26419">
        <w:rPr>
          <w:rStyle w:val="aa"/>
        </w:rPr>
        <w:footnoteRef/>
      </w:r>
      <w:r w:rsidRPr="008B6B25">
        <w:rPr>
          <w:lang w:val="en-US"/>
        </w:rPr>
        <w:tab/>
        <w:t>European Parliament and the Council of the European Union, Directive (EU) 2024/1069, 11 April 2024.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A80A1B" w14:textId="3A7AC879" w:rsidR="0052712B" w:rsidRPr="0052712B" w:rsidRDefault="0052712B">
    <w:pPr>
      <w:pStyle w:val="a5"/>
    </w:pPr>
    <w:fldSimple w:instr=" TITLE  \* MERGEFORMAT ">
      <w:r w:rsidR="004B0AC6">
        <w:t>CCPR/C/MLT/CO/3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BA6432" w14:textId="54ACB294" w:rsidR="0052712B" w:rsidRPr="0052712B" w:rsidRDefault="0052712B" w:rsidP="0052712B">
    <w:pPr>
      <w:pStyle w:val="a5"/>
      <w:jc w:val="right"/>
    </w:pPr>
    <w:fldSimple w:instr=" TITLE  \* MERGEFORMAT ">
      <w:r w:rsidR="004B0AC6">
        <w:t>CCPR/C/MLT/CO/3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586D4" w14:textId="77777777" w:rsidR="0052712B" w:rsidRDefault="0052712B" w:rsidP="0052712B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22A"/>
    <w:rsid w:val="00033EE1"/>
    <w:rsid w:val="000358F2"/>
    <w:rsid w:val="00042B72"/>
    <w:rsid w:val="000558BD"/>
    <w:rsid w:val="000B57E7"/>
    <w:rsid w:val="000B6373"/>
    <w:rsid w:val="000D6255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D5E73"/>
    <w:rsid w:val="00254812"/>
    <w:rsid w:val="002A2EFC"/>
    <w:rsid w:val="002C0E18"/>
    <w:rsid w:val="002C27DD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850DE"/>
    <w:rsid w:val="003958D0"/>
    <w:rsid w:val="003B00E5"/>
    <w:rsid w:val="00407B78"/>
    <w:rsid w:val="00424203"/>
    <w:rsid w:val="00452493"/>
    <w:rsid w:val="00454E07"/>
    <w:rsid w:val="00472C5C"/>
    <w:rsid w:val="004969B2"/>
    <w:rsid w:val="004B0AC6"/>
    <w:rsid w:val="0050108D"/>
    <w:rsid w:val="00513081"/>
    <w:rsid w:val="00517901"/>
    <w:rsid w:val="00526683"/>
    <w:rsid w:val="0052712B"/>
    <w:rsid w:val="005513F3"/>
    <w:rsid w:val="005709E0"/>
    <w:rsid w:val="00572E19"/>
    <w:rsid w:val="00574132"/>
    <w:rsid w:val="005961C8"/>
    <w:rsid w:val="005D55BB"/>
    <w:rsid w:val="005D7914"/>
    <w:rsid w:val="005E2B41"/>
    <w:rsid w:val="005F0B42"/>
    <w:rsid w:val="00666B97"/>
    <w:rsid w:val="0067201C"/>
    <w:rsid w:val="00681A10"/>
    <w:rsid w:val="006A1ED8"/>
    <w:rsid w:val="006B3942"/>
    <w:rsid w:val="006C2031"/>
    <w:rsid w:val="006D461A"/>
    <w:rsid w:val="006F35EE"/>
    <w:rsid w:val="007021FF"/>
    <w:rsid w:val="007117DB"/>
    <w:rsid w:val="00712895"/>
    <w:rsid w:val="007512DA"/>
    <w:rsid w:val="0075523D"/>
    <w:rsid w:val="00757357"/>
    <w:rsid w:val="00787D3A"/>
    <w:rsid w:val="00791B9D"/>
    <w:rsid w:val="00825F8D"/>
    <w:rsid w:val="00834B71"/>
    <w:rsid w:val="0086445C"/>
    <w:rsid w:val="00887D69"/>
    <w:rsid w:val="00894693"/>
    <w:rsid w:val="008A08D7"/>
    <w:rsid w:val="008B6909"/>
    <w:rsid w:val="00906890"/>
    <w:rsid w:val="00911BE4"/>
    <w:rsid w:val="00931A71"/>
    <w:rsid w:val="00951972"/>
    <w:rsid w:val="0095489C"/>
    <w:rsid w:val="009608F3"/>
    <w:rsid w:val="009918E2"/>
    <w:rsid w:val="009A24AC"/>
    <w:rsid w:val="009D21FD"/>
    <w:rsid w:val="009E4632"/>
    <w:rsid w:val="00A14DA8"/>
    <w:rsid w:val="00A312BC"/>
    <w:rsid w:val="00A34D07"/>
    <w:rsid w:val="00A4023D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B7E62"/>
    <w:rsid w:val="00BC18B2"/>
    <w:rsid w:val="00BC3629"/>
    <w:rsid w:val="00BD33EE"/>
    <w:rsid w:val="00BF1A04"/>
    <w:rsid w:val="00C0177C"/>
    <w:rsid w:val="00C106D6"/>
    <w:rsid w:val="00C3322A"/>
    <w:rsid w:val="00C46D5A"/>
    <w:rsid w:val="00C60F0C"/>
    <w:rsid w:val="00C805C9"/>
    <w:rsid w:val="00C92939"/>
    <w:rsid w:val="00CA1679"/>
    <w:rsid w:val="00CB151C"/>
    <w:rsid w:val="00CE5A1A"/>
    <w:rsid w:val="00CF3F5A"/>
    <w:rsid w:val="00CF55F6"/>
    <w:rsid w:val="00D33D63"/>
    <w:rsid w:val="00D90028"/>
    <w:rsid w:val="00D90138"/>
    <w:rsid w:val="00D9090B"/>
    <w:rsid w:val="00DD1D1E"/>
    <w:rsid w:val="00DD1D7F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153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C2D8E7"/>
  <w15:docId w15:val="{E4590428-B8D7-4F41-8181-A691CBFB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3850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SR.4119" TargetMode="External"/><Relationship Id="rId7" Type="http://schemas.openxmlformats.org/officeDocument/2006/relationships/hyperlink" Target="http://undocs.org/ru/CCPR/C/MLT/CO/2" TargetMode="External"/><Relationship Id="rId2" Type="http://schemas.openxmlformats.org/officeDocument/2006/relationships/hyperlink" Target="http://undocs.org/en/CCPR/C/SR.4118" TargetMode="External"/><Relationship Id="rId1" Type="http://schemas.openxmlformats.org/officeDocument/2006/relationships/hyperlink" Target="http://undocs.org/en/CCPR/C/MLT/3" TargetMode="External"/><Relationship Id="rId6" Type="http://schemas.openxmlformats.org/officeDocument/2006/relationships/hyperlink" Target="http://undocs.org/ru/CCPR/C/MLT/CO/2" TargetMode="External"/><Relationship Id="rId5" Type="http://schemas.openxmlformats.org/officeDocument/2006/relationships/hyperlink" Target="http://undocs.org/ru/CCPR/C/MLT/CO/2" TargetMode="External"/><Relationship Id="rId4" Type="http://schemas.openxmlformats.org/officeDocument/2006/relationships/hyperlink" Target="http://undocs.org/en/CCPR/C/MLT/QPR/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13</Pages>
  <Words>4759</Words>
  <Characters>33108</Characters>
  <Application>Microsoft Office Word</Application>
  <DocSecurity>0</DocSecurity>
  <Lines>604</Lines>
  <Paragraphs>134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CCPR/C/MLT/CO/3</vt:lpstr>
      <vt:lpstr>A/</vt:lpstr>
      <vt:lpstr>A/</vt:lpstr>
    </vt:vector>
  </TitlesOfParts>
  <Company>DCM</Company>
  <LinksUpToDate>false</LinksUpToDate>
  <CharactersWithSpaces>37870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CCPR/C/MLT/CO/3</dc:title>
  <dc:subject/>
  <dc:creator>Olga OVTCHINNIKOVA</dc:creator>
  <cp:keywords/>
  <cp:lastModifiedBy>Olga Ovchinnikova</cp:lastModifiedBy>
  <cp:revision>4</cp:revision>
  <cp:lastPrinted>2024-11-12T09:35:00Z</cp:lastPrinted>
  <dcterms:created xsi:type="dcterms:W3CDTF">2024-11-12T09:35:00Z</dcterms:created>
  <dcterms:modified xsi:type="dcterms:W3CDTF">2024-11-12T09:44:00Z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