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D4A" w:rsidRPr="00AF7D4A" w:rsidRDefault="00AF7D4A" w:rsidP="00AF7D4A">
      <w:pPr>
        <w:pStyle w:val="Heading1"/>
        <w:keepNext w:val="0"/>
        <w:spacing w:before="0" w:after="0" w:line="60" w:lineRule="exact"/>
        <w:rPr>
          <w:b w:val="0"/>
          <w:sz w:val="6"/>
        </w:rPr>
      </w:pPr>
      <w:r>
        <w:rPr>
          <w:rStyle w:val="CommentReference"/>
          <w:b w:val="0"/>
          <w:spacing w:val="4"/>
          <w:w w:val="103"/>
          <w:kern w:val="14"/>
          <w:szCs w:val="20"/>
          <w:lang w:val="en-GB" w:eastAsia="en-US"/>
        </w:rPr>
        <w:commentReference w:id="0"/>
      </w:r>
    </w:p>
    <w:p w:rsidR="00F93228" w:rsidRDefault="00F93228">
      <w:pPr>
        <w:pStyle w:val="Heading1"/>
        <w:spacing w:before="0" w:after="0" w:line="240" w:lineRule="auto"/>
        <w:rPr>
          <w:sz w:val="24"/>
        </w:rPr>
      </w:pPr>
      <w:r>
        <w:rPr>
          <w:sz w:val="24"/>
        </w:rPr>
        <w:t>Комитет по ликвидации дискриминации</w:t>
      </w:r>
    </w:p>
    <w:p w:rsidR="00F93228" w:rsidRDefault="00F93228">
      <w:pPr>
        <w:rPr>
          <w:b/>
          <w:spacing w:val="0"/>
          <w:w w:val="100"/>
          <w:kern w:val="0"/>
          <w:sz w:val="24"/>
          <w:lang w:val="ru-RU"/>
        </w:rPr>
      </w:pPr>
      <w:r>
        <w:rPr>
          <w:b/>
          <w:spacing w:val="0"/>
          <w:w w:val="100"/>
          <w:kern w:val="0"/>
          <w:sz w:val="24"/>
          <w:lang w:val="ru-RU"/>
        </w:rPr>
        <w:t>в отношении женщин</w:t>
      </w:r>
    </w:p>
    <w:p w:rsidR="00F93228" w:rsidRDefault="00F93228">
      <w:pPr>
        <w:pStyle w:val="Heading3"/>
      </w:pPr>
      <w:r>
        <w:t>Тридцать девятая сессия</w:t>
      </w:r>
    </w:p>
    <w:p w:rsidR="00F93228" w:rsidRDefault="00F93228">
      <w:pPr>
        <w:pStyle w:val="CommentSubject"/>
        <w:suppressAutoHyphens w:val="0"/>
        <w:spacing w:before="120" w:line="240" w:lineRule="auto"/>
        <w:rPr>
          <w:spacing w:val="0"/>
          <w:w w:val="100"/>
          <w:kern w:val="0"/>
          <w:szCs w:val="24"/>
          <w:lang w:val="ru-RU" w:eastAsia="ru-RU"/>
        </w:rPr>
      </w:pPr>
      <w:r>
        <w:rPr>
          <w:spacing w:val="0"/>
          <w:w w:val="100"/>
          <w:kern w:val="0"/>
          <w:lang w:val="ru-RU"/>
        </w:rPr>
        <w:t xml:space="preserve">Краткий отчет о 803-м заседании </w:t>
      </w:r>
      <w:r>
        <w:rPr>
          <w:bCs w:val="0"/>
          <w:spacing w:val="0"/>
          <w:w w:val="100"/>
          <w:kern w:val="0"/>
          <w:szCs w:val="28"/>
          <w:lang w:val="ru-RU"/>
        </w:rPr>
        <w:t xml:space="preserve">(Камера </w:t>
      </w:r>
      <w:r>
        <w:rPr>
          <w:bCs w:val="0"/>
          <w:spacing w:val="0"/>
          <w:w w:val="100"/>
          <w:kern w:val="0"/>
          <w:szCs w:val="28"/>
          <w:lang w:val="en-US"/>
        </w:rPr>
        <w:t>B</w:t>
      </w:r>
      <w:r>
        <w:rPr>
          <w:bCs w:val="0"/>
          <w:spacing w:val="0"/>
          <w:w w:val="100"/>
          <w:kern w:val="0"/>
          <w:szCs w:val="28"/>
          <w:lang w:val="ru-RU"/>
        </w:rPr>
        <w:t>)</w:t>
      </w:r>
      <w:r>
        <w:rPr>
          <w:spacing w:val="0"/>
          <w:w w:val="100"/>
          <w:kern w:val="0"/>
          <w:szCs w:val="24"/>
          <w:lang w:val="ru-RU" w:eastAsia="ru-RU"/>
        </w:rPr>
        <w:t>,</w:t>
      </w:r>
    </w:p>
    <w:p w:rsidR="00F93228" w:rsidRDefault="00F93228">
      <w:pPr>
        <w:pStyle w:val="SingleTxt"/>
        <w:spacing w:after="0" w:line="240" w:lineRule="auto"/>
        <w:ind w:left="0" w:right="0"/>
        <w:rPr>
          <w:spacing w:val="0"/>
          <w:w w:val="100"/>
          <w:kern w:val="0"/>
          <w:lang w:val="ru-RU"/>
        </w:rPr>
      </w:pPr>
      <w:r>
        <w:rPr>
          <w:spacing w:val="0"/>
          <w:w w:val="100"/>
          <w:kern w:val="0"/>
          <w:lang w:val="ru-RU"/>
        </w:rPr>
        <w:t>состоявшемся в Центральных учреждениях, Нью-Йорк, в среду, 1 августа 2007 года, в 10 ч. 00 м.</w:t>
      </w:r>
    </w:p>
    <w:p w:rsidR="00F93228" w:rsidRDefault="00F93228">
      <w:pPr>
        <w:tabs>
          <w:tab w:val="right" w:pos="1260"/>
          <w:tab w:val="left" w:pos="1701"/>
        </w:tabs>
        <w:autoSpaceDE w:val="0"/>
        <w:autoSpaceDN w:val="0"/>
        <w:adjustRightInd w:val="0"/>
        <w:spacing w:before="120"/>
        <w:ind w:right="1724"/>
        <w:rPr>
          <w:spacing w:val="0"/>
          <w:w w:val="100"/>
          <w:kern w:val="0"/>
          <w:lang w:val="ru-RU"/>
        </w:rPr>
      </w:pPr>
      <w:r>
        <w:rPr>
          <w:i/>
          <w:iCs/>
          <w:spacing w:val="0"/>
          <w:w w:val="100"/>
          <w:kern w:val="0"/>
          <w:lang w:val="ru-RU"/>
        </w:rPr>
        <w:tab/>
        <w:t>Председатель</w:t>
      </w:r>
      <w:r>
        <w:rPr>
          <w:spacing w:val="0"/>
          <w:w w:val="100"/>
          <w:kern w:val="0"/>
          <w:lang w:val="ru-RU"/>
        </w:rPr>
        <w:t>:</w:t>
      </w:r>
      <w:r>
        <w:rPr>
          <w:spacing w:val="0"/>
          <w:w w:val="100"/>
          <w:kern w:val="0"/>
          <w:lang w:val="ru-RU"/>
        </w:rPr>
        <w:tab/>
      </w:r>
      <w:r>
        <w:rPr>
          <w:iCs/>
          <w:spacing w:val="0"/>
          <w:w w:val="100"/>
          <w:kern w:val="0"/>
          <w:lang w:val="ru-RU"/>
        </w:rPr>
        <w:t xml:space="preserve">г-жа </w:t>
      </w:r>
      <w:r>
        <w:rPr>
          <w:iCs/>
          <w:spacing w:val="0"/>
          <w:w w:val="100"/>
          <w:szCs w:val="28"/>
          <w:lang w:val="ru-RU"/>
        </w:rPr>
        <w:t>Дайриам</w:t>
      </w:r>
      <w:r>
        <w:rPr>
          <w:iCs/>
          <w:spacing w:val="0"/>
          <w:w w:val="100"/>
          <w:kern w:val="0"/>
          <w:lang w:val="ru-RU"/>
        </w:rPr>
        <w:t xml:space="preserve"> (</w:t>
      </w:r>
      <w:r>
        <w:rPr>
          <w:spacing w:val="0"/>
          <w:w w:val="100"/>
          <w:szCs w:val="28"/>
          <w:lang w:val="ru-RU"/>
        </w:rPr>
        <w:t>Докладчик</w:t>
      </w:r>
      <w:r>
        <w:rPr>
          <w:iCs/>
          <w:spacing w:val="0"/>
          <w:w w:val="100"/>
          <w:kern w:val="0"/>
          <w:lang w:val="ru-RU"/>
        </w:rPr>
        <w:t>)</w:t>
      </w:r>
    </w:p>
    <w:p w:rsidR="00F93228" w:rsidRDefault="00F93228">
      <w:pPr>
        <w:pStyle w:val="DualTxt"/>
        <w:tabs>
          <w:tab w:val="clear" w:pos="480"/>
          <w:tab w:val="clear" w:pos="960"/>
          <w:tab w:val="clear" w:pos="1440"/>
          <w:tab w:val="clear" w:pos="1915"/>
          <w:tab w:val="clear" w:pos="2405"/>
          <w:tab w:val="clear" w:pos="2880"/>
          <w:tab w:val="clear" w:pos="3355"/>
        </w:tabs>
        <w:suppressAutoHyphens w:val="0"/>
        <w:spacing w:after="200" w:line="240" w:lineRule="auto"/>
        <w:rPr>
          <w:spacing w:val="0"/>
          <w:w w:val="100"/>
          <w:kern w:val="0"/>
          <w:szCs w:val="24"/>
          <w:lang w:val="ru-RU" w:eastAsia="ru-RU"/>
        </w:rPr>
      </w:pPr>
    </w:p>
    <w:p w:rsidR="00F93228" w:rsidRDefault="00F93228">
      <w:pPr>
        <w:rPr>
          <w:spacing w:val="0"/>
          <w:w w:val="100"/>
          <w:kern w:val="0"/>
          <w:sz w:val="28"/>
          <w:lang w:val="ru-RU"/>
        </w:rPr>
      </w:pPr>
      <w:r>
        <w:rPr>
          <w:spacing w:val="0"/>
          <w:w w:val="100"/>
          <w:kern w:val="0"/>
          <w:sz w:val="28"/>
          <w:lang w:val="ru-RU"/>
        </w:rPr>
        <w:t>Содержание</w:t>
      </w:r>
    </w:p>
    <w:p w:rsidR="00F93228" w:rsidRDefault="00F93228">
      <w:pPr>
        <w:spacing w:after="100"/>
        <w:ind w:left="1701" w:right="1185"/>
        <w:rPr>
          <w:rFonts w:cs="TimesNewRoman"/>
          <w:spacing w:val="0"/>
          <w:w w:val="100"/>
          <w:kern w:val="0"/>
          <w:lang w:val="ru-RU"/>
        </w:rPr>
      </w:pPr>
      <w:r>
        <w:rPr>
          <w:spacing w:val="0"/>
          <w:w w:val="100"/>
          <w:kern w:val="0"/>
          <w:szCs w:val="28"/>
          <w:lang w:val="ru-RU"/>
        </w:rPr>
        <w:t>Рассмотрение докладов, представленных государствами-участниками в</w:t>
      </w:r>
      <w:r>
        <w:rPr>
          <w:spacing w:val="0"/>
          <w:w w:val="100"/>
          <w:kern w:val="0"/>
          <w:szCs w:val="28"/>
        </w:rPr>
        <w:t> </w:t>
      </w:r>
      <w:r>
        <w:rPr>
          <w:spacing w:val="0"/>
          <w:w w:val="100"/>
          <w:kern w:val="0"/>
          <w:szCs w:val="28"/>
          <w:lang w:val="ru-RU"/>
        </w:rPr>
        <w:t xml:space="preserve">соответствии со статьей 18 Конвенции </w:t>
      </w:r>
      <w:r>
        <w:rPr>
          <w:bCs/>
          <w:spacing w:val="0"/>
          <w:w w:val="100"/>
          <w:kern w:val="0"/>
          <w:szCs w:val="28"/>
          <w:lang w:val="ru-RU"/>
        </w:rPr>
        <w:t>(</w:t>
      </w:r>
      <w:r>
        <w:rPr>
          <w:bCs/>
          <w:i/>
          <w:spacing w:val="0"/>
          <w:w w:val="100"/>
          <w:kern w:val="0"/>
          <w:szCs w:val="28"/>
          <w:lang w:val="ru-RU"/>
        </w:rPr>
        <w:t>продолжение</w:t>
      </w:r>
      <w:r>
        <w:rPr>
          <w:bCs/>
          <w:spacing w:val="0"/>
          <w:w w:val="100"/>
          <w:kern w:val="0"/>
          <w:szCs w:val="28"/>
          <w:lang w:val="ru-RU"/>
        </w:rPr>
        <w:t>)</w:t>
      </w:r>
    </w:p>
    <w:p w:rsidR="00F93228" w:rsidRDefault="00F93228">
      <w:pPr>
        <w:pStyle w:val="Heading6"/>
        <w:rPr>
          <w:rFonts w:cs="TimesNewRoman"/>
          <w:iCs w:val="0"/>
        </w:rPr>
      </w:pPr>
      <w:r>
        <w:rPr>
          <w:iCs w:val="0"/>
          <w:szCs w:val="28"/>
        </w:rPr>
        <w:t>Седьмой периодический доклад Норвегии</w:t>
      </w:r>
    </w:p>
    <w:p w:rsidR="00F93228" w:rsidRDefault="00F93228">
      <w:pPr>
        <w:ind w:left="1701" w:right="1185"/>
        <w:rPr>
          <w:rFonts w:cs="TimesNewRoman"/>
          <w:spacing w:val="0"/>
          <w:w w:val="100"/>
          <w:kern w:val="0"/>
          <w:lang w:val="ru-RU"/>
        </w:rPr>
      </w:pPr>
    </w:p>
    <w:p w:rsidR="00F93228" w:rsidRDefault="00F93228">
      <w:pPr>
        <w:ind w:left="1701" w:right="1185"/>
        <w:rPr>
          <w:rFonts w:cs="TimesNewRoman"/>
          <w:spacing w:val="0"/>
          <w:w w:val="100"/>
          <w:kern w:val="0"/>
          <w:lang w:val="ru-RU"/>
        </w:rPr>
      </w:pPr>
    </w:p>
    <w:p w:rsidR="00F93228" w:rsidRDefault="00F93228">
      <w:pPr>
        <w:ind w:left="1701" w:right="1185"/>
        <w:rPr>
          <w:rFonts w:cs="TimesNewRoman"/>
          <w:spacing w:val="0"/>
          <w:w w:val="100"/>
          <w:kern w:val="0"/>
          <w:lang w:val="ru-RU"/>
        </w:rPr>
      </w:pPr>
    </w:p>
    <w:p w:rsidR="00F93228" w:rsidRDefault="00F93228">
      <w:pPr>
        <w:ind w:left="1701" w:right="1185"/>
        <w:rPr>
          <w:rFonts w:cs="TimesNewRoman"/>
          <w:spacing w:val="0"/>
          <w:w w:val="100"/>
          <w:kern w:val="0"/>
          <w:lang w:val="ru-RU"/>
        </w:rPr>
      </w:pPr>
    </w:p>
    <w:p w:rsidR="00F93228" w:rsidRDefault="00F93228">
      <w:pPr>
        <w:ind w:left="1701" w:right="1185"/>
        <w:rPr>
          <w:rFonts w:cs="TimesNewRoman"/>
          <w:spacing w:val="0"/>
          <w:w w:val="100"/>
          <w:kern w:val="0"/>
          <w:lang w:val="ru-RU"/>
        </w:rPr>
      </w:pPr>
    </w:p>
    <w:p w:rsidR="00F93228" w:rsidRDefault="00F93228">
      <w:pPr>
        <w:ind w:left="1701" w:right="1185"/>
        <w:rPr>
          <w:rFonts w:cs="TimesNewRoman"/>
          <w:spacing w:val="0"/>
          <w:w w:val="100"/>
          <w:kern w:val="0"/>
          <w:lang w:val="ru-RU"/>
        </w:rPr>
      </w:pPr>
    </w:p>
    <w:p w:rsidR="00F93228" w:rsidRDefault="00F93228">
      <w:pPr>
        <w:pStyle w:val="SingleTxt"/>
        <w:spacing w:after="0" w:line="240" w:lineRule="auto"/>
        <w:jc w:val="left"/>
        <w:rPr>
          <w:spacing w:val="0"/>
          <w:w w:val="100"/>
          <w:kern w:val="0"/>
          <w:sz w:val="2"/>
          <w:lang w:val="ru-RU"/>
        </w:rPr>
        <w:sectPr w:rsidR="00F9322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spacing w:val="0"/>
          <w:w w:val="100"/>
          <w:kern w:val="0"/>
          <w:lang w:val="ru-RU"/>
        </w:rPr>
        <w:br w:type="page"/>
      </w:r>
    </w:p>
    <w:p w:rsidR="00F93228" w:rsidRDefault="00F93228">
      <w:pPr>
        <w:pStyle w:val="H4"/>
        <w:spacing w:after="120"/>
        <w:ind w:left="0" w:right="0" w:firstLine="0"/>
        <w:rPr>
          <w:iCs/>
          <w:spacing w:val="0"/>
          <w:w w:val="100"/>
          <w:kern w:val="0"/>
          <w:lang w:val="ru-RU"/>
        </w:rPr>
      </w:pPr>
      <w:r>
        <w:rPr>
          <w:iCs/>
          <w:spacing w:val="0"/>
          <w:w w:val="100"/>
          <w:szCs w:val="28"/>
          <w:lang w:val="ru-RU"/>
        </w:rPr>
        <w:t>В отсутствие г-жи Шимонович г-жа Дайриам, Докладчик, занимает место Председателя</w:t>
      </w:r>
    </w:p>
    <w:p w:rsidR="00F93228" w:rsidRDefault="00F93228">
      <w:pPr>
        <w:pStyle w:val="H4"/>
        <w:spacing w:after="360"/>
        <w:ind w:left="0" w:right="0" w:firstLine="0"/>
        <w:rPr>
          <w:spacing w:val="0"/>
          <w:w w:val="100"/>
          <w:kern w:val="0"/>
          <w:lang w:val="ru-RU"/>
        </w:rPr>
      </w:pPr>
      <w:r>
        <w:rPr>
          <w:spacing w:val="0"/>
          <w:w w:val="100"/>
          <w:kern w:val="0"/>
          <w:lang w:val="ru-RU"/>
        </w:rPr>
        <w:t>Заседание открывается в 10 ч. 05 м.</w:t>
      </w:r>
    </w:p>
    <w:p w:rsidR="00F93228" w:rsidRDefault="00F93228">
      <w:pPr>
        <w:pStyle w:val="H23"/>
        <w:spacing w:after="120"/>
        <w:ind w:left="0" w:right="0" w:firstLine="0"/>
        <w:rPr>
          <w:spacing w:val="0"/>
          <w:w w:val="100"/>
          <w:kern w:val="0"/>
          <w:lang w:val="ru-RU"/>
        </w:rPr>
      </w:pPr>
      <w:r>
        <w:rPr>
          <w:spacing w:val="0"/>
          <w:w w:val="100"/>
          <w:kern w:val="0"/>
          <w:lang w:val="ru-RU"/>
        </w:rPr>
        <w:t>Рассмотрение докладов, представленных государствами-участниками в соответствии со</w:t>
      </w:r>
      <w:r>
        <w:rPr>
          <w:spacing w:val="0"/>
          <w:w w:val="100"/>
          <w:kern w:val="0"/>
          <w:lang w:val="en-US"/>
        </w:rPr>
        <w:t> </w:t>
      </w:r>
      <w:r>
        <w:rPr>
          <w:spacing w:val="0"/>
          <w:w w:val="100"/>
          <w:kern w:val="0"/>
          <w:lang w:val="ru-RU"/>
        </w:rPr>
        <w:t xml:space="preserve">статьей 18 Конвенции </w:t>
      </w:r>
      <w:r>
        <w:rPr>
          <w:b w:val="0"/>
          <w:bCs/>
          <w:spacing w:val="0"/>
          <w:w w:val="100"/>
          <w:kern w:val="0"/>
          <w:lang w:val="ru-RU"/>
        </w:rPr>
        <w:t>(</w:t>
      </w:r>
      <w:r>
        <w:rPr>
          <w:b w:val="0"/>
          <w:bCs/>
          <w:i/>
          <w:iCs/>
          <w:spacing w:val="0"/>
          <w:w w:val="100"/>
          <w:kern w:val="0"/>
          <w:lang w:val="ru-RU"/>
        </w:rPr>
        <w:t>продолжение</w:t>
      </w:r>
      <w:r>
        <w:rPr>
          <w:b w:val="0"/>
          <w:bCs/>
          <w:spacing w:val="0"/>
          <w:w w:val="100"/>
          <w:kern w:val="0"/>
          <w:lang w:val="ru-RU"/>
        </w:rPr>
        <w:t>)</w:t>
      </w:r>
    </w:p>
    <w:p w:rsidR="00F93228" w:rsidRDefault="00F93228">
      <w:pPr>
        <w:pStyle w:val="H4"/>
        <w:spacing w:after="120"/>
        <w:ind w:left="482" w:right="0" w:firstLine="0"/>
        <w:rPr>
          <w:i w:val="0"/>
          <w:iCs/>
          <w:spacing w:val="0"/>
          <w:w w:val="100"/>
          <w:kern w:val="0"/>
          <w:lang w:val="ru-RU"/>
        </w:rPr>
      </w:pPr>
      <w:r>
        <w:rPr>
          <w:iCs/>
          <w:spacing w:val="0"/>
          <w:w w:val="100"/>
          <w:szCs w:val="28"/>
          <w:lang w:val="ru-RU"/>
        </w:rPr>
        <w:t>Седьмой периодический доклад Норвегии</w:t>
      </w:r>
      <w:r>
        <w:rPr>
          <w:i w:val="0"/>
          <w:iCs/>
          <w:spacing w:val="0"/>
          <w:w w:val="100"/>
          <w:kern w:val="0"/>
          <w:lang w:val="ru-RU"/>
        </w:rPr>
        <w:t xml:space="preserve"> (</w:t>
      </w:r>
      <w:r>
        <w:rPr>
          <w:i w:val="0"/>
          <w:spacing w:val="0"/>
          <w:w w:val="100"/>
          <w:szCs w:val="28"/>
          <w:lang w:val="en-US"/>
        </w:rPr>
        <w:t>CEDAW</w:t>
      </w:r>
      <w:r>
        <w:rPr>
          <w:i w:val="0"/>
          <w:spacing w:val="0"/>
          <w:w w:val="100"/>
          <w:szCs w:val="28"/>
          <w:lang w:val="ru-RU"/>
        </w:rPr>
        <w:t>/</w:t>
      </w:r>
      <w:r>
        <w:rPr>
          <w:i w:val="0"/>
          <w:spacing w:val="0"/>
          <w:w w:val="100"/>
          <w:szCs w:val="28"/>
          <w:lang w:val="en-US"/>
        </w:rPr>
        <w:t>C</w:t>
      </w:r>
      <w:r>
        <w:rPr>
          <w:i w:val="0"/>
          <w:spacing w:val="0"/>
          <w:w w:val="100"/>
          <w:szCs w:val="28"/>
          <w:lang w:val="ru-RU"/>
        </w:rPr>
        <w:t>/</w:t>
      </w:r>
      <w:r>
        <w:rPr>
          <w:i w:val="0"/>
          <w:spacing w:val="0"/>
          <w:w w:val="100"/>
          <w:szCs w:val="28"/>
          <w:lang w:val="en-US"/>
        </w:rPr>
        <w:t>NOR</w:t>
      </w:r>
      <w:r>
        <w:rPr>
          <w:i w:val="0"/>
          <w:spacing w:val="0"/>
          <w:w w:val="100"/>
          <w:szCs w:val="28"/>
          <w:lang w:val="ru-RU"/>
        </w:rPr>
        <w:t xml:space="preserve">/7, </w:t>
      </w:r>
      <w:r>
        <w:rPr>
          <w:i w:val="0"/>
          <w:spacing w:val="0"/>
          <w:w w:val="100"/>
          <w:szCs w:val="28"/>
          <w:lang w:val="en-US"/>
        </w:rPr>
        <w:t>CEDAW</w:t>
      </w:r>
      <w:r>
        <w:rPr>
          <w:i w:val="0"/>
          <w:spacing w:val="0"/>
          <w:w w:val="100"/>
          <w:szCs w:val="28"/>
          <w:lang w:val="ru-RU"/>
        </w:rPr>
        <w:t>/</w:t>
      </w:r>
      <w:r>
        <w:rPr>
          <w:i w:val="0"/>
          <w:spacing w:val="0"/>
          <w:w w:val="100"/>
          <w:szCs w:val="28"/>
          <w:lang w:val="en-US"/>
        </w:rPr>
        <w:t>C</w:t>
      </w:r>
      <w:r>
        <w:rPr>
          <w:i w:val="0"/>
          <w:spacing w:val="0"/>
          <w:w w:val="100"/>
          <w:szCs w:val="28"/>
          <w:lang w:val="ru-RU"/>
        </w:rPr>
        <w:t>/</w:t>
      </w:r>
      <w:r>
        <w:rPr>
          <w:i w:val="0"/>
          <w:spacing w:val="0"/>
          <w:w w:val="100"/>
          <w:szCs w:val="28"/>
          <w:lang w:val="en-US"/>
        </w:rPr>
        <w:t>NOR</w:t>
      </w:r>
      <w:r>
        <w:rPr>
          <w:i w:val="0"/>
          <w:spacing w:val="0"/>
          <w:w w:val="100"/>
          <w:szCs w:val="28"/>
          <w:lang w:val="ru-RU"/>
        </w:rPr>
        <w:t>/</w:t>
      </w:r>
      <w:r>
        <w:rPr>
          <w:i w:val="0"/>
          <w:spacing w:val="0"/>
          <w:w w:val="100"/>
          <w:szCs w:val="28"/>
          <w:lang w:val="en-US"/>
        </w:rPr>
        <w:t>Q</w:t>
      </w:r>
      <w:r>
        <w:rPr>
          <w:i w:val="0"/>
          <w:spacing w:val="0"/>
          <w:w w:val="100"/>
          <w:szCs w:val="28"/>
          <w:lang w:val="ru-RU"/>
        </w:rPr>
        <w:t>/7 и А</w:t>
      </w:r>
      <w:r>
        <w:rPr>
          <w:i w:val="0"/>
          <w:spacing w:val="0"/>
          <w:w w:val="100"/>
          <w:szCs w:val="28"/>
          <w:lang w:val="en-US"/>
        </w:rPr>
        <w:t>dd</w:t>
      </w:r>
      <w:r>
        <w:rPr>
          <w:i w:val="0"/>
          <w:spacing w:val="0"/>
          <w:w w:val="100"/>
          <w:szCs w:val="28"/>
          <w:lang w:val="ru-RU"/>
        </w:rPr>
        <w:t>.1</w:t>
      </w:r>
      <w:r>
        <w:rPr>
          <w:i w:val="0"/>
          <w:iCs/>
          <w:spacing w:val="0"/>
          <w:w w:val="100"/>
          <w:kern w:val="0"/>
          <w:lang w:val="ru-RU"/>
        </w:rPr>
        <w:t>)</w:t>
      </w:r>
    </w:p>
    <w:p w:rsidR="00F93228" w:rsidRDefault="00F93228">
      <w:pPr>
        <w:pStyle w:val="std"/>
        <w:tabs>
          <w:tab w:val="left" w:pos="482"/>
        </w:tabs>
        <w:rPr>
          <w:szCs w:val="28"/>
        </w:rPr>
      </w:pPr>
      <w:r>
        <w:rPr>
          <w:szCs w:val="28"/>
        </w:rPr>
        <w:t>1.</w:t>
      </w:r>
      <w:r>
        <w:rPr>
          <w:szCs w:val="28"/>
        </w:rPr>
        <w:tab/>
      </w:r>
      <w:r>
        <w:rPr>
          <w:i/>
          <w:szCs w:val="28"/>
        </w:rPr>
        <w:t>По приглашению Председателя члены делегации Норвегии занимают места за столом Комитета.</w:t>
      </w:r>
    </w:p>
    <w:p w:rsidR="00F93228" w:rsidRDefault="00F93228">
      <w:pPr>
        <w:pStyle w:val="std"/>
        <w:tabs>
          <w:tab w:val="left" w:pos="482"/>
        </w:tabs>
        <w:rPr>
          <w:szCs w:val="28"/>
        </w:rPr>
      </w:pPr>
      <w:r>
        <w:rPr>
          <w:szCs w:val="28"/>
        </w:rPr>
        <w:t>2.</w:t>
      </w:r>
      <w:r>
        <w:rPr>
          <w:szCs w:val="28"/>
        </w:rPr>
        <w:tab/>
      </w:r>
      <w:r>
        <w:rPr>
          <w:b/>
          <w:szCs w:val="28"/>
        </w:rPr>
        <w:t>Г-жа Холе</w:t>
      </w:r>
      <w:r>
        <w:rPr>
          <w:szCs w:val="28"/>
        </w:rPr>
        <w:t xml:space="preserve"> (Норвегия), представляя седьмой периодический доклад ее страны (</w:t>
      </w:r>
      <w:r>
        <w:rPr>
          <w:szCs w:val="28"/>
          <w:lang w:val="en-US"/>
        </w:rPr>
        <w:t>CEDAW</w:t>
      </w:r>
      <w:r>
        <w:rPr>
          <w:szCs w:val="28"/>
        </w:rPr>
        <w:t>/</w:t>
      </w:r>
      <w:r>
        <w:rPr>
          <w:szCs w:val="28"/>
          <w:lang w:val="en-US"/>
        </w:rPr>
        <w:t>C</w:t>
      </w:r>
      <w:r>
        <w:rPr>
          <w:szCs w:val="28"/>
        </w:rPr>
        <w:t>/</w:t>
      </w:r>
      <w:r>
        <w:rPr>
          <w:szCs w:val="28"/>
          <w:lang w:val="en-US"/>
        </w:rPr>
        <w:t>NOR</w:t>
      </w:r>
      <w:r>
        <w:rPr>
          <w:szCs w:val="28"/>
        </w:rPr>
        <w:t xml:space="preserve">/7), говорит, что правительство Норвегии считает периодические обзоры, осуществляемые договорными органами, крайне важным элементом международного контроля за выполнением имеющих обязательную юридическую силу конвенций и пактов в области прав человека и с готовностью рассмотрит рекомендации Комитета относительно совершенствования процедур выполнения Конвенции правительством страны. </w:t>
      </w:r>
      <w:r>
        <w:rPr>
          <w:szCs w:val="28"/>
        </w:rPr>
        <w:br/>
        <w:t>В 2003 году, во время встречи представителей правительства Норвегии с Комитетом, Комитет назвал Норвегию страной, где оптимальным образом воплощаются принципы гендерного равенства, однако выразил озабоченность в связи с неравенством при принятии экономических решений, насилием в отношении женщин, а также соблюдением прав и удовлетворением потребностей девушек и женщин-мигрантов. Исходя из этого, оратор намерена сосредоточить свои вступительные замечания на этих вопросах.</w:t>
      </w:r>
    </w:p>
    <w:p w:rsidR="00F93228" w:rsidRDefault="00F93228">
      <w:pPr>
        <w:pStyle w:val="std"/>
        <w:tabs>
          <w:tab w:val="left" w:pos="482"/>
        </w:tabs>
        <w:rPr>
          <w:szCs w:val="28"/>
        </w:rPr>
      </w:pPr>
      <w:r>
        <w:rPr>
          <w:szCs w:val="28"/>
        </w:rPr>
        <w:t>3.</w:t>
      </w:r>
      <w:r>
        <w:rPr>
          <w:szCs w:val="28"/>
        </w:rPr>
        <w:tab/>
        <w:t>В целях решения проблемы насилия в отношении женщин был принят широкий комплекс мер, в том числе разработаны и осуществлены межотраслевые планы действий; созданы новые институты, программы и проекты; начаты или продолжены научные исследования, а также укреплены положения Уголовного кодекса, касающиеся насилия в отношении женщин. В настоящее время разрабатывается новый план действий по борьбе с насилием. Важной инициативой явилось создание парламентом комитета по тяжким преступлениям на сексуальной почве, который в начале 2008 года представит доклад о положении женщин, ставших жертвами изнасилования и других форм сексуального насилия, и предложит меры и стратегии по сокращению числа таких преступлений. Описание других инициатив содержится в ответах правительства (</w:t>
      </w:r>
      <w:r>
        <w:rPr>
          <w:szCs w:val="28"/>
          <w:lang w:val="en-US"/>
        </w:rPr>
        <w:t>CEDAW</w:t>
      </w:r>
      <w:r>
        <w:rPr>
          <w:szCs w:val="28"/>
        </w:rPr>
        <w:t>/</w:t>
      </w:r>
      <w:r>
        <w:rPr>
          <w:szCs w:val="28"/>
          <w:lang w:val="en-US"/>
        </w:rPr>
        <w:t>C</w:t>
      </w:r>
      <w:r>
        <w:rPr>
          <w:szCs w:val="28"/>
        </w:rPr>
        <w:t>/</w:t>
      </w:r>
      <w:r>
        <w:rPr>
          <w:szCs w:val="28"/>
          <w:lang w:val="en-US"/>
        </w:rPr>
        <w:t>NOR</w:t>
      </w:r>
      <w:r>
        <w:rPr>
          <w:szCs w:val="28"/>
        </w:rPr>
        <w:t>/</w:t>
      </w:r>
      <w:r>
        <w:rPr>
          <w:szCs w:val="28"/>
          <w:lang w:val="en-US"/>
        </w:rPr>
        <w:t>Q</w:t>
      </w:r>
      <w:r>
        <w:rPr>
          <w:szCs w:val="28"/>
        </w:rPr>
        <w:t>/7/А</w:t>
      </w:r>
      <w:r>
        <w:rPr>
          <w:szCs w:val="28"/>
          <w:lang w:val="en-US"/>
        </w:rPr>
        <w:t>dd</w:t>
      </w:r>
      <w:r>
        <w:rPr>
          <w:szCs w:val="28"/>
        </w:rPr>
        <w:t xml:space="preserve">.1) на перечень проблем и вопросов Комитета, содержащийся в документе </w:t>
      </w:r>
      <w:r>
        <w:rPr>
          <w:szCs w:val="28"/>
          <w:lang w:val="en-US"/>
        </w:rPr>
        <w:t>CEDAW</w:t>
      </w:r>
      <w:r>
        <w:rPr>
          <w:szCs w:val="28"/>
        </w:rPr>
        <w:t>/</w:t>
      </w:r>
      <w:r>
        <w:rPr>
          <w:szCs w:val="28"/>
          <w:lang w:val="en-US"/>
        </w:rPr>
        <w:t>C</w:t>
      </w:r>
      <w:r>
        <w:rPr>
          <w:szCs w:val="28"/>
        </w:rPr>
        <w:t>/</w:t>
      </w:r>
      <w:r>
        <w:rPr>
          <w:szCs w:val="28"/>
          <w:lang w:val="en-US"/>
        </w:rPr>
        <w:t>NOR</w:t>
      </w:r>
      <w:r>
        <w:rPr>
          <w:szCs w:val="28"/>
        </w:rPr>
        <w:t>/</w:t>
      </w:r>
      <w:r>
        <w:rPr>
          <w:szCs w:val="28"/>
          <w:lang w:val="en-US"/>
        </w:rPr>
        <w:t>Q</w:t>
      </w:r>
      <w:r>
        <w:rPr>
          <w:szCs w:val="28"/>
        </w:rPr>
        <w:t>/7.</w:t>
      </w:r>
    </w:p>
    <w:p w:rsidR="00F93228" w:rsidRDefault="00F93228">
      <w:pPr>
        <w:pStyle w:val="std"/>
        <w:tabs>
          <w:tab w:val="left" w:pos="482"/>
        </w:tabs>
        <w:rPr>
          <w:szCs w:val="28"/>
        </w:rPr>
      </w:pPr>
      <w:r>
        <w:rPr>
          <w:szCs w:val="28"/>
        </w:rPr>
        <w:t>4.</w:t>
      </w:r>
      <w:r>
        <w:rPr>
          <w:szCs w:val="28"/>
        </w:rPr>
        <w:tab/>
        <w:t>Власти Норвегии осознали, что проблема искоренения насилия требует двухуровневого или даже трехуровневого подхода, при этом необходимо сосредоточить внимание на обращении с мужчинами, склонными к применению насилия, усилении поддержки женщин и детей, а также на изучении превентивных мер на местном уровне. Было создано пять региональных центров в целях оказания содействия в координации, руководстве и поддержке местных мероприятий, направленных на искоренение насилия в отношении женщин.</w:t>
      </w:r>
    </w:p>
    <w:p w:rsidR="00F93228" w:rsidRDefault="00F93228">
      <w:pPr>
        <w:pStyle w:val="std"/>
        <w:tabs>
          <w:tab w:val="left" w:pos="482"/>
        </w:tabs>
        <w:rPr>
          <w:szCs w:val="28"/>
        </w:rPr>
      </w:pPr>
      <w:r>
        <w:rPr>
          <w:szCs w:val="28"/>
        </w:rPr>
        <w:t>5.</w:t>
      </w:r>
      <w:r>
        <w:rPr>
          <w:szCs w:val="28"/>
        </w:rPr>
        <w:tab/>
        <w:t>Насильственные браки и калечащие операции на женских половых органах давно запрещены норвежским законодательством. В июне 2007 года правительство приступило к осуществлению новой программы действий по борьбе с насильственными браками, на которую были выделены значительные ассигнования. Группы меньшинств и НПО также получают финансовые средства на организацию мероприятий, направленных на изменение отношений и поведенческих стереотипов. Проводятся исследования по оценке распространенности калечащих операций на женских половых органах в Норвегии, и в октябре 2007 года будет представлен новый план действий по недопущению такой практики.</w:t>
      </w:r>
    </w:p>
    <w:p w:rsidR="00F93228" w:rsidRDefault="00F93228">
      <w:pPr>
        <w:pStyle w:val="std"/>
        <w:tabs>
          <w:tab w:val="left" w:pos="482"/>
        </w:tabs>
        <w:rPr>
          <w:szCs w:val="28"/>
        </w:rPr>
      </w:pPr>
      <w:r>
        <w:rPr>
          <w:szCs w:val="28"/>
        </w:rPr>
        <w:t>6.</w:t>
      </w:r>
      <w:r>
        <w:rPr>
          <w:szCs w:val="28"/>
        </w:rPr>
        <w:tab/>
        <w:t>Оратор, касаясь вопроса о расширении прав женщин в экономической сфере, отмечает, что в такой стране, как Норвегия, как ни странно, по-прежнему весьма незначительное число женщин занимают должности в высших эшелонах власти в сфере экономики и в корпоративном секторе. Правительство, поставив своей целью изменение такого положения, приняло ряд жестких позитивных мер, направленных на увеличение числа женщин на руководящих постах в корпоративном секторе, включая законодательные меры, закрепляющие за женщинами, по меньшей мере, 40 процентов мест в советах директоров компаний. Компании, которые вначале выступали против, утверждая, что невозможно найти достаточное число квалифицированных женщин, по-видимому, убедились, что компетентных женщин вполне достаточно и что такое разнообразие благотворно сказывается на нововведениях, эффективности и корпоративной культуре компаний. Более того, Норвежская конфедерация предпринимателей и промышленников разработала свою собственную программу "Будущее женщин" с целью набора и подготовки женщин для управления компаниями, что является хорошей инициативой, демонстрирующей, что в тех случаях, когда в государственном секторе принимаются перспективные решения, частный сектор положительно откликается на них.</w:t>
      </w:r>
    </w:p>
    <w:p w:rsidR="00F93228" w:rsidRDefault="00F93228">
      <w:pPr>
        <w:pStyle w:val="std"/>
        <w:tabs>
          <w:tab w:val="left" w:pos="482"/>
        </w:tabs>
        <w:rPr>
          <w:szCs w:val="28"/>
        </w:rPr>
      </w:pPr>
      <w:r>
        <w:rPr>
          <w:szCs w:val="28"/>
        </w:rPr>
        <w:t>7.</w:t>
      </w:r>
      <w:r>
        <w:rPr>
          <w:szCs w:val="28"/>
        </w:rPr>
        <w:tab/>
        <w:t xml:space="preserve">В 2003 году Комитет настоятельно рекомендовал Норвегии принять меры по ликвидации разрыва в оплате труда мужчин и женщин, и с тех пор страна разработала механизм оценки, позволяющий выявлять дискриминацию в оплате труда по признаку пола. </w:t>
      </w:r>
      <w:r>
        <w:rPr>
          <w:szCs w:val="28"/>
        </w:rPr>
        <w:br/>
        <w:t>В 2006 году правительство учредило Комиссию по вопросам равной оплаты труда с целью изучения данного вопроса. Доклад Комиссии будет завершен к марту 2008 года. В сентябре 2007 года должно начаться осуществление национальной стратегии, в которой основное внимание уделяется обучению и предоставлению возможностей по выбору профессии для мужчин и женщин, а также подходу, который применяется в школах для решения проблемы гендерного равенства. Задача состоит в сокращении масштабов исторически сложившейся сегрегации на рынке труда, которая в существенной мере обусловливает разницу в оплате труда мужчин и женщин, а также в увеличении числа женщин, занятых полный рабочий день, половина которых в настоящее время работает на условиях неполного рабочего времени.</w:t>
      </w:r>
    </w:p>
    <w:p w:rsidR="00F93228" w:rsidRDefault="00F93228">
      <w:pPr>
        <w:pStyle w:val="std"/>
        <w:tabs>
          <w:tab w:val="left" w:pos="482"/>
        </w:tabs>
        <w:rPr>
          <w:szCs w:val="28"/>
        </w:rPr>
      </w:pPr>
      <w:r>
        <w:rPr>
          <w:szCs w:val="28"/>
        </w:rPr>
        <w:t>8.</w:t>
      </w:r>
      <w:r>
        <w:rPr>
          <w:szCs w:val="28"/>
        </w:rPr>
        <w:tab/>
        <w:t>В политической сфере был предпринят ряд инициатив, направленных на то, чтобы поощрить политические партии более активно назначать женщин на выборные должности на местном уровне, в том числе с этой целью была проведена специальная кампания, профинансированная Министерством по делам местного самоуправления и регионального развития. В результате доля женщин, выдвинувших свои кандидатуры на очередных местных выборах, запланированных на сентябрь 2007 года, составила 42 процента. Министерство объявило о своей готовности рассмотреть законы о равенстве в целях обеспечения равного представительства женщин в партийных списках и расширения их участия в политической жизни, которое пока еще остается ограниченным. Например, только одна шестая часть мэров в стране – женщины, и хотя Закон о местных органах власти предусматривает, что 40 процентов лиц, назначаемых в политические комитеты, должны составлять женщины, почти каждый третий комитет не выполняет это требование.</w:t>
      </w:r>
    </w:p>
    <w:p w:rsidR="00F93228" w:rsidRDefault="00F93228">
      <w:pPr>
        <w:pStyle w:val="std"/>
        <w:tabs>
          <w:tab w:val="left" w:pos="482"/>
        </w:tabs>
        <w:rPr>
          <w:szCs w:val="28"/>
        </w:rPr>
      </w:pPr>
      <w:r>
        <w:rPr>
          <w:szCs w:val="28"/>
        </w:rPr>
        <w:t>9.</w:t>
      </w:r>
      <w:r>
        <w:rPr>
          <w:szCs w:val="28"/>
        </w:rPr>
        <w:tab/>
        <w:t>Важной задачей для правительства является социальная интеграция всех граждан или лиц, готовящихся стать гражданами Норвегии. Учитывая это, оно приняло ряд мер по устранению барьеров, препятствующих полноправному участию в норвежском обществе девушек и женщин-мигрантов. Был создан специальный директорат по содействию социальной интеграции и введен в действие новый Антидискриминационный закон, запрещающий дискриминацию по этническому или религиозному признаку. "Белая книга" о социальной интеграции, в которой предусматривается ряд мер исключительно для женщин-мигрантов, была представлена в парламент в 2006 году, и в том же году введен в действие национальный план действий по социальной интеграции, нацеленный на иммигрантов. Кроме этого, разработаны программы и учебные сети, с тем чтобы дать девушкам и женщинам-мигрантам навыки, необходимые для трудоустройства.</w:t>
      </w:r>
    </w:p>
    <w:p w:rsidR="00F93228" w:rsidRDefault="00F93228">
      <w:pPr>
        <w:pStyle w:val="std"/>
        <w:tabs>
          <w:tab w:val="left" w:pos="482"/>
        </w:tabs>
        <w:rPr>
          <w:szCs w:val="28"/>
        </w:rPr>
      </w:pPr>
      <w:r>
        <w:rPr>
          <w:szCs w:val="28"/>
        </w:rPr>
        <w:t>10.</w:t>
      </w:r>
      <w:r>
        <w:rPr>
          <w:szCs w:val="28"/>
        </w:rPr>
        <w:tab/>
        <w:t>Начиная с 1 января 2006 года Омбудсмен по вопросам равенства и недопущения дискриминации наряду с созданным Судом по вопросам равенства и недопущения дискриминации образуют норвежский национальный механизм по обеспечению равенства полов. Они рассматривают жалобы, касающиеся дискриминации по различным признакам, хотя большинство поданных жалоб касается вопросов гендерного равенства. Работа нового механизма хорошо освещается в средствах массовой информации.</w:t>
      </w:r>
    </w:p>
    <w:p w:rsidR="00F93228" w:rsidRDefault="00F93228">
      <w:pPr>
        <w:pStyle w:val="std"/>
        <w:tabs>
          <w:tab w:val="left" w:pos="482"/>
        </w:tabs>
        <w:rPr>
          <w:szCs w:val="28"/>
        </w:rPr>
      </w:pPr>
      <w:r>
        <w:rPr>
          <w:szCs w:val="28"/>
        </w:rPr>
        <w:t>11.</w:t>
      </w:r>
      <w:r>
        <w:rPr>
          <w:szCs w:val="28"/>
        </w:rPr>
        <w:tab/>
        <w:t xml:space="preserve">Подход правительства к созданию общества гендерного равенства требует перераспределения труда, полномочий и решения задач, связанных с обеспечением ухода, с тем чтобы большее число женщин могло работать полный рабочий день, выполняя, в том числе, работу в секторах, где преобладают мужчины, и все больше мужчин находили работу в секторах, в которых традиционно доминируют женщины, таких как здравоохранение и образование. </w:t>
      </w:r>
      <w:r>
        <w:rPr>
          <w:szCs w:val="28"/>
        </w:rPr>
        <w:br/>
        <w:t xml:space="preserve">В целях перераспределения полномочий в экономической сфере необходимо, чтобы большее число женщин занимали руководящие и управленческие должности. В то же время женщины и мужчины должны разделять обязанности в семье. </w:t>
      </w:r>
      <w:r>
        <w:rPr>
          <w:szCs w:val="28"/>
        </w:rPr>
        <w:br/>
        <w:t>В Норвегии обеспечение равенства в выполнении родительских обязанностей является особой политической задачей.</w:t>
      </w:r>
    </w:p>
    <w:p w:rsidR="00F93228" w:rsidRDefault="00F93228">
      <w:pPr>
        <w:pStyle w:val="std"/>
        <w:tabs>
          <w:tab w:val="left" w:pos="482"/>
        </w:tabs>
        <w:rPr>
          <w:szCs w:val="28"/>
        </w:rPr>
      </w:pPr>
      <w:r>
        <w:rPr>
          <w:szCs w:val="28"/>
        </w:rPr>
        <w:t>12.</w:t>
      </w:r>
      <w:r>
        <w:rPr>
          <w:szCs w:val="28"/>
        </w:rPr>
        <w:tab/>
        <w:t xml:space="preserve">Правительство считает, что роль мальчиков и мужчин в деле достижения гендерного равенства имеет решающее значение. В связи с этим оно готовит "Белую книгу" по проблемам мужчин, их роли и вопросам гендерного равенства, которая должна быть представлена в парламент в 2008 году, и наряду с этим финансирует исследовательский проект по тематике гендерного равенства с упором на мужчин и мужественность, который осуществляет одна из кафедр в Университете Осло. В ноябре правительство вместе </w:t>
      </w:r>
      <w:r>
        <w:rPr>
          <w:szCs w:val="28"/>
        </w:rPr>
        <w:br/>
        <w:t>с Конфедерацией норвежских муниципалитетов проводит три региональные конференции по проблемам гендерного равенства. Основная тема конференций будет связана с обязательствами, принятыми Норвегией в рамках Конвенции. Эти мероприятия дадут возможность обнародовать и обсудить результаты диалога, который в настоящее время ведется между правительством и Комитетом.</w:t>
      </w:r>
    </w:p>
    <w:p w:rsidR="00F93228" w:rsidRDefault="00F93228">
      <w:pPr>
        <w:pStyle w:val="std"/>
        <w:tabs>
          <w:tab w:val="left" w:pos="482"/>
        </w:tabs>
        <w:spacing w:after="240"/>
        <w:rPr>
          <w:szCs w:val="28"/>
        </w:rPr>
      </w:pPr>
      <w:r>
        <w:rPr>
          <w:szCs w:val="28"/>
        </w:rPr>
        <w:t>13.</w:t>
      </w:r>
      <w:r>
        <w:rPr>
          <w:szCs w:val="28"/>
        </w:rPr>
        <w:tab/>
        <w:t xml:space="preserve">В заключение оратор хотела бы остановиться на некоторых свежих примерах повышенного внимания, которое проявляет к гендерным аспектам правительство Норвегии. 14 из 17 министерств в стране в настоящее время имеют отраслевые планы по содействию равенству полов или ориентированы на практические планы по конкретным проблемам. Одним из таких планов является стратегический план для секторов лесоводств, сельского хозяйства и сектора переработки продуктов, традиционно являющихся крайне консервативными "мужскими" отраслями; согласно плану поставлена цель увеличить в течение 10 лет долю женщин, занятых в этих сферах, до 40 процентов. Другим примером служит план действий в оборонном секторе, где также преобладают мужчины, в рамках которого поставлена цель увеличить численность женщин в вооруженных силах, особенно на руководящих должностях. В качестве третьего примера можно привести план действий по увеличению числа женщин, владеющих предприятиями, женщин-операторов и женщин-управляющих, занятых в рыболовстве и аквакультуре. Наконец, Министерство иностранных дел, которое является своего рода "маяком" в плане учета гендерной тематики, недавно разработало план действий по оказанию содействия достижению гендерного равенства и улучшению положения женщин в рамках программ помощи в целях развития, а также план действий по последующим мерам во исполнение резолюции 1325 (2000) Совета Безопасности о женщинах, мире и безопасности. В настоящее время Министерство разрабатывает "Белую книгу" по проблемам женщин и вопросам развития. </w:t>
      </w:r>
    </w:p>
    <w:p w:rsidR="00F93228" w:rsidRDefault="00F93228">
      <w:pPr>
        <w:pStyle w:val="std"/>
        <w:tabs>
          <w:tab w:val="left" w:pos="482"/>
        </w:tabs>
        <w:rPr>
          <w:i/>
          <w:szCs w:val="28"/>
        </w:rPr>
      </w:pPr>
      <w:r>
        <w:rPr>
          <w:i/>
          <w:szCs w:val="28"/>
        </w:rPr>
        <w:t>Статьи 1–6</w:t>
      </w:r>
    </w:p>
    <w:p w:rsidR="00F93228" w:rsidRDefault="00F93228">
      <w:pPr>
        <w:pStyle w:val="std"/>
        <w:tabs>
          <w:tab w:val="left" w:pos="482"/>
        </w:tabs>
        <w:rPr>
          <w:szCs w:val="28"/>
        </w:rPr>
      </w:pPr>
      <w:r>
        <w:rPr>
          <w:szCs w:val="28"/>
        </w:rPr>
        <w:t>14.</w:t>
      </w:r>
      <w:r>
        <w:rPr>
          <w:szCs w:val="28"/>
        </w:rPr>
        <w:tab/>
      </w:r>
      <w:r>
        <w:rPr>
          <w:b/>
          <w:szCs w:val="28"/>
        </w:rPr>
        <w:t>Г-н Флинтерман</w:t>
      </w:r>
      <w:r>
        <w:rPr>
          <w:szCs w:val="28"/>
        </w:rPr>
        <w:t xml:space="preserve"> напоминает, что в ходе рассмотрения Комитетом шестого периодического доклада Норвегии он выразил обеспокоенность по поводу того, что Конвенция все еще не была включена в норвежское законодательство, хотя со времени ратификации Конвенции прошло более 20 лет. Комитет рекомендовал включить Конвенцию в Закон о правах человека, который обеспечит преимущественную силу положений Конвенции над любыми противоречащими законами и который может применяться в национальных судах. Находившееся в то время у власти правительство вместо этого решило включить Конвенцию в Закон о равенстве полов. Оратор положительно оценивает намерение нынешнего правительства включить Конвенцию в Закон о правах человека и хотел бы знать, когда именно это будет сделано.</w:t>
      </w:r>
    </w:p>
    <w:p w:rsidR="00F93228" w:rsidRDefault="00F93228">
      <w:pPr>
        <w:pStyle w:val="std"/>
        <w:tabs>
          <w:tab w:val="left" w:pos="482"/>
        </w:tabs>
        <w:rPr>
          <w:szCs w:val="28"/>
        </w:rPr>
      </w:pPr>
      <w:r>
        <w:rPr>
          <w:szCs w:val="28"/>
        </w:rPr>
        <w:t>15.</w:t>
      </w:r>
      <w:r>
        <w:rPr>
          <w:szCs w:val="28"/>
        </w:rPr>
        <w:tab/>
        <w:t xml:space="preserve">Оратор просит также разъяснить содержащееся в докладе заявление о том, что норвежские законы следует интерпретировать согласно международным конвенциям, участником которых является Норвегия. Поскольку в настоящее время Конвенция включена </w:t>
      </w:r>
      <w:r>
        <w:rPr>
          <w:szCs w:val="28"/>
        </w:rPr>
        <w:br/>
        <w:t xml:space="preserve">в норвежское законодательство посредством Закона о равенстве полов, означает ли это, что законодательные акты, несовместимые с Законом о равенстве полов, не будут применяться в судах общей юрисдикции? </w:t>
      </w:r>
      <w:r>
        <w:rPr>
          <w:szCs w:val="28"/>
        </w:rPr>
        <w:br/>
        <w:t>В докладе также отмечается, что положения Конвенции редко применяются в норвежских судах. Оратор хотел бы знать причину этого, а также получить разъяснения относительно того, как обстоят дела с другими договорами в области прав человека, особенно положениями договоров, связанными с гендерным равенством.</w:t>
      </w:r>
    </w:p>
    <w:p w:rsidR="00F93228" w:rsidRDefault="00F93228">
      <w:pPr>
        <w:pStyle w:val="std"/>
        <w:tabs>
          <w:tab w:val="left" w:pos="482"/>
        </w:tabs>
        <w:rPr>
          <w:szCs w:val="28"/>
        </w:rPr>
      </w:pPr>
      <w:r>
        <w:rPr>
          <w:szCs w:val="28"/>
        </w:rPr>
        <w:t>16.</w:t>
      </w:r>
      <w:r>
        <w:rPr>
          <w:szCs w:val="28"/>
        </w:rPr>
        <w:tab/>
        <w:t>Отмечая, что в Закон о равенстве полов недавно были внесены поправки, касающиеся запрещения репрессивных мер в отношении любого лица, представляющего жалобу о нарушении Закона, оратор спрашивает, содержатся ли в Законе положения, предусматривающие защиту женщин, использующих, согласно факультативному протоколу к Конвенции, процедуры подачи индивидуальных жалоб, от жестокого обращения или запугивания. Если это не предусмотрено, намерено ли правительство внести в Закон изменения, с тем чтобы привести его в соответствие со статьей 11 Факультативного протокола?</w:t>
      </w:r>
    </w:p>
    <w:p w:rsidR="00F93228" w:rsidRDefault="00F93228">
      <w:pPr>
        <w:pStyle w:val="std"/>
        <w:tabs>
          <w:tab w:val="left" w:pos="482"/>
        </w:tabs>
        <w:rPr>
          <w:szCs w:val="28"/>
        </w:rPr>
      </w:pPr>
      <w:r>
        <w:rPr>
          <w:szCs w:val="28"/>
        </w:rPr>
        <w:t>17.</w:t>
      </w:r>
      <w:r>
        <w:rPr>
          <w:szCs w:val="28"/>
        </w:rPr>
        <w:tab/>
        <w:t xml:space="preserve"> В докладе утверждается, что Закон о равенстве полов применим ко всем сферам общества за исключением внутренних вопросов религиозных общин. Поэтому оратор несколько озадачен тем, что нынешнее правительство решило изучить применимость этого исключения к Церкви Норвегии, являющейся Государственной церковью. Комитет будет признателен за более подробную информацию по этому вопросу и по результатам его рассмотрения.</w:t>
      </w:r>
    </w:p>
    <w:p w:rsidR="00F93228" w:rsidRDefault="00F93228">
      <w:pPr>
        <w:pStyle w:val="std"/>
        <w:tabs>
          <w:tab w:val="left" w:pos="482"/>
        </w:tabs>
        <w:rPr>
          <w:szCs w:val="28"/>
        </w:rPr>
      </w:pPr>
      <w:r>
        <w:rPr>
          <w:szCs w:val="28"/>
        </w:rPr>
        <w:t>18.</w:t>
      </w:r>
      <w:r>
        <w:rPr>
          <w:szCs w:val="28"/>
        </w:rPr>
        <w:tab/>
      </w:r>
      <w:r>
        <w:rPr>
          <w:b/>
          <w:szCs w:val="28"/>
        </w:rPr>
        <w:t>Г-жа Шимонович</w:t>
      </w:r>
      <w:r>
        <w:rPr>
          <w:szCs w:val="28"/>
        </w:rPr>
        <w:t xml:space="preserve"> говорит, что Комитет был рад возможности рассмотреть доклад, представленный норвежскими НПО, однако выразил сожаление в связи с тем, что никто из представителей этих организаций не присутствовал на обсуждении доклада. Комитет был проинформирован, что представители НПО не имеют достаточных финансовых средств, чтобы присутствовать на заседании. Оратор считает это странным, поскольку известно, что норвежское правительство поддерживает хорошие отношения с НПО и успешно сотрудничает с ними во многих сферах; она будет признательна за разъяснения относительно того, почему представители НПО не получили финансовые средства, которые дали бы им возможность присутствовать на сессии и представить свой доклад.</w:t>
      </w:r>
    </w:p>
    <w:p w:rsidR="00F93228" w:rsidRDefault="00F93228">
      <w:pPr>
        <w:pStyle w:val="std"/>
        <w:tabs>
          <w:tab w:val="left" w:pos="482"/>
        </w:tabs>
        <w:rPr>
          <w:szCs w:val="28"/>
        </w:rPr>
      </w:pPr>
      <w:r>
        <w:rPr>
          <w:szCs w:val="28"/>
        </w:rPr>
        <w:t>19.</w:t>
      </w:r>
      <w:r>
        <w:rPr>
          <w:szCs w:val="28"/>
        </w:rPr>
        <w:tab/>
        <w:t>По мнению оратора, наиболее весомый довод в пользу включения Конвенции в Закон о правах человека состоит в том, что в отличие от положения, существовавшего в 2003 году, когда рассматривался предыдущий доклад Норвегии, в настоящее время все больше дел регистрируется в рамках Факультативного протокола, и эти случаи дают дополнительную интерпретацию прав женщин согласно Конвенции. Поэтому важно обеспечить статутное положение Конвенции во внутреннем законодательстве. В связи с этим оратор хотела бы знать, какая процедура используется в Норвегии в случаях, когда женщина хочет подать жалобу о дискриминации, и какой суд или трибунал будет судом последней инстанции.</w:t>
      </w:r>
    </w:p>
    <w:p w:rsidR="00F93228" w:rsidRDefault="00F93228">
      <w:pPr>
        <w:pStyle w:val="std"/>
        <w:tabs>
          <w:tab w:val="left" w:pos="482"/>
        </w:tabs>
        <w:rPr>
          <w:szCs w:val="28"/>
        </w:rPr>
      </w:pPr>
      <w:r>
        <w:rPr>
          <w:szCs w:val="28"/>
        </w:rPr>
        <w:t>20.</w:t>
      </w:r>
      <w:r>
        <w:rPr>
          <w:szCs w:val="28"/>
        </w:rPr>
        <w:tab/>
      </w:r>
      <w:r>
        <w:rPr>
          <w:b/>
          <w:szCs w:val="28"/>
        </w:rPr>
        <w:t>Г-жа Тавариш да Силва</w:t>
      </w:r>
      <w:r>
        <w:rPr>
          <w:szCs w:val="28"/>
        </w:rPr>
        <w:t>, отмечая, что Омбудсмен по вопросам равенства и недопущения дискриминации занимается делами, связанными с разными видами дискриминации, интересуется, были ли отмечены какие-либо негативные последствия того, что случаи дискриминации в отношении женщин рассматривались в качестве одной из форм дискриминации, тогда как дискриминация в отношении женщин по сути явно отличается от других видов дискриминации. Этот вид дискриминации носит горизонтальный и структурный характер, тогда как другие формы во многих случаях зависят от обстоятельств. Оратор спрашивает, насколько эффективной оказалась перестройка национального механизма в плане увеличения или уменьшения значимости проблем в области равенства полов.</w:t>
      </w:r>
    </w:p>
    <w:p w:rsidR="00F93228" w:rsidRDefault="00F93228">
      <w:pPr>
        <w:pStyle w:val="std"/>
        <w:tabs>
          <w:tab w:val="left" w:pos="482"/>
        </w:tabs>
        <w:rPr>
          <w:szCs w:val="28"/>
        </w:rPr>
      </w:pPr>
      <w:r>
        <w:rPr>
          <w:szCs w:val="28"/>
        </w:rPr>
        <w:t>21.</w:t>
      </w:r>
      <w:r>
        <w:rPr>
          <w:szCs w:val="28"/>
        </w:rPr>
        <w:tab/>
        <w:t xml:space="preserve">В докладе государства-участника отмечается, что Омбудсмен по вопросам равенства и недопущения дискриминации и Суд являются правительственными органами, которые независимы в своей деятельности. По мнению оратора, такая ситуация является двусмысленной и, возможно, даже противоречивой, поскольку, если они являются государственными органами, функционирующими как национальный механизм, они не могут быть полностью независимыми; они обязаны осуществлять правительственную политику и руководящие принципы. С другой стороны, на основе содержащейся в докладе информации получается, что Омбудсмен и Суд играют важную роль в определении основополагающих принципов для разработки политики. Оратор будет признательна за разъяснение, касающееся статуса этих двух механизмов, а также относительно того, какой департамент в рамках правительства несет ответственность за разработку планов и политики в области гендерного равенства, а также за координацию действий и контроль за их осуществлением. </w:t>
      </w:r>
    </w:p>
    <w:p w:rsidR="00F93228" w:rsidRDefault="00F93228">
      <w:pPr>
        <w:pStyle w:val="std"/>
        <w:tabs>
          <w:tab w:val="left" w:pos="482"/>
        </w:tabs>
        <w:rPr>
          <w:szCs w:val="28"/>
        </w:rPr>
      </w:pPr>
      <w:r>
        <w:rPr>
          <w:szCs w:val="28"/>
        </w:rPr>
        <w:t>22.</w:t>
      </w:r>
      <w:r>
        <w:rPr>
          <w:szCs w:val="28"/>
        </w:rPr>
        <w:tab/>
      </w:r>
      <w:r>
        <w:rPr>
          <w:b/>
          <w:szCs w:val="28"/>
        </w:rPr>
        <w:t>Председатель</w:t>
      </w:r>
      <w:r>
        <w:rPr>
          <w:szCs w:val="28"/>
        </w:rPr>
        <w:t>, выступая в качестве члена Комитета, воздает должное государству-участнику за его посреднические усилия в укреплении международного мира. Оратор хотела бы знать, является ли участие женщин из соответствующих стран в мирных переговорах необходимой предпосылкой для участия Норвегии в таких переговорах и всегда ли в составе делегаций Норвегии есть женщины. Комитет хотел бы также знать, создан ли какой-либо механизм по отслеживанию того, насколько эффективно удовлетворяются потребности женщин в ходе программ миростроительства, осуществляемых в итоге переговоров.</w:t>
      </w:r>
    </w:p>
    <w:p w:rsidR="00F93228" w:rsidRDefault="00F93228">
      <w:pPr>
        <w:pStyle w:val="std"/>
        <w:tabs>
          <w:tab w:val="left" w:pos="482"/>
        </w:tabs>
        <w:rPr>
          <w:szCs w:val="28"/>
        </w:rPr>
      </w:pPr>
      <w:r>
        <w:rPr>
          <w:szCs w:val="28"/>
        </w:rPr>
        <w:t>23.</w:t>
      </w:r>
      <w:r>
        <w:rPr>
          <w:szCs w:val="28"/>
        </w:rPr>
        <w:tab/>
        <w:t>Роль, которую играет Норвегия в предоставлении международной помощи на цели развития, хорошо известна. Отмечая, что в докладе говорится о начале осуществления нового плана действий, предусматривающего улучшение положения женщин и обеспечение гендерного равенства в программах сотрудничества в целях развития, оратор спрашивает, включает ли план какое-либо положение о непосредственном осуществлении Конвенции. Она также выражает обеспокоенность в связи с тем, что, как очевидно, Конвенция была включена в Закон о равенстве полов, а не в Закон о правах человека, а также в связи с тем обстоятельством, что право женщин на равное обращение рассматривается как особое право, а не как одно из основополагающих прав человека. Поэтому она была бы признательна за дальнейшее разъяснение того, как правительство понимает право на обращение без дискриминации, а также каким образом такое понимание влияет на программы помощи в целях развития.</w:t>
      </w:r>
    </w:p>
    <w:p w:rsidR="00F93228" w:rsidRDefault="00F93228">
      <w:pPr>
        <w:pStyle w:val="std"/>
        <w:tabs>
          <w:tab w:val="left" w:pos="482"/>
        </w:tabs>
        <w:rPr>
          <w:szCs w:val="28"/>
        </w:rPr>
      </w:pPr>
      <w:r>
        <w:rPr>
          <w:szCs w:val="28"/>
        </w:rPr>
        <w:t>24.</w:t>
      </w:r>
      <w:r>
        <w:rPr>
          <w:szCs w:val="28"/>
        </w:rPr>
        <w:tab/>
      </w:r>
      <w:r>
        <w:rPr>
          <w:b/>
          <w:szCs w:val="28"/>
        </w:rPr>
        <w:t>Г-жа Холе</w:t>
      </w:r>
      <w:r>
        <w:rPr>
          <w:szCs w:val="28"/>
        </w:rPr>
        <w:t xml:space="preserve"> (Норвегия) подчеркивает тот факт, что Норвегия является одной из немногих стран, которые полностью включили Конвенцию в свое внутреннее законодательство. Кроме того, нынешнее правительство заявило о своем намерении включить Конвенцию в Закон о правах человека до окончания своих полномочий в 2009 году. Оратор не может объяснить, почему норвежские суды редко обращаются к Конвенции, однако она заверяет Комитет, что Омбудсмен по вопросам равенства и недопущения дискриминации и Суд часто опираются на Конвенцию как источник права. В Норвегии нет конституционного суда, поэтому случаи, связанные с дискриминацией, рассматриваются Судом по вопросам равенства и недопущения дискриминации. До настоящего времени в суды не поступило никаких дел, подпадающих под Факультативный протокол, однако оратор не предвидит никаких сложностей в этом плане. Фактически, Статья 11 Факультативного протокола учитывалась при внесении изменений в Закон о равенстве полов.</w:t>
      </w:r>
    </w:p>
    <w:p w:rsidR="00F93228" w:rsidRDefault="00F93228">
      <w:pPr>
        <w:pStyle w:val="std"/>
        <w:tabs>
          <w:tab w:val="left" w:pos="482"/>
        </w:tabs>
        <w:rPr>
          <w:szCs w:val="28"/>
        </w:rPr>
      </w:pPr>
      <w:r>
        <w:rPr>
          <w:szCs w:val="28"/>
        </w:rPr>
        <w:t>25.</w:t>
      </w:r>
      <w:r>
        <w:rPr>
          <w:szCs w:val="28"/>
        </w:rPr>
        <w:tab/>
        <w:t>В настоящее время в Законе о равенстве полов делаются исключения, касающиеся внутренних вопросов религиозных общин, включая Государственную церковь. Нынешнее правительство ставит своей целью изучить вопрос о том, можно ли исключить эти оговорки, и с этой целью на созданный правительством юридический комитет недавно была возложена задача по разработке всеобъемлющего закона о запрещении дискриминации. В ходе подготовки к разработке закона Комитет проводит обзор положений Закона о равенстве полов и Закона об условиях труда, по результатам которого к концу года на рассмотрение правительства будет представлен доклад.</w:t>
      </w:r>
    </w:p>
    <w:p w:rsidR="00F93228" w:rsidRDefault="00F93228">
      <w:pPr>
        <w:pStyle w:val="std"/>
        <w:tabs>
          <w:tab w:val="left" w:pos="482"/>
        </w:tabs>
        <w:rPr>
          <w:szCs w:val="28"/>
        </w:rPr>
      </w:pPr>
      <w:r>
        <w:rPr>
          <w:szCs w:val="28"/>
        </w:rPr>
        <w:t>26.</w:t>
      </w:r>
      <w:r>
        <w:rPr>
          <w:szCs w:val="28"/>
        </w:rPr>
        <w:tab/>
        <w:t>Оратор, отвечая на вопрос г-жи Шимонович, говорит, что женские НПО получают государственные средства через Управление по делам детей, молодежи и семьи. В 2007 году бюджетные ассигнования на деятельность НПО увеличились на три млн. норвежских крон. НПО, которые изъявляют желание присутствовать на заседаниях Комиссии по положению женщин, обычно получают финансовую помощь, однако на этот раз правительство сочло нецелесообразным выделение средств, поскольку цель нынешнего конструктивного диалога касается контроля за осуществлением Конвенции со стороны государственных учреждений.</w:t>
      </w:r>
    </w:p>
    <w:p w:rsidR="00F93228" w:rsidRDefault="00F93228">
      <w:pPr>
        <w:pStyle w:val="std"/>
        <w:tabs>
          <w:tab w:val="left" w:pos="482"/>
        </w:tabs>
        <w:rPr>
          <w:szCs w:val="28"/>
        </w:rPr>
      </w:pPr>
      <w:r>
        <w:rPr>
          <w:szCs w:val="28"/>
        </w:rPr>
        <w:t>27.</w:t>
      </w:r>
      <w:r>
        <w:rPr>
          <w:szCs w:val="28"/>
        </w:rPr>
        <w:tab/>
        <w:t>Что касается национального механизма по улучшению положения женщин, то Министерство по делам детей и вопросам равноправия является главным органом, ответственным за координацию политики и программ в области гендерного равенства и широкое внедрение гендерного подхода. В 2006 году при поддержке Министерства был осуществлен проект по формированию бюджетов правительственных учреждений с учетом гендерного фактора. Недавно были созданы новые механизмы по содействию гендерному равенству, а именно уже обсуждавшийся механизм Омбудсмена по вопросам равенства и недопущения дискриминации и Суда по вопросам равенства и недопущения дискриминации. Норвегия имеет давнюю традицию назначения омбудсменов в различных сферах, поскольку эти механизмы предлагают весьма доступную процедуру примирения при решении спорных вопросов.</w:t>
      </w:r>
    </w:p>
    <w:p w:rsidR="00F93228" w:rsidRDefault="00F93228">
      <w:pPr>
        <w:pStyle w:val="std"/>
        <w:tabs>
          <w:tab w:val="left" w:pos="482"/>
        </w:tabs>
        <w:rPr>
          <w:szCs w:val="28"/>
        </w:rPr>
      </w:pPr>
      <w:r>
        <w:rPr>
          <w:szCs w:val="28"/>
        </w:rPr>
        <w:t>28.</w:t>
      </w:r>
      <w:r>
        <w:rPr>
          <w:szCs w:val="28"/>
        </w:rPr>
        <w:tab/>
        <w:t>Хотя Канцелярия омбудсмена финансируется правительством, это совершенно независимый институт: ежеквартальные совещания омбудсмена и Министерства проводятся с единственной целью обсуждения вопросов и обмена соответствующей информацией. Оратор согласна с тем, что дискриминация в отношении женщин носит горизонтальный и структурный характер, однако отмечает, что Омбудсмен имеет дело со всеми случаями дискриминации, поэтому уроки, извлеченные при рассмотрении жалоб, касающихся одного вида дискриминации, могут использоваться при рассмотрении других видов жалоб. Кроме того, Канцелярия омбудсмена имеет хорошую возможность собирать информацию относительно случаев, включающих дискриминацию по разным признакам. В 2008 году в парламент будет представлен обзор эффективности нового механизма.</w:t>
      </w:r>
    </w:p>
    <w:p w:rsidR="00F93228" w:rsidRDefault="00F93228">
      <w:pPr>
        <w:pStyle w:val="std"/>
        <w:tabs>
          <w:tab w:val="left" w:pos="482"/>
        </w:tabs>
        <w:rPr>
          <w:szCs w:val="28"/>
        </w:rPr>
      </w:pPr>
      <w:r>
        <w:rPr>
          <w:szCs w:val="28"/>
        </w:rPr>
        <w:t>29.</w:t>
      </w:r>
      <w:r>
        <w:rPr>
          <w:szCs w:val="28"/>
        </w:rPr>
        <w:tab/>
      </w:r>
      <w:r>
        <w:rPr>
          <w:b/>
          <w:szCs w:val="28"/>
        </w:rPr>
        <w:t>Г-н Фрёскеланд</w:t>
      </w:r>
      <w:r>
        <w:rPr>
          <w:szCs w:val="28"/>
        </w:rPr>
        <w:t xml:space="preserve"> (Норвегия) говорит, что национальный план действий по осуществлению резолюции 1325 (2000) Совета Безопасности содержит целый ряд мер по расширению участия женщин в мирных переговорах. Для того чтобы показать хороший пример странам, которым Норвегия оказывает помощь, она стремится обеспечить, насколько возможно, чтобы в ее собственных делегациях представленность женщин и мужчин была хорошо сбалансирована. План действий будет подвергаться ежегодному обзору, и результаты первого обзора такого рода были только что опубликованы.</w:t>
      </w:r>
    </w:p>
    <w:p w:rsidR="00F93228" w:rsidRDefault="00F93228">
      <w:pPr>
        <w:pStyle w:val="std"/>
        <w:tabs>
          <w:tab w:val="left" w:pos="482"/>
        </w:tabs>
        <w:spacing w:after="190"/>
        <w:rPr>
          <w:szCs w:val="28"/>
        </w:rPr>
      </w:pPr>
      <w:r>
        <w:rPr>
          <w:szCs w:val="28"/>
        </w:rPr>
        <w:t>30.</w:t>
      </w:r>
      <w:r>
        <w:rPr>
          <w:szCs w:val="28"/>
        </w:rPr>
        <w:tab/>
      </w:r>
      <w:r>
        <w:rPr>
          <w:b/>
          <w:szCs w:val="28"/>
        </w:rPr>
        <w:t>Г-жа Холе</w:t>
      </w:r>
      <w:r>
        <w:rPr>
          <w:szCs w:val="28"/>
        </w:rPr>
        <w:t xml:space="preserve"> (Норвегия) говорит, что норвежское правительство считает, что участие женщин в деятельности в области развития отвечает интересам всего общества. Соответственно, новый план действий по улучшению положения женщин и обеспечению гендерного равенства в программах сотрудничества в целях развития охватывает четыре ключевые темы: расширение прав в политике; расширение прав в экономике; сексуальные и репродуктивные права; и насилие в отношении женщин. В настоящее время составляется "Белая книга" по этим вопросам, призванная особо подчеркнуть необходимость участия женщин в политике и в программах в области развития, что важно в качестве отдельной задачи и в качестве средства для достижения других целей. Оратор заверяет Комитет, что нынешнее правительство не проводит различия между правами женщин и правами человека. По сути дела, концепция прав женщин и прав человека является основополагающей как для национального плана действий по осуществлению резолюции 1325 (2000) Совета Безопасности, так и для плана действий по улучшению положения женщин и обеспечению гендерного равенства в программах сотрудничества в целях развития. </w:t>
      </w:r>
    </w:p>
    <w:p w:rsidR="00F93228" w:rsidRDefault="00F93228">
      <w:pPr>
        <w:pStyle w:val="std"/>
        <w:tabs>
          <w:tab w:val="left" w:pos="482"/>
        </w:tabs>
        <w:spacing w:after="190"/>
        <w:rPr>
          <w:szCs w:val="28"/>
        </w:rPr>
      </w:pPr>
      <w:r>
        <w:rPr>
          <w:szCs w:val="28"/>
        </w:rPr>
        <w:t>31.</w:t>
      </w:r>
      <w:r>
        <w:rPr>
          <w:szCs w:val="28"/>
        </w:rPr>
        <w:tab/>
      </w:r>
      <w:r>
        <w:rPr>
          <w:b/>
          <w:szCs w:val="28"/>
        </w:rPr>
        <w:t>Г-жа Кокер-Аппиа</w:t>
      </w:r>
      <w:r>
        <w:rPr>
          <w:szCs w:val="28"/>
        </w:rPr>
        <w:t xml:space="preserve"> высоко оценивает новаторский подход к осуществлению статьи 5 Конвенции, продемонстрированный государством-участником. Ссылаясь на с. 27 доклада, оратор интересуется выводами совместного исследовательского проекта, касающегося проблемы чрезмерного внимания общества к половой сфере и его воздействия на молодых людей, и подчеркивает необходимость принятия мер по практической реализации этих выводов.</w:t>
      </w:r>
    </w:p>
    <w:p w:rsidR="00F93228" w:rsidRDefault="00F93228">
      <w:pPr>
        <w:pStyle w:val="std"/>
        <w:tabs>
          <w:tab w:val="left" w:pos="482"/>
        </w:tabs>
        <w:spacing w:after="190"/>
        <w:rPr>
          <w:szCs w:val="28"/>
        </w:rPr>
      </w:pPr>
      <w:r>
        <w:rPr>
          <w:szCs w:val="28"/>
        </w:rPr>
        <w:t>32.</w:t>
      </w:r>
      <w:r>
        <w:rPr>
          <w:szCs w:val="28"/>
        </w:rPr>
        <w:tab/>
        <w:t>Все больше мужчин пользуются своим правом на родительский отпуск, поскольку они во все большей степени начинают осознавать необходимость установления тесных взаимоотношений со своими детьми. Однако общественная роль мужчин не должна ограничиваться обязанностями отцовства. Необходимо предпринять дальнейшие усилия по рассмотрению концепции маскулинности и ее взаимосвязи с насилием в отношении женщин. В связи с этим оратор хотела бы знать, планирует ли Информационный центр по проблемам мужчин расширение масштабов своей деятельности, с тем чтобы включить программы, направленные на борьбу с насилием в семье.</w:t>
      </w:r>
    </w:p>
    <w:p w:rsidR="00F93228" w:rsidRDefault="00F93228">
      <w:pPr>
        <w:pStyle w:val="std"/>
        <w:tabs>
          <w:tab w:val="left" w:pos="482"/>
        </w:tabs>
        <w:rPr>
          <w:szCs w:val="28"/>
        </w:rPr>
      </w:pPr>
      <w:r>
        <w:rPr>
          <w:szCs w:val="28"/>
        </w:rPr>
        <w:t>33.</w:t>
      </w:r>
      <w:r>
        <w:rPr>
          <w:szCs w:val="28"/>
        </w:rPr>
        <w:tab/>
      </w:r>
      <w:r>
        <w:rPr>
          <w:b/>
          <w:szCs w:val="28"/>
        </w:rPr>
        <w:t xml:space="preserve">Г-жа Шимонович </w:t>
      </w:r>
      <w:r>
        <w:rPr>
          <w:szCs w:val="28"/>
        </w:rPr>
        <w:t xml:space="preserve">дает положительную оценку усилиям государства – участника Конвенции по сбору статистических данных, касающихся числа женщин, которые были убиты своими партнерами, состоявшими с ними в интимных отношениях. Было бы полезно знать, сколько из семи убийств, совершенных в 2006 году, было расследовано и каковы результаты этих расследований. Были ли предприняты какие-либо меры по выявлению остающихся пробелов в системе профилактики и защиты в целях сокращения числа таких убийств? Есть ли у правительства какие-нибудь планы по введению мер превентивного задержания мужчин, склонных к насилию, которые нарушили судебный приказ о запрещении посещений? </w:t>
      </w:r>
    </w:p>
    <w:p w:rsidR="00F93228" w:rsidRDefault="00F93228">
      <w:pPr>
        <w:pStyle w:val="std"/>
        <w:tabs>
          <w:tab w:val="left" w:pos="482"/>
        </w:tabs>
        <w:rPr>
          <w:szCs w:val="28"/>
        </w:rPr>
      </w:pPr>
      <w:r>
        <w:rPr>
          <w:szCs w:val="28"/>
        </w:rPr>
        <w:t>34.</w:t>
      </w:r>
      <w:r>
        <w:rPr>
          <w:szCs w:val="28"/>
        </w:rPr>
        <w:tab/>
      </w:r>
      <w:r>
        <w:rPr>
          <w:b/>
          <w:szCs w:val="28"/>
        </w:rPr>
        <w:t>Председатель</w:t>
      </w:r>
      <w:r>
        <w:rPr>
          <w:bCs/>
          <w:szCs w:val="28"/>
        </w:rPr>
        <w:t xml:space="preserve">, </w:t>
      </w:r>
      <w:r>
        <w:rPr>
          <w:szCs w:val="28"/>
        </w:rPr>
        <w:t>выступая в качестве члена Комитета, говорит, что предоставляемые мужчинам права и привилегии могут стать источником дискриминации, поскольку они порождают у мужчин чувство превосходства. В связи с этим она хотела бы знать, почему в докладе, главной темой которого должны быть проблемы женщин, обсуждается дискриминация в отношении мужчин. Ее также удивляет ссылка в докладе на необходимость разработки мер, которые бы "учитывали разные ситуации и в которых находятся мужчины и их различные интересы" (с. 29). Государство-участник должно указать конкретные меры, которые оно планирует принять в целях устранения препятствий на пути расширения прав женщин на основе правильного понимания концепции гендерного неравенства.</w:t>
      </w:r>
    </w:p>
    <w:p w:rsidR="00F93228" w:rsidRDefault="00F93228">
      <w:pPr>
        <w:pStyle w:val="std"/>
        <w:tabs>
          <w:tab w:val="left" w:pos="482"/>
        </w:tabs>
        <w:rPr>
          <w:szCs w:val="28"/>
        </w:rPr>
      </w:pPr>
      <w:r>
        <w:rPr>
          <w:szCs w:val="28"/>
        </w:rPr>
        <w:t>35.</w:t>
      </w:r>
      <w:r>
        <w:rPr>
          <w:szCs w:val="28"/>
        </w:rPr>
        <w:tab/>
        <w:t>В завершение оратор подчеркивает, что негативные институциональные установки в отношении гендерного равенства оказывают существенное влияние на роль мужчин и женщин в обществе. Что было сделано в плане борьбы с такими установками? В этом отношении у нее вызывают особую озабоченность мифы, связанные с изнасилованиями, которые, по всей видимости, распространены в Норвегии, и их последствия для обращения с жертвами насилия.</w:t>
      </w:r>
    </w:p>
    <w:p w:rsidR="00F93228" w:rsidRDefault="00F93228">
      <w:pPr>
        <w:pStyle w:val="std"/>
        <w:tabs>
          <w:tab w:val="left" w:pos="482"/>
        </w:tabs>
        <w:rPr>
          <w:szCs w:val="28"/>
        </w:rPr>
      </w:pPr>
      <w:r>
        <w:rPr>
          <w:szCs w:val="28"/>
        </w:rPr>
        <w:t>36.</w:t>
      </w:r>
      <w:r>
        <w:rPr>
          <w:szCs w:val="28"/>
        </w:rPr>
        <w:tab/>
      </w:r>
      <w:r>
        <w:rPr>
          <w:b/>
          <w:szCs w:val="28"/>
        </w:rPr>
        <w:t>Г-н Флинтерман</w:t>
      </w:r>
      <w:r>
        <w:rPr>
          <w:szCs w:val="28"/>
        </w:rPr>
        <w:t xml:space="preserve"> приветствует меры, принятые норвежским правительством по выполнению заключительных замечаний и рекомендаций в отношении торговли людьми, высказанных ранее Комитетом. Касаясь ответа государства-участника </w:t>
      </w:r>
      <w:r>
        <w:rPr>
          <w:szCs w:val="28"/>
        </w:rPr>
        <w:br/>
        <w:t>на вопрос 11 перечня тем и вопросов (</w:t>
      </w:r>
      <w:r>
        <w:rPr>
          <w:szCs w:val="28"/>
          <w:lang w:val="en-US"/>
        </w:rPr>
        <w:t>CEDAW</w:t>
      </w:r>
      <w:r>
        <w:rPr>
          <w:szCs w:val="28"/>
        </w:rPr>
        <w:t>/</w:t>
      </w:r>
      <w:r>
        <w:rPr>
          <w:szCs w:val="28"/>
          <w:lang w:val="en-US"/>
        </w:rPr>
        <w:t>C</w:t>
      </w:r>
      <w:r>
        <w:rPr>
          <w:szCs w:val="28"/>
        </w:rPr>
        <w:t>/</w:t>
      </w:r>
      <w:r>
        <w:rPr>
          <w:szCs w:val="28"/>
          <w:lang w:val="en-US"/>
        </w:rPr>
        <w:t>NOR</w:t>
      </w:r>
      <w:r>
        <w:rPr>
          <w:szCs w:val="28"/>
        </w:rPr>
        <w:t>/</w:t>
      </w:r>
      <w:r>
        <w:rPr>
          <w:szCs w:val="28"/>
          <w:lang w:val="en-US"/>
        </w:rPr>
        <w:t>Q</w:t>
      </w:r>
      <w:r>
        <w:rPr>
          <w:szCs w:val="28"/>
        </w:rPr>
        <w:t>/7), он отмечает, что, согласно его информации, полученной из других источников, в Осло насчитывается 2–3 тыс. проституток, 80 процентов которых прибыли из-за границы. Он также слышал, что только 15 процентов иностранных женщин, которые были привезены в страну с целью сексуальной эксплуатации, получили разрешение на постоянное жительство из гуманных соображений. Совершенно очевидна необходимость более систематического сбора данных в этих сферах.</w:t>
      </w:r>
    </w:p>
    <w:p w:rsidR="00F93228" w:rsidRDefault="00F93228">
      <w:pPr>
        <w:pStyle w:val="std"/>
        <w:tabs>
          <w:tab w:val="left" w:pos="482"/>
        </w:tabs>
        <w:rPr>
          <w:szCs w:val="28"/>
        </w:rPr>
      </w:pPr>
      <w:r>
        <w:rPr>
          <w:szCs w:val="28"/>
        </w:rPr>
        <w:t>37.</w:t>
      </w:r>
      <w:r>
        <w:rPr>
          <w:szCs w:val="28"/>
        </w:rPr>
        <w:tab/>
        <w:t>Правительство субсидирует веб-сайт, созданный с целью недопущения предоставления платных сексуальных услуг, однако, судя по сведениям из других источников, это имеет обратный эффект. Было бы полезно получить информацию о том, проводилась ли оценка эффективности работы веб-сайта, и если ответ положительный, то каков результат этой оценки. Имеет ли государство – участник Конвенции какие-либо планы по привлечению к уголовной ответственности лиц, покупающих сексуальные услуги? Опыт Швеции в этой сфере может быть полезным.</w:t>
      </w:r>
    </w:p>
    <w:p w:rsidR="00F93228" w:rsidRDefault="00F93228">
      <w:pPr>
        <w:pStyle w:val="std"/>
        <w:tabs>
          <w:tab w:val="left" w:pos="482"/>
        </w:tabs>
        <w:rPr>
          <w:szCs w:val="28"/>
        </w:rPr>
      </w:pPr>
      <w:r>
        <w:rPr>
          <w:szCs w:val="28"/>
        </w:rPr>
        <w:t>38.</w:t>
      </w:r>
      <w:r>
        <w:rPr>
          <w:szCs w:val="28"/>
        </w:rPr>
        <w:tab/>
      </w:r>
      <w:r>
        <w:rPr>
          <w:b/>
          <w:szCs w:val="28"/>
        </w:rPr>
        <w:t>Г-жа Холе</w:t>
      </w:r>
      <w:r>
        <w:rPr>
          <w:szCs w:val="28"/>
        </w:rPr>
        <w:t xml:space="preserve"> (Норвегия) говорит, что выводы исследовательского проекта, касающегося проблемы чрезмерного внимания, которое проявляет общество к половой сфере, оказались самыми противоречивыми. Правительство объявило о своем намерении провести дальнейшие исследования, и в целях поощрения дискуссии направило эти выводы в Национальный совет по делам молодежи. Кроме того, нужно обсудить возможные поправки к Закону о торговле. В целом, очень мало женщин работает в средствах массовой информации, поэтому правительство осуществило целый ряд программ, призванных улучшить ситуацию в данной области. Кроме того, предпринимаются усилия поставить вопрос о статусе СМИ как организации и рассмотреть все аспекты, связанные с отображением в них роли мужчин и женщин.</w:t>
      </w:r>
    </w:p>
    <w:p w:rsidR="00F93228" w:rsidRDefault="00F93228">
      <w:pPr>
        <w:pStyle w:val="std"/>
        <w:tabs>
          <w:tab w:val="left" w:pos="482"/>
        </w:tabs>
        <w:rPr>
          <w:szCs w:val="28"/>
        </w:rPr>
      </w:pPr>
      <w:r>
        <w:rPr>
          <w:szCs w:val="28"/>
        </w:rPr>
        <w:t>39.</w:t>
      </w:r>
      <w:r>
        <w:rPr>
          <w:szCs w:val="28"/>
        </w:rPr>
        <w:tab/>
        <w:t>Информационный центр по проблемам мужчин, финансируемый Министерством по делам детей и вопросам равноправия, занимается пропагандистской деятельностью, направленной на то, чтобы изменить представления мужчин о маскулинности. Касаясь вопроса о мерах в поддержку мужчин, нельзя отрицать, что некоторые находящиеся в привилегированном положении мужчины весьма хорошо защищены, однако многим мужчинам тоже требуется помощь, особенно наркоманам и жертвам сексуального насилия. Поэтому была установлена бесплатная горячая линия для мужчин, находящихся в стрессовой ситуации. Кроме того, следует отметить, что мужчины составляют большинство среди низкооплачиваемых и безработных граждан.</w:t>
      </w:r>
    </w:p>
    <w:p w:rsidR="00F93228" w:rsidRDefault="00F93228">
      <w:pPr>
        <w:pStyle w:val="std"/>
        <w:tabs>
          <w:tab w:val="left" w:pos="482"/>
        </w:tabs>
        <w:spacing w:after="180"/>
        <w:rPr>
          <w:szCs w:val="28"/>
        </w:rPr>
      </w:pPr>
      <w:r>
        <w:rPr>
          <w:szCs w:val="28"/>
        </w:rPr>
        <w:t>40.</w:t>
      </w:r>
      <w:r>
        <w:rPr>
          <w:szCs w:val="28"/>
        </w:rPr>
        <w:tab/>
        <w:t xml:space="preserve">Исследования показали, что зачастую по отношению к мужчинам проявляется несправедливость при рассмотрении дел по опеке над детьми. Поэтому были внесены изменения в Закон о выплате алиментов, с тем чтобы учитывать заработки и матери, и отца и делать вычеты из размера алиментов, выплачиваемых бывшими мужьями, в соответствии с количеством времени, которое они проводят со своими детьми. </w:t>
      </w:r>
      <w:r>
        <w:rPr>
          <w:szCs w:val="28"/>
        </w:rPr>
        <w:br/>
        <w:t>В настоящее время Юридический комитет проводит обзор законодательства в области родительских прав и прав детей. Женщины, безусловно, должны иметь возможность делать карьеру и избираться на государственные посты, но при этом необходимо учитывать и потребности мужчин. Исходя из этого, Министерство по делам детей и вопросам равноправия разрабатывает правительственную "Белую книгу" по проблеме гендерного равенства, в которой особое внимание будет уделено роли мужчин и позитивным проявлениям маскулинности. На институциональном уровне все министерства в своей работе делают упор на гендерный фактор.</w:t>
      </w:r>
    </w:p>
    <w:p w:rsidR="00F93228" w:rsidRDefault="00F93228">
      <w:pPr>
        <w:pStyle w:val="std"/>
        <w:tabs>
          <w:tab w:val="left" w:pos="482"/>
        </w:tabs>
        <w:spacing w:after="180"/>
        <w:rPr>
          <w:szCs w:val="28"/>
        </w:rPr>
      </w:pPr>
      <w:r>
        <w:rPr>
          <w:szCs w:val="28"/>
        </w:rPr>
        <w:t>41.</w:t>
      </w:r>
      <w:r>
        <w:rPr>
          <w:szCs w:val="28"/>
        </w:rPr>
        <w:tab/>
        <w:t>Что касается мер, направленных на борьбу с насилием в отношении женщин и с насилием в семье, то в этой области разработаны два соответствующих плана действий, в которых делается акцент на такой значимый аспект, как повышение осведомленности населения, и в первую очередь детей. Кроме того, важную посредническую роль играют сотрудники, занимающиеся консультированием, которые оказывают помощь в обязательном порядке, когда речь идет о распаде семьи. Сотрудники судебных и полицейских органов и служб социальной защиты детей также получают профессиональную подготовку по вопросам выявления случаев бытового насилия и обращения с женщинами и детьми, ставшими жертвами насилия. Норвежский научно-исследовательский центр по проблемам стресса, вызванного насилиями и травмами, подготовил доклад об обращении с лицами, совершающими насилие в семье, который в основном предназначен для служб исполнения наказаний. Организация "Альтернатива насилию", финансируемая Министерством юстиции и Министерством здравоохранения и состоящая из психологов и врачей, также предоставляет программу лечения, которая в настоящее время осуществляется в южной части страны и которая закладывает хорошую основу для распространения ее по всей стране. Кроме того, специально обученные координаторы по борьбе с насилием в семье уже несколько лет с большой пользой работают во всех полицейских участках. Оратор обещает предоставить аналитическую информацию, касающуюся результативности мер по борьбе с насилием в семье, включая применение средств электронного наблюдения за правонарушителями.</w:t>
      </w:r>
    </w:p>
    <w:p w:rsidR="00F93228" w:rsidRDefault="00F93228">
      <w:pPr>
        <w:pStyle w:val="std"/>
        <w:tabs>
          <w:tab w:val="left" w:pos="482"/>
        </w:tabs>
        <w:spacing w:after="150"/>
        <w:rPr>
          <w:szCs w:val="28"/>
        </w:rPr>
      </w:pPr>
      <w:r>
        <w:rPr>
          <w:szCs w:val="28"/>
        </w:rPr>
        <w:t>42.</w:t>
      </w:r>
      <w:r>
        <w:rPr>
          <w:szCs w:val="28"/>
        </w:rPr>
        <w:tab/>
        <w:t xml:space="preserve">С начала 2004 года девять женщин – жертв торговли людьми получили временное (сроком на шесть месяцев) разрешение на работу, которое может впоследствии продлеваться на период до одного года. Сейчас слишком рано давать оценку эффективности такой меры. Создатели веб-сайта по борьбе с предоставлением сексуальных услуг ставили своей целью изучение глубинных мотивов, лежащих в основе спроса на платные сексуальные услуги, главными потребителями которых, как показали исследования, являются успешные молодые бизнесмены, считающие эту практику элементом корпоративной культуры. </w:t>
      </w:r>
      <w:r>
        <w:rPr>
          <w:szCs w:val="28"/>
        </w:rPr>
        <w:br/>
        <w:t xml:space="preserve">В ближайшем будущем на рассмотрение парламента будет представлено широко обсуждавшееся в обществе предложение об изменении Уголовного кодекса, согласно которому покупка сексуальных услуг будет квалифицироваться как преступление; предполагается, что такая поправка вступит в силу к концу этого года. </w:t>
      </w:r>
    </w:p>
    <w:p w:rsidR="00F93228" w:rsidRDefault="00F93228">
      <w:pPr>
        <w:pStyle w:val="std"/>
        <w:tabs>
          <w:tab w:val="left" w:pos="482"/>
        </w:tabs>
        <w:spacing w:after="150"/>
        <w:rPr>
          <w:szCs w:val="28"/>
        </w:rPr>
      </w:pPr>
      <w:r>
        <w:rPr>
          <w:szCs w:val="28"/>
        </w:rPr>
        <w:t>43.</w:t>
      </w:r>
      <w:r>
        <w:rPr>
          <w:szCs w:val="28"/>
        </w:rPr>
        <w:tab/>
      </w:r>
      <w:r>
        <w:rPr>
          <w:b/>
          <w:szCs w:val="28"/>
        </w:rPr>
        <w:t xml:space="preserve">Г-жа Сайга </w:t>
      </w:r>
      <w:r>
        <w:rPr>
          <w:szCs w:val="28"/>
        </w:rPr>
        <w:t>интересуется, учитывало ли государство-участник опыт Швеции при обсуждении предложения о привлечении к уголовной ответственности лиц, покупающих сексуальные услуги. Что касается мер по борьбе с насилием, то неясно, содержатся ли в Уголовном кодексе соответствующие положения, особенно в отношении исправительных мер и наказаний преступников. Существуют ли какие-либо планы по принятию отдельного закона по данному вопросу? Хотелось бы также знать, что делает правительство для оказания помощи беспризорным детям в приемных центрах и особенно в плане защиты детей от торговцев людьми.</w:t>
      </w:r>
    </w:p>
    <w:p w:rsidR="00F93228" w:rsidRDefault="00F93228">
      <w:pPr>
        <w:pStyle w:val="std"/>
        <w:tabs>
          <w:tab w:val="left" w:pos="482"/>
        </w:tabs>
        <w:spacing w:after="150"/>
        <w:rPr>
          <w:szCs w:val="28"/>
        </w:rPr>
      </w:pPr>
      <w:r>
        <w:rPr>
          <w:szCs w:val="28"/>
        </w:rPr>
        <w:t>44.</w:t>
      </w:r>
      <w:r>
        <w:rPr>
          <w:szCs w:val="28"/>
        </w:rPr>
        <w:tab/>
      </w:r>
      <w:r>
        <w:rPr>
          <w:b/>
          <w:szCs w:val="28"/>
        </w:rPr>
        <w:t>Г-жа Шимонович</w:t>
      </w:r>
      <w:r>
        <w:rPr>
          <w:bCs/>
          <w:szCs w:val="28"/>
        </w:rPr>
        <w:t xml:space="preserve">, </w:t>
      </w:r>
      <w:r>
        <w:rPr>
          <w:szCs w:val="28"/>
        </w:rPr>
        <w:t>соглашаясь с тем, что ответственность за периодический доклад лежит на государстве-участнике, говорит, что Комитет на протяжении многих лет поощряет представление "теневых" докладов, а также проведение неформальных дискуссий с НПО. С этой целью Фонд Организации Объединенных Наций для развития в интересах женщин (ЮНИФЕМ) оказывает содействие НПО развивающихся стран и выражает надежду, что развитые страны будут поступать аналогичным образом в отношении своих НПО. Оратор призывает Норвегию рассмотреть такую возможность.</w:t>
      </w:r>
    </w:p>
    <w:p w:rsidR="00F93228" w:rsidRDefault="00F93228">
      <w:pPr>
        <w:pStyle w:val="std"/>
        <w:tabs>
          <w:tab w:val="left" w:pos="482"/>
        </w:tabs>
        <w:spacing w:after="150"/>
        <w:rPr>
          <w:szCs w:val="28"/>
        </w:rPr>
      </w:pPr>
      <w:r>
        <w:rPr>
          <w:szCs w:val="28"/>
        </w:rPr>
        <w:t>45.</w:t>
      </w:r>
      <w:r>
        <w:rPr>
          <w:szCs w:val="28"/>
        </w:rPr>
        <w:tab/>
      </w:r>
      <w:r>
        <w:rPr>
          <w:b/>
          <w:szCs w:val="28"/>
        </w:rPr>
        <w:t xml:space="preserve">Г-н Флинтерман </w:t>
      </w:r>
      <w:r>
        <w:rPr>
          <w:szCs w:val="28"/>
        </w:rPr>
        <w:t>подчеркивает, что спустя 25 лет после ратификации Норвегией Конвенции правительство все еще не включило Закон о равенстве полов в Закон о правах человека, хотя и не отказалось от своего обязательства сделать это. Однако времени до истечения срока полномочий правительства остается не так много – всего два года. Некоторые утверждают, что все требования Закона о равенстве полов в любом случае имеют обязательную силу и его включение в Закон о правах человека не имеет существенного значения. В таком случае главный вопрос заключается в том, будет ли Закон о равенстве полов, в случае коллизии его с законодательными положениями, иметь преимущественную силу.</w:t>
      </w:r>
    </w:p>
    <w:p w:rsidR="00F93228" w:rsidRDefault="00F93228">
      <w:pPr>
        <w:pStyle w:val="std"/>
        <w:tabs>
          <w:tab w:val="left" w:pos="482"/>
        </w:tabs>
        <w:rPr>
          <w:szCs w:val="28"/>
        </w:rPr>
      </w:pPr>
      <w:r>
        <w:rPr>
          <w:szCs w:val="28"/>
        </w:rPr>
        <w:t>46.</w:t>
      </w:r>
      <w:r>
        <w:rPr>
          <w:szCs w:val="28"/>
        </w:rPr>
        <w:tab/>
        <w:t>В сфере сотрудничества и во внешней политике Норвегия придает особое значение усилиям по улучшению положения женщин, в частности мерам, принятым в соответствии с резолюцией 1325 (2000) Совета Безопасности и в рамках программ Всемирного банка. Было бы интересно знать, считает ли государство-участник, что оно таким образом выполняет свое обязательство, предусмотренное статьей 3 Конвенции? Полагает ли оно, что это обязательство выходит за рамки национальных границ и распространяется на международную арену?</w:t>
      </w:r>
    </w:p>
    <w:p w:rsidR="00F93228" w:rsidRDefault="00F93228">
      <w:pPr>
        <w:pStyle w:val="std"/>
        <w:tabs>
          <w:tab w:val="left" w:pos="482"/>
        </w:tabs>
        <w:rPr>
          <w:szCs w:val="28"/>
        </w:rPr>
      </w:pPr>
      <w:r>
        <w:rPr>
          <w:szCs w:val="28"/>
        </w:rPr>
        <w:t>47.</w:t>
      </w:r>
      <w:r>
        <w:rPr>
          <w:szCs w:val="28"/>
        </w:rPr>
        <w:tab/>
      </w:r>
      <w:r>
        <w:rPr>
          <w:b/>
          <w:szCs w:val="28"/>
        </w:rPr>
        <w:t>Председатель</w:t>
      </w:r>
      <w:r>
        <w:rPr>
          <w:szCs w:val="28"/>
        </w:rPr>
        <w:t>, выступая в качестве члена Комитета, говорит, что вопрос о сотрудничестве в целях развития имеет важное значение, поскольку Норвегия является своего рода образцом для остальных стран мира. Она спрашивает, не получится ли так, что тематический подход, изложенный в периодическом докладе (</w:t>
      </w:r>
      <w:r>
        <w:rPr>
          <w:szCs w:val="28"/>
          <w:lang w:val="en-US"/>
        </w:rPr>
        <w:t>CEDAW</w:t>
      </w:r>
      <w:r>
        <w:rPr>
          <w:szCs w:val="28"/>
        </w:rPr>
        <w:t>/</w:t>
      </w:r>
      <w:r>
        <w:rPr>
          <w:szCs w:val="28"/>
          <w:lang w:val="en-US"/>
        </w:rPr>
        <w:t>C</w:t>
      </w:r>
      <w:r>
        <w:rPr>
          <w:szCs w:val="28"/>
        </w:rPr>
        <w:t>/</w:t>
      </w:r>
      <w:r>
        <w:rPr>
          <w:szCs w:val="28"/>
          <w:lang w:val="en-US"/>
        </w:rPr>
        <w:t>NOR</w:t>
      </w:r>
      <w:r>
        <w:rPr>
          <w:szCs w:val="28"/>
        </w:rPr>
        <w:t>/7, с. 21), при всей его полезности, ограничит оказание прямой помощи другим странам, осуществляющим Конвенцию, мерами по включению Конвенции во внутреннее законодательство этих стран. В свою очередь, оратор подчеркивает важное значение того вклада, который при поддержке ЮНИФЕМ и Фонда Организации Объединенных Наций в области народонаселения (ЮНФПА) вносят в деятельность Комитета НПО, и настоятельно просит государство-участника обеспечить необходимую поддержку, позволяющую НПО участвовать в заседаниях Комитета.</w:t>
      </w:r>
    </w:p>
    <w:p w:rsidR="00F93228" w:rsidRDefault="00F93228">
      <w:pPr>
        <w:pStyle w:val="std"/>
        <w:tabs>
          <w:tab w:val="left" w:pos="482"/>
        </w:tabs>
        <w:rPr>
          <w:szCs w:val="28"/>
        </w:rPr>
      </w:pPr>
      <w:r>
        <w:rPr>
          <w:szCs w:val="28"/>
        </w:rPr>
        <w:t>48.</w:t>
      </w:r>
      <w:r>
        <w:rPr>
          <w:szCs w:val="28"/>
        </w:rPr>
        <w:tab/>
      </w:r>
      <w:r>
        <w:rPr>
          <w:b/>
          <w:szCs w:val="28"/>
        </w:rPr>
        <w:t xml:space="preserve">Г-жа Холе </w:t>
      </w:r>
      <w:r>
        <w:rPr>
          <w:szCs w:val="28"/>
        </w:rPr>
        <w:t>(Норвегия) говорит, что Норвегия учитывала опыт Швеции, запретившей предоставление платных сексуальных услуг, однако полная оценка этих мер пока не проводилась. Как представляется, первоначальным результатом такого запрета стало подпольное осуществление этой практики. Прежде всего необходима просветительская работа с женщинами, вовлеченными в такую деятельность: с этой целью в Норвегии проводятся пропагандистские кампании, масштаб которых постоянно расширяется. Принятие отдельного закона в отношении бытового насилия не предусматривается; вместо этого планируется ужесточить положения Уголовного кодекса. В рамках Закона о социальной защите детей в центрах по приему детей им оказывается конкретная помощь при содействии и активном участии НПО "Спасите детей". Правительство глубоко обеспокоено тем, что дети, находящиеся в таких центрах, могут стать жертвами торговли людьми, и в 2006 году ввело специальное обучение для всего персонала этих центров.</w:t>
      </w:r>
    </w:p>
    <w:p w:rsidR="00F93228" w:rsidRDefault="00F93228">
      <w:pPr>
        <w:pStyle w:val="std"/>
        <w:tabs>
          <w:tab w:val="left" w:pos="482"/>
        </w:tabs>
        <w:rPr>
          <w:szCs w:val="28"/>
        </w:rPr>
      </w:pPr>
      <w:r>
        <w:rPr>
          <w:szCs w:val="28"/>
        </w:rPr>
        <w:t>49.</w:t>
      </w:r>
      <w:r>
        <w:rPr>
          <w:szCs w:val="28"/>
        </w:rPr>
        <w:tab/>
        <w:t xml:space="preserve">Оценка результатов осуществления Закона о равенстве полов пока не проводилась, однако Министерство юстиции ведет подготовительную работу по организации исследования по данному вопросу, которое намечено на 2008 год. Что касается включения этого Закона в Закон о правах человека, то оратор отмечает, что все национальное законодательство должно соответствовать международным договорам, участником которых является Норвегия, и интерпретироваться соответственно. Она передаст правительству Норвегии предложение относительно оказания помощи НПО, деятельность которых действительно заслуживает самой высокой оценки. Норвегия является важным донором Всемирного банка, ЮНФПА и ЮНИФЕМ и намерена в дальнейшем продолжать эту деятельность. Она проводит регулярные встречи с представителями этих институтов и выделяет средства для поддержки правовых мер, направленных на осуществление Конвенции в развивающихся странах, в частности недавно такую помощь получили Афганистан и Зимбабве. </w:t>
      </w:r>
    </w:p>
    <w:p w:rsidR="00F93228" w:rsidRDefault="00F93228">
      <w:pPr>
        <w:pStyle w:val="std"/>
        <w:tabs>
          <w:tab w:val="left" w:pos="482"/>
        </w:tabs>
        <w:rPr>
          <w:szCs w:val="28"/>
        </w:rPr>
      </w:pPr>
    </w:p>
    <w:p w:rsidR="00F93228" w:rsidRDefault="00F93228">
      <w:pPr>
        <w:pStyle w:val="std"/>
        <w:tabs>
          <w:tab w:val="left" w:pos="482"/>
        </w:tabs>
        <w:spacing w:after="180"/>
        <w:rPr>
          <w:i/>
          <w:szCs w:val="28"/>
        </w:rPr>
      </w:pPr>
      <w:r>
        <w:rPr>
          <w:i/>
          <w:szCs w:val="28"/>
        </w:rPr>
        <w:t>Статьи 7–9</w:t>
      </w:r>
    </w:p>
    <w:p w:rsidR="00F93228" w:rsidRDefault="00F93228">
      <w:pPr>
        <w:pStyle w:val="std"/>
        <w:tabs>
          <w:tab w:val="left" w:pos="482"/>
        </w:tabs>
        <w:spacing w:after="180"/>
        <w:rPr>
          <w:szCs w:val="28"/>
        </w:rPr>
      </w:pPr>
      <w:r>
        <w:rPr>
          <w:szCs w:val="28"/>
        </w:rPr>
        <w:t>50.</w:t>
      </w:r>
      <w:r>
        <w:rPr>
          <w:szCs w:val="28"/>
        </w:rPr>
        <w:tab/>
      </w:r>
      <w:r>
        <w:rPr>
          <w:b/>
          <w:szCs w:val="28"/>
        </w:rPr>
        <w:t>Г-жа Тавариш да Силва</w:t>
      </w:r>
      <w:r>
        <w:rPr>
          <w:szCs w:val="28"/>
        </w:rPr>
        <w:t xml:space="preserve"> признает, что уровень участия женщин в политической жизни как в Норвегии, так и в других странах Северной Европы весьма высок, однако отмечает, что не на всех уровнях оно одинаково. Ее интересуют причины очевидного отсутствия прогресса за последние 15 лет, а также какие-либо планы по принятию дальнейших мер по исправлению ситуации. Учитывая отсутствие обязательных квот в политических партиях, следует рассмотреть возможность их введения. Внесения Законодательных поправок, как выясняется, недостаточно для изменения устоявшихся гендерных структур, и эти меры необходимо принимать в комплексе с целым рядом условий и инструментов. Учитывая успех, достигнутый парламентом саами в этой области, было бы полезно перенять этот опыт на национальном уровне. По сведениям одной из НПО, внесение поправок в закон о выборах привело к тому, что женщинам стало сложнее избираться на государственные посты. Проводился ли анализ последствий этих изменений?</w:t>
      </w:r>
    </w:p>
    <w:p w:rsidR="00F93228" w:rsidRDefault="00F93228">
      <w:pPr>
        <w:pStyle w:val="std"/>
        <w:tabs>
          <w:tab w:val="left" w:pos="482"/>
        </w:tabs>
        <w:rPr>
          <w:szCs w:val="28"/>
        </w:rPr>
      </w:pPr>
      <w:r>
        <w:rPr>
          <w:szCs w:val="28"/>
        </w:rPr>
        <w:t>51.</w:t>
      </w:r>
      <w:r>
        <w:rPr>
          <w:szCs w:val="28"/>
        </w:rPr>
        <w:tab/>
      </w:r>
      <w:r>
        <w:rPr>
          <w:b/>
          <w:szCs w:val="28"/>
        </w:rPr>
        <w:t>Г-жа Бельмихуб-Зердани</w:t>
      </w:r>
      <w:r>
        <w:rPr>
          <w:szCs w:val="28"/>
        </w:rPr>
        <w:t xml:space="preserve"> спрашивает, почему за отчетный период, несмотря на увеличение числа женщин, участвующих в местных выборах, ожидаемых показателей достичь не удалось. Необходимо выделить дополнительные ресурсы для профессиональной подготовки женщин в целях их участия в политической жизни на местном уровне. С другой стороны, высокий процент женщин в парламенте должен служить примером для других стран; следует также отметить, что число мужчин и женщин на государственных постах одинаково. Кроме того, заслуживает внимания тот факт, что благодаря предвыборной кампании 2005 года доля женщин в парламенте саами по результатам выборов 2005 года увеличилась с 18 до 51 процента.</w:t>
      </w:r>
    </w:p>
    <w:p w:rsidR="00F93228" w:rsidRDefault="00F93228">
      <w:pPr>
        <w:pStyle w:val="std"/>
        <w:tabs>
          <w:tab w:val="left" w:pos="482"/>
        </w:tabs>
        <w:rPr>
          <w:szCs w:val="28"/>
        </w:rPr>
      </w:pPr>
      <w:r>
        <w:rPr>
          <w:szCs w:val="28"/>
        </w:rPr>
        <w:t>52.</w:t>
      </w:r>
      <w:r>
        <w:rPr>
          <w:szCs w:val="28"/>
        </w:rPr>
        <w:tab/>
        <w:t>Норвежские женщины занимают ответственные посты в сфере международного сотрудничества и вносят значительный вклад в усилия по поддержке женщин в развивающихся странах. Правительство представило в Организацию Объединенных Наций три доклада о последующих мерах по осуществлению Пекинской платформы действий. Кроме того, важное значение имеет ежегодная конференция по контролю за осуществлением Пекинской платформы действий, организуемая правительством совместно с Форумом в интересах женщин и развития, который отвечает за координацию работы норвежских НПО, оказывающих помощь в целях развития женщинам из развивающихся стран.</w:t>
      </w:r>
    </w:p>
    <w:p w:rsidR="00F93228" w:rsidRDefault="00F93228">
      <w:pPr>
        <w:pStyle w:val="std"/>
        <w:tabs>
          <w:tab w:val="left" w:pos="482"/>
        </w:tabs>
        <w:rPr>
          <w:szCs w:val="28"/>
        </w:rPr>
      </w:pPr>
      <w:r>
        <w:rPr>
          <w:szCs w:val="28"/>
        </w:rPr>
        <w:t>53.</w:t>
      </w:r>
      <w:r>
        <w:rPr>
          <w:szCs w:val="28"/>
        </w:rPr>
        <w:tab/>
      </w:r>
      <w:r>
        <w:rPr>
          <w:b/>
          <w:szCs w:val="28"/>
        </w:rPr>
        <w:t xml:space="preserve">Г-жа Холе </w:t>
      </w:r>
      <w:r>
        <w:rPr>
          <w:szCs w:val="28"/>
        </w:rPr>
        <w:t xml:space="preserve">(Норвегия) говорит, что среди кандидатов, избранных в муниципалитеты, женщины составляют 36 процентов, что соответствует доле женщин в парламенте. Министерство по делам местного самоуправления и регионального развития провело исследование с целью выяснения причин того, почему число женщин, участвующих в местных выборах, увеличилось незначительно. Исследование показало, что молодежь в целом весьма неохотно включается в политическую жизнь, ссылаясь на загруженность по работе, частые собрания, а также на то, что местная политика мало влияет на их жизнь. </w:t>
      </w:r>
      <w:r>
        <w:rPr>
          <w:szCs w:val="28"/>
        </w:rPr>
        <w:br/>
        <w:t>В настоящее время обсуждается вопрос об изменении графика проведения собраний и предоставление бесплатных услуг по уходу за детьми, с тем чтобы дать возможность молодым людям принимать участие в местной политической жизни.</w:t>
      </w:r>
    </w:p>
    <w:p w:rsidR="00F93228" w:rsidRDefault="00F93228">
      <w:pPr>
        <w:pStyle w:val="std"/>
        <w:tabs>
          <w:tab w:val="left" w:pos="482"/>
        </w:tabs>
        <w:spacing w:after="250"/>
        <w:rPr>
          <w:szCs w:val="28"/>
        </w:rPr>
      </w:pPr>
      <w:r>
        <w:rPr>
          <w:szCs w:val="28"/>
        </w:rPr>
        <w:t>54.</w:t>
      </w:r>
      <w:r>
        <w:rPr>
          <w:szCs w:val="28"/>
        </w:rPr>
        <w:tab/>
        <w:t xml:space="preserve">Был предпринят ряд инициатив, призванных обеспечить включение женщин в партийные списки, однако такие назначения не регулируются партийными законами. Тем не менее Министерство по делам местного самоуправления и регионального развития профинансировало кампанию, проведенную Канцелярией омбудсмена в целях увеличения числа женщин в списках на местных выборах; в итоге численность женщин среди кандидатов, выдвинутых на муниципальные и районные выборы, намеченные на 14 сентября 2007 года, составила 42 процента. Кроме того, Министерство по делам местного самоуправления и регионального развития объявило о своей готовности рассмотреть вопрос об изменении процедуры составления партийных списков и после проведения выборов в 2007 году рассмотрит возможность введения законов о равенстве. Министерство оказывает поддержку кампаниям по привлечению женщин к участию в выборах на протяжении почти 20 лет. По сути дела, парламент саами взял на вооружение модель, разработанную в ходе этих национальных кампаний. </w:t>
      </w:r>
      <w:r>
        <w:rPr>
          <w:szCs w:val="28"/>
        </w:rPr>
        <w:br/>
        <w:t>В настоящее время по всей стране проводятся дискуссии с участием правительства, неправительственных организаций, школ и средств массовой информации по вопросам активного вовлечения в политическую жизнь на местах всех граждан независимо от возраста, этнической и половой принадлежности. Правительство оказало значительную финансовую поддержку мероприятиям, направленным на повышение представленности женщин в парламенте и на местном уровне.</w:t>
      </w:r>
    </w:p>
    <w:p w:rsidR="00F93228" w:rsidRDefault="00F93228">
      <w:pPr>
        <w:pStyle w:val="std"/>
        <w:tabs>
          <w:tab w:val="left" w:pos="482"/>
        </w:tabs>
        <w:spacing w:after="250"/>
        <w:rPr>
          <w:szCs w:val="28"/>
        </w:rPr>
      </w:pPr>
      <w:r>
        <w:rPr>
          <w:szCs w:val="28"/>
        </w:rPr>
        <w:t>55.</w:t>
      </w:r>
      <w:r>
        <w:rPr>
          <w:szCs w:val="28"/>
        </w:rPr>
        <w:tab/>
      </w:r>
      <w:r>
        <w:rPr>
          <w:b/>
          <w:szCs w:val="28"/>
        </w:rPr>
        <w:t xml:space="preserve">Г-жа Бельмихуб-Зердани </w:t>
      </w:r>
      <w:r>
        <w:rPr>
          <w:szCs w:val="28"/>
        </w:rPr>
        <w:t>просит представить дополнительную информацию о правах на участие в выборах для иностранцев и иммигрантов. Кроме того, оратор хотела бы знать, участвовали ли когда-либо иммигранты в качестве кандидатов на выборах.</w:t>
      </w:r>
    </w:p>
    <w:p w:rsidR="00F93228" w:rsidRDefault="00F93228">
      <w:pPr>
        <w:pStyle w:val="std"/>
        <w:tabs>
          <w:tab w:val="left" w:pos="482"/>
        </w:tabs>
        <w:spacing w:after="250"/>
        <w:rPr>
          <w:szCs w:val="28"/>
        </w:rPr>
      </w:pPr>
      <w:r>
        <w:rPr>
          <w:szCs w:val="28"/>
        </w:rPr>
        <w:t>56.</w:t>
      </w:r>
      <w:r>
        <w:rPr>
          <w:szCs w:val="28"/>
        </w:rPr>
        <w:tab/>
      </w:r>
      <w:r>
        <w:rPr>
          <w:b/>
          <w:szCs w:val="28"/>
        </w:rPr>
        <w:t xml:space="preserve">Г-жа Холе </w:t>
      </w:r>
      <w:r>
        <w:rPr>
          <w:szCs w:val="28"/>
        </w:rPr>
        <w:t>(Норвегия) говорит, что иммигранты, прожившие в Норвегии на законных основаниях в течение трех лет, имеют право голосовать на местных выборах. Для участия во всеобщих выборах необходимо иметь норвежское гражданство, которое обычно предоставляется через семь лет. По всей видимости, число иммигрантов из других стран, помимо западных, участвующих в местных и муниципальных выборах, увеличилось, однако делегация страны оратора не имеет данных, подтверждающих это.</w:t>
      </w:r>
    </w:p>
    <w:p w:rsidR="00F93228" w:rsidRDefault="00F93228">
      <w:pPr>
        <w:pStyle w:val="std"/>
        <w:tabs>
          <w:tab w:val="left" w:pos="482"/>
        </w:tabs>
        <w:spacing w:after="250"/>
        <w:rPr>
          <w:szCs w:val="28"/>
        </w:rPr>
      </w:pPr>
      <w:r>
        <w:rPr>
          <w:szCs w:val="28"/>
        </w:rPr>
        <w:t>57.</w:t>
      </w:r>
      <w:r>
        <w:rPr>
          <w:szCs w:val="28"/>
        </w:rPr>
        <w:tab/>
      </w:r>
      <w:r>
        <w:rPr>
          <w:b/>
          <w:szCs w:val="28"/>
        </w:rPr>
        <w:t>Г-жа Ларсен-Асп</w:t>
      </w:r>
      <w:r>
        <w:rPr>
          <w:szCs w:val="28"/>
        </w:rPr>
        <w:t xml:space="preserve"> (Норвегия) говорит, что до местных выборов 2003 года 77 процентов кандидатов на первых местах в выборных списках составляли мужчины, а в 2007 году этот показатель составлял 70 процентов. Последние данные говорят о незначительном, но недостаточном улучшении. Крайне низко число кандидатов не норвежского происхождения.</w:t>
      </w:r>
    </w:p>
    <w:p w:rsidR="00F93228" w:rsidRDefault="00F93228">
      <w:pPr>
        <w:pStyle w:val="std"/>
        <w:tabs>
          <w:tab w:val="left" w:pos="482"/>
        </w:tabs>
        <w:spacing w:after="250"/>
        <w:rPr>
          <w:szCs w:val="28"/>
        </w:rPr>
      </w:pPr>
      <w:r>
        <w:rPr>
          <w:szCs w:val="28"/>
        </w:rPr>
        <w:t>58.</w:t>
      </w:r>
      <w:r>
        <w:rPr>
          <w:szCs w:val="28"/>
        </w:rPr>
        <w:tab/>
      </w:r>
      <w:r>
        <w:rPr>
          <w:b/>
          <w:szCs w:val="28"/>
        </w:rPr>
        <w:t>Г-жа Бельмихуб-Зердани</w:t>
      </w:r>
      <w:r>
        <w:rPr>
          <w:bCs/>
          <w:szCs w:val="28"/>
        </w:rPr>
        <w:t xml:space="preserve">, </w:t>
      </w:r>
      <w:r>
        <w:rPr>
          <w:szCs w:val="28"/>
        </w:rPr>
        <w:t>касаясь роли женщин в политической и общественной жизни и отмечая отсутствие какой-либо информации о роли женщин в судебной системе, просит делегацию представить как можно больше информации по данному вопросу.</w:t>
      </w:r>
    </w:p>
    <w:p w:rsidR="00F93228" w:rsidRDefault="00F93228">
      <w:pPr>
        <w:pStyle w:val="std"/>
        <w:tabs>
          <w:tab w:val="left" w:pos="482"/>
        </w:tabs>
        <w:spacing w:after="250"/>
        <w:rPr>
          <w:szCs w:val="28"/>
        </w:rPr>
      </w:pPr>
      <w:r>
        <w:rPr>
          <w:szCs w:val="28"/>
        </w:rPr>
        <w:t>59.</w:t>
      </w:r>
      <w:r>
        <w:rPr>
          <w:szCs w:val="28"/>
        </w:rPr>
        <w:tab/>
      </w:r>
      <w:r>
        <w:rPr>
          <w:b/>
          <w:szCs w:val="28"/>
        </w:rPr>
        <w:t xml:space="preserve">Г-жа Холе </w:t>
      </w:r>
      <w:r>
        <w:rPr>
          <w:szCs w:val="28"/>
        </w:rPr>
        <w:t>(Норвегия) говорит, что 30 процентов от общего числа судей в Норвегии составляют женщины. Правительство не удовлетворено таким соотношением и будет стремиться увеличить долю женщин.</w:t>
      </w:r>
    </w:p>
    <w:p w:rsidR="00F93228" w:rsidRDefault="00F93228">
      <w:pPr>
        <w:pStyle w:val="std"/>
        <w:tabs>
          <w:tab w:val="left" w:pos="482"/>
        </w:tabs>
        <w:rPr>
          <w:i/>
          <w:szCs w:val="28"/>
        </w:rPr>
      </w:pPr>
      <w:r>
        <w:rPr>
          <w:i/>
          <w:szCs w:val="28"/>
        </w:rPr>
        <w:t>Статьи 10–14</w:t>
      </w:r>
    </w:p>
    <w:p w:rsidR="00F93228" w:rsidRDefault="00F93228">
      <w:pPr>
        <w:pStyle w:val="std"/>
        <w:tabs>
          <w:tab w:val="left" w:pos="482"/>
        </w:tabs>
        <w:rPr>
          <w:szCs w:val="28"/>
        </w:rPr>
      </w:pPr>
      <w:r>
        <w:rPr>
          <w:szCs w:val="28"/>
        </w:rPr>
        <w:t>60.</w:t>
      </w:r>
      <w:r>
        <w:rPr>
          <w:szCs w:val="28"/>
        </w:rPr>
        <w:tab/>
      </w:r>
      <w:r>
        <w:rPr>
          <w:b/>
          <w:szCs w:val="28"/>
        </w:rPr>
        <w:t>Г-жа Гальперин-Каддари</w:t>
      </w:r>
      <w:r>
        <w:rPr>
          <w:szCs w:val="28"/>
        </w:rPr>
        <w:t xml:space="preserve"> выражает разочарование тем, что в 2004 году доля женщин среди профессорско-преподавательского состава не превышала 16 процентов. Учитывая тот факт, что суды Европейской ассоциации свободной торговли считают практику резервирования определенного числа руководящих академических должностей для женщин нарушением правил Европейской экономической зоны, оратор хотела бы знать, какие шаги намерено предпринять правительство в целях увеличения числа женщин на высших академических должностях. Например, можно было бы привлечь больше женщин к разработке "Белой книги" по проблемам мужчин, роли мужчин и вопросам гендерного равенства, которая должна быть представлена в парламент весной 2008 года. Было бы полезно получить более обширную информацию о роли научных кругов в составлении этого документа, а также узнать, уделялось ли внимание в каких-либо исследованиях тому важному значению, которое имеет равное распределение родительских обязанностей для изменения представлений о роли мужчин и женщин. Оратор спрашивает, проводились ли конкретные гендерные исследования по вопросу о предпочтениях и устремлениях учащихся старших классов средних школ.</w:t>
      </w:r>
    </w:p>
    <w:p w:rsidR="00F93228" w:rsidRDefault="00F93228">
      <w:pPr>
        <w:pStyle w:val="std"/>
        <w:tabs>
          <w:tab w:val="left" w:pos="482"/>
        </w:tabs>
        <w:rPr>
          <w:szCs w:val="28"/>
        </w:rPr>
      </w:pPr>
      <w:r>
        <w:rPr>
          <w:szCs w:val="28"/>
        </w:rPr>
        <w:t>61.</w:t>
      </w:r>
      <w:r>
        <w:rPr>
          <w:szCs w:val="28"/>
        </w:rPr>
        <w:tab/>
      </w:r>
      <w:r>
        <w:rPr>
          <w:b/>
          <w:szCs w:val="28"/>
        </w:rPr>
        <w:t xml:space="preserve">Г-жа Цзоу </w:t>
      </w:r>
      <w:r>
        <w:rPr>
          <w:bCs/>
          <w:szCs w:val="28"/>
        </w:rPr>
        <w:t>Сяоцяо</w:t>
      </w:r>
      <w:r>
        <w:rPr>
          <w:b/>
          <w:szCs w:val="28"/>
        </w:rPr>
        <w:t xml:space="preserve"> </w:t>
      </w:r>
      <w:r>
        <w:rPr>
          <w:bCs/>
          <w:szCs w:val="28"/>
        </w:rPr>
        <w:t>желает знать</w:t>
      </w:r>
      <w:r>
        <w:rPr>
          <w:szCs w:val="28"/>
        </w:rPr>
        <w:t>, был ли достигнут прогресс в сокращении разрыва в заработной плате мужчин и женщин и проводились ли исследования по выявлению причин этого разрыва. Она спрашивает, какие меры приняло правительство с тем, чтобы ознакомить работодателей с Законом о равенстве полов и выяснить, соблюдаются ли его положения. Какие санкции предусмотрены для лиц, нарушающих этот Закон, и какие возможности подачи жалобы существуют для женщин?</w:t>
      </w:r>
    </w:p>
    <w:p w:rsidR="00F93228" w:rsidRDefault="00F93228">
      <w:pPr>
        <w:pStyle w:val="std"/>
        <w:tabs>
          <w:tab w:val="left" w:pos="482"/>
        </w:tabs>
        <w:rPr>
          <w:szCs w:val="28"/>
        </w:rPr>
      </w:pPr>
      <w:r>
        <w:rPr>
          <w:szCs w:val="28"/>
        </w:rPr>
        <w:t>62.</w:t>
      </w:r>
      <w:r>
        <w:rPr>
          <w:szCs w:val="28"/>
        </w:rPr>
        <w:tab/>
        <w:t>Оратор была бы рада получить информацию о мерах, принимаемых с целью увеличения числа женщин, работающих полный рабочий день, а также мерах, предпринимаемых для поддержки женщин, не желающих работать неполный рабочий день. Каково число женщин-иммигрантов, занятых неполный рабочий день? Следует также представить дополнительные сведения относительно законодательства, санкций и процедур подачи жалоб, установленных правительством для решения проблемы сексуальных домогательств, наряду с информацией о конкретных случаях сексуальных домогательств, имевших место с 2004 года.</w:t>
      </w:r>
    </w:p>
    <w:p w:rsidR="00F93228" w:rsidRDefault="00F93228">
      <w:pPr>
        <w:pStyle w:val="std"/>
        <w:tabs>
          <w:tab w:val="left" w:pos="482"/>
        </w:tabs>
        <w:rPr>
          <w:szCs w:val="28"/>
        </w:rPr>
      </w:pPr>
      <w:r>
        <w:rPr>
          <w:szCs w:val="28"/>
        </w:rPr>
        <w:t>63.</w:t>
      </w:r>
      <w:r>
        <w:rPr>
          <w:szCs w:val="28"/>
        </w:rPr>
        <w:tab/>
      </w:r>
      <w:r>
        <w:rPr>
          <w:b/>
          <w:szCs w:val="28"/>
        </w:rPr>
        <w:t xml:space="preserve">Г-жа Ароча Домингес </w:t>
      </w:r>
      <w:r>
        <w:rPr>
          <w:szCs w:val="28"/>
        </w:rPr>
        <w:t>интересуется, рассматривалась ли когда-либо возможность организации факультативных курсов для обучения женщин необходимым навыкам, что могло бы сократить масштабы профессиональной сегрегации. Представляющее доклад государство должно также уточнить, предпринимаются ли конкретные меры для расширения числа рабочих мест с полной занятостью в секторах образования и здравоохранения, и представить больше данных, касающихся женщин, в разбивке по различным видам деятельности, а также по женщинам, занимающим руководящие посты.</w:t>
      </w:r>
    </w:p>
    <w:p w:rsidR="00F93228" w:rsidRDefault="00F93228">
      <w:pPr>
        <w:pStyle w:val="DualTxt"/>
        <w:tabs>
          <w:tab w:val="clear" w:pos="480"/>
          <w:tab w:val="clear" w:pos="960"/>
          <w:tab w:val="clear" w:pos="1440"/>
          <w:tab w:val="clear" w:pos="1915"/>
          <w:tab w:val="clear" w:pos="2405"/>
          <w:tab w:val="clear" w:pos="2880"/>
          <w:tab w:val="clear" w:pos="3355"/>
          <w:tab w:val="left" w:pos="482"/>
        </w:tabs>
        <w:rPr>
          <w:spacing w:val="0"/>
          <w:w w:val="100"/>
          <w:kern w:val="0"/>
          <w:lang w:val="ru-RU"/>
        </w:rPr>
      </w:pPr>
      <w:r>
        <w:rPr>
          <w:spacing w:val="0"/>
          <w:w w:val="100"/>
          <w:szCs w:val="28"/>
          <w:lang w:val="ru-RU"/>
        </w:rPr>
        <w:t>64.</w:t>
      </w:r>
      <w:r>
        <w:rPr>
          <w:spacing w:val="0"/>
          <w:w w:val="100"/>
          <w:szCs w:val="28"/>
          <w:lang w:val="ru-RU"/>
        </w:rPr>
        <w:tab/>
        <w:t>Что касается работы с неполным рабочим днем, не пользующейся популярностью, то оратор хотела бы знать, готовы ли местные органы власти оказать политическую поддержку мерам центрального правительства по обеспечению полной занятости для женщин. Какой процент женщин пользуется льготами, предоставляемыми матерям с детьми младше трех лет, не посещающими дневные детские учреждения, и как это влияет на их перспективы занятости, в частности в тех случаях, если мать имеет более одного ребенка?</w:t>
      </w:r>
    </w:p>
    <w:p w:rsidR="00F93228" w:rsidRDefault="00F93228">
      <w:pPr>
        <w:pStyle w:val="DualTxt"/>
        <w:rPr>
          <w:spacing w:val="0"/>
          <w:w w:val="100"/>
          <w:kern w:val="0"/>
          <w:lang w:val="ru-RU"/>
        </w:rPr>
      </w:pPr>
    </w:p>
    <w:p w:rsidR="00F93228" w:rsidRDefault="00F93228">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120"/>
        <w:ind w:left="475" w:right="0" w:hanging="475"/>
        <w:rPr>
          <w:iCs/>
          <w:spacing w:val="0"/>
          <w:w w:val="100"/>
          <w:kern w:val="0"/>
          <w:lang w:val="ru-RU"/>
        </w:rPr>
      </w:pPr>
      <w:r>
        <w:rPr>
          <w:iCs/>
          <w:spacing w:val="0"/>
          <w:w w:val="100"/>
          <w:kern w:val="0"/>
          <w:lang w:val="ru-RU"/>
        </w:rPr>
        <w:t>Заседание закрывается в 13 ч. 00 м.</w:t>
      </w:r>
    </w:p>
    <w:sectPr w:rsidR="00F93228">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1-06T16:19:00Z" w:initials="Start">
    <w:p w:rsidR="00CB4D55" w:rsidRDefault="00CB4D5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NO&gt;&gt;N0744608R&lt;&lt;ODS JOB NO&gt;&gt;</w:t>
      </w:r>
    </w:p>
    <w:p w:rsidR="00CB4D55" w:rsidRDefault="00CB4D55">
      <w:pPr>
        <w:pStyle w:val="CommentText"/>
      </w:pPr>
      <w:r>
        <w:t>&lt;&lt;ODS DOC SYMBOL1&gt;&gt;CEDAW/C/SR.803 (B)&lt;&lt;ODS DOC SYMBOL1&gt;&gt;</w:t>
      </w:r>
    </w:p>
    <w:p w:rsidR="00CB4D55" w:rsidRDefault="00CB4D5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3A4E" w:rsidRDefault="00123A4E">
      <w:r>
        <w:separator/>
      </w:r>
    </w:p>
  </w:endnote>
  <w:endnote w:type="continuationSeparator" w:id="0">
    <w:p w:rsidR="00123A4E" w:rsidRDefault="00123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4D55">
      <w:tblPrEx>
        <w:tblCellMar>
          <w:top w:w="0" w:type="dxa"/>
          <w:bottom w:w="0" w:type="dxa"/>
        </w:tblCellMar>
      </w:tblPrEx>
      <w:tc>
        <w:tcPr>
          <w:tcW w:w="5033" w:type="dxa"/>
        </w:tcPr>
        <w:p w:rsidR="00CB4D55" w:rsidRDefault="00CB4D55">
          <w:pPr>
            <w:pStyle w:val="Footer"/>
            <w:jc w:val="right"/>
            <w:rPr>
              <w:b w:val="0"/>
              <w:w w:val="103"/>
              <w:sz w:val="14"/>
            </w:rPr>
          </w:pPr>
          <w:r>
            <w:rPr>
              <w:b w:val="0"/>
              <w:w w:val="103"/>
              <w:sz w:val="14"/>
            </w:rPr>
            <w:t>07-44608</w:t>
          </w:r>
        </w:p>
      </w:tc>
      <w:tc>
        <w:tcPr>
          <w:tcW w:w="5033" w:type="dxa"/>
        </w:tcPr>
        <w:p w:rsidR="00CB4D55" w:rsidRDefault="00CB4D55">
          <w:pPr>
            <w:pStyle w:val="Footer"/>
            <w:rPr>
              <w:w w:val="103"/>
            </w:rPr>
          </w:pPr>
          <w:r>
            <w:rPr>
              <w:w w:val="103"/>
            </w:rPr>
            <w:fldChar w:fldCharType="begin"/>
          </w:r>
          <w:r>
            <w:rPr>
              <w:w w:val="103"/>
            </w:rPr>
            <w:instrText xml:space="preserve"> PAGE  \* MERGEFORMAT </w:instrText>
          </w:r>
          <w:r>
            <w:rPr>
              <w:w w:val="103"/>
            </w:rPr>
            <w:fldChar w:fldCharType="separate"/>
          </w:r>
          <w:r w:rsidR="008001B7">
            <w:rPr>
              <w:w w:val="103"/>
            </w:rPr>
            <w:t>2</w:t>
          </w:r>
          <w:r>
            <w:rPr>
              <w:w w:val="103"/>
            </w:rPr>
            <w:fldChar w:fldCharType="end"/>
          </w:r>
        </w:p>
      </w:tc>
    </w:tr>
  </w:tbl>
  <w:p w:rsidR="00CB4D55" w:rsidRDefault="00CB4D5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4D55">
      <w:tblPrEx>
        <w:tblCellMar>
          <w:top w:w="0" w:type="dxa"/>
          <w:bottom w:w="0" w:type="dxa"/>
        </w:tblCellMar>
      </w:tblPrEx>
      <w:tc>
        <w:tcPr>
          <w:tcW w:w="5033" w:type="dxa"/>
        </w:tcPr>
        <w:p w:rsidR="00CB4D55" w:rsidRDefault="00CB4D5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tcPr>
        <w:p w:rsidR="00CB4D55" w:rsidRDefault="00CB4D55">
          <w:pPr>
            <w:pStyle w:val="Footer"/>
            <w:rPr>
              <w:b w:val="0"/>
              <w:w w:val="103"/>
              <w:sz w:val="14"/>
            </w:rPr>
          </w:pPr>
          <w:r>
            <w:rPr>
              <w:b w:val="0"/>
              <w:w w:val="103"/>
              <w:sz w:val="14"/>
            </w:rPr>
            <w:t>07-44608</w:t>
          </w:r>
        </w:p>
      </w:tc>
    </w:tr>
  </w:tbl>
  <w:p w:rsidR="00CB4D55" w:rsidRDefault="00CB4D5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D55" w:rsidRDefault="00CB4D55">
    <w:pPr>
      <w:pStyle w:val="Footer"/>
      <w:pBdr>
        <w:top w:val="single" w:sz="2" w:space="1" w:color="auto"/>
      </w:pBdr>
      <w:rPr>
        <w:sz w:val="2"/>
      </w:rPr>
    </w:pPr>
  </w:p>
  <w:p w:rsidR="00CB4D55" w:rsidRDefault="00CB4D55">
    <w:pPr>
      <w:pStyle w:val="std"/>
      <w:spacing w:before="60" w:after="0"/>
      <w:ind w:left="1701" w:right="1134"/>
      <w:jc w:val="left"/>
      <w:rPr>
        <w:color w:val="000000"/>
        <w:sz w:val="17"/>
        <w:szCs w:val="17"/>
      </w:rPr>
    </w:pPr>
    <w:r>
      <w:rPr>
        <w:color w:val="000000"/>
        <w:sz w:val="17"/>
        <w:szCs w:val="17"/>
      </w:rPr>
      <w:t xml:space="preserve">В настоящий отчет могут вноситься поправки. </w:t>
    </w:r>
  </w:p>
  <w:p w:rsidR="00CB4D55" w:rsidRDefault="00CB4D55">
    <w:pPr>
      <w:pStyle w:val="std"/>
      <w:spacing w:before="80" w:after="0"/>
      <w:ind w:left="1701" w:right="1134"/>
      <w:jc w:val="left"/>
      <w:rPr>
        <w:sz w:val="17"/>
      </w:rPr>
    </w:pPr>
    <w:r>
      <w:rPr>
        <w:sz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z w:val="17"/>
      </w:rPr>
      <w:t>в течение одной недели с даты выпуска настоящего документа</w:t>
    </w:r>
    <w:r>
      <w:rPr>
        <w:sz w:val="17"/>
      </w:rPr>
      <w:t xml:space="preserve"> на имя начальника Секции редактирования официальных отчетов, комната</w:t>
    </w:r>
    <w:r>
      <w:rPr>
        <w:sz w:val="17"/>
        <w:lang w:val="en-US"/>
      </w:rPr>
      <w:t> </w:t>
    </w:r>
    <w:r>
      <w:rPr>
        <w:sz w:val="17"/>
      </w:rPr>
      <w:t>DC2-750 (</w:t>
    </w:r>
    <w:r>
      <w:rPr>
        <w:sz w:val="17"/>
        <w:lang w:val="en-US"/>
      </w:rPr>
      <w:t>Chief</w:t>
    </w:r>
    <w:r>
      <w:rPr>
        <w:sz w:val="17"/>
      </w:rPr>
      <w:t xml:space="preserve">, </w:t>
    </w:r>
    <w:r>
      <w:rPr>
        <w:sz w:val="17"/>
        <w:lang w:val="en-US"/>
      </w:rPr>
      <w:t>Official</w:t>
    </w:r>
    <w:r>
      <w:rPr>
        <w:sz w:val="17"/>
      </w:rPr>
      <w:t xml:space="preserve"> </w:t>
    </w:r>
    <w:r>
      <w:rPr>
        <w:sz w:val="17"/>
        <w:lang w:val="en-US"/>
      </w:rPr>
      <w:t>Records</w:t>
    </w:r>
    <w:r>
      <w:rPr>
        <w:sz w:val="17"/>
      </w:rPr>
      <w:t xml:space="preserve"> </w:t>
    </w:r>
    <w:r>
      <w:rPr>
        <w:sz w:val="17"/>
        <w:lang w:val="en-US"/>
      </w:rPr>
      <w:t>Editing</w:t>
    </w:r>
    <w:r>
      <w:rPr>
        <w:sz w:val="17"/>
      </w:rPr>
      <w:t xml:space="preserve"> </w:t>
    </w:r>
    <w:r>
      <w:rPr>
        <w:sz w:val="17"/>
        <w:lang w:val="en-US"/>
      </w:rPr>
      <w:t>Section</w:t>
    </w:r>
    <w:r>
      <w:rPr>
        <w:sz w:val="17"/>
      </w:rPr>
      <w:t xml:space="preserve">, </w:t>
    </w:r>
    <w:r>
      <w:rPr>
        <w:sz w:val="17"/>
        <w:lang w:val="en-US"/>
      </w:rPr>
      <w:t>room</w:t>
    </w:r>
    <w:r>
      <w:rPr>
        <w:sz w:val="17"/>
      </w:rPr>
      <w:t xml:space="preserve"> </w:t>
    </w:r>
    <w:r>
      <w:rPr>
        <w:sz w:val="17"/>
        <w:lang w:val="en-US"/>
      </w:rPr>
      <w:t>DC</w:t>
    </w:r>
    <w:r>
      <w:rPr>
        <w:sz w:val="17"/>
      </w:rPr>
      <w:t xml:space="preserve">2-750, 2 </w:t>
    </w:r>
    <w:r>
      <w:rPr>
        <w:sz w:val="17"/>
        <w:lang w:val="en-US"/>
      </w:rPr>
      <w:t>United</w:t>
    </w:r>
    <w:r>
      <w:rPr>
        <w:sz w:val="17"/>
      </w:rPr>
      <w:t xml:space="preserve"> </w:t>
    </w:r>
    <w:r>
      <w:rPr>
        <w:sz w:val="17"/>
        <w:lang w:val="en-US"/>
      </w:rPr>
      <w:t>Nations</w:t>
    </w:r>
    <w:r>
      <w:rPr>
        <w:sz w:val="17"/>
      </w:rPr>
      <w:t xml:space="preserve"> </w:t>
    </w:r>
    <w:r>
      <w:rPr>
        <w:sz w:val="17"/>
        <w:lang w:val="en-US"/>
      </w:rPr>
      <w:t>Plaza</w:t>
    </w:r>
    <w:r>
      <w:rPr>
        <w:sz w:val="17"/>
      </w:rPr>
      <w:t>).</w:t>
    </w:r>
  </w:p>
  <w:p w:rsidR="00CB4D55" w:rsidRDefault="00CB4D55">
    <w:pPr>
      <w:pStyle w:val="FootnoteText"/>
      <w:widowControl/>
      <w:suppressAutoHyphens w:val="0"/>
      <w:spacing w:before="80" w:line="240" w:lineRule="auto"/>
      <w:ind w:left="1701" w:right="1134" w:firstLine="0"/>
      <w:rPr>
        <w:spacing w:val="0"/>
        <w:w w:val="100"/>
        <w:kern w:val="0"/>
        <w:lang w:val="ru-RU"/>
      </w:rPr>
    </w:pPr>
    <w:r>
      <w:rPr>
        <w:spacing w:val="0"/>
        <w:w w:val="100"/>
        <w:kern w:val="0"/>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CB4D55" w:rsidRDefault="00CB4D55">
    <w:pPr>
      <w:pStyle w:val="Footer"/>
      <w:rPr>
        <w:b w:val="0"/>
        <w:sz w:val="20"/>
      </w:rPr>
    </w:pPr>
    <w:r>
      <w:rPr>
        <w:b w:val="0"/>
        <w:sz w:val="20"/>
      </w:rPr>
      <w:t>07-44608 (R)</w:t>
    </w:r>
  </w:p>
  <w:p w:rsidR="00CB4D55" w:rsidRPr="00AF7D4A" w:rsidRDefault="00CB4D55">
    <w:pPr>
      <w:pStyle w:val="Footer"/>
      <w:rPr>
        <w:rFonts w:ascii="Barcode 3 of 9 by request" w:hAnsi="Barcode 3 of 9 by request"/>
        <w:b w:val="0"/>
        <w:sz w:val="20"/>
      </w:rPr>
    </w:pPr>
    <w:r w:rsidRPr="00AF7D4A">
      <w:rPr>
        <w:rFonts w:ascii="Barcode 3 of 9 by request" w:hAnsi="Barcode 3 of 9 by request"/>
        <w:b w:val="0"/>
        <w:sz w:val="20"/>
      </w:rPr>
      <w:t>*0744608*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3A4E" w:rsidRDefault="00123A4E">
      <w:r>
        <w:separator/>
      </w:r>
    </w:p>
  </w:footnote>
  <w:footnote w:type="continuationSeparator" w:id="0">
    <w:p w:rsidR="00123A4E" w:rsidRDefault="00123A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4D55">
      <w:tblPrEx>
        <w:tblCellMar>
          <w:top w:w="0" w:type="dxa"/>
          <w:bottom w:w="0" w:type="dxa"/>
        </w:tblCellMar>
      </w:tblPrEx>
      <w:trPr>
        <w:trHeight w:hRule="exact" w:val="864"/>
      </w:trPr>
      <w:tc>
        <w:tcPr>
          <w:tcW w:w="4838" w:type="dxa"/>
          <w:vAlign w:val="bottom"/>
        </w:tcPr>
        <w:p w:rsidR="00CB4D55" w:rsidRDefault="00CB4D55">
          <w:pPr>
            <w:pStyle w:val="Header"/>
            <w:spacing w:after="80"/>
            <w:rPr>
              <w:b/>
            </w:rPr>
          </w:pPr>
          <w:r>
            <w:rPr>
              <w:b/>
            </w:rPr>
            <w:t>CEDAW/C/SR.803 (B)</w:t>
          </w:r>
        </w:p>
      </w:tc>
      <w:tc>
        <w:tcPr>
          <w:tcW w:w="5033" w:type="dxa"/>
          <w:vAlign w:val="bottom"/>
        </w:tcPr>
        <w:p w:rsidR="00CB4D55" w:rsidRDefault="00CB4D55">
          <w:pPr>
            <w:pStyle w:val="Header"/>
          </w:pPr>
        </w:p>
      </w:tc>
    </w:tr>
  </w:tbl>
  <w:p w:rsidR="00CB4D55" w:rsidRDefault="00CB4D5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4D55">
      <w:tblPrEx>
        <w:tblCellMar>
          <w:top w:w="0" w:type="dxa"/>
          <w:bottom w:w="0" w:type="dxa"/>
        </w:tblCellMar>
      </w:tblPrEx>
      <w:trPr>
        <w:trHeight w:hRule="exact" w:val="864"/>
      </w:trPr>
      <w:tc>
        <w:tcPr>
          <w:tcW w:w="4838" w:type="dxa"/>
          <w:vAlign w:val="bottom"/>
        </w:tcPr>
        <w:p w:rsidR="00CB4D55" w:rsidRDefault="00CB4D55">
          <w:pPr>
            <w:pStyle w:val="Header"/>
          </w:pPr>
        </w:p>
      </w:tc>
      <w:tc>
        <w:tcPr>
          <w:tcW w:w="5033" w:type="dxa"/>
          <w:vAlign w:val="bottom"/>
        </w:tcPr>
        <w:p w:rsidR="00CB4D55" w:rsidRDefault="00CB4D55">
          <w:pPr>
            <w:pStyle w:val="Header"/>
            <w:spacing w:after="80"/>
            <w:jc w:val="right"/>
            <w:rPr>
              <w:b/>
            </w:rPr>
          </w:pPr>
          <w:r>
            <w:rPr>
              <w:b/>
            </w:rPr>
            <w:t>CEDAW/C/SR.803 (B)</w:t>
          </w:r>
        </w:p>
      </w:tc>
    </w:tr>
  </w:tbl>
  <w:p w:rsidR="00CB4D55" w:rsidRDefault="00CB4D5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43"/>
      <w:gridCol w:w="3140"/>
      <w:gridCol w:w="28"/>
    </w:tblGrid>
    <w:tr w:rsidR="00CB4D55">
      <w:tblPrEx>
        <w:tblCellMar>
          <w:top w:w="0" w:type="dxa"/>
          <w:bottom w:w="0" w:type="dxa"/>
        </w:tblCellMar>
      </w:tblPrEx>
      <w:trPr>
        <w:trHeight w:hRule="exact" w:val="864"/>
      </w:trPr>
      <w:tc>
        <w:tcPr>
          <w:tcW w:w="1267" w:type="dxa"/>
          <w:tcBorders>
            <w:bottom w:val="single" w:sz="4" w:space="0" w:color="auto"/>
          </w:tcBorders>
          <w:vAlign w:val="bottom"/>
        </w:tcPr>
        <w:p w:rsidR="00CB4D55" w:rsidRDefault="00CB4D55">
          <w:pPr>
            <w:pStyle w:val="Header"/>
            <w:spacing w:after="120"/>
          </w:pPr>
        </w:p>
      </w:tc>
      <w:tc>
        <w:tcPr>
          <w:tcW w:w="5220" w:type="dxa"/>
          <w:tcBorders>
            <w:bottom w:val="single" w:sz="4" w:space="0" w:color="auto"/>
          </w:tcBorders>
          <w:vAlign w:val="bottom"/>
        </w:tcPr>
        <w:p w:rsidR="00CB4D55" w:rsidRDefault="00CB4D55">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CB4D55" w:rsidRDefault="00CB4D55">
          <w:pPr>
            <w:pStyle w:val="Header"/>
            <w:spacing w:after="120"/>
            <w:rPr>
              <w:lang w:val="ru-RU"/>
            </w:rPr>
          </w:pPr>
        </w:p>
      </w:tc>
      <w:tc>
        <w:tcPr>
          <w:tcW w:w="3211" w:type="dxa"/>
          <w:gridSpan w:val="3"/>
          <w:tcBorders>
            <w:bottom w:val="single" w:sz="4" w:space="0" w:color="auto"/>
          </w:tcBorders>
          <w:vAlign w:val="bottom"/>
        </w:tcPr>
        <w:p w:rsidR="00CB4D55" w:rsidRDefault="00CB4D55">
          <w:pPr>
            <w:spacing w:after="80" w:line="240" w:lineRule="auto"/>
            <w:jc w:val="right"/>
            <w:rPr>
              <w:spacing w:val="0"/>
              <w:w w:val="100"/>
              <w:kern w:val="0"/>
            </w:rPr>
          </w:pPr>
          <w:r>
            <w:rPr>
              <w:spacing w:val="0"/>
              <w:w w:val="100"/>
              <w:kern w:val="0"/>
              <w:sz w:val="40"/>
            </w:rPr>
            <w:t>CEDAW</w:t>
          </w:r>
          <w:r>
            <w:rPr>
              <w:spacing w:val="0"/>
              <w:w w:val="100"/>
              <w:kern w:val="0"/>
            </w:rPr>
            <w:t>/C/SR.803 (B)</w:t>
          </w:r>
        </w:p>
      </w:tc>
    </w:tr>
    <w:tr w:rsidR="00CB4D5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CB4D55" w:rsidRDefault="00CB4D55">
          <w:pPr>
            <w:pStyle w:val="Header"/>
            <w:spacing w:before="109"/>
            <w:rPr>
              <w:lang w:val="ru-RU"/>
            </w:rPr>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4D55" w:rsidRDefault="00CB4D55">
          <w:pPr>
            <w:pStyle w:val="Header"/>
            <w:spacing w:before="109"/>
            <w:rPr>
              <w:lang w:val="ru-RU"/>
            </w:rPr>
          </w:pPr>
        </w:p>
      </w:tc>
      <w:tc>
        <w:tcPr>
          <w:tcW w:w="5220" w:type="dxa"/>
          <w:tcBorders>
            <w:top w:val="single" w:sz="4" w:space="0" w:color="auto"/>
            <w:bottom w:val="single" w:sz="12" w:space="0" w:color="auto"/>
          </w:tcBorders>
        </w:tcPr>
        <w:p w:rsidR="00CB4D55" w:rsidRDefault="00CB4D55">
          <w:pPr>
            <w:pStyle w:val="XLarge"/>
            <w:spacing w:before="109" w:line="330" w:lineRule="exact"/>
            <w:rPr>
              <w:spacing w:val="0"/>
              <w:w w:val="100"/>
              <w:kern w:val="0"/>
              <w:sz w:val="34"/>
              <w:lang w:val="ru-RU"/>
            </w:rPr>
          </w:pPr>
          <w:r>
            <w:rPr>
              <w:bCs/>
              <w:spacing w:val="0"/>
              <w:w w:val="100"/>
              <w:kern w:val="0"/>
              <w:sz w:val="32"/>
              <w:lang w:val="ru-RU"/>
            </w:rPr>
            <w:t xml:space="preserve">Конвенция о ликвидации </w:t>
          </w:r>
          <w:r>
            <w:rPr>
              <w:bCs/>
              <w:spacing w:val="0"/>
              <w:w w:val="100"/>
              <w:kern w:val="0"/>
              <w:sz w:val="32"/>
              <w:lang w:val="ru-RU"/>
            </w:rPr>
            <w:br/>
            <w:t xml:space="preserve">всех форм дискриминации </w:t>
          </w:r>
          <w:r>
            <w:rPr>
              <w:bCs/>
              <w:spacing w:val="0"/>
              <w:w w:val="100"/>
              <w:kern w:val="0"/>
              <w:sz w:val="32"/>
              <w:lang w:val="ru-RU"/>
            </w:rPr>
            <w:br/>
            <w:t>в отношении женщин</w:t>
          </w:r>
        </w:p>
      </w:tc>
      <w:tc>
        <w:tcPr>
          <w:tcW w:w="252" w:type="dxa"/>
          <w:gridSpan w:val="2"/>
          <w:tcBorders>
            <w:top w:val="single" w:sz="4" w:space="0" w:color="auto"/>
            <w:bottom w:val="single" w:sz="12" w:space="0" w:color="auto"/>
          </w:tcBorders>
        </w:tcPr>
        <w:p w:rsidR="00CB4D55" w:rsidRDefault="00CB4D55">
          <w:pPr>
            <w:pStyle w:val="Header"/>
            <w:spacing w:before="109"/>
            <w:rPr>
              <w:lang w:val="ru-RU"/>
            </w:rPr>
          </w:pPr>
        </w:p>
      </w:tc>
      <w:tc>
        <w:tcPr>
          <w:tcW w:w="3140" w:type="dxa"/>
          <w:tcBorders>
            <w:top w:val="single" w:sz="4" w:space="0" w:color="auto"/>
            <w:bottom w:val="single" w:sz="12" w:space="0" w:color="auto"/>
          </w:tcBorders>
        </w:tcPr>
        <w:p w:rsidR="00CB4D55" w:rsidRDefault="00CB4D55">
          <w:pPr>
            <w:spacing w:before="240"/>
            <w:rPr>
              <w:spacing w:val="0"/>
              <w:w w:val="100"/>
              <w:kern w:val="0"/>
            </w:rPr>
          </w:pPr>
          <w:r>
            <w:rPr>
              <w:spacing w:val="0"/>
              <w:w w:val="100"/>
              <w:kern w:val="0"/>
            </w:rPr>
            <w:t>Distr.: General</w:t>
          </w:r>
        </w:p>
        <w:p w:rsidR="00CB4D55" w:rsidRDefault="00CB4D55">
          <w:pPr>
            <w:rPr>
              <w:spacing w:val="0"/>
              <w:w w:val="100"/>
              <w:kern w:val="0"/>
            </w:rPr>
          </w:pPr>
          <w:r>
            <w:rPr>
              <w:spacing w:val="0"/>
              <w:w w:val="100"/>
              <w:kern w:val="0"/>
            </w:rPr>
            <w:t>7 November 2007</w:t>
          </w:r>
        </w:p>
        <w:p w:rsidR="00CB4D55" w:rsidRDefault="00CB4D55">
          <w:pPr>
            <w:rPr>
              <w:spacing w:val="0"/>
              <w:w w:val="100"/>
              <w:kern w:val="0"/>
            </w:rPr>
          </w:pPr>
        </w:p>
        <w:p w:rsidR="00CB4D55" w:rsidRDefault="00CB4D55">
          <w:pPr>
            <w:rPr>
              <w:spacing w:val="0"/>
              <w:w w:val="100"/>
              <w:kern w:val="0"/>
            </w:rPr>
          </w:pPr>
          <w:r>
            <w:rPr>
              <w:spacing w:val="0"/>
              <w:w w:val="100"/>
              <w:kern w:val="0"/>
              <w:lang w:val="en-US"/>
            </w:rPr>
            <w:t>Russian</w:t>
          </w:r>
        </w:p>
        <w:p w:rsidR="00CB4D55" w:rsidRDefault="00CB4D55">
          <w:pPr>
            <w:rPr>
              <w:spacing w:val="0"/>
              <w:w w:val="100"/>
              <w:kern w:val="0"/>
            </w:rPr>
          </w:pPr>
          <w:r>
            <w:rPr>
              <w:spacing w:val="0"/>
              <w:w w:val="100"/>
              <w:kern w:val="0"/>
            </w:rPr>
            <w:t>Original: English</w:t>
          </w:r>
        </w:p>
      </w:tc>
    </w:tr>
  </w:tbl>
  <w:p w:rsidR="00CB4D55" w:rsidRDefault="00CB4D5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22*"/>
    <w:docVar w:name="CreationDt" w:val="15/08/2007 09:31:58"/>
    <w:docVar w:name="DocCategory" w:val="SROthers"/>
    <w:docVar w:name="DocType" w:val="Final"/>
    <w:docVar w:name="FooterJN" w:val="07-44122"/>
    <w:docVar w:name="jobn" w:val="07-44122 (E)"/>
    <w:docVar w:name="jobnDT" w:val="07-44122 (E)   150807"/>
    <w:docVar w:name="jobnDTDT" w:val="07-44122 (E)   150807   150807"/>
    <w:docVar w:name="JobNo" w:val="0744122E"/>
    <w:docVar w:name="OandT" w:val=" "/>
    <w:docVar w:name="sss1" w:val="CEDAW/C/SR.800 (A)"/>
    <w:docVar w:name="sss2" w:val="-"/>
    <w:docVar w:name="Symbol1" w:val="CEDAW/C/SR.800 (A)"/>
    <w:docVar w:name="Symbol2" w:val="-"/>
  </w:docVars>
  <w:rsids>
    <w:rsidRoot w:val="007857F9"/>
    <w:rsid w:val="00123A4E"/>
    <w:rsid w:val="00392B90"/>
    <w:rsid w:val="007857F9"/>
    <w:rsid w:val="008001B7"/>
    <w:rsid w:val="00AF7D4A"/>
    <w:rsid w:val="00CB4D55"/>
    <w:rsid w:val="00F9322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suppressAutoHyphens w:val="0"/>
      <w:spacing w:before="100" w:after="120" w:line="480" w:lineRule="auto"/>
      <w:jc w:val="both"/>
      <w:outlineLvl w:val="0"/>
    </w:pPr>
    <w:rPr>
      <w:b/>
      <w:spacing w:val="0"/>
      <w:w w:val="100"/>
      <w:kern w:val="0"/>
      <w:szCs w:val="24"/>
      <w:lang w:val="ru-RU" w:eastAsia="ru-RU"/>
    </w:rPr>
  </w:style>
  <w:style w:type="paragraph" w:styleId="Heading3">
    <w:name w:val="heading 3"/>
    <w:basedOn w:val="Normal"/>
    <w:next w:val="Normal"/>
    <w:qFormat/>
    <w:pPr>
      <w:keepNext/>
      <w:suppressAutoHyphens w:val="0"/>
      <w:spacing w:after="120" w:line="240" w:lineRule="auto"/>
      <w:jc w:val="both"/>
      <w:outlineLvl w:val="2"/>
    </w:pPr>
    <w:rPr>
      <w:b/>
      <w:bCs/>
      <w:spacing w:val="0"/>
      <w:w w:val="100"/>
      <w:kern w:val="0"/>
      <w:szCs w:val="24"/>
      <w:lang w:val="ru-RU" w:eastAsia="ru-RU"/>
    </w:rPr>
  </w:style>
  <w:style w:type="paragraph" w:styleId="Heading6">
    <w:name w:val="heading 6"/>
    <w:basedOn w:val="Normal"/>
    <w:next w:val="Normal"/>
    <w:qFormat/>
    <w:pPr>
      <w:keepNext/>
      <w:suppressAutoHyphens w:val="0"/>
      <w:spacing w:after="120" w:line="240" w:lineRule="auto"/>
      <w:ind w:left="2160" w:right="1185"/>
      <w:outlineLvl w:val="5"/>
    </w:pPr>
    <w:rPr>
      <w:i/>
      <w:iCs/>
      <w:spacing w:val="0"/>
      <w:w w:val="100"/>
      <w:kern w:val="0"/>
      <w:szCs w:val="24"/>
      <w:lang w:val="ru-RU"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after="120" w:line="240" w:lineRule="auto"/>
      <w:jc w:val="both"/>
    </w:pPr>
    <w:rPr>
      <w:spacing w:val="0"/>
      <w:w w:val="100"/>
      <w:kern w:val="0"/>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6204</Words>
  <Characters>41388</Characters>
  <Application>Microsoft Office Word</Application>
  <DocSecurity>4</DocSecurity>
  <Lines>1061</Lines>
  <Paragraphs>93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47499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Christopher.Heaney</dc:creator>
  <cp:keywords/>
  <dc:description/>
  <cp:lastModifiedBy>Tatiana Panitchkina</cp:lastModifiedBy>
  <cp:revision>5</cp:revision>
  <cp:lastPrinted>2007-11-06T14:25:00Z</cp:lastPrinted>
  <dcterms:created xsi:type="dcterms:W3CDTF">2007-11-06T14:14:00Z</dcterms:created>
  <dcterms:modified xsi:type="dcterms:W3CDTF">2007-11-06T14:25:00Z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0744122</vt:lpwstr>
  </property>
  <property fmtid="{D5CDD505-2E9C-101B-9397-08002B2CF9AE}" pid="3" name="Symbol2">
    <vt:lpwstr/>
  </property>
  <property fmtid="{D5CDD505-2E9C-101B-9397-08002B2CF9AE}" pid="4" name="Translator">
    <vt:lpwstr/>
  </property>
  <property fmtid="{D5CDD505-2E9C-101B-9397-08002B2CF9AE}" pid="5" name="Symbol1">
    <vt:lpwstr>CEDAW/C/SR.800 (A)</vt:lpwstr>
  </property>
  <property fmtid="{D5CDD505-2E9C-101B-9397-08002B2CF9AE}" pid="6" name="sss1">
    <vt:lpwstr>CEDAW/C/SR.800 (A)</vt:lpwstr>
  </property>
  <property fmtid="{D5CDD505-2E9C-101B-9397-08002B2CF9AE}" pid="7" name="Comment">
    <vt:lpwstr/>
  </property>
  <property fmtid="{D5CDD505-2E9C-101B-9397-08002B2CF9AE}" pid="8" name="DraftPages">
    <vt:lpwstr>12</vt:lpwstr>
  </property>
  <property fmtid="{D5CDD505-2E9C-101B-9397-08002B2CF9AE}" pid="9" name="Operator">
    <vt:lpwstr>Panichkina</vt:lpwstr>
  </property>
</Properties>
</file>