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669B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669BB" w:rsidP="001669BB">
            <w:pPr>
              <w:jc w:val="right"/>
            </w:pPr>
            <w:r w:rsidRPr="001669BB">
              <w:rPr>
                <w:sz w:val="40"/>
              </w:rPr>
              <w:t>CCPR</w:t>
            </w:r>
            <w:r>
              <w:t>/C/125/2/Add.5</w:t>
            </w:r>
          </w:p>
        </w:tc>
      </w:tr>
      <w:tr w:rsidR="002D5AAC" w:rsidRPr="002044C4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1669BB" w:rsidRDefault="001669BB" w:rsidP="00BC3629">
            <w:pPr>
              <w:spacing w:before="240"/>
              <w:rPr>
                <w:lang w:val="en-US"/>
              </w:rPr>
            </w:pPr>
            <w:r w:rsidRPr="001669BB">
              <w:rPr>
                <w:lang w:val="en-US"/>
              </w:rPr>
              <w:t>Distr.: General</w:t>
            </w:r>
          </w:p>
          <w:p w:rsidR="001669BB" w:rsidRPr="001669BB" w:rsidRDefault="001669BB" w:rsidP="001669BB">
            <w:pPr>
              <w:spacing w:line="240" w:lineRule="exact"/>
              <w:rPr>
                <w:lang w:val="en-US"/>
              </w:rPr>
            </w:pPr>
            <w:r w:rsidRPr="001669BB">
              <w:rPr>
                <w:lang w:val="en-US"/>
              </w:rPr>
              <w:t>7 May 2019</w:t>
            </w:r>
          </w:p>
          <w:p w:rsidR="001669BB" w:rsidRPr="001669BB" w:rsidRDefault="001669BB" w:rsidP="001669BB">
            <w:pPr>
              <w:spacing w:line="240" w:lineRule="exact"/>
              <w:rPr>
                <w:lang w:val="en-US"/>
              </w:rPr>
            </w:pPr>
            <w:r w:rsidRPr="001669BB">
              <w:rPr>
                <w:lang w:val="en-US"/>
              </w:rPr>
              <w:t>Russian</w:t>
            </w:r>
          </w:p>
          <w:p w:rsidR="001669BB" w:rsidRPr="001669BB" w:rsidRDefault="001669BB" w:rsidP="001669BB">
            <w:pPr>
              <w:spacing w:line="240" w:lineRule="exact"/>
              <w:rPr>
                <w:lang w:val="en-US"/>
              </w:rPr>
            </w:pPr>
            <w:r w:rsidRPr="001669BB">
              <w:rPr>
                <w:lang w:val="en-US"/>
              </w:rPr>
              <w:t>Original: English</w:t>
            </w:r>
          </w:p>
        </w:tc>
      </w:tr>
    </w:tbl>
    <w:p w:rsidR="001669BB" w:rsidRPr="001669BB" w:rsidRDefault="001669BB" w:rsidP="001669BB">
      <w:pPr>
        <w:spacing w:before="120"/>
      </w:pPr>
      <w:r w:rsidRPr="00654105">
        <w:rPr>
          <w:b/>
          <w:bCs/>
          <w:sz w:val="24"/>
          <w:szCs w:val="24"/>
        </w:rPr>
        <w:t>Комитет по правам человека</w:t>
      </w:r>
    </w:p>
    <w:p w:rsidR="001669BB" w:rsidRPr="00654105" w:rsidRDefault="001669BB" w:rsidP="001669BB">
      <w:pPr>
        <w:pStyle w:val="HChG"/>
      </w:pPr>
      <w:r>
        <w:rPr>
          <w:bCs/>
        </w:rPr>
        <w:tab/>
      </w:r>
      <w:r>
        <w:rPr>
          <w:bCs/>
        </w:rPr>
        <w:tab/>
        <w:t>Доклад о последующей деятельности в связи с заключительными замечаниями Комитета</w:t>
      </w:r>
      <w:r w:rsidRPr="00AB5BA1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:rsidR="001669BB" w:rsidRPr="00654105" w:rsidRDefault="001669BB" w:rsidP="001669BB">
      <w:pPr>
        <w:pStyle w:val="H23G"/>
      </w:pPr>
      <w:r>
        <w:tab/>
      </w:r>
      <w:r>
        <w:tab/>
      </w:r>
      <w:r>
        <w:rPr>
          <w:bCs/>
        </w:rPr>
        <w:t>Добавление</w:t>
      </w:r>
    </w:p>
    <w:p w:rsidR="001669BB" w:rsidRPr="0064331C" w:rsidRDefault="001669BB" w:rsidP="00826841">
      <w:pPr>
        <w:pStyle w:val="H1G"/>
      </w:pPr>
      <w:r>
        <w:tab/>
      </w:r>
      <w:r>
        <w:tab/>
        <w:t>Оценка информации о последующей деятельности в связи с заключительными замечаниями по Кувейту</w:t>
      </w:r>
      <w:r w:rsidRPr="001669BB">
        <w:rPr>
          <w:b w:val="0"/>
          <w:sz w:val="20"/>
        </w:rPr>
        <w:footnoteReference w:customMarkFollows="1" w:id="2"/>
        <w:t>**</w:t>
      </w:r>
      <w:r w:rsidRPr="0064331C">
        <w:tab/>
      </w:r>
      <w:r w:rsidRPr="0064331C">
        <w:tab/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1669BB" w:rsidRPr="0064331C" w:rsidTr="001669BB">
        <w:tc>
          <w:tcPr>
            <w:tcW w:w="2936" w:type="dxa"/>
            <w:hideMark/>
          </w:tcPr>
          <w:p w:rsidR="001669BB" w:rsidRPr="0064331C" w:rsidRDefault="001669BB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</w:rPr>
              <w:t>Заключительные замечания</w:t>
            </w:r>
            <w:r>
              <w:rPr>
                <w:i/>
              </w:rPr>
              <w:br/>
              <w:t>(117-я сессия)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1669BB" w:rsidRPr="0064331C" w:rsidRDefault="001669BB">
            <w:pPr>
              <w:spacing w:after="120"/>
            </w:pPr>
            <w:r>
              <w:t>CCPR/C/KWT/CO/3, 8 июля 2016 года</w:t>
            </w:r>
          </w:p>
        </w:tc>
      </w:tr>
      <w:tr w:rsidR="001669BB" w:rsidRPr="0064331C" w:rsidTr="001669BB">
        <w:tc>
          <w:tcPr>
            <w:tcW w:w="2936" w:type="dxa"/>
            <w:hideMark/>
          </w:tcPr>
          <w:p w:rsidR="001669BB" w:rsidRPr="0064331C" w:rsidRDefault="001669BB">
            <w:pPr>
              <w:spacing w:after="120"/>
              <w:ind w:left="35"/>
              <w:rPr>
                <w:i/>
              </w:rPr>
            </w:pPr>
            <w:r w:rsidRPr="001669BB">
              <w:rPr>
                <w:i/>
                <w:iCs/>
              </w:rPr>
              <w:t xml:space="preserve">Пункты, </w:t>
            </w:r>
            <w:r>
              <w:rPr>
                <w:i/>
                <w:iCs/>
              </w:rPr>
              <w:t>сопряженные с </w:t>
            </w:r>
            <w:r w:rsidRPr="001669BB">
              <w:rPr>
                <w:i/>
                <w:iCs/>
              </w:rPr>
              <w:t>последующей деятельностью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1669BB" w:rsidRPr="0064331C" w:rsidRDefault="001669BB">
            <w:pPr>
              <w:spacing w:after="120"/>
            </w:pPr>
            <w:r>
              <w:t>11, 43 и 45</w:t>
            </w:r>
          </w:p>
        </w:tc>
      </w:tr>
      <w:tr w:rsidR="001669BB" w:rsidRPr="0064331C" w:rsidTr="001669BB">
        <w:tc>
          <w:tcPr>
            <w:tcW w:w="2936" w:type="dxa"/>
            <w:hideMark/>
          </w:tcPr>
          <w:p w:rsidR="001669BB" w:rsidRPr="0064331C" w:rsidRDefault="001669B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Ответ о последующей деятельности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1669BB" w:rsidRPr="0064331C" w:rsidRDefault="001669BB">
            <w:pPr>
              <w:spacing w:after="120"/>
            </w:pPr>
            <w:r w:rsidRPr="001669BB">
              <w:t>CCPR/C</w:t>
            </w:r>
            <w:r>
              <w:t>/KWT/CO/3/Add.1, 27 апреля 2017 </w:t>
            </w:r>
            <w:r w:rsidRPr="001669BB">
              <w:t>года</w:t>
            </w:r>
          </w:p>
        </w:tc>
      </w:tr>
      <w:tr w:rsidR="001669BB" w:rsidRPr="0064331C" w:rsidTr="001669BB">
        <w:tc>
          <w:tcPr>
            <w:tcW w:w="2936" w:type="dxa"/>
            <w:hideMark/>
          </w:tcPr>
          <w:p w:rsidR="001669BB" w:rsidRPr="0064331C" w:rsidRDefault="001669B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1669BB" w:rsidRPr="0064331C" w:rsidRDefault="001669BB" w:rsidP="001669BB">
            <w:pPr>
              <w:spacing w:after="120"/>
            </w:pPr>
            <w:r>
              <w:t>Дополнительная информация, требуемая в отношении пунктов 11</w:t>
            </w:r>
            <w:r w:rsidRPr="001669BB">
              <w:rPr>
                <w:b/>
              </w:rPr>
              <w:t>[</w:t>
            </w:r>
            <w:r w:rsidRPr="001669BB">
              <w:rPr>
                <w:b/>
                <w:bCs/>
              </w:rPr>
              <w:t>E</w:t>
            </w:r>
            <w:r w:rsidRPr="001669BB">
              <w:rPr>
                <w:b/>
              </w:rPr>
              <w:t>][</w:t>
            </w:r>
            <w:r w:rsidRPr="001669BB">
              <w:rPr>
                <w:b/>
                <w:bCs/>
              </w:rPr>
              <w:t>C</w:t>
            </w:r>
            <w:r w:rsidRPr="001669BB">
              <w:rPr>
                <w:b/>
              </w:rPr>
              <w:t>][</w:t>
            </w:r>
            <w:r w:rsidRPr="001669BB">
              <w:rPr>
                <w:b/>
                <w:bCs/>
              </w:rPr>
              <w:t>B</w:t>
            </w:r>
            <w:r w:rsidRPr="001669BB">
              <w:rPr>
                <w:b/>
              </w:rPr>
              <w:t>][</w:t>
            </w:r>
            <w:r w:rsidRPr="001669BB">
              <w:rPr>
                <w:b/>
                <w:bCs/>
              </w:rPr>
              <w:t>C</w:t>
            </w:r>
            <w:r w:rsidRPr="001669BB">
              <w:rPr>
                <w:b/>
              </w:rPr>
              <w:t>][</w:t>
            </w:r>
            <w:r w:rsidRPr="001669BB">
              <w:rPr>
                <w:b/>
                <w:bCs/>
              </w:rPr>
              <w:t>E</w:t>
            </w:r>
            <w:r w:rsidRPr="001669BB">
              <w:rPr>
                <w:b/>
              </w:rPr>
              <w:t>][</w:t>
            </w:r>
            <w:r w:rsidRPr="001669BB">
              <w:rPr>
                <w:b/>
                <w:bCs/>
              </w:rPr>
              <w:t>E</w:t>
            </w:r>
            <w:r w:rsidRPr="001669BB">
              <w:rPr>
                <w:b/>
              </w:rPr>
              <w:t>]</w:t>
            </w:r>
            <w:r>
              <w:t>, 43</w:t>
            </w:r>
            <w:r w:rsidRPr="001669BB">
              <w:rPr>
                <w:b/>
              </w:rPr>
              <w:t>[</w:t>
            </w:r>
            <w:r w:rsidRPr="001669BB">
              <w:rPr>
                <w:b/>
                <w:bCs/>
              </w:rPr>
              <w:t>C</w:t>
            </w:r>
            <w:r w:rsidRPr="001669BB">
              <w:rPr>
                <w:b/>
              </w:rPr>
              <w:t>][</w:t>
            </w:r>
            <w:r w:rsidRPr="001669BB">
              <w:rPr>
                <w:b/>
                <w:bCs/>
              </w:rPr>
              <w:t>B</w:t>
            </w:r>
            <w:r w:rsidRPr="001669BB">
              <w:rPr>
                <w:b/>
              </w:rPr>
              <w:t>]</w:t>
            </w:r>
            <w:r>
              <w:t xml:space="preserve"> и 45</w:t>
            </w:r>
            <w:r w:rsidRPr="001669BB">
              <w:rPr>
                <w:b/>
              </w:rPr>
              <w:t>[</w:t>
            </w:r>
            <w:r w:rsidRPr="001669BB">
              <w:rPr>
                <w:b/>
                <w:bCs/>
              </w:rPr>
              <w:t>C</w:t>
            </w:r>
            <w:r w:rsidRPr="001669BB">
              <w:rPr>
                <w:b/>
              </w:rPr>
              <w:t>][</w:t>
            </w:r>
            <w:r w:rsidRPr="001669BB">
              <w:rPr>
                <w:b/>
                <w:bCs/>
              </w:rPr>
              <w:t>B</w:t>
            </w:r>
            <w:r w:rsidRPr="001669BB">
              <w:rPr>
                <w:b/>
              </w:rPr>
              <w:t>]</w:t>
            </w:r>
          </w:p>
        </w:tc>
      </w:tr>
      <w:tr w:rsidR="001669BB" w:rsidRPr="0064331C" w:rsidTr="001669BB">
        <w:tc>
          <w:tcPr>
            <w:tcW w:w="2936" w:type="dxa"/>
            <w:hideMark/>
          </w:tcPr>
          <w:p w:rsidR="001669BB" w:rsidRPr="0064331C" w:rsidRDefault="001669BB" w:rsidP="001669B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Информация, полученная от неправительственных организаций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1669BB" w:rsidRPr="0064331C" w:rsidRDefault="00D15A6A" w:rsidP="001669BB">
            <w:pPr>
              <w:spacing w:after="120"/>
            </w:pPr>
            <w:r>
              <w:t>«</w:t>
            </w:r>
            <w:proofErr w:type="spellStart"/>
            <w:r w:rsidR="001669BB" w:rsidRPr="001669BB">
              <w:t>Алькарама</w:t>
            </w:r>
            <w:proofErr w:type="spellEnd"/>
            <w:r>
              <w:t>»</w:t>
            </w:r>
            <w:r w:rsidR="001669BB" w:rsidRPr="001669BB">
              <w:t>, 1 ноября 2017 года</w:t>
            </w:r>
            <w:r w:rsidR="001669BB">
              <w:rPr>
                <w:rStyle w:val="aa"/>
              </w:rPr>
              <w:footnoteReference w:id="3"/>
            </w:r>
          </w:p>
        </w:tc>
      </w:tr>
    </w:tbl>
    <w:p w:rsidR="001669BB" w:rsidRPr="00654105" w:rsidRDefault="00D15A6A" w:rsidP="00D15A6A">
      <w:pPr>
        <w:pStyle w:val="H23G"/>
        <w:spacing w:before="120"/>
      </w:pPr>
      <w:r>
        <w:rPr>
          <w:bCs/>
        </w:rPr>
        <w:tab/>
      </w:r>
      <w:r>
        <w:rPr>
          <w:bCs/>
        </w:rPr>
        <w:tab/>
      </w:r>
      <w:r w:rsidR="001669BB">
        <w:rPr>
          <w:bCs/>
        </w:rPr>
        <w:t xml:space="preserve">Пункт 11: Дискриминация в отношении </w:t>
      </w:r>
      <w:r>
        <w:rPr>
          <w:bCs/>
        </w:rPr>
        <w:t>«</w:t>
      </w:r>
      <w:proofErr w:type="spellStart"/>
      <w:r w:rsidR="001669BB">
        <w:rPr>
          <w:bCs/>
        </w:rPr>
        <w:t>бидунов</w:t>
      </w:r>
      <w:proofErr w:type="spellEnd"/>
      <w:r>
        <w:rPr>
          <w:bCs/>
        </w:rPr>
        <w:t>»</w:t>
      </w:r>
      <w:r w:rsidR="001669BB">
        <w:t xml:space="preserve"> </w:t>
      </w:r>
    </w:p>
    <w:p w:rsidR="001669BB" w:rsidRPr="00654105" w:rsidRDefault="001669BB" w:rsidP="001669B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Государству-участнику следует: а) ускорить процедуру предоставления кувейтского гражданства </w:t>
      </w:r>
      <w:r w:rsidR="00D15A6A">
        <w:rPr>
          <w:b/>
          <w:bCs/>
        </w:rPr>
        <w:t>«</w:t>
      </w:r>
      <w:proofErr w:type="spellStart"/>
      <w:r>
        <w:rPr>
          <w:b/>
          <w:bCs/>
        </w:rPr>
        <w:t>бидунам</w:t>
      </w:r>
      <w:proofErr w:type="spellEnd"/>
      <w:r w:rsidR="00D15A6A">
        <w:rPr>
          <w:b/>
          <w:bCs/>
        </w:rPr>
        <w:t>»</w:t>
      </w:r>
      <w:r>
        <w:rPr>
          <w:b/>
          <w:bCs/>
        </w:rPr>
        <w:t>, когда это необходимо;</w:t>
      </w:r>
      <w:r>
        <w:t xml:space="preserve"> </w:t>
      </w:r>
      <w:r>
        <w:rPr>
          <w:b/>
          <w:bCs/>
        </w:rPr>
        <w:t>b) гарантировать право каждого ребенка на приобретение гражданства;</w:t>
      </w:r>
      <w:r>
        <w:t xml:space="preserve"> </w:t>
      </w:r>
      <w:r>
        <w:rPr>
          <w:b/>
          <w:bCs/>
        </w:rPr>
        <w:t xml:space="preserve">с) зарегистрировать всех </w:t>
      </w:r>
      <w:r w:rsidR="00D15A6A">
        <w:rPr>
          <w:b/>
          <w:bCs/>
        </w:rPr>
        <w:t>«</w:t>
      </w:r>
      <w:proofErr w:type="spellStart"/>
      <w:r>
        <w:rPr>
          <w:b/>
          <w:bCs/>
        </w:rPr>
        <w:t>бидунов</w:t>
      </w:r>
      <w:proofErr w:type="spellEnd"/>
      <w:r w:rsidR="00D15A6A">
        <w:rPr>
          <w:b/>
          <w:bCs/>
        </w:rPr>
        <w:t>»</w:t>
      </w:r>
      <w:r>
        <w:rPr>
          <w:b/>
          <w:bCs/>
        </w:rPr>
        <w:t>, проживающих в Кувейте, и обеспечить им недискриминационный доступ к социальным услугам;</w:t>
      </w:r>
      <w:r>
        <w:t xml:space="preserve"> </w:t>
      </w:r>
      <w:r>
        <w:rPr>
          <w:b/>
          <w:bCs/>
        </w:rPr>
        <w:t xml:space="preserve">d) обеспечить, чтобы </w:t>
      </w:r>
      <w:r w:rsidR="00D15A6A">
        <w:rPr>
          <w:b/>
          <w:bCs/>
        </w:rPr>
        <w:t>«</w:t>
      </w:r>
      <w:proofErr w:type="spellStart"/>
      <w:r>
        <w:rPr>
          <w:b/>
          <w:bCs/>
        </w:rPr>
        <w:t>бидуны</w:t>
      </w:r>
      <w:proofErr w:type="spellEnd"/>
      <w:r w:rsidR="00D15A6A">
        <w:rPr>
          <w:b/>
          <w:bCs/>
        </w:rPr>
        <w:t>»</w:t>
      </w:r>
      <w:r>
        <w:rPr>
          <w:b/>
          <w:bCs/>
        </w:rPr>
        <w:t xml:space="preserve"> имели право на свободу передвижения, мирных собраний, мнений и их выражения;</w:t>
      </w:r>
      <w:r>
        <w:t xml:space="preserve"> </w:t>
      </w:r>
      <w:r>
        <w:rPr>
          <w:b/>
          <w:bCs/>
        </w:rPr>
        <w:t xml:space="preserve">e) отказаться от планов предоставлять </w:t>
      </w:r>
      <w:r w:rsidR="00D15A6A">
        <w:rPr>
          <w:b/>
          <w:bCs/>
        </w:rPr>
        <w:t>«</w:t>
      </w:r>
      <w:proofErr w:type="spellStart"/>
      <w:r>
        <w:rPr>
          <w:b/>
          <w:bCs/>
        </w:rPr>
        <w:t>бидунам</w:t>
      </w:r>
      <w:proofErr w:type="spellEnd"/>
      <w:r w:rsidR="00D15A6A">
        <w:rPr>
          <w:b/>
          <w:bCs/>
        </w:rPr>
        <w:t>»</w:t>
      </w:r>
      <w:r>
        <w:rPr>
          <w:b/>
          <w:bCs/>
        </w:rPr>
        <w:t xml:space="preserve"> </w:t>
      </w:r>
      <w:r w:rsidR="00D15A6A">
        <w:rPr>
          <w:b/>
          <w:bCs/>
        </w:rPr>
        <w:t>«</w:t>
      </w:r>
      <w:r>
        <w:rPr>
          <w:b/>
          <w:bCs/>
        </w:rPr>
        <w:t>экономическое гражданство</w:t>
      </w:r>
      <w:r w:rsidR="00D15A6A">
        <w:rPr>
          <w:b/>
          <w:bCs/>
        </w:rPr>
        <w:t>»</w:t>
      </w:r>
      <w:r>
        <w:rPr>
          <w:b/>
          <w:bCs/>
        </w:rPr>
        <w:t xml:space="preserve"> другой страны в обмен на получение постоянного вида на жительство в Кувейте;</w:t>
      </w:r>
      <w:r>
        <w:t xml:space="preserve"> </w:t>
      </w:r>
      <w:r>
        <w:rPr>
          <w:b/>
          <w:bCs/>
        </w:rPr>
        <w:t>и</w:t>
      </w:r>
      <w:r w:rsidR="00D15A6A">
        <w:rPr>
          <w:b/>
          <w:bCs/>
        </w:rPr>
        <w:t> </w:t>
      </w:r>
      <w:r>
        <w:rPr>
          <w:b/>
          <w:bCs/>
        </w:rPr>
        <w:t>f)</w:t>
      </w:r>
      <w:r w:rsidR="00D15A6A">
        <w:rPr>
          <w:b/>
          <w:bCs/>
        </w:rPr>
        <w:t> </w:t>
      </w:r>
      <w:r>
        <w:rPr>
          <w:b/>
          <w:bCs/>
        </w:rPr>
        <w:t xml:space="preserve">рассмотреть вопрос о присоединении к Конвенции 1954 года о статусе апатридов и к Конвенции 1961 года о сокращении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>, а также обеспечить выполнение соответствующих обязательств в рамках внутреннего законодательства государства-участника.</w:t>
      </w:r>
    </w:p>
    <w:p w:rsidR="001669BB" w:rsidRPr="00654105" w:rsidRDefault="001669BB" w:rsidP="001669BB">
      <w:pPr>
        <w:pStyle w:val="H23G"/>
      </w:pPr>
      <w:bookmarkStart w:id="1" w:name="_Toc506807557"/>
      <w:r>
        <w:lastRenderedPageBreak/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  <w:bookmarkEnd w:id="1"/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В Кувейте лиц без гражданства или так называемых </w:t>
      </w:r>
      <w:r w:rsidR="00D15A6A">
        <w:t>«</w:t>
      </w:r>
      <w:proofErr w:type="spellStart"/>
      <w:r>
        <w:t>бидунов</w:t>
      </w:r>
      <w:proofErr w:type="spellEnd"/>
      <w:r w:rsidR="00D15A6A">
        <w:t>»</w:t>
      </w:r>
      <w:r>
        <w:t xml:space="preserve"> нет; эти термины относятся к лицам, не имеющим гражданства, и не применимы к лицам, которые въехали в Кувейт нелегально и скрыли документы, свидетельствующие об их первоначальном гражданстве, ради приобретения кувейтского гражданства (</w:t>
      </w:r>
      <w:r w:rsidR="00D15A6A">
        <w:t>в </w:t>
      </w:r>
      <w:r>
        <w:t xml:space="preserve">соответствии с Указом № 467/2010 они официально считаются в Кувейте нелегальными резидентами). 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 xml:space="preserve">Ответ, относящийся к пункту </w:t>
      </w:r>
      <w:proofErr w:type="gramStart"/>
      <w:r>
        <w:rPr>
          <w:iCs/>
        </w:rPr>
        <w:t>11</w:t>
      </w:r>
      <w:proofErr w:type="gramEnd"/>
      <w:r>
        <w:rPr>
          <w:iCs/>
        </w:rPr>
        <w:t xml:space="preserve"> а)</w:t>
      </w:r>
    </w:p>
    <w:p w:rsidR="001669BB" w:rsidRPr="00654105" w:rsidRDefault="001669BB" w:rsidP="001669BB">
      <w:pPr>
        <w:pStyle w:val="SingleTxtG"/>
      </w:pPr>
      <w:r>
        <w:tab/>
      </w:r>
      <w:r>
        <w:tab/>
        <w:t>Государство-участник подтверждает информацию, содержащуюся в его ответах на перечень вопросов (CCPR/C/KWT/Q/3/Add.1, стр. 4 английского текста) в отношении предоставления гражданства, которое является вопросом суверенитета.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Ответ, относящийся к пункту 11 b)</w:t>
      </w:r>
    </w:p>
    <w:p w:rsidR="001669BB" w:rsidRPr="00654105" w:rsidRDefault="001669BB" w:rsidP="001669BB">
      <w:pPr>
        <w:pStyle w:val="SingleTxtG"/>
        <w:jc w:val="lowKashida"/>
      </w:pPr>
      <w:r>
        <w:tab/>
      </w:r>
      <w:r>
        <w:tab/>
        <w:t xml:space="preserve">Государство-участник подтверждает информацию, содержащуюся в его ответах на перечень вопросов (CCPR/C/KWT/Q/3/Add.1, стр. 4 английского текста) о поправках к Закону о гражданстве 1959 года, которые распространили право на гражданство на некоторые категории лиц (законы № 11 1998 года и № 21 2000 года) и о последующей натурализации около 16 000 нелегальных резидентов. 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Ответ, относящийся к пункту 11 с)</w:t>
      </w:r>
    </w:p>
    <w:p w:rsidR="001669BB" w:rsidRPr="00654105" w:rsidRDefault="001669BB" w:rsidP="001669BB">
      <w:pPr>
        <w:pStyle w:val="SingleTxtG"/>
      </w:pPr>
      <w:r>
        <w:tab/>
      </w:r>
      <w:r>
        <w:tab/>
        <w:t>Всем зарегистрированным нелегальным резидентам выдаются карточки с личными данными и номером досье, которые дают им право на доступ ко всем перечисленным в постановлении № 409/2011 Совета министров услугам, учреждениям и возможностям, таким как бесплатное медицинское обслуживание и образование, официальные документы и продовольственные карточки, трудоустройство, уход за инвалидами и жилищные услуги. Представлены данные, в частности, об услугах, оказанных в период с января по ноябрь 2016 года.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Ответ, относящийся к пункту 11 d)</w:t>
      </w:r>
    </w:p>
    <w:p w:rsidR="001669BB" w:rsidRPr="00654105" w:rsidRDefault="001669BB" w:rsidP="001669BB">
      <w:pPr>
        <w:pStyle w:val="SingleTxtG"/>
      </w:pPr>
      <w:r>
        <w:tab/>
      </w:r>
      <w:r>
        <w:tab/>
        <w:t>Нелегальные резиденты получают водительские права и паспорта, выдаваемые им для совершения большого (хадж) или малого (</w:t>
      </w:r>
      <w:proofErr w:type="spellStart"/>
      <w:r>
        <w:t>умра</w:t>
      </w:r>
      <w:proofErr w:type="spellEnd"/>
      <w:r>
        <w:t xml:space="preserve">) паломничества, обучения или лечения за границей. Они имеют право на свободу выражения мнений в средствах массовой информации без каких-либо ограничений, кроме тех, которые предусмотрены законом. 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В законе не проводится различие между кувейтскими гражданами и нелегальными резидентами при осуществлении ими права на мирные собрания, и они могут выражать свои мнения при условии, что при этом соблюдается принцип верховенства права. Многие нелегальные резиденты фактически пользовались такими правами под защитой сил безопасности. 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Ответ, относящийся к пункту 11 е)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Институт </w:t>
      </w:r>
      <w:r w:rsidR="00D15A6A">
        <w:t>«</w:t>
      </w:r>
      <w:r>
        <w:t>экономического гражданства</w:t>
      </w:r>
      <w:r w:rsidR="00D15A6A">
        <w:t>»</w:t>
      </w:r>
      <w:r>
        <w:t xml:space="preserve"> является предлагаемой многими государствами в целях привлечения инвестиций опцией, которая не запрещена международным правом и не противоречит ему. 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Ответ, относящийся к пункту 11 f)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Что касается возможного применения к нелегальным резидентам положений двух конвенций о </w:t>
      </w:r>
      <w:proofErr w:type="spellStart"/>
      <w:r>
        <w:t>безгражданстве</w:t>
      </w:r>
      <w:proofErr w:type="spellEnd"/>
      <w:r>
        <w:t xml:space="preserve">, то государство-участник ссылается на концептуальные и правовые различия между лицами без гражданства и нелегальными резидентами и вновь заявляет, что нелегальными резидентами являются лица, которые въехали в Кувейт нелегально, скрыв документы, подтверждавшие их гражданство, ради получения кувейтского гражданства, о чем свидетельствует тот факт, что около 8 000 нелегальных резидентов скорректировали свой статус и представили свои первоначальные документы, подтверждающие гражданство других стран. </w:t>
      </w:r>
    </w:p>
    <w:p w:rsidR="001669BB" w:rsidRPr="00654105" w:rsidRDefault="001669BB" w:rsidP="001669BB">
      <w:pPr>
        <w:pStyle w:val="H23G"/>
      </w:pPr>
      <w:bookmarkStart w:id="2" w:name="_Toc506807558"/>
      <w:r>
        <w:tab/>
      </w:r>
      <w:r>
        <w:tab/>
      </w:r>
      <w:r>
        <w:rPr>
          <w:bCs/>
        </w:rPr>
        <w:t>Информация, полученная от неправительственных организаций</w:t>
      </w:r>
      <w:bookmarkEnd w:id="2"/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Термин </w:t>
      </w:r>
      <w:r w:rsidR="00D15A6A">
        <w:t>«</w:t>
      </w:r>
      <w:proofErr w:type="spellStart"/>
      <w:r>
        <w:t>бидун</w:t>
      </w:r>
      <w:proofErr w:type="spellEnd"/>
      <w:r w:rsidR="00D15A6A">
        <w:t>»</w:t>
      </w:r>
      <w:r>
        <w:t xml:space="preserve"> относится к лицам, которые на момент обретения независимости не имели кувейтского гражданства. В 1961 году около трети населения получили гражданство, еще одна треть натурал</w:t>
      </w:r>
      <w:r w:rsidR="00D15A6A">
        <w:t>изовалась в качестве граждан, а </w:t>
      </w:r>
      <w:r>
        <w:t xml:space="preserve">остальные считались </w:t>
      </w:r>
      <w:r w:rsidR="00D15A6A">
        <w:t>«</w:t>
      </w:r>
      <w:proofErr w:type="spellStart"/>
      <w:r>
        <w:t>бидун</w:t>
      </w:r>
      <w:proofErr w:type="spellEnd"/>
      <w:r>
        <w:t xml:space="preserve"> </w:t>
      </w:r>
      <w:proofErr w:type="spellStart"/>
      <w:r>
        <w:t>джинсия</w:t>
      </w:r>
      <w:proofErr w:type="spellEnd"/>
      <w:r w:rsidR="002044C4">
        <w:t>»</w:t>
      </w:r>
      <w:r>
        <w:t xml:space="preserve"> (лицами </w:t>
      </w:r>
      <w:r w:rsidR="00D15A6A">
        <w:t>«</w:t>
      </w:r>
      <w:r>
        <w:t>без гражданства</w:t>
      </w:r>
      <w:r w:rsidR="00D15A6A">
        <w:t>»</w:t>
      </w:r>
      <w:r>
        <w:t xml:space="preserve">). Кувейт начал квалифицировать эту категорию лиц без гражданства как нелегальных резидентов, особенно после операции </w:t>
      </w:r>
      <w:r w:rsidR="00D15A6A">
        <w:t>«</w:t>
      </w:r>
      <w:r>
        <w:t>Буря в пустыне</w:t>
      </w:r>
      <w:r w:rsidR="00D15A6A">
        <w:t>»</w:t>
      </w:r>
      <w:r>
        <w:t xml:space="preserve"> (1991 год). Ему не следует считать всех лиц без гражданства нелегальными резидентами и не следует отклонять рекомендации по улучшению их положения.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Вызывает сожаление то, что государство ссылается на свое суверенное право принимать решения по вопросам гражданства, чтобы отклонять рекомендации, изложенные в </w:t>
      </w:r>
      <w:proofErr w:type="gramStart"/>
      <w:r>
        <w:t>подпунктах</w:t>
      </w:r>
      <w:proofErr w:type="gramEnd"/>
      <w:r>
        <w:t xml:space="preserve"> а), с) и е) пункта 11, и не берет на себя ответственность за содействие приобретению </w:t>
      </w:r>
      <w:r w:rsidR="00D15A6A">
        <w:t>«</w:t>
      </w:r>
      <w:proofErr w:type="spellStart"/>
      <w:r>
        <w:t>бидунами</w:t>
      </w:r>
      <w:proofErr w:type="spellEnd"/>
      <w:r w:rsidR="00D15A6A">
        <w:t>»</w:t>
      </w:r>
      <w:r>
        <w:t xml:space="preserve"> </w:t>
      </w:r>
      <w:r w:rsidR="00D15A6A">
        <w:t>–</w:t>
      </w:r>
      <w:r>
        <w:t xml:space="preserve"> с нарушениями </w:t>
      </w:r>
      <w:r w:rsidR="00D15A6A">
        <w:t>–</w:t>
      </w:r>
      <w:r>
        <w:t xml:space="preserve"> </w:t>
      </w:r>
      <w:r w:rsidR="00D15A6A">
        <w:t>«</w:t>
      </w:r>
      <w:r>
        <w:t>экономического гражданства</w:t>
      </w:r>
      <w:r w:rsidR="00D15A6A">
        <w:t>»</w:t>
      </w:r>
      <w:r>
        <w:t xml:space="preserve"> третьих стран.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Ответ, относящийся к пункту 11 d)</w:t>
      </w:r>
      <w:r>
        <w:t xml:space="preserve"> 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Заявления государства-участника о свободе выражения мнений и мирных собраний нелегальных резидентов и отсутствии дискриминации при осуществлении этих прав противоречат статье 12 Закона 1979 года о публичных собраниях, которая запрещает </w:t>
      </w:r>
      <w:proofErr w:type="spellStart"/>
      <w:r>
        <w:t>негражданам</w:t>
      </w:r>
      <w:proofErr w:type="spellEnd"/>
      <w:r>
        <w:t xml:space="preserve"> участвовать в публичных собраниях.</w:t>
      </w:r>
    </w:p>
    <w:p w:rsidR="001669BB" w:rsidRPr="00654105" w:rsidRDefault="001669BB" w:rsidP="001669BB">
      <w:pPr>
        <w:pStyle w:val="H23G"/>
      </w:pPr>
      <w:bookmarkStart w:id="3" w:name="_Toc506807559"/>
      <w:r>
        <w:tab/>
      </w:r>
      <w:r>
        <w:tab/>
      </w:r>
      <w:r>
        <w:rPr>
          <w:bCs/>
        </w:rPr>
        <w:t>Оценка Комитета:</w:t>
      </w:r>
      <w:bookmarkEnd w:id="3"/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Е</w:t>
      </w:r>
      <w:r w:rsidRPr="00D15A6A">
        <w:rPr>
          <w:b/>
        </w:rPr>
        <w:t>]</w:t>
      </w:r>
      <w:r>
        <w:t xml:space="preserve"> а): Признавая суверенные права государства-участника в отношении предоставления гражданства, Комитет выражает сожаление по поводу того, что государство-участник продолжает отрицать существование </w:t>
      </w:r>
      <w:r w:rsidR="00D15A6A">
        <w:t>«</w:t>
      </w:r>
      <w:proofErr w:type="spellStart"/>
      <w:r>
        <w:t>бидунов</w:t>
      </w:r>
      <w:proofErr w:type="spellEnd"/>
      <w:r w:rsidR="00D15A6A">
        <w:t>»</w:t>
      </w:r>
      <w:r>
        <w:t xml:space="preserve">, лиц без гражданства, и считает их всех, а не только тех, кто нелегально въехал в Кувейт, скрыв документы с указанием их гражданства ради получения кувейтского гражданства, нелегальными резидентами, хотя некоторые из них не имеют отношения ни к какой другой стране, кроме Кувейта. Комитет также выражает сожаление по поводу того, что со времени принятия заключительных замечаний государство-участник не поделилось информацией о мерах, принятых по предоставлению, в соответствующих случаях, гражданства </w:t>
      </w:r>
      <w:r w:rsidR="00D15A6A">
        <w:t>«</w:t>
      </w:r>
      <w:proofErr w:type="spellStart"/>
      <w:r>
        <w:t>бидунам</w:t>
      </w:r>
      <w:proofErr w:type="spellEnd"/>
      <w:r w:rsidR="00D15A6A">
        <w:t>»</w:t>
      </w:r>
      <w:r>
        <w:t xml:space="preserve"> и достигнутом в этом деле прогрессе. Комитет повторяет свою рекомендацию. </w:t>
      </w:r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C</w:t>
      </w:r>
      <w:r w:rsidRPr="00D15A6A">
        <w:rPr>
          <w:b/>
        </w:rPr>
        <w:t>]</w:t>
      </w:r>
      <w:r>
        <w:t xml:space="preserve"> b): Комитет отмечает, что упомянутые государством-участником поправки к Закону о гражданстве 1959 года были приняты до принятия заключительных замечаний, и выражает сожаление по поводу отсутствия информации о конкретных мерах, принятых после принятия заключительных замечаний для обеспечения права каждого ребенка на приобретение гражданства. Комитет повторяет свою рекомендацию.</w:t>
      </w:r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В</w:t>
      </w:r>
      <w:r w:rsidRPr="00D15A6A">
        <w:rPr>
          <w:b/>
        </w:rPr>
        <w:t>]</w:t>
      </w:r>
      <w:r>
        <w:t xml:space="preserve"> с): Комитет высоко оценивает информацию об услугах и возможностях, предоставляемых зарегистрированным нелегальным резидентам; однако ему требуется информация о мерах, принятых после принятия заключительных замечаний Комитета для регистрации всех </w:t>
      </w:r>
      <w:r w:rsidR="00D15A6A">
        <w:t>«</w:t>
      </w:r>
      <w:proofErr w:type="spellStart"/>
      <w:r>
        <w:t>бидунов</w:t>
      </w:r>
      <w:proofErr w:type="spellEnd"/>
      <w:r w:rsidR="00D15A6A">
        <w:t>»</w:t>
      </w:r>
      <w:r>
        <w:t>, прожива</w:t>
      </w:r>
      <w:r w:rsidR="002044C4">
        <w:t>ющих в государстве-участнике, и </w:t>
      </w:r>
      <w:r>
        <w:t xml:space="preserve">для обеспечения недискриминационного доступа к социальным услугам для всех. </w:t>
      </w:r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C</w:t>
      </w:r>
      <w:r w:rsidRPr="00D15A6A">
        <w:rPr>
          <w:b/>
        </w:rPr>
        <w:t>]</w:t>
      </w:r>
      <w:r>
        <w:t xml:space="preserve"> d): Принимая к сведению предоставленную общую информацию о выдаче водительских прав и паспортов и об осуществлении </w:t>
      </w:r>
      <w:r w:rsidR="00D15A6A">
        <w:t>«</w:t>
      </w:r>
      <w:proofErr w:type="spellStart"/>
      <w:r>
        <w:t>бидунами</w:t>
      </w:r>
      <w:proofErr w:type="spellEnd"/>
      <w:r w:rsidR="00D15A6A">
        <w:t>»</w:t>
      </w:r>
      <w:r>
        <w:t xml:space="preserve"> свободы передвижения, выражения мнений и мирных собраний, Комитет выражает сожаление в связи с тем, что не было предоставлено никакой конкретной информации в отношении</w:t>
      </w:r>
      <w:r w:rsidR="002044C4">
        <w:t>:</w:t>
      </w:r>
      <w:r>
        <w:t xml:space="preserve"> а) того, можно ли на практике использовать эти паспорта для целей иных, чем поездки за рубеж на учебу и на лечение или цел</w:t>
      </w:r>
      <w:r w:rsidR="00D15A6A">
        <w:t>ью совершения паломничества; b) </w:t>
      </w:r>
      <w:r>
        <w:t xml:space="preserve">совместимости со статьями 19 (3) и 21 Пакта ограничений, введенных в отношении осуществления свободы выражения мнений и мирных собраний, в частности с учетом того, что статья 12 Закона 1979 года о публичных собраниях, запрещающая участие в публичных собраниях </w:t>
      </w:r>
      <w:proofErr w:type="spellStart"/>
      <w:r>
        <w:t>неграждан</w:t>
      </w:r>
      <w:proofErr w:type="spellEnd"/>
      <w:r>
        <w:t xml:space="preserve">, остается в силе. Комитет повторяет свою рекомендацию. </w:t>
      </w:r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E</w:t>
      </w:r>
      <w:r w:rsidRPr="00D15A6A">
        <w:rPr>
          <w:b/>
        </w:rPr>
        <w:t>]</w:t>
      </w:r>
      <w:r>
        <w:t xml:space="preserve"> e)</w:t>
      </w:r>
      <w:r w:rsidR="002044C4">
        <w:t>:</w:t>
      </w:r>
      <w:r>
        <w:t xml:space="preserve"> Комитет выражает сожаление по поводу того, что государство-участник, как представляется, не отказалось от планов предоставить </w:t>
      </w:r>
      <w:r w:rsidR="00D15A6A">
        <w:t>«</w:t>
      </w:r>
      <w:proofErr w:type="spellStart"/>
      <w:r>
        <w:t>бидунам</w:t>
      </w:r>
      <w:proofErr w:type="spellEnd"/>
      <w:r w:rsidR="00D15A6A">
        <w:t>»</w:t>
      </w:r>
      <w:r>
        <w:t xml:space="preserve"> возможность получить </w:t>
      </w:r>
      <w:r w:rsidR="00D15A6A">
        <w:t>«</w:t>
      </w:r>
      <w:r>
        <w:t>экономическое гражданство</w:t>
      </w:r>
      <w:r w:rsidR="00D15A6A">
        <w:t>»</w:t>
      </w:r>
      <w:r>
        <w:t xml:space="preserve"> другой страны. Ему требуется информация о любых соответствующих изменениях, в том числе о мерах по обеспечению полного соблюдения закрепленных в Пакте прав </w:t>
      </w:r>
      <w:r w:rsidR="00D15A6A">
        <w:t>«</w:t>
      </w:r>
      <w:proofErr w:type="spellStart"/>
      <w:r>
        <w:t>бидунов</w:t>
      </w:r>
      <w:proofErr w:type="spellEnd"/>
      <w:r w:rsidR="00D15A6A">
        <w:t>»</w:t>
      </w:r>
      <w:r>
        <w:t xml:space="preserve">. Комитет повторяет свою рекомендацию. </w:t>
      </w:r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E</w:t>
      </w:r>
      <w:r w:rsidRPr="00D15A6A">
        <w:rPr>
          <w:b/>
        </w:rPr>
        <w:t>]</w:t>
      </w:r>
      <w:r>
        <w:t xml:space="preserve"> f): Сознавая различие между лицами без гражданства и нелегальными резидентами, Комитет выражает сожаление по поводу того, что в своем ответе на рекомендацию, изложенную в пункте 11 f), государство-участник, как представляется, сохраняет свою позицию в отношении </w:t>
      </w:r>
      <w:r w:rsidR="00D15A6A">
        <w:t>«</w:t>
      </w:r>
      <w:proofErr w:type="spellStart"/>
      <w:r>
        <w:t>бидунов</w:t>
      </w:r>
      <w:proofErr w:type="spellEnd"/>
      <w:r w:rsidR="00D15A6A">
        <w:t>»</w:t>
      </w:r>
      <w:r>
        <w:t xml:space="preserve">, лиц без гражданства, и в результате этого делает вывод о том, что присоединение к Конвенции 1954 года о статусе апатридов и Конвенции 1961 года о сокращении </w:t>
      </w:r>
      <w:proofErr w:type="spellStart"/>
      <w:r>
        <w:t>безгражданства</w:t>
      </w:r>
      <w:proofErr w:type="spellEnd"/>
      <w:r>
        <w:t xml:space="preserve"> неуместно с юридической точки зрения. Комитет повторяет свою рекомендацию. </w:t>
      </w:r>
    </w:p>
    <w:p w:rsidR="001669BB" w:rsidRPr="00654105" w:rsidRDefault="001669BB" w:rsidP="001669BB">
      <w:pPr>
        <w:pStyle w:val="H23G"/>
      </w:pPr>
      <w:r>
        <w:tab/>
      </w:r>
      <w:r>
        <w:tab/>
      </w:r>
      <w:r>
        <w:rPr>
          <w:bCs/>
        </w:rPr>
        <w:t>Пункт 43: Свобода мирных собраний и чрезмерное применение силы</w:t>
      </w:r>
    </w:p>
    <w:p w:rsidR="001669BB" w:rsidRPr="00654105" w:rsidRDefault="001669BB" w:rsidP="001669B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a) обеспечить, чтобы пользование правом на мирные собрания не подлежало никаким ограничениям, кроме тех, которые являются допустимыми по Пакту;</w:t>
      </w:r>
      <w:r>
        <w:t xml:space="preserve"> </w:t>
      </w:r>
      <w:r>
        <w:rPr>
          <w:b/>
          <w:bCs/>
        </w:rPr>
        <w:t>b) расследовать все утверждения о применении чрезмерной силы сотрудниками служб безопасности, а также обеспечить, чтобы виновные привлекались к ответственности, а жертвы получали надлежащую компенсацию;</w:t>
      </w:r>
      <w:r>
        <w:t xml:space="preserve"> </w:t>
      </w:r>
      <w:r>
        <w:rPr>
          <w:b/>
          <w:bCs/>
        </w:rPr>
        <w:t>c) активизировать усилия, направленные на организацию систематической профессиональной подготовки для всех сотрудников служб безопасности по вопросам применения силы, в частности в контексте демонстраций, принимая во внимание Основные принципы применения силы и огнестрельного оружия должностными лицами по поддержанию правопорядка.</w:t>
      </w:r>
    </w:p>
    <w:p w:rsidR="001669BB" w:rsidRPr="00654105" w:rsidRDefault="001669BB" w:rsidP="001669BB">
      <w:pPr>
        <w:pStyle w:val="H23G"/>
      </w:pPr>
      <w:bookmarkStart w:id="4" w:name="_Toc506807561"/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  <w:bookmarkEnd w:id="4"/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 xml:space="preserve">Ответ, относящийся к пункту </w:t>
      </w:r>
      <w:proofErr w:type="gramStart"/>
      <w:r>
        <w:rPr>
          <w:iCs/>
        </w:rPr>
        <w:t>43</w:t>
      </w:r>
      <w:proofErr w:type="gramEnd"/>
      <w:r>
        <w:rPr>
          <w:iCs/>
        </w:rPr>
        <w:t xml:space="preserve"> а)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Согласно статье 34 Закона № 31 1970 года о внесении поправок в некоторые положения Уголовного кодекса 1960 года демонстрации или собрания, проводимые без официального разрешения и в нарушение применимых процедур, квалифицируются как преступление. </w:t>
      </w:r>
    </w:p>
    <w:p w:rsidR="001669BB" w:rsidRPr="00654105" w:rsidRDefault="001669BB" w:rsidP="001669BB">
      <w:pPr>
        <w:pStyle w:val="SingleTxtG"/>
      </w:pPr>
      <w:r>
        <w:tab/>
      </w:r>
      <w:r>
        <w:tab/>
        <w:t>Представлена информация об обстоятельствах</w:t>
      </w:r>
      <w:r w:rsidR="002044C4">
        <w:t>, требующих разгона собрания, о </w:t>
      </w:r>
      <w:r>
        <w:t>последующих действиях в случае несоблюдения установленных правил, таких как санкционированное применение силы и арест ли</w:t>
      </w:r>
      <w:r w:rsidR="002044C4">
        <w:t>ц, оказывающих сопротивление, а </w:t>
      </w:r>
      <w:r>
        <w:t>также о процедурах применения в крайних случаях шумовых гранат и слезоточивого газа в целях борьбы с массовыми беспорядками. Постановлением № 24/2014 Министерства внутренних дел утверждены Основные принципы применения силы и огнестрельного оружия должнос</w:t>
      </w:r>
      <w:bookmarkStart w:id="5" w:name="_GoBack"/>
      <w:bookmarkEnd w:id="5"/>
      <w:r>
        <w:t>тными лицами</w:t>
      </w:r>
      <w:r w:rsidR="002044C4">
        <w:t xml:space="preserve"> по поддержанию правопорядка, и </w:t>
      </w:r>
      <w:r>
        <w:t xml:space="preserve">применение силы ограничивается исключительными случаями, когда это абсолютно необходимо. Во время разгона демонстраций применяется только не приводящие к смерти, но нейтрализующие виды оружия. 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В постановлении № 33 Министерства 2001 года конкретно оговариваются случаи применения огнестрельного оружия, в том числе для разгона собрания или демонстрации с участием семи или более человек, которые планируют совершить преступление или могут создать угрозу общественной безопасности, если толпа не расходится в ответ на предупреждение </w:t>
      </w:r>
      <w:proofErr w:type="gramStart"/>
      <w:r>
        <w:t>и</w:t>
      </w:r>
      <w:proofErr w:type="gramEnd"/>
      <w:r>
        <w:t xml:space="preserve"> если попытки разогнать их другими средствами окажутся безуспешными. 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Ответ, относящийся к пункту 43 с)</w:t>
      </w:r>
      <w:r>
        <w:t xml:space="preserve"> </w:t>
      </w:r>
    </w:p>
    <w:p w:rsidR="001669BB" w:rsidRPr="00654105" w:rsidRDefault="001669BB" w:rsidP="001669BB">
      <w:pPr>
        <w:pStyle w:val="SingleTxtG"/>
      </w:pPr>
      <w:r>
        <w:tab/>
      </w:r>
      <w:r>
        <w:tab/>
        <w:t>Сотрудники Главного управления Специальной службы безопасности проходят подготовку, в частности по вопросам применения силы в соответствии с принципами необходимости и соразмерности и применения ненасильственных средств, и им разрешается носить оружие только после прохождения специальной подготовки.</w:t>
      </w:r>
    </w:p>
    <w:p w:rsidR="001669BB" w:rsidRPr="00654105" w:rsidRDefault="001669BB" w:rsidP="001669BB">
      <w:pPr>
        <w:pStyle w:val="H23G"/>
      </w:pPr>
      <w:r>
        <w:tab/>
      </w:r>
      <w:r>
        <w:tab/>
      </w:r>
      <w:r>
        <w:rPr>
          <w:bCs/>
        </w:rPr>
        <w:t>Информация, полученная от неправительственных организаций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 xml:space="preserve">Информация, относящаяся к пункту </w:t>
      </w:r>
      <w:proofErr w:type="gramStart"/>
      <w:r>
        <w:rPr>
          <w:iCs/>
        </w:rPr>
        <w:t>43</w:t>
      </w:r>
      <w:proofErr w:type="gramEnd"/>
      <w:r>
        <w:rPr>
          <w:iCs/>
        </w:rPr>
        <w:t xml:space="preserve"> а)</w:t>
      </w:r>
      <w:r>
        <w:t xml:space="preserve"> 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Статья 12 Закона о публичных собраниях запрещает </w:t>
      </w:r>
      <w:proofErr w:type="spellStart"/>
      <w:r>
        <w:t>негражданам</w:t>
      </w:r>
      <w:proofErr w:type="spellEnd"/>
      <w:r>
        <w:t xml:space="preserve"> участвовать в публичных собраниях, а статья 16 запрещает публичные собрания без получения разрешения до их проведения (что также запрещено Уголовным кодексом) и предусматривает наказание в виде лишения свободы на срок до двух лет. 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Информация, относящаяся к пункту 43 b)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Государство-участник не предоставило информацию о расследованиях и преследованиях или компенсации ущерба в случаях чрезмерного применения силы сотрудниками правоохранительных органов. </w:t>
      </w:r>
    </w:p>
    <w:p w:rsidR="001669BB" w:rsidRPr="00654105" w:rsidRDefault="001669BB" w:rsidP="001669BB">
      <w:pPr>
        <w:pStyle w:val="H23G"/>
      </w:pPr>
      <w:bookmarkStart w:id="6" w:name="_Toc506807562"/>
      <w:r>
        <w:tab/>
      </w:r>
      <w:r>
        <w:tab/>
      </w:r>
      <w:r>
        <w:rPr>
          <w:bCs/>
        </w:rPr>
        <w:t>Оценка Комитета</w:t>
      </w:r>
      <w:bookmarkEnd w:id="6"/>
    </w:p>
    <w:p w:rsidR="001669BB" w:rsidRPr="006247AB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C</w:t>
      </w:r>
      <w:r w:rsidRPr="00D15A6A">
        <w:rPr>
          <w:b/>
        </w:rPr>
        <w:t>]</w:t>
      </w:r>
      <w:r>
        <w:t xml:space="preserve"> а) и b): Комитет принимает к сведению информацию о регулировании свободы собраний, но выражает сожаление по поводу того, что в ответе государства-участника право на собрания рассматривается в основном с точки зрения преступной деятельности. Оно не приводит информацию о мерах, принятых после принятия заключительных замечаний Комитета для обеспечения того, чтобы осуществление права на мирные собрания не подвергалось ограни</w:t>
      </w:r>
      <w:r w:rsidR="00D15A6A">
        <w:t>чениям, противоречащим Пакту, в </w:t>
      </w:r>
      <w:r>
        <w:t xml:space="preserve">том числе в отношении требования о получении предварительного разрешения Министерства внутренних дел на проведение публичных собраний и запрета на участие в них </w:t>
      </w:r>
      <w:proofErr w:type="spellStart"/>
      <w:r>
        <w:t>неграждан</w:t>
      </w:r>
      <w:proofErr w:type="spellEnd"/>
      <w:r>
        <w:t xml:space="preserve"> (статья 12 Закона о публичных собраниях). Комитету необходимы такие сведения, а также конкретная информация об осуществлении на практике существующих правил и процедур для предотвращения чрезмерного применения силы в контексте демонстраций, а также разъяснение в отношении того, каким образом применение огнестрельного оружия </w:t>
      </w:r>
      <w:r w:rsidR="00D15A6A">
        <w:t>в соответствии с постановлением </w:t>
      </w:r>
      <w:r>
        <w:t>№ 33 Министерства для разгона собрания или демонстрации лиц, планирующих совершить преступление или создающих угрозу общественной безопасности, соответствует Основным принципам применения силы и огнестрельного оружия должностными лицами</w:t>
      </w:r>
      <w:r w:rsidR="00D15A6A">
        <w:t xml:space="preserve"> по поддержанию правопорядка, в </w:t>
      </w:r>
      <w:r>
        <w:t xml:space="preserve">частности принципу 14. Комитет повторяет свою рекомендацию. 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Комитет выражает сожаление по поводу отсутствия информации о расследовании всех утверждений о чрезмерном применении силы сотрудниками сил безопасности, а также об обеспечении судебного преследования виновных и адекватной компенсации жертвам и просит представить такую информацию. Комитет повторяет свою рекомендацию. </w:t>
      </w:r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В</w:t>
      </w:r>
      <w:r w:rsidRPr="00D15A6A">
        <w:rPr>
          <w:b/>
        </w:rPr>
        <w:t>]</w:t>
      </w:r>
      <w:r>
        <w:t xml:space="preserve"> с): Комитет принимает к сведению предоставленную информацию о подготовке сотрудников сил безопасности по вопросам применения силы, однако просит предоставить дополнительную информацию о продолжительности и периодичности подготовки по этому вопросу, числе лиц, прошедших подготовку после принятия заключительных замечаний, и пояснить, является ли такая подготовка обязательной только для сотрудников Главного управления Специальных сил безопасности или она также является обязательной для других сотрудников правоохранительных органов. </w:t>
      </w:r>
    </w:p>
    <w:p w:rsidR="001669BB" w:rsidRPr="00654105" w:rsidRDefault="001669BB" w:rsidP="001669BB">
      <w:pPr>
        <w:pStyle w:val="H23G"/>
      </w:pPr>
      <w:r>
        <w:tab/>
      </w:r>
      <w:r>
        <w:tab/>
      </w:r>
      <w:r>
        <w:rPr>
          <w:bCs/>
        </w:rPr>
        <w:t>Пункт 45: Свобода ассоциации</w:t>
      </w:r>
      <w:r>
        <w:t xml:space="preserve"> </w:t>
      </w:r>
    </w:p>
    <w:p w:rsidR="001669BB" w:rsidRPr="00654105" w:rsidRDefault="001669BB" w:rsidP="001669BB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следует: а) отменить или пересмотреть законы, ограничивающие право на свободу ассоциации, с тем чтобы привести их в соответствие с Пактом;</w:t>
      </w:r>
      <w:r>
        <w:t xml:space="preserve"> </w:t>
      </w:r>
      <w:r>
        <w:rPr>
          <w:b/>
          <w:bCs/>
        </w:rPr>
        <w:t>b) прояснить расплывчатые, широкие и гибкие определения ключевых терминов, употребляемых в этих законах, и принять меры к тому, чтобы они не использовались как инструмент ограничения свободы выражения мнений сверх тех узких ограничен</w:t>
      </w:r>
      <w:r w:rsidR="00D15A6A">
        <w:rPr>
          <w:b/>
          <w:bCs/>
        </w:rPr>
        <w:t>ий, которые допускаются пунктом </w:t>
      </w:r>
      <w:r>
        <w:rPr>
          <w:b/>
          <w:bCs/>
        </w:rPr>
        <w:t>2 статьи 22 Пакта;</w:t>
      </w:r>
      <w:r>
        <w:t xml:space="preserve"> </w:t>
      </w:r>
      <w:r>
        <w:rPr>
          <w:b/>
          <w:bCs/>
        </w:rPr>
        <w:t>и с) обеспечить, чтобы организации гражданского общества могли функционировать без чрезме</w:t>
      </w:r>
      <w:r w:rsidR="00D15A6A">
        <w:rPr>
          <w:b/>
          <w:bCs/>
        </w:rPr>
        <w:t>рного влияния правительства, не </w:t>
      </w:r>
      <w:r>
        <w:rPr>
          <w:b/>
          <w:bCs/>
        </w:rPr>
        <w:t>опасаясь репрессий или незаконных ограничений их деятельности.</w:t>
      </w:r>
      <w:r>
        <w:t xml:space="preserve"> </w:t>
      </w:r>
    </w:p>
    <w:p w:rsidR="001669BB" w:rsidRPr="00654105" w:rsidRDefault="001669BB" w:rsidP="001669BB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 xml:space="preserve">Ответ, относящийся к пункту </w:t>
      </w:r>
      <w:proofErr w:type="gramStart"/>
      <w:r>
        <w:rPr>
          <w:iCs/>
        </w:rPr>
        <w:t>45</w:t>
      </w:r>
      <w:proofErr w:type="gramEnd"/>
      <w:r>
        <w:rPr>
          <w:iCs/>
        </w:rPr>
        <w:t xml:space="preserve"> а)</w:t>
      </w:r>
      <w:r>
        <w:t xml:space="preserve"> </w:t>
      </w:r>
    </w:p>
    <w:p w:rsidR="001669BB" w:rsidRPr="00654105" w:rsidRDefault="001669BB" w:rsidP="001669BB">
      <w:pPr>
        <w:pStyle w:val="SingleTxtG"/>
      </w:pPr>
      <w:r>
        <w:tab/>
      </w:r>
      <w:r>
        <w:tab/>
        <w:t xml:space="preserve">В соответствии со статьей 9 Закона 1962 года о регулировании деятельности общественных клубов и общественных ассоциаций Министерство социальных дел и труда может в месячный срок со дня представления документов отказать в регистрации ассоциации, приведя основания для отказа в регистрации. Оно может вносить поправки в устав ассоциаций, если это будет сочтено отвечающим общественным интересам, при этом такие отказы или поправки могут быть обжалованы. Постановление № 186 Совета министров от 2004 года упростило процедуру регистрации, отменив требование о получении согласия Совета министров на регистрацию ассоциации. </w:t>
      </w:r>
    </w:p>
    <w:p w:rsidR="001669BB" w:rsidRPr="00654105" w:rsidRDefault="001669BB" w:rsidP="001669BB">
      <w:pPr>
        <w:pStyle w:val="H4G"/>
      </w:pPr>
      <w:r>
        <w:tab/>
      </w:r>
      <w:r>
        <w:tab/>
      </w:r>
      <w:r>
        <w:rPr>
          <w:iCs/>
        </w:rPr>
        <w:t>Ответ, относящийся к пункту 45 с)</w:t>
      </w:r>
      <w:r>
        <w:t xml:space="preserve"> </w:t>
      </w:r>
    </w:p>
    <w:p w:rsidR="001669BB" w:rsidRPr="00654105" w:rsidRDefault="001669BB" w:rsidP="001669BB">
      <w:pPr>
        <w:pStyle w:val="SingleTxtG"/>
      </w:pPr>
      <w:r>
        <w:tab/>
      </w:r>
      <w:r>
        <w:tab/>
        <w:t>В сотрудничестве с организациями гражданского общества изучается новый законопроект об общественных ассоциациях, направленный на повышение их роли. Государство помогает ассоциациям участвовать в совещаниях и конференциях и содействует налаживанию партнерских отношений и сотрудничества между государственными учреждениями и организациями гражданского общества в рамках ряда проектов по повышению осведомленности.</w:t>
      </w:r>
    </w:p>
    <w:p w:rsidR="001669BB" w:rsidRPr="00654105" w:rsidRDefault="001669BB" w:rsidP="001669BB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C</w:t>
      </w:r>
      <w:r w:rsidRPr="00D15A6A">
        <w:rPr>
          <w:b/>
        </w:rPr>
        <w:t>]</w:t>
      </w:r>
      <w:r>
        <w:t xml:space="preserve"> a) </w:t>
      </w:r>
      <w:proofErr w:type="spellStart"/>
      <w:r>
        <w:t>and</w:t>
      </w:r>
      <w:proofErr w:type="spellEnd"/>
      <w:r>
        <w:t xml:space="preserve"> b): Комитет выражает сожаление по поводу того, что государство-участник вновь подтвердило существующую процедуру регистрации ассоциаций в соответствии с законом 1962 года и постановлением № 186 Совета министров и меры по упрощению процедуры регистрации без предоставления дополнительной информации и что со времени принятия заключительных замечаний не было принято никаких мер по выполнению рекомендаций Комитета. Комитет повторяет свои рекомендации. </w:t>
      </w:r>
    </w:p>
    <w:p w:rsidR="001669BB" w:rsidRPr="00654105" w:rsidRDefault="001669BB" w:rsidP="001669BB">
      <w:pPr>
        <w:pStyle w:val="SingleTxtG"/>
      </w:pPr>
      <w:r w:rsidRPr="00D15A6A">
        <w:rPr>
          <w:b/>
        </w:rPr>
        <w:t>[</w:t>
      </w:r>
      <w:r w:rsidRPr="00D15A6A">
        <w:rPr>
          <w:b/>
          <w:bCs/>
        </w:rPr>
        <w:t>В</w:t>
      </w:r>
      <w:r w:rsidRPr="00D15A6A">
        <w:rPr>
          <w:b/>
        </w:rPr>
        <w:t>]</w:t>
      </w:r>
      <w:r>
        <w:t xml:space="preserve"> с): Комитет принимает к сведению информацию о новом законопроекте, касающемся общественных ассоциаций, и просит предоставить конкретную информацию о сути нового проекта или недавно принятого закона об общественных ассоциациях, об их совместимости с Пактом и об участии в процессе разработки неправительственных организаций. </w:t>
      </w:r>
    </w:p>
    <w:p w:rsidR="001669BB" w:rsidRPr="00654105" w:rsidRDefault="001669BB" w:rsidP="001669BB">
      <w:pPr>
        <w:pStyle w:val="SingleTxtG"/>
      </w:pPr>
      <w:r>
        <w:rPr>
          <w:b/>
          <w:bCs/>
        </w:rPr>
        <w:t>Рекомендуемые действия</w:t>
      </w:r>
      <w:r w:rsidRPr="00D15A6A">
        <w:rPr>
          <w:b/>
        </w:rPr>
        <w:t>:</w:t>
      </w:r>
      <w:r>
        <w:t xml:space="preserve"> следует направить письмо, извещающее государство-участник о прекращении процедуры последующих действий. Запрашиваемая информация должна быть отражена в следующем периодическом докладе государства-участника.</w:t>
      </w:r>
      <w:bookmarkStart w:id="7" w:name="_Toc506807563"/>
    </w:p>
    <w:p w:rsidR="001669BB" w:rsidRDefault="001669BB" w:rsidP="001669BB">
      <w:pPr>
        <w:pStyle w:val="SingleTxtG"/>
      </w:pPr>
      <w:r>
        <w:rPr>
          <w:b/>
          <w:bCs/>
        </w:rPr>
        <w:t>Дата представления следующего периодического доклада</w:t>
      </w:r>
      <w:r w:rsidRPr="00D15A6A">
        <w:rPr>
          <w:b/>
        </w:rPr>
        <w:t>:</w:t>
      </w:r>
      <w:r>
        <w:t xml:space="preserve"> 15 июля 2020 года.</w:t>
      </w:r>
      <w:bookmarkEnd w:id="7"/>
    </w:p>
    <w:p w:rsidR="001669BB" w:rsidRPr="001669BB" w:rsidRDefault="001669BB" w:rsidP="001669B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669BB" w:rsidRPr="001669BB" w:rsidSect="001669B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5EC" w:rsidRPr="00A312BC" w:rsidRDefault="006135EC" w:rsidP="00A312BC"/>
  </w:endnote>
  <w:endnote w:type="continuationSeparator" w:id="0">
    <w:p w:rsidR="006135EC" w:rsidRPr="00A312BC" w:rsidRDefault="006135E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9BB" w:rsidRPr="001669BB" w:rsidRDefault="001669BB">
    <w:pPr>
      <w:pStyle w:val="a8"/>
    </w:pPr>
    <w:r w:rsidRPr="001669BB">
      <w:rPr>
        <w:b/>
        <w:sz w:val="18"/>
      </w:rPr>
      <w:fldChar w:fldCharType="begin"/>
    </w:r>
    <w:r w:rsidRPr="001669BB">
      <w:rPr>
        <w:b/>
        <w:sz w:val="18"/>
      </w:rPr>
      <w:instrText xml:space="preserve"> PAGE  \* MERGEFORMAT </w:instrText>
    </w:r>
    <w:r w:rsidRPr="001669BB">
      <w:rPr>
        <w:b/>
        <w:sz w:val="18"/>
      </w:rPr>
      <w:fldChar w:fldCharType="separate"/>
    </w:r>
    <w:r w:rsidR="00F44344">
      <w:rPr>
        <w:b/>
        <w:noProof/>
        <w:sz w:val="18"/>
      </w:rPr>
      <w:t>6</w:t>
    </w:r>
    <w:r w:rsidRPr="001669BB">
      <w:rPr>
        <w:b/>
        <w:sz w:val="18"/>
      </w:rPr>
      <w:fldChar w:fldCharType="end"/>
    </w:r>
    <w:r>
      <w:rPr>
        <w:b/>
        <w:sz w:val="18"/>
      </w:rPr>
      <w:tab/>
    </w:r>
    <w:r>
      <w:t>GE.19-07498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9BB" w:rsidRPr="001669BB" w:rsidRDefault="001669BB" w:rsidP="001669BB">
    <w:pPr>
      <w:pStyle w:val="a8"/>
      <w:tabs>
        <w:tab w:val="clear" w:pos="9639"/>
        <w:tab w:val="right" w:pos="9638"/>
      </w:tabs>
      <w:rPr>
        <w:b/>
        <w:sz w:val="18"/>
      </w:rPr>
    </w:pPr>
    <w:r>
      <w:t>GE.19-07498</w:t>
    </w:r>
    <w:r>
      <w:tab/>
    </w:r>
    <w:r w:rsidRPr="001669BB">
      <w:rPr>
        <w:b/>
        <w:sz w:val="18"/>
      </w:rPr>
      <w:fldChar w:fldCharType="begin"/>
    </w:r>
    <w:r w:rsidRPr="001669BB">
      <w:rPr>
        <w:b/>
        <w:sz w:val="18"/>
      </w:rPr>
      <w:instrText xml:space="preserve"> PAGE  \* MERGEFORMAT </w:instrText>
    </w:r>
    <w:r w:rsidRPr="001669BB">
      <w:rPr>
        <w:b/>
        <w:sz w:val="18"/>
      </w:rPr>
      <w:fldChar w:fldCharType="separate"/>
    </w:r>
    <w:r w:rsidR="00F44344">
      <w:rPr>
        <w:b/>
        <w:noProof/>
        <w:sz w:val="18"/>
      </w:rPr>
      <w:t>5</w:t>
    </w:r>
    <w:r w:rsidRPr="001669B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1669BB" w:rsidRDefault="001669BB" w:rsidP="001669B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07498  (</w:t>
    </w:r>
    <w:proofErr w:type="gramEnd"/>
    <w:r>
      <w:t>R)</w:t>
    </w:r>
    <w:r w:rsidR="002044C4">
      <w:t xml:space="preserve">  290519  300519</w:t>
    </w:r>
    <w:r>
      <w:br/>
    </w:r>
    <w:r w:rsidRPr="001669BB">
      <w:rPr>
        <w:rFonts w:ascii="C39T30Lfz" w:hAnsi="C39T30Lfz"/>
        <w:kern w:val="14"/>
        <w:sz w:val="56"/>
      </w:rPr>
      <w:t></w:t>
    </w:r>
    <w:r w:rsidRPr="001669BB">
      <w:rPr>
        <w:rFonts w:ascii="C39T30Lfz" w:hAnsi="C39T30Lfz"/>
        <w:kern w:val="14"/>
        <w:sz w:val="56"/>
      </w:rPr>
      <w:t></w:t>
    </w:r>
    <w:r w:rsidRPr="001669BB">
      <w:rPr>
        <w:rFonts w:ascii="C39T30Lfz" w:hAnsi="C39T30Lfz"/>
        <w:kern w:val="14"/>
        <w:sz w:val="56"/>
      </w:rPr>
      <w:t></w:t>
    </w:r>
    <w:r w:rsidRPr="001669BB">
      <w:rPr>
        <w:rFonts w:ascii="C39T30Lfz" w:hAnsi="C39T30Lfz"/>
        <w:kern w:val="14"/>
        <w:sz w:val="56"/>
      </w:rPr>
      <w:t></w:t>
    </w:r>
    <w:r w:rsidRPr="001669BB">
      <w:rPr>
        <w:rFonts w:ascii="C39T30Lfz" w:hAnsi="C39T30Lfz"/>
        <w:kern w:val="14"/>
        <w:sz w:val="56"/>
      </w:rPr>
      <w:t></w:t>
    </w:r>
    <w:r w:rsidRPr="001669BB">
      <w:rPr>
        <w:rFonts w:ascii="C39T30Lfz" w:hAnsi="C39T30Lfz"/>
        <w:kern w:val="14"/>
        <w:sz w:val="56"/>
      </w:rPr>
      <w:t></w:t>
    </w:r>
    <w:r w:rsidRPr="001669BB">
      <w:rPr>
        <w:rFonts w:ascii="C39T30Lfz" w:hAnsi="C39T30Lfz"/>
        <w:kern w:val="14"/>
        <w:sz w:val="56"/>
      </w:rPr>
      <w:t></w:t>
    </w:r>
    <w:r w:rsidRPr="001669BB">
      <w:rPr>
        <w:rFonts w:ascii="C39T30Lfz" w:hAnsi="C39T30Lfz"/>
        <w:kern w:val="14"/>
        <w:sz w:val="56"/>
      </w:rPr>
      <w:t></w:t>
    </w:r>
    <w:r w:rsidRPr="001669B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5/2/Add.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5/2/Add.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5EC" w:rsidRPr="001075E9" w:rsidRDefault="006135E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135EC" w:rsidRDefault="006135E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669BB" w:rsidRPr="00654105" w:rsidRDefault="001669BB" w:rsidP="001669BB">
      <w:pPr>
        <w:pStyle w:val="ad"/>
      </w:pPr>
      <w:r>
        <w:tab/>
      </w:r>
      <w:r w:rsidRPr="001669BB">
        <w:rPr>
          <w:sz w:val="20"/>
        </w:rPr>
        <w:t>*</w:t>
      </w:r>
      <w:r>
        <w:tab/>
        <w:t>Принят Комитетом на его 125-й сессии (4–29 марта 2019 года).</w:t>
      </w:r>
    </w:p>
  </w:footnote>
  <w:footnote w:id="2">
    <w:p w:rsidR="001669BB" w:rsidRPr="00654105" w:rsidRDefault="001669BB" w:rsidP="001669BB">
      <w:pPr>
        <w:pStyle w:val="ad"/>
      </w:pPr>
      <w:r>
        <w:tab/>
      </w:r>
      <w:r w:rsidRPr="001669BB">
        <w:rPr>
          <w:sz w:val="20"/>
        </w:rPr>
        <w:t>**</w:t>
      </w:r>
      <w:r>
        <w:tab/>
        <w:t xml:space="preserve">Критерии оценки доступны по адресу </w:t>
      </w:r>
      <w:hyperlink r:id="rId1" w:history="1">
        <w:r w:rsidR="00D15A6A" w:rsidRPr="00272322">
          <w:rPr>
            <w:rStyle w:val="af1"/>
          </w:rPr>
          <w:t>http://tbinternet.ohchr.org/Treaties/CCPR/Shared%20</w:t>
        </w:r>
        <w:r w:rsidR="00D15A6A" w:rsidRPr="00272322">
          <w:rPr>
            <w:rStyle w:val="af1"/>
          </w:rPr>
          <w:br/>
        </w:r>
        <w:proofErr w:type="spellStart"/>
        <w:r w:rsidR="00D15A6A" w:rsidRPr="00272322">
          <w:rPr>
            <w:rStyle w:val="af1"/>
          </w:rPr>
          <w:t>Documents</w:t>
        </w:r>
        <w:proofErr w:type="spellEnd"/>
        <w:r w:rsidR="00D15A6A" w:rsidRPr="00272322">
          <w:rPr>
            <w:rStyle w:val="af1"/>
          </w:rPr>
          <w:t>/1_Global/INT_CCPR_FGD_8108_E.pdf</w:t>
        </w:r>
      </w:hyperlink>
      <w:r w:rsidR="00D15A6A">
        <w:t xml:space="preserve"> </w:t>
      </w:r>
      <w:r>
        <w:t>(на английском языке).</w:t>
      </w:r>
    </w:p>
  </w:footnote>
  <w:footnote w:id="3">
    <w:p w:rsidR="001669BB" w:rsidRDefault="001669BB">
      <w:pPr>
        <w:pStyle w:val="ad"/>
      </w:pPr>
      <w:r>
        <w:tab/>
      </w:r>
      <w:r>
        <w:rPr>
          <w:rStyle w:val="aa"/>
        </w:rPr>
        <w:footnoteRef/>
      </w:r>
      <w:r>
        <w:tab/>
      </w:r>
      <w:r w:rsidRPr="001669BB">
        <w:t xml:space="preserve">Представление доступно по адресу </w:t>
      </w:r>
      <w:hyperlink r:id="rId2" w:history="1">
        <w:r w:rsidR="00D15A6A" w:rsidRPr="00272322">
          <w:rPr>
            <w:rStyle w:val="af1"/>
          </w:rPr>
          <w:t>https://tbinternet.ohchr.org/_layouts/TreatyBodyExternal/</w:t>
        </w:r>
        <w:r w:rsidR="00D15A6A" w:rsidRPr="00272322">
          <w:rPr>
            <w:rStyle w:val="af1"/>
          </w:rPr>
          <w:br/>
        </w:r>
        <w:proofErr w:type="spellStart"/>
        <w:r w:rsidR="00D15A6A" w:rsidRPr="00272322">
          <w:rPr>
            <w:rStyle w:val="af1"/>
          </w:rPr>
          <w:t>FollowUp.aspx?Treaty</w:t>
        </w:r>
        <w:proofErr w:type="spellEnd"/>
        <w:r w:rsidR="00D15A6A" w:rsidRPr="00272322">
          <w:rPr>
            <w:rStyle w:val="af1"/>
          </w:rPr>
          <w:t>=</w:t>
        </w:r>
        <w:proofErr w:type="spellStart"/>
        <w:r w:rsidR="00D15A6A" w:rsidRPr="00272322">
          <w:rPr>
            <w:rStyle w:val="af1"/>
          </w:rPr>
          <w:t>CCPR&amp;Lang</w:t>
        </w:r>
        <w:proofErr w:type="spellEnd"/>
        <w:r w:rsidR="00D15A6A" w:rsidRPr="00272322">
          <w:rPr>
            <w:rStyle w:val="af1"/>
          </w:rPr>
          <w:t>=</w:t>
        </w:r>
        <w:proofErr w:type="spellStart"/>
        <w:r w:rsidR="00D15A6A" w:rsidRPr="00272322">
          <w:rPr>
            <w:rStyle w:val="af1"/>
          </w:rPr>
          <w:t>en</w:t>
        </w:r>
        <w:proofErr w:type="spellEnd"/>
      </w:hyperlink>
      <w:r w:rsidR="00D15A6A">
        <w:t xml:space="preserve"> </w:t>
      </w:r>
      <w:r w:rsidRPr="001669BB">
        <w:t>(на английском языке).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9BB" w:rsidRPr="001669BB" w:rsidRDefault="00F4434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CCPR/C/125/2/Add.5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9BB" w:rsidRPr="001669BB" w:rsidRDefault="00F44344" w:rsidP="001669B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CCPR/C/125/2/Add.5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5EC"/>
    <w:rsid w:val="00033EE1"/>
    <w:rsid w:val="00042B72"/>
    <w:rsid w:val="000558BD"/>
    <w:rsid w:val="000B57E7"/>
    <w:rsid w:val="000B6373"/>
    <w:rsid w:val="000F09DF"/>
    <w:rsid w:val="000F61B2"/>
    <w:rsid w:val="001075E9"/>
    <w:rsid w:val="001669BB"/>
    <w:rsid w:val="00180183"/>
    <w:rsid w:val="0018024D"/>
    <w:rsid w:val="0018649F"/>
    <w:rsid w:val="00196389"/>
    <w:rsid w:val="001B3EF6"/>
    <w:rsid w:val="001C7A89"/>
    <w:rsid w:val="002044C4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81794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663"/>
    <w:rsid w:val="005F0B42"/>
    <w:rsid w:val="006135EC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15A6A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44344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121645"/>
  <w15:docId w15:val="{6F8413BE-A846-4D10-B4B7-5D3F6011B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tbinternet.ohchr.org/_layouts/TreatyBodyExternal/FollowUp.aspx?Treaty=CCPR&amp;Lang=en" TargetMode="External"/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6</Pages>
  <Words>2654</Words>
  <Characters>15129</Characters>
  <Application>Microsoft Office Word</Application>
  <DocSecurity>0</DocSecurity>
  <Lines>126</Lines>
  <Paragraphs>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CCPR/C/125/2/Add.5</vt:lpstr>
      <vt:lpstr>A/</vt:lpstr>
      <vt:lpstr>A/</vt:lpstr>
    </vt:vector>
  </TitlesOfParts>
  <Company>DCM</Company>
  <LinksUpToDate>false</LinksUpToDate>
  <CharactersWithSpaces>17748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CCPR/C/125/2/Add.5</dc:title>
  <dc:subject/>
  <dc:creator>Marina KOROTKOVA</dc:creator>
  <cp:keywords/>
  <cp:lastModifiedBy>Marina Korotkova</cp:lastModifiedBy>
  <cp:revision>3</cp:revision>
  <cp:lastPrinted>2019-05-30T05:55:00Z</cp:lastPrinted>
  <dcterms:created xsi:type="dcterms:W3CDTF">2019-05-30T05:55:00Z</dcterms:created>
  <dcterms:modified xsi:type="dcterms:W3CDTF">2019-05-30T05:58:00Z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