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374858" w:rsidRPr="00DB7679" w:rsidTr="003A2B7C">
        <w:trPr>
          <w:trHeight w:hRule="exact" w:val="851"/>
        </w:trPr>
        <w:tc>
          <w:tcPr>
            <w:tcW w:w="1274" w:type="dxa"/>
            <w:tcBorders>
              <w:top w:val="nil"/>
              <w:bottom w:val="single" w:sz="4" w:space="0" w:color="auto"/>
            </w:tcBorders>
          </w:tcPr>
          <w:p w:rsidR="00374858" w:rsidRPr="000F3A9F" w:rsidRDefault="00374858" w:rsidP="003A2B7C">
            <w:pPr>
              <w:spacing w:line="580" w:lineRule="exact"/>
            </w:pPr>
          </w:p>
        </w:tc>
        <w:tc>
          <w:tcPr>
            <w:tcW w:w="1885" w:type="dxa"/>
            <w:tcBorders>
              <w:bottom w:val="single" w:sz="4" w:space="0" w:color="auto"/>
            </w:tcBorders>
            <w:vAlign w:val="bottom"/>
          </w:tcPr>
          <w:p w:rsidR="00374858" w:rsidRPr="00DB7679" w:rsidRDefault="00374858" w:rsidP="003A2B7C">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374858" w:rsidRPr="00DB7679" w:rsidRDefault="00374858" w:rsidP="003A2B7C">
            <w:pPr>
              <w:bidi w:val="0"/>
              <w:spacing w:after="20"/>
              <w:jc w:val="left"/>
              <w:rPr>
                <w:szCs w:val="20"/>
              </w:rPr>
            </w:pPr>
            <w:r w:rsidRPr="00AE1E29">
              <w:rPr>
                <w:sz w:val="40"/>
                <w:szCs w:val="20"/>
              </w:rPr>
              <w:t>CCPR</w:t>
            </w:r>
            <w:r>
              <w:rPr>
                <w:szCs w:val="20"/>
              </w:rPr>
              <w:t>/C/HRV/CO/2</w:t>
            </w:r>
          </w:p>
        </w:tc>
      </w:tr>
      <w:tr w:rsidR="00374858" w:rsidRPr="00DB7679" w:rsidTr="003A2B7C">
        <w:trPr>
          <w:trHeight w:hRule="exact" w:val="2835"/>
        </w:trPr>
        <w:tc>
          <w:tcPr>
            <w:tcW w:w="1274" w:type="dxa"/>
            <w:tcBorders>
              <w:top w:val="single" w:sz="4" w:space="0" w:color="auto"/>
              <w:bottom w:val="single" w:sz="12" w:space="0" w:color="auto"/>
            </w:tcBorders>
          </w:tcPr>
          <w:p w:rsidR="00374858" w:rsidRPr="00DB7679" w:rsidRDefault="00374858" w:rsidP="003A2B7C">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374858" w:rsidRPr="005B46D9" w:rsidRDefault="00374858" w:rsidP="003A2B7C">
            <w:pPr>
              <w:rPr>
                <w:rFonts w:hint="cs"/>
                <w:szCs w:val="60"/>
                <w:rtl/>
              </w:rPr>
            </w:pPr>
          </w:p>
        </w:tc>
        <w:tc>
          <w:tcPr>
            <w:tcW w:w="3612" w:type="dxa"/>
            <w:tcBorders>
              <w:top w:val="single" w:sz="4" w:space="0" w:color="auto"/>
              <w:bottom w:val="single" w:sz="12" w:space="0" w:color="auto"/>
            </w:tcBorders>
          </w:tcPr>
          <w:p w:rsidR="00374858" w:rsidRDefault="00374858" w:rsidP="003A2B7C">
            <w:pPr>
              <w:bidi w:val="0"/>
              <w:spacing w:before="240"/>
              <w:jc w:val="left"/>
            </w:pPr>
            <w:r>
              <w:t>Distr.: General</w:t>
            </w:r>
          </w:p>
          <w:p w:rsidR="00374858" w:rsidRDefault="00374858" w:rsidP="003A2B7C">
            <w:pPr>
              <w:bidi w:val="0"/>
              <w:jc w:val="left"/>
            </w:pPr>
            <w:r>
              <w:t>4 November 2009</w:t>
            </w:r>
          </w:p>
          <w:p w:rsidR="00374858" w:rsidRDefault="00374858" w:rsidP="003A2B7C">
            <w:pPr>
              <w:bidi w:val="0"/>
              <w:jc w:val="left"/>
            </w:pPr>
            <w:r>
              <w:t>Arabic</w:t>
            </w:r>
          </w:p>
          <w:p w:rsidR="00374858" w:rsidRPr="008B4BC6" w:rsidRDefault="00374858" w:rsidP="003A2B7C">
            <w:pPr>
              <w:bidi w:val="0"/>
              <w:jc w:val="left"/>
            </w:pPr>
            <w:r>
              <w:t>Original: English</w:t>
            </w:r>
          </w:p>
        </w:tc>
      </w:tr>
    </w:tbl>
    <w:p w:rsidR="00374858" w:rsidRPr="00AE1E29" w:rsidRDefault="00374858" w:rsidP="00374858">
      <w:pPr>
        <w:spacing w:before="120" w:line="380" w:lineRule="exact"/>
        <w:rPr>
          <w:rFonts w:hint="cs"/>
          <w:b/>
          <w:bCs/>
          <w:sz w:val="36"/>
          <w:szCs w:val="36"/>
          <w:rtl/>
        </w:rPr>
      </w:pPr>
      <w:r w:rsidRPr="00AE1E29">
        <w:rPr>
          <w:rFonts w:hint="cs"/>
          <w:b/>
          <w:bCs/>
          <w:sz w:val="36"/>
          <w:szCs w:val="36"/>
          <w:rtl/>
        </w:rPr>
        <w:t>اللجنة المعنية بحقوق الإنسان</w:t>
      </w:r>
    </w:p>
    <w:p w:rsidR="00374858" w:rsidRPr="007B3BEB" w:rsidRDefault="00374858" w:rsidP="00374858">
      <w:pPr>
        <w:spacing w:line="380" w:lineRule="exact"/>
        <w:rPr>
          <w:rFonts w:hint="cs"/>
          <w:b/>
          <w:bCs/>
          <w:rtl/>
        </w:rPr>
      </w:pPr>
      <w:r w:rsidRPr="007B3BEB">
        <w:rPr>
          <w:rFonts w:hint="cs"/>
          <w:b/>
          <w:bCs/>
          <w:rtl/>
        </w:rPr>
        <w:t>الدورة السابعة والتسعون</w:t>
      </w:r>
    </w:p>
    <w:p w:rsidR="00374858" w:rsidRDefault="00374858" w:rsidP="00374858">
      <w:pPr>
        <w:spacing w:line="380" w:lineRule="exact"/>
        <w:rPr>
          <w:rFonts w:hint="cs"/>
          <w:rtl/>
        </w:rPr>
      </w:pPr>
      <w:r>
        <w:rPr>
          <w:rFonts w:hint="cs"/>
          <w:rtl/>
        </w:rPr>
        <w:t>12-30 تشرين الأول/أكتوبر 2009</w:t>
      </w:r>
    </w:p>
    <w:p w:rsidR="00374858" w:rsidRDefault="00374858" w:rsidP="00374858">
      <w:pPr>
        <w:pStyle w:val="HChGA"/>
        <w:rPr>
          <w:rFonts w:hint="cs"/>
          <w:rtl/>
        </w:rPr>
      </w:pPr>
      <w:r>
        <w:rPr>
          <w:rFonts w:hint="cs"/>
          <w:rtl/>
        </w:rPr>
        <w:tab/>
      </w:r>
      <w:r>
        <w:rPr>
          <w:rFonts w:hint="cs"/>
          <w:rtl/>
        </w:rPr>
        <w:tab/>
        <w:t>النظر في التقارير المقدمـة من الدول الأطـراف بموجب المادة 40 من العهد</w:t>
      </w:r>
    </w:p>
    <w:p w:rsidR="00374858" w:rsidRDefault="00374858" w:rsidP="00374858">
      <w:pPr>
        <w:pStyle w:val="H1GA"/>
        <w:rPr>
          <w:rFonts w:hint="cs"/>
          <w:rtl/>
        </w:rPr>
      </w:pPr>
      <w:r>
        <w:rPr>
          <w:rFonts w:hint="cs"/>
          <w:rtl/>
        </w:rPr>
        <w:tab/>
      </w:r>
      <w:r>
        <w:rPr>
          <w:rFonts w:hint="cs"/>
          <w:rtl/>
        </w:rPr>
        <w:tab/>
        <w:t>الملاحظات الختامية للجنة المعنية بحقوق الإنسان</w:t>
      </w:r>
    </w:p>
    <w:p w:rsidR="00374858" w:rsidRDefault="00374858" w:rsidP="00654968">
      <w:pPr>
        <w:pStyle w:val="HChGA"/>
        <w:rPr>
          <w:rFonts w:hint="cs"/>
          <w:rtl/>
        </w:rPr>
      </w:pPr>
      <w:r>
        <w:rPr>
          <w:rFonts w:hint="cs"/>
          <w:rtl/>
        </w:rPr>
        <w:tab/>
      </w:r>
      <w:r>
        <w:rPr>
          <w:rFonts w:hint="cs"/>
          <w:rtl/>
        </w:rPr>
        <w:tab/>
      </w:r>
      <w:r w:rsidR="00654968">
        <w:rPr>
          <w:rFonts w:hint="cs"/>
          <w:rtl/>
        </w:rPr>
        <w:t>كرواتيا</w:t>
      </w:r>
    </w:p>
    <w:p w:rsidR="00374858" w:rsidRDefault="00374858" w:rsidP="00493C80">
      <w:pPr>
        <w:pStyle w:val="SingleTxtGA"/>
        <w:rPr>
          <w:rFonts w:hint="cs"/>
          <w:rtl/>
        </w:rPr>
      </w:pPr>
      <w:r>
        <w:rPr>
          <w:rFonts w:hint="cs"/>
          <w:rtl/>
        </w:rPr>
        <w:t>1-</w:t>
      </w:r>
      <w:r w:rsidR="005D64B3" w:rsidRPr="00A12627">
        <w:rPr>
          <w:rFonts w:hint="cs"/>
          <w:rtl/>
        </w:rPr>
        <w:tab/>
        <w:t xml:space="preserve">نظرت اللجنة المعنية بحقوق الإنسان في تقرير </w:t>
      </w:r>
      <w:r w:rsidR="005D64B3">
        <w:rPr>
          <w:rFonts w:hint="cs"/>
          <w:rtl/>
        </w:rPr>
        <w:t>كرواتيا</w:t>
      </w:r>
      <w:r w:rsidR="005D64B3" w:rsidRPr="00A12627">
        <w:rPr>
          <w:rFonts w:hint="cs"/>
          <w:rtl/>
        </w:rPr>
        <w:t xml:space="preserve"> الدوري </w:t>
      </w:r>
      <w:r w:rsidR="005D64B3">
        <w:rPr>
          <w:rFonts w:hint="cs"/>
          <w:rtl/>
        </w:rPr>
        <w:t>الثاني</w:t>
      </w:r>
      <w:r w:rsidR="005D64B3" w:rsidRPr="00A12627">
        <w:rPr>
          <w:rFonts w:hint="cs"/>
          <w:rtl/>
        </w:rPr>
        <w:t xml:space="preserve"> (</w:t>
      </w:r>
      <w:r w:rsidR="005D64B3" w:rsidRPr="00A12627">
        <w:t>CCPR/C/</w:t>
      </w:r>
      <w:r w:rsidR="005D64B3">
        <w:t>HRV/2</w:t>
      </w:r>
      <w:r w:rsidR="005D64B3" w:rsidRPr="00A12627">
        <w:rPr>
          <w:rFonts w:hint="cs"/>
          <w:rtl/>
        </w:rPr>
        <w:t xml:space="preserve">) في جلستيها </w:t>
      </w:r>
      <w:r w:rsidR="005D64B3">
        <w:rPr>
          <w:rFonts w:hint="cs"/>
          <w:rtl/>
        </w:rPr>
        <w:t>2661</w:t>
      </w:r>
      <w:r w:rsidR="005D64B3" w:rsidRPr="00A12627">
        <w:rPr>
          <w:rFonts w:hint="cs"/>
          <w:rtl/>
        </w:rPr>
        <w:t xml:space="preserve"> </w:t>
      </w:r>
      <w:r w:rsidR="005D64B3">
        <w:rPr>
          <w:rFonts w:hint="cs"/>
          <w:rtl/>
        </w:rPr>
        <w:t>و2662</w:t>
      </w:r>
      <w:r w:rsidR="005D64B3" w:rsidRPr="00A12627">
        <w:rPr>
          <w:rFonts w:hint="cs"/>
          <w:rtl/>
        </w:rPr>
        <w:t xml:space="preserve"> (</w:t>
      </w:r>
      <w:r w:rsidR="005D64B3" w:rsidRPr="00A12627">
        <w:t>CCPR/C/SR.</w:t>
      </w:r>
      <w:r w:rsidR="005D64B3">
        <w:t>2661</w:t>
      </w:r>
      <w:r w:rsidR="005D64B3" w:rsidRPr="00A12627">
        <w:t>-</w:t>
      </w:r>
      <w:r w:rsidR="005D64B3">
        <w:t>2662</w:t>
      </w:r>
      <w:r w:rsidR="005D64B3" w:rsidRPr="00A12627">
        <w:rPr>
          <w:rFonts w:hint="cs"/>
          <w:rtl/>
        </w:rPr>
        <w:t>)</w:t>
      </w:r>
      <w:r w:rsidR="005D64B3">
        <w:rPr>
          <w:rFonts w:hint="cs"/>
          <w:rtl/>
        </w:rPr>
        <w:t xml:space="preserve"> ا</w:t>
      </w:r>
      <w:r w:rsidR="005D64B3" w:rsidRPr="00A12627">
        <w:rPr>
          <w:rFonts w:hint="cs"/>
          <w:rtl/>
        </w:rPr>
        <w:t xml:space="preserve">لمعقودتين يومي </w:t>
      </w:r>
      <w:r w:rsidR="005D64B3">
        <w:rPr>
          <w:rFonts w:hint="cs"/>
          <w:rtl/>
        </w:rPr>
        <w:t>14 و15 تشرين الأول/أكتوبر</w:t>
      </w:r>
      <w:r w:rsidR="005D64B3" w:rsidRPr="00A12627">
        <w:rPr>
          <w:rFonts w:hint="cs"/>
          <w:rtl/>
        </w:rPr>
        <w:t xml:space="preserve"> 2009. واعتمدت في جلستها </w:t>
      </w:r>
      <w:r w:rsidR="005D64B3">
        <w:rPr>
          <w:rFonts w:hint="cs"/>
          <w:rtl/>
        </w:rPr>
        <w:t>2681</w:t>
      </w:r>
      <w:r w:rsidR="00BC208F">
        <w:rPr>
          <w:rFonts w:hint="cs"/>
          <w:rtl/>
        </w:rPr>
        <w:t xml:space="preserve"> </w:t>
      </w:r>
      <w:r w:rsidR="005D64B3" w:rsidRPr="00A12627">
        <w:rPr>
          <w:rFonts w:hint="cs"/>
          <w:rtl/>
        </w:rPr>
        <w:t>(</w:t>
      </w:r>
      <w:r w:rsidR="005D64B3" w:rsidRPr="00A12627">
        <w:t>CCPR/C/SR.</w:t>
      </w:r>
      <w:r w:rsidR="005D64B3">
        <w:t>2681</w:t>
      </w:r>
      <w:r w:rsidR="005D64B3" w:rsidRPr="00A12627">
        <w:rPr>
          <w:rFonts w:hint="cs"/>
          <w:rtl/>
        </w:rPr>
        <w:t xml:space="preserve">) المعقودة في </w:t>
      </w:r>
      <w:r w:rsidR="005D64B3">
        <w:rPr>
          <w:rFonts w:hint="cs"/>
          <w:rtl/>
        </w:rPr>
        <w:t>28 تشرين الأول/أكتوبر 2009</w:t>
      </w:r>
      <w:r w:rsidR="005D64B3" w:rsidRPr="00A12627">
        <w:rPr>
          <w:rFonts w:hint="cs"/>
          <w:rtl/>
        </w:rPr>
        <w:t xml:space="preserve"> الملاحظات الختامية التالية.</w:t>
      </w:r>
    </w:p>
    <w:p w:rsidR="00374858" w:rsidRDefault="00374858" w:rsidP="00374858">
      <w:pPr>
        <w:pStyle w:val="H1GA"/>
        <w:rPr>
          <w:rFonts w:hint="cs"/>
          <w:rtl/>
        </w:rPr>
      </w:pPr>
      <w:r>
        <w:rPr>
          <w:rFonts w:hint="cs"/>
          <w:rtl/>
        </w:rPr>
        <w:tab/>
        <w:t>ألف -</w:t>
      </w:r>
      <w:r>
        <w:rPr>
          <w:rFonts w:hint="cs"/>
          <w:rtl/>
        </w:rPr>
        <w:tab/>
        <w:t>مقدمة</w:t>
      </w:r>
    </w:p>
    <w:p w:rsidR="00374858" w:rsidRDefault="00E42A89" w:rsidP="00E42A89">
      <w:pPr>
        <w:pStyle w:val="SingleTxtGA"/>
        <w:rPr>
          <w:rtl/>
        </w:rPr>
      </w:pPr>
      <w:r w:rsidRPr="00E543F3">
        <w:rPr>
          <w:rFonts w:hint="cs"/>
          <w:sz w:val="30"/>
          <w:rtl/>
        </w:rPr>
        <w:t>2-</w:t>
      </w:r>
      <w:r w:rsidRPr="00A12627">
        <w:rPr>
          <w:rFonts w:hint="cs"/>
          <w:rtl/>
        </w:rPr>
        <w:tab/>
        <w:t xml:space="preserve">ترحب اللجنة بتقديم </w:t>
      </w:r>
      <w:r>
        <w:rPr>
          <w:rFonts w:hint="cs"/>
          <w:rtl/>
        </w:rPr>
        <w:t>التقرير الدوري الثاني ل</w:t>
      </w:r>
      <w:r w:rsidRPr="00A12627">
        <w:rPr>
          <w:rFonts w:hint="cs"/>
          <w:rtl/>
        </w:rPr>
        <w:t xml:space="preserve">لدولة الطرف </w:t>
      </w:r>
      <w:r>
        <w:rPr>
          <w:rFonts w:hint="cs"/>
          <w:rtl/>
        </w:rPr>
        <w:t xml:space="preserve">الذي يتيح معلومات مفصلة عن التدابير التي اعتمدتها الدولة الطرف للمضي في تنفيذ العهد. وترحب اللجنة كذلك بالردود الخطية </w:t>
      </w:r>
      <w:r w:rsidRPr="00A12627">
        <w:rPr>
          <w:rFonts w:hint="cs"/>
          <w:rtl/>
        </w:rPr>
        <w:t>(</w:t>
      </w:r>
      <w:r w:rsidRPr="00A12627">
        <w:t>CCPR/C/</w:t>
      </w:r>
      <w:r>
        <w:t>HRV</w:t>
      </w:r>
      <w:r w:rsidRPr="00A12627">
        <w:t>/Q/</w:t>
      </w:r>
      <w:r>
        <w:t>2</w:t>
      </w:r>
      <w:r w:rsidRPr="00A12627">
        <w:t>/Add.1</w:t>
      </w:r>
      <w:r w:rsidRPr="00A12627">
        <w:rPr>
          <w:rFonts w:hint="cs"/>
          <w:rtl/>
        </w:rPr>
        <w:t xml:space="preserve">) </w:t>
      </w:r>
      <w:r>
        <w:rPr>
          <w:rFonts w:hint="cs"/>
          <w:rtl/>
        </w:rPr>
        <w:t>التي قدمتها</w:t>
      </w:r>
      <w:r w:rsidRPr="00A12627">
        <w:rPr>
          <w:rFonts w:hint="cs"/>
          <w:rtl/>
        </w:rPr>
        <w:t xml:space="preserve"> الدولة الطرف </w:t>
      </w:r>
      <w:r>
        <w:rPr>
          <w:rFonts w:hint="cs"/>
          <w:rtl/>
        </w:rPr>
        <w:t>قبل النظر في التقرير، وبالردود التي قدمتها للجنة أثناء النظر في التقرير، وبالمعلومات الإضافية التي قدمتها بعد النظر فيه.</w:t>
      </w:r>
    </w:p>
    <w:p w:rsidR="00374858" w:rsidRDefault="00374858" w:rsidP="00374858">
      <w:pPr>
        <w:pStyle w:val="H1GA"/>
        <w:rPr>
          <w:rFonts w:hint="cs"/>
          <w:rtl/>
        </w:rPr>
      </w:pPr>
      <w:r>
        <w:rPr>
          <w:rFonts w:hint="cs"/>
          <w:rtl/>
        </w:rPr>
        <w:tab/>
      </w:r>
      <w:r>
        <w:rPr>
          <w:rtl/>
        </w:rPr>
        <w:t>باء</w:t>
      </w:r>
      <w:r>
        <w:rPr>
          <w:rFonts w:hint="cs"/>
          <w:rtl/>
        </w:rPr>
        <w:t xml:space="preserve"> </w:t>
      </w:r>
      <w:r>
        <w:rPr>
          <w:rtl/>
        </w:rPr>
        <w:t>-</w:t>
      </w:r>
      <w:r>
        <w:rPr>
          <w:rFonts w:hint="cs"/>
          <w:rtl/>
        </w:rPr>
        <w:tab/>
      </w:r>
      <w:r>
        <w:rPr>
          <w:rtl/>
        </w:rPr>
        <w:t>الجوانب الإيجابية</w:t>
      </w:r>
    </w:p>
    <w:p w:rsidR="00F87F52" w:rsidRDefault="00F87F52" w:rsidP="00A1771D">
      <w:pPr>
        <w:pStyle w:val="SingleTxtGA"/>
        <w:rPr>
          <w:rFonts w:hint="cs"/>
          <w:rtl/>
        </w:rPr>
      </w:pPr>
      <w:r w:rsidRPr="00E543F3">
        <w:rPr>
          <w:rFonts w:hint="cs"/>
          <w:sz w:val="30"/>
          <w:rtl/>
        </w:rPr>
        <w:t>3</w:t>
      </w:r>
      <w:r w:rsidRPr="00393931">
        <w:rPr>
          <w:rFonts w:hint="cs"/>
          <w:rtl/>
        </w:rPr>
        <w:t>-</w:t>
      </w:r>
      <w:r w:rsidRPr="00393931">
        <w:rPr>
          <w:rFonts w:hint="cs"/>
          <w:rtl/>
        </w:rPr>
        <w:tab/>
        <w:t xml:space="preserve">ترحب اللجنة </w:t>
      </w:r>
      <w:r>
        <w:rPr>
          <w:rFonts w:hint="cs"/>
          <w:rtl/>
        </w:rPr>
        <w:t xml:space="preserve">بالتعديلات الدستورية العديدة، شأنها شأن التدابير التشريعية والإدارية والعملية المتخذة لتحسين تعزيز وحماية حقوق الإنسان في الدولة الطرف منذ النظر في التقرير الأولي، وتشير بالخصوص إلى ما يلي: </w:t>
      </w:r>
    </w:p>
    <w:p w:rsidR="00F87F52" w:rsidRDefault="00F87F52" w:rsidP="00A1771D">
      <w:pPr>
        <w:pStyle w:val="SingleTxtGA"/>
        <w:rPr>
          <w:rFonts w:hint="cs"/>
          <w:rtl/>
        </w:rPr>
      </w:pPr>
      <w:r>
        <w:rPr>
          <w:rFonts w:hint="cs"/>
          <w:rtl/>
        </w:rPr>
        <w:tab/>
        <w:t>(أ)</w:t>
      </w:r>
      <w:r>
        <w:rPr>
          <w:rFonts w:hint="cs"/>
          <w:rtl/>
        </w:rPr>
        <w:tab/>
      </w:r>
      <w:r w:rsidRPr="00993DBA">
        <w:rPr>
          <w:rFonts w:hint="cs"/>
          <w:rtl/>
        </w:rPr>
        <w:t>إيلاء أحكام العهد مرتبة القانون الدستوري، وشروع محاكم الدولة الطرف في تطبيق هذه الأحكام؛</w:t>
      </w:r>
    </w:p>
    <w:p w:rsidR="00F87F52" w:rsidRDefault="00F87F52" w:rsidP="00A1771D">
      <w:pPr>
        <w:pStyle w:val="SingleTxtGA"/>
        <w:rPr>
          <w:rFonts w:hint="cs"/>
          <w:rtl/>
        </w:rPr>
      </w:pPr>
      <w:r>
        <w:rPr>
          <w:rFonts w:hint="cs"/>
          <w:rtl/>
        </w:rPr>
        <w:tab/>
        <w:t>(ب)</w:t>
      </w:r>
      <w:r>
        <w:rPr>
          <w:rFonts w:hint="cs"/>
          <w:rtl/>
        </w:rPr>
        <w:tab/>
        <w:t>اعتماد قانون مكافحة التمييز في عام 2008؛</w:t>
      </w:r>
    </w:p>
    <w:p w:rsidR="00F87F52" w:rsidRDefault="00F87F52" w:rsidP="00A1771D">
      <w:pPr>
        <w:pStyle w:val="SingleTxtGA"/>
        <w:rPr>
          <w:rFonts w:hint="cs"/>
          <w:rtl/>
        </w:rPr>
      </w:pPr>
      <w:r>
        <w:rPr>
          <w:rFonts w:hint="cs"/>
          <w:rtl/>
        </w:rPr>
        <w:tab/>
        <w:t>(ج)</w:t>
      </w:r>
      <w:r>
        <w:rPr>
          <w:rFonts w:hint="cs"/>
          <w:rtl/>
        </w:rPr>
        <w:tab/>
        <w:t>التقدم المحرز في مجال المساواة بين الجنسين، بما في ذلك:</w:t>
      </w:r>
    </w:p>
    <w:p w:rsidR="00F87F52" w:rsidRDefault="00F87F52" w:rsidP="00FF2722">
      <w:pPr>
        <w:pStyle w:val="Roman2GA"/>
        <w:tabs>
          <w:tab w:val="left" w:pos="2618"/>
        </w:tabs>
        <w:bidi/>
        <w:ind w:left="3158" w:hanging="981"/>
        <w:rPr>
          <w:rFonts w:hint="cs"/>
          <w:rtl/>
        </w:rPr>
      </w:pPr>
      <w:r>
        <w:rPr>
          <w:rFonts w:hint="cs"/>
          <w:rtl/>
        </w:rPr>
        <w:t>اعتماد القوانين ذات الصلة، كقانون المساواة بين الجنسين في عام 2008؛</w:t>
      </w:r>
    </w:p>
    <w:p w:rsidR="00F87F52" w:rsidRDefault="00F87F52" w:rsidP="00FF2722">
      <w:pPr>
        <w:pStyle w:val="Roman2GA"/>
        <w:tabs>
          <w:tab w:val="left" w:pos="2618"/>
        </w:tabs>
        <w:bidi/>
        <w:ind w:left="2618" w:hanging="441"/>
        <w:rPr>
          <w:rFonts w:hint="cs"/>
          <w:rtl/>
        </w:rPr>
      </w:pPr>
      <w:r>
        <w:rPr>
          <w:rFonts w:hint="cs"/>
          <w:rtl/>
        </w:rPr>
        <w:t>إنشاء آلية وطنية للنهوض بالمرأة، بما في ذلك إنشاء لجان محلية لكفالة المساواة</w:t>
      </w:r>
      <w:r w:rsidR="006C347B">
        <w:rPr>
          <w:rFonts w:hint="cs"/>
          <w:rtl/>
        </w:rPr>
        <w:t xml:space="preserve"> </w:t>
      </w:r>
      <w:r>
        <w:rPr>
          <w:rFonts w:hint="cs"/>
          <w:rtl/>
        </w:rPr>
        <w:t>بين الجنسين؛</w:t>
      </w:r>
    </w:p>
    <w:p w:rsidR="00F87F52" w:rsidRDefault="00F87F52" w:rsidP="006F7ACE">
      <w:pPr>
        <w:pStyle w:val="SingleTxtGA"/>
        <w:rPr>
          <w:rFonts w:hint="cs"/>
          <w:rtl/>
        </w:rPr>
      </w:pPr>
      <w:r>
        <w:rPr>
          <w:rFonts w:hint="cs"/>
          <w:rtl/>
        </w:rPr>
        <w:tab/>
        <w:t>(د)</w:t>
      </w:r>
      <w:r>
        <w:rPr>
          <w:rFonts w:hint="cs"/>
          <w:rtl/>
        </w:rPr>
        <w:tab/>
        <w:t xml:space="preserve">الخطوات المتخذة لمكافحة الاتجار </w:t>
      </w:r>
      <w:r w:rsidR="006F7ACE">
        <w:rPr>
          <w:rFonts w:hint="cs"/>
          <w:rtl/>
        </w:rPr>
        <w:t xml:space="preserve">بالبشر </w:t>
      </w:r>
      <w:r>
        <w:rPr>
          <w:rFonts w:hint="cs"/>
          <w:rtl/>
        </w:rPr>
        <w:t>ومنعه، بما في ذلك خطة العمل الوطنية لقمع الاتجار بالبشر الخاصة بالفترة 2009-2011، والتعاون بين الوزارات والمنظمات غير الحكومية، فضلاً عن اتفاقات التعاون مع البلدان المجاورة</w:t>
      </w:r>
      <w:r w:rsidRPr="00063164">
        <w:rPr>
          <w:rFonts w:hint="cs"/>
          <w:rtl/>
        </w:rPr>
        <w:t xml:space="preserve"> </w:t>
      </w:r>
      <w:r>
        <w:rPr>
          <w:rFonts w:hint="cs"/>
          <w:rtl/>
        </w:rPr>
        <w:t>في هذا الصدد.</w:t>
      </w:r>
    </w:p>
    <w:p w:rsidR="00F87F52" w:rsidRPr="00957BBD" w:rsidRDefault="00957BBD" w:rsidP="00957BBD">
      <w:pPr>
        <w:pStyle w:val="H1GA"/>
        <w:rPr>
          <w:rFonts w:hint="cs"/>
          <w:rtl/>
        </w:rPr>
      </w:pPr>
      <w:r>
        <w:rPr>
          <w:rFonts w:hint="cs"/>
          <w:rtl/>
        </w:rPr>
        <w:tab/>
      </w:r>
      <w:r w:rsidR="00F87F52" w:rsidRPr="00957BBD">
        <w:rPr>
          <w:rFonts w:hint="cs"/>
          <w:rtl/>
        </w:rPr>
        <w:t>جيم -</w:t>
      </w:r>
      <w:r w:rsidR="00F87F52" w:rsidRPr="00957BBD">
        <w:rPr>
          <w:rFonts w:hint="cs"/>
          <w:rtl/>
        </w:rPr>
        <w:tab/>
        <w:t>دواعي القلق الرئيسية والتوصيات</w:t>
      </w:r>
    </w:p>
    <w:p w:rsidR="00F87F52" w:rsidRPr="00393931" w:rsidRDefault="00F87F52" w:rsidP="00823F0C">
      <w:pPr>
        <w:pStyle w:val="SingleTxtGA"/>
        <w:rPr>
          <w:rFonts w:hint="cs"/>
          <w:rtl/>
        </w:rPr>
      </w:pPr>
      <w:r>
        <w:rPr>
          <w:rFonts w:hint="cs"/>
          <w:sz w:val="30"/>
          <w:rtl/>
        </w:rPr>
        <w:t>4</w:t>
      </w:r>
      <w:r w:rsidRPr="00E543F3">
        <w:rPr>
          <w:rFonts w:hint="cs"/>
          <w:sz w:val="30"/>
          <w:rtl/>
        </w:rPr>
        <w:t>-</w:t>
      </w:r>
      <w:r w:rsidRPr="00393931">
        <w:rPr>
          <w:rFonts w:hint="cs"/>
          <w:rtl/>
        </w:rPr>
        <w:tab/>
      </w:r>
      <w:r>
        <w:rPr>
          <w:rFonts w:hint="cs"/>
          <w:rtl/>
        </w:rPr>
        <w:t xml:space="preserve">في حين تلاحظ اللجنة اعتزام الدولة الطرف مراجعة دستورها، يظل </w:t>
      </w:r>
      <w:r w:rsidR="004B3EB7">
        <w:rPr>
          <w:rFonts w:hint="cs"/>
          <w:rtl/>
        </w:rPr>
        <w:t>القلق</w:t>
      </w:r>
      <w:r w:rsidR="005F4D6D">
        <w:rPr>
          <w:rFonts w:hint="cs"/>
          <w:rtl/>
        </w:rPr>
        <w:t xml:space="preserve"> </w:t>
      </w:r>
      <w:r>
        <w:rPr>
          <w:rFonts w:hint="cs"/>
          <w:rtl/>
        </w:rPr>
        <w:t xml:space="preserve">يساورها </w:t>
      </w:r>
      <w:r w:rsidRPr="00993DBA">
        <w:rPr>
          <w:rFonts w:hint="cs"/>
          <w:rtl/>
          <w:lang w:bidi="ar-BH"/>
        </w:rPr>
        <w:t>لأن</w:t>
      </w:r>
      <w:r>
        <w:rPr>
          <w:rFonts w:hint="cs"/>
          <w:rtl/>
        </w:rPr>
        <w:t xml:space="preserve"> بعض الأحكام تجعل التمتع بحقوق معينة </w:t>
      </w:r>
      <w:r w:rsidRPr="00993DBA">
        <w:rPr>
          <w:rFonts w:hint="cs"/>
          <w:rtl/>
        </w:rPr>
        <w:t xml:space="preserve">حكراً </w:t>
      </w:r>
      <w:r w:rsidR="00823F0C" w:rsidRPr="00823F0C">
        <w:rPr>
          <w:rFonts w:hint="cs"/>
          <w:sz w:val="30"/>
          <w:rtl/>
        </w:rPr>
        <w:t>ل‍</w:t>
      </w:r>
      <w:r w:rsidRPr="00993DBA">
        <w:rPr>
          <w:rFonts w:hint="cs"/>
          <w:rtl/>
        </w:rPr>
        <w:t xml:space="preserve"> "المواطنين"</w:t>
      </w:r>
      <w:r>
        <w:rPr>
          <w:rFonts w:hint="cs"/>
          <w:rtl/>
        </w:rPr>
        <w:t xml:space="preserve"> بما في ذلك الحق في المساواة أمام المحاكم (المادة 26)</w:t>
      </w:r>
      <w:r w:rsidR="004507FF">
        <w:rPr>
          <w:rFonts w:hint="cs"/>
          <w:rtl/>
        </w:rPr>
        <w:t>.</w:t>
      </w:r>
      <w:r>
        <w:rPr>
          <w:rFonts w:hint="cs"/>
          <w:rtl/>
        </w:rPr>
        <w:t xml:space="preserve"> (المادة 2 من العهد).</w:t>
      </w:r>
    </w:p>
    <w:p w:rsidR="00F87F52" w:rsidRPr="007F2C14" w:rsidRDefault="00F87F52" w:rsidP="00493F4E">
      <w:pPr>
        <w:pStyle w:val="SingleTxtGA"/>
        <w:ind w:left="1928"/>
        <w:rPr>
          <w:rFonts w:hint="cs"/>
          <w:b/>
          <w:bCs/>
          <w:rtl/>
        </w:rPr>
      </w:pPr>
      <w:r w:rsidRPr="007F2C14">
        <w:rPr>
          <w:rFonts w:hint="cs"/>
          <w:b/>
          <w:bCs/>
          <w:rtl/>
        </w:rPr>
        <w:t>ينبغي للدولة الطرف أن تضمن اتساق جميع أحكامها مع الفقرة 1 من المادة 2 ومع المادة 26 من العهد، مراعيةً في ذلك التعليق العام للجنة رقم 15 (1986) بشأن وضع الأجانب بموجب العهد.</w:t>
      </w:r>
    </w:p>
    <w:p w:rsidR="00F87F52" w:rsidRDefault="00F87F52" w:rsidP="00F279F4">
      <w:pPr>
        <w:pStyle w:val="SingleTxtGA"/>
        <w:rPr>
          <w:rFonts w:hint="cs"/>
          <w:rtl/>
        </w:rPr>
      </w:pPr>
      <w:r>
        <w:rPr>
          <w:rFonts w:hint="cs"/>
          <w:sz w:val="30"/>
          <w:rtl/>
        </w:rPr>
        <w:t>5</w:t>
      </w:r>
      <w:r w:rsidRPr="00393931">
        <w:rPr>
          <w:rFonts w:hint="cs"/>
          <w:rtl/>
        </w:rPr>
        <w:t>-</w:t>
      </w:r>
      <w:r w:rsidRPr="00393931">
        <w:rPr>
          <w:rFonts w:hint="cs"/>
          <w:rtl/>
        </w:rPr>
        <w:tab/>
      </w:r>
      <w:r>
        <w:rPr>
          <w:rFonts w:hint="cs"/>
          <w:rtl/>
        </w:rPr>
        <w:t>وفي حين تلاحظ ا</w:t>
      </w:r>
      <w:r w:rsidR="004507FF">
        <w:rPr>
          <w:rFonts w:hint="cs"/>
          <w:rtl/>
        </w:rPr>
        <w:t>ل</w:t>
      </w:r>
      <w:r>
        <w:rPr>
          <w:rFonts w:hint="cs"/>
          <w:rtl/>
        </w:rPr>
        <w:t xml:space="preserve">لجنة التدابير الواسعة </w:t>
      </w:r>
      <w:r w:rsidRPr="00993DBA">
        <w:rPr>
          <w:rFonts w:hint="cs"/>
          <w:rtl/>
        </w:rPr>
        <w:t>المعتمدة</w:t>
      </w:r>
      <w:r>
        <w:rPr>
          <w:rFonts w:hint="cs"/>
          <w:rtl/>
        </w:rPr>
        <w:t xml:space="preserve"> لمنع ومكافحة التمييز ضد الأقليات وجرائم الكراهية، فإنها تظل قلقة إزاء التمييز والتعصب </w:t>
      </w:r>
      <w:r w:rsidR="00E562C0">
        <w:rPr>
          <w:rFonts w:hint="cs"/>
          <w:rtl/>
        </w:rPr>
        <w:t>اللذين</w:t>
      </w:r>
      <w:r w:rsidR="00217F51">
        <w:rPr>
          <w:rFonts w:hint="cs"/>
          <w:rtl/>
        </w:rPr>
        <w:t xml:space="preserve"> يواجهان</w:t>
      </w:r>
      <w:r>
        <w:rPr>
          <w:rFonts w:hint="cs"/>
          <w:rtl/>
        </w:rPr>
        <w:t xml:space="preserve"> أفراد فئات الأقليات </w:t>
      </w:r>
      <w:r w:rsidR="00217F51">
        <w:rPr>
          <w:rFonts w:hint="cs"/>
          <w:rtl/>
        </w:rPr>
        <w:t xml:space="preserve">العرقية </w:t>
      </w:r>
      <w:r>
        <w:rPr>
          <w:rFonts w:hint="cs"/>
          <w:rtl/>
        </w:rPr>
        <w:t xml:space="preserve">بحكم الواقع، بما في ذلك </w:t>
      </w:r>
      <w:r w:rsidRPr="00993DBA">
        <w:rPr>
          <w:rFonts w:hint="cs"/>
          <w:rtl/>
        </w:rPr>
        <w:t>ما</w:t>
      </w:r>
      <w:r w:rsidR="00F279F4">
        <w:rPr>
          <w:rFonts w:hint="cs"/>
          <w:rtl/>
        </w:rPr>
        <w:t xml:space="preserve"> </w:t>
      </w:r>
      <w:r w:rsidRPr="00993DBA">
        <w:rPr>
          <w:rFonts w:hint="cs"/>
          <w:rtl/>
        </w:rPr>
        <w:t>بلغها من تقارير</w:t>
      </w:r>
      <w:r>
        <w:rPr>
          <w:rFonts w:hint="cs"/>
          <w:rtl/>
        </w:rPr>
        <w:t xml:space="preserve"> عما يتعرضون له من اعتداءات بدنية ولفظية، وبطء إجراءات التحقيق والمقاضاة المتخذة في هذا الصدد. كما تعرب اللجنة عن قلقها </w:t>
      </w:r>
      <w:r w:rsidRPr="00E91245">
        <w:rPr>
          <w:rFonts w:hint="cs"/>
          <w:rtl/>
        </w:rPr>
        <w:t>لأن المناطق التي تثير شواغل خاصة في الدولة</w:t>
      </w:r>
      <w:r>
        <w:rPr>
          <w:rFonts w:hint="cs"/>
          <w:rtl/>
        </w:rPr>
        <w:t xml:space="preserve">، والتي </w:t>
      </w:r>
      <w:r w:rsidR="00217F51">
        <w:rPr>
          <w:rFonts w:hint="cs"/>
          <w:rtl/>
        </w:rPr>
        <w:t xml:space="preserve">انتقل إليها </w:t>
      </w:r>
      <w:r>
        <w:rPr>
          <w:rFonts w:hint="cs"/>
          <w:rtl/>
        </w:rPr>
        <w:t>غالبية العائدين من أصل صربي، لا تزال متخلفة على صعيد التنمية الاقتصادية والاجتماعية</w:t>
      </w:r>
      <w:r w:rsidR="00AC1317">
        <w:rPr>
          <w:rFonts w:hint="cs"/>
          <w:rtl/>
        </w:rPr>
        <w:t>.</w:t>
      </w:r>
      <w:r>
        <w:rPr>
          <w:rFonts w:hint="cs"/>
          <w:rtl/>
        </w:rPr>
        <w:t xml:space="preserve"> (المادتان 2 و26 </w:t>
      </w:r>
      <w:r w:rsidR="00F279F4">
        <w:rPr>
          <w:rFonts w:hint="cs"/>
          <w:rtl/>
        </w:rPr>
        <w:t xml:space="preserve">       </w:t>
      </w:r>
      <w:r w:rsidR="00AC1317">
        <w:rPr>
          <w:rFonts w:hint="cs"/>
          <w:rtl/>
        </w:rPr>
        <w:t>من العهد)</w:t>
      </w:r>
    </w:p>
    <w:p w:rsidR="00F87F52" w:rsidRPr="000E04A0" w:rsidRDefault="00F87F52" w:rsidP="006E0E6A">
      <w:pPr>
        <w:pStyle w:val="SingleTxtGA"/>
        <w:ind w:left="1928"/>
        <w:rPr>
          <w:rFonts w:hint="cs"/>
          <w:b/>
          <w:bCs/>
          <w:rtl/>
        </w:rPr>
      </w:pPr>
      <w:r w:rsidRPr="000E04A0">
        <w:rPr>
          <w:rFonts w:hint="cs"/>
          <w:b/>
          <w:bCs/>
          <w:rtl/>
        </w:rPr>
        <w:t xml:space="preserve">ينبغي للدولة الطرف أن تعزز تدابيرها الرامية إلى مكافحة التمييز ومكافحة الاعتداءات البدنية واللفظية على أفراد الأقليات </w:t>
      </w:r>
      <w:r w:rsidR="000E04A0" w:rsidRPr="000E04A0">
        <w:rPr>
          <w:rFonts w:hint="cs"/>
          <w:b/>
          <w:bCs/>
          <w:rtl/>
        </w:rPr>
        <w:t>العرقية</w:t>
      </w:r>
      <w:r w:rsidRPr="000E04A0">
        <w:rPr>
          <w:rFonts w:hint="cs"/>
          <w:b/>
          <w:bCs/>
          <w:rtl/>
        </w:rPr>
        <w:t xml:space="preserve">، ولا سيما أفراد الأقلية الصربية. كما ينبغي للدولة الطرف أن تكثف جهودها الرامية إلى ضمان منع هذه الاعتداءات والتحقيق فيها ومقاضاة مرتكبيها على وجه السرعة، وتوفير سبل انتصاف فعالة للضحايا. وينبغي أن تضطلع بحملات إعلامية مكثفة للجمهور من أجل التغلب على مظاهر التحيز ضد الأقليات </w:t>
      </w:r>
      <w:r w:rsidR="000E04A0" w:rsidRPr="000E04A0">
        <w:rPr>
          <w:rFonts w:hint="cs"/>
          <w:b/>
          <w:bCs/>
          <w:rtl/>
        </w:rPr>
        <w:t>العرقية</w:t>
      </w:r>
      <w:r w:rsidRPr="000E04A0">
        <w:rPr>
          <w:rFonts w:hint="cs"/>
          <w:b/>
          <w:bCs/>
          <w:rtl/>
        </w:rPr>
        <w:t>. كما ينبغي للدولة الطرف أن تواصل جهودها لحث عجلة التنمية الاقتصادية في المناطق التي يقطنها بشكل أساسي العائدون من أصل صربي.</w:t>
      </w:r>
    </w:p>
    <w:p w:rsidR="00F87F52" w:rsidRDefault="00F87F52" w:rsidP="00335997">
      <w:pPr>
        <w:pStyle w:val="SingleTxtGA"/>
        <w:rPr>
          <w:rFonts w:hint="cs"/>
          <w:rtl/>
        </w:rPr>
      </w:pPr>
      <w:r>
        <w:rPr>
          <w:rFonts w:hint="cs"/>
          <w:rtl/>
        </w:rPr>
        <w:t>6-</w:t>
      </w:r>
      <w:r>
        <w:rPr>
          <w:rFonts w:hint="cs"/>
          <w:rtl/>
        </w:rPr>
        <w:tab/>
        <w:t xml:space="preserve">وفي حين ترحب اللجنة باعتماد تدابير </w:t>
      </w:r>
      <w:r w:rsidR="00B96AED">
        <w:rPr>
          <w:rFonts w:hint="cs"/>
          <w:rtl/>
        </w:rPr>
        <w:t>شتى</w:t>
      </w:r>
      <w:r>
        <w:rPr>
          <w:rFonts w:hint="cs"/>
          <w:rtl/>
        </w:rPr>
        <w:t xml:space="preserve"> لتمكين جميع الأشخاص المشردين من العودة إلى الدولة الطرف، فإنها لا تزال قلقة إزاء العقبات التي يواجهها العائدون، ولا سيما أفراد الأقلية الصربية، وما يعانونه من صعوبات في استعادة ممتلكاتهم أو حقوقهم في الحيازة، والحصول على المساعدة اللازمة لإعادة البناء، وإعادة الاندماج في المجتمع الكرواتي. كما يساور اللجنة القلق إزاء التقارير التي تفيد بأن العديد من اللاجئين </w:t>
      </w:r>
      <w:r w:rsidR="00335997">
        <w:rPr>
          <w:rFonts w:hint="cs"/>
          <w:rtl/>
        </w:rPr>
        <w:t>يختارون</w:t>
      </w:r>
      <w:r>
        <w:rPr>
          <w:rFonts w:hint="cs"/>
          <w:rtl/>
        </w:rPr>
        <w:t xml:space="preserve"> عدم العودة بشكل دائم إلى الدولة الطرف. وتأسف اللجنة لشح البيانات المصنفة حسب الأصل </w:t>
      </w:r>
      <w:r w:rsidR="00335997">
        <w:rPr>
          <w:rFonts w:hint="cs"/>
          <w:rtl/>
        </w:rPr>
        <w:t>العرقي</w:t>
      </w:r>
      <w:r>
        <w:rPr>
          <w:rFonts w:hint="cs"/>
          <w:rtl/>
        </w:rPr>
        <w:t xml:space="preserve"> ونوع الجنس عن حصول أصحاب حق الحيازة السابقين على الس</w:t>
      </w:r>
      <w:r w:rsidR="00D56E7B">
        <w:rPr>
          <w:rFonts w:hint="cs"/>
          <w:rtl/>
        </w:rPr>
        <w:t>كن. (المواد 2 و12 و26 من العهد)</w:t>
      </w:r>
    </w:p>
    <w:p w:rsidR="00F87F52" w:rsidRPr="00650204" w:rsidRDefault="00F87F52" w:rsidP="006E0E6A">
      <w:pPr>
        <w:pStyle w:val="SingleTxtGA"/>
        <w:ind w:left="1928"/>
        <w:rPr>
          <w:rFonts w:hint="cs"/>
          <w:b/>
          <w:bCs/>
          <w:rtl/>
        </w:rPr>
      </w:pPr>
      <w:r w:rsidRPr="00650204">
        <w:rPr>
          <w:rFonts w:hint="cs"/>
          <w:b/>
          <w:bCs/>
          <w:rtl/>
        </w:rPr>
        <w:t>ينبغي للدولة الطرف أن تعزز جهودها لتيسير عودة جميع الأشخاص المشردين وإعادة إدماجهم، بغية ضمان تمكينهم من الإقامة بشكل دائم في الدولة الطرف. وينبغي للدولة الطرف أن تسعى للتحقق من عدد الأشخاص المشردين الذين لا يرغبون في العودة أو لا يستطيعون العودة، وأن تستطلع بشكل موسع أسباب عدم عودتهم. كما ينبغي للدولة الطرف أن تسرّع إجراءات توفير سكن لائق لأصحاب حقوق الحيازة ومالكي العقار</w:t>
      </w:r>
      <w:r w:rsidR="00650204" w:rsidRPr="00650204">
        <w:rPr>
          <w:rFonts w:hint="cs"/>
          <w:b/>
          <w:bCs/>
          <w:rtl/>
        </w:rPr>
        <w:t>ات</w:t>
      </w:r>
      <w:r w:rsidRPr="00650204">
        <w:rPr>
          <w:rFonts w:hint="cs"/>
          <w:b/>
          <w:bCs/>
          <w:rtl/>
        </w:rPr>
        <w:t xml:space="preserve"> السابقين الذين يرغبون في العودة إلى الدولة الطرف. وينبغي للدولة الطرف أن تضمن معاملة سريعة وغير تمييزية للطلبات والطعون المتبقية المتعلقة بالأموال المخصصة لإعادة بناء الممتلكات التي تضررت جراء الحرب أو بعدها.</w:t>
      </w:r>
    </w:p>
    <w:p w:rsidR="00F87F52" w:rsidRDefault="00F87F52" w:rsidP="008B0599">
      <w:pPr>
        <w:pStyle w:val="SingleTxtGA"/>
        <w:rPr>
          <w:rFonts w:hint="cs"/>
          <w:rtl/>
        </w:rPr>
      </w:pPr>
      <w:r>
        <w:rPr>
          <w:rFonts w:hint="cs"/>
          <w:rtl/>
        </w:rPr>
        <w:t>7-</w:t>
      </w:r>
      <w:r>
        <w:rPr>
          <w:rFonts w:hint="cs"/>
          <w:rtl/>
        </w:rPr>
        <w:tab/>
        <w:t xml:space="preserve">ويساور اللجنة القلق إزاء استمرار مظاهر عدم المساواة بين الرجل والمرأة في </w:t>
      </w:r>
      <w:r w:rsidR="005F33FA">
        <w:rPr>
          <w:rFonts w:hint="cs"/>
          <w:rtl/>
        </w:rPr>
        <w:t>مجالات كثيرة</w:t>
      </w:r>
      <w:r>
        <w:rPr>
          <w:rFonts w:hint="cs"/>
          <w:rtl/>
        </w:rPr>
        <w:t>، على الرغم من التقدم المحرز في ميدان النهوض بالمرأة، ولا سيما على صعيد مشاركتها في الحياة السياسية والوظائف العامة. وتكرر اللجنة الإعراب عن قلقها إزاء معدلات البطالة المرتفعة للمرأة وتدني تمثيلها في الهيئتين التشريعية والتنفيذية. كما تعرب اللجنة عن قلقها إزاء استمرار القوالب النمطية فيما يتعلق بدور المرأة في المجت</w:t>
      </w:r>
      <w:r w:rsidR="00D56E7B">
        <w:rPr>
          <w:rFonts w:hint="cs"/>
          <w:rtl/>
        </w:rPr>
        <w:t>مع. (المواد 3 و25 و26 من العهد)</w:t>
      </w:r>
    </w:p>
    <w:p w:rsidR="00F87F52" w:rsidRPr="008B0599" w:rsidRDefault="00F87F52" w:rsidP="004934BB">
      <w:pPr>
        <w:pStyle w:val="SingleTxtGA"/>
        <w:ind w:left="1928"/>
        <w:rPr>
          <w:rFonts w:hint="cs"/>
          <w:b/>
          <w:bCs/>
          <w:rtl/>
        </w:rPr>
      </w:pPr>
      <w:r w:rsidRPr="008B0599">
        <w:rPr>
          <w:rFonts w:hint="cs"/>
          <w:b/>
          <w:bCs/>
          <w:rtl/>
        </w:rPr>
        <w:t xml:space="preserve">ينبغي للدولة الطرف أن تعزز تدابيرها الرامية إلى كفالة المساواة بين الرجل والمرأة في جميع المناحي، بما في ذلك تنفيذ التشريعات ذات الصلة بفعالية أكبر، وزيادة تمويل المؤسسات </w:t>
      </w:r>
      <w:r w:rsidR="008B0599" w:rsidRPr="008B0599">
        <w:rPr>
          <w:rFonts w:hint="cs"/>
          <w:b/>
          <w:bCs/>
          <w:rtl/>
        </w:rPr>
        <w:t xml:space="preserve">المنشأة </w:t>
      </w:r>
      <w:r w:rsidR="004934BB">
        <w:rPr>
          <w:rFonts w:hint="cs"/>
          <w:b/>
          <w:bCs/>
          <w:rtl/>
        </w:rPr>
        <w:t>ل</w:t>
      </w:r>
      <w:r w:rsidRPr="008B0599">
        <w:rPr>
          <w:rFonts w:hint="cs"/>
          <w:b/>
          <w:bCs/>
          <w:rtl/>
        </w:rPr>
        <w:t xml:space="preserve">تعزيز وحماية المساواة بين الجنسين. وينبغي لها </w:t>
      </w:r>
      <w:r w:rsidR="004934BB">
        <w:rPr>
          <w:rFonts w:hint="cs"/>
          <w:b/>
          <w:bCs/>
          <w:rtl/>
        </w:rPr>
        <w:t>أ</w:t>
      </w:r>
      <w:r w:rsidRPr="008B0599">
        <w:rPr>
          <w:rFonts w:hint="cs"/>
          <w:b/>
          <w:bCs/>
          <w:rtl/>
        </w:rPr>
        <w:t>يضاً أن تتخذ تدابير إيجابية ومنسقة لزيادة مشاركة المرأة في الحياة العامة والسياسية، فضلاً عن زيادة مشاركتها في القطاع الخاص، وأن تضمّن تقريرها الدوري القادم معلومات عن النتائج العملية التي تحققت في هذا المضمار،</w:t>
      </w:r>
      <w:r w:rsidR="001A6D20">
        <w:rPr>
          <w:rFonts w:hint="cs"/>
          <w:b/>
          <w:bCs/>
          <w:rtl/>
        </w:rPr>
        <w:t xml:space="preserve">     </w:t>
      </w:r>
      <w:r w:rsidRPr="008B0599">
        <w:rPr>
          <w:rFonts w:hint="cs"/>
          <w:b/>
          <w:bCs/>
          <w:rtl/>
        </w:rPr>
        <w:t xml:space="preserve"> ولا سيما فيما يتعلق بعمالة المرأة في القطاع الخاص. وينبغي للدولة الطرف أن تعزز جهودها الرامية إلى استئصال القوالب النمطية المتعلقة بنوع الجنس توخياً لتغيير التصور السائد عن دور المرأة في المجتمع، بما في ذلك عن طريق حملات التثقيف العامة على المستويين الوطني والمحلي، وتدريب معلمي المدارس على قضايا المساواة بين الجنسين.</w:t>
      </w:r>
    </w:p>
    <w:p w:rsidR="00F87F52" w:rsidRDefault="00F87F52" w:rsidP="00FC498F">
      <w:pPr>
        <w:pStyle w:val="SingleTxtGA"/>
        <w:rPr>
          <w:rFonts w:hint="cs"/>
          <w:rtl/>
        </w:rPr>
      </w:pPr>
      <w:r>
        <w:rPr>
          <w:rFonts w:hint="cs"/>
          <w:rtl/>
        </w:rPr>
        <w:t>8-</w:t>
      </w:r>
      <w:r>
        <w:rPr>
          <w:rFonts w:hint="cs"/>
          <w:rtl/>
        </w:rPr>
        <w:tab/>
        <w:t xml:space="preserve">وفي حين تلاحظ اللجنة الجهود الكبيرة التي تبذلها الدولة الطرف، فإنها تشعر بالقلق إزاء حوادث العنف المنزلي والإفلات من العقاب </w:t>
      </w:r>
      <w:r w:rsidR="00FC498F">
        <w:rPr>
          <w:rFonts w:hint="cs"/>
          <w:rtl/>
        </w:rPr>
        <w:t xml:space="preserve">بسبب </w:t>
      </w:r>
      <w:r>
        <w:rPr>
          <w:rFonts w:hint="cs"/>
          <w:rtl/>
        </w:rPr>
        <w:t xml:space="preserve">انخفاض معدلات الإدانة في هذه الحالات. وتأسف اللجنة لشح الإحصاءات المتاحة عن الشكاوى وإجراءات المقاضاة والعقوبات الصادرة والتعويضات الممنوحة في القضايا المتعلقة بممارسة العنف ضد المرأة، فضلاً عن شح المعلومات المتعلقة بدور الإيواء المتاحة للضحايا. (المواد 3 و7 و23 و26 </w:t>
      </w:r>
      <w:r w:rsidR="00874E08">
        <w:rPr>
          <w:rFonts w:hint="cs"/>
          <w:rtl/>
        </w:rPr>
        <w:t xml:space="preserve">   </w:t>
      </w:r>
      <w:r w:rsidR="00D56E7B">
        <w:rPr>
          <w:rFonts w:hint="cs"/>
          <w:rtl/>
        </w:rPr>
        <w:t>من العهد)</w:t>
      </w:r>
    </w:p>
    <w:p w:rsidR="00F87F52" w:rsidRPr="005519C7" w:rsidRDefault="00F87F52" w:rsidP="005519C7">
      <w:pPr>
        <w:pStyle w:val="SingleTxtGA"/>
        <w:ind w:left="1928"/>
        <w:rPr>
          <w:rFonts w:hint="cs"/>
          <w:b/>
          <w:bCs/>
          <w:rtl/>
        </w:rPr>
      </w:pPr>
      <w:r w:rsidRPr="005519C7">
        <w:rPr>
          <w:rFonts w:hint="cs"/>
          <w:b/>
          <w:bCs/>
          <w:rtl/>
        </w:rPr>
        <w:t>ينبغي للدولة الطرف أن تعزز جهودها الرامية إلى القضاء على ظاهرة العنف المنزلي، وذلك بوسائل من بينها:</w:t>
      </w:r>
    </w:p>
    <w:p w:rsidR="00F87F52" w:rsidRPr="005519C7" w:rsidRDefault="00F87F52" w:rsidP="005519C7">
      <w:pPr>
        <w:pStyle w:val="SingleTxtGA"/>
        <w:ind w:left="1928"/>
        <w:rPr>
          <w:rFonts w:hint="cs"/>
          <w:b/>
          <w:bCs/>
          <w:rtl/>
        </w:rPr>
      </w:pPr>
      <w:r w:rsidRPr="005519C7">
        <w:rPr>
          <w:rFonts w:hint="cs"/>
          <w:b/>
          <w:bCs/>
          <w:rtl/>
        </w:rPr>
        <w:tab/>
        <w:t>(أ)</w:t>
      </w:r>
      <w:r w:rsidRPr="005519C7">
        <w:rPr>
          <w:rFonts w:hint="cs"/>
          <w:b/>
          <w:bCs/>
          <w:rtl/>
        </w:rPr>
        <w:tab/>
        <w:t>التنفيذ الفعال لقانون الحماية من العنف الأسري وغيره من التشريعات ذات الصلة؛</w:t>
      </w:r>
    </w:p>
    <w:p w:rsidR="00F87F52" w:rsidRPr="005519C7" w:rsidRDefault="00F87F52" w:rsidP="005519C7">
      <w:pPr>
        <w:pStyle w:val="SingleTxtGA"/>
        <w:ind w:left="1928"/>
        <w:rPr>
          <w:rFonts w:hint="cs"/>
          <w:b/>
          <w:bCs/>
          <w:rtl/>
        </w:rPr>
      </w:pPr>
      <w:r w:rsidRPr="005519C7">
        <w:rPr>
          <w:rFonts w:hint="cs"/>
          <w:b/>
          <w:bCs/>
          <w:rtl/>
        </w:rPr>
        <w:tab/>
        <w:t>(ب)</w:t>
      </w:r>
      <w:r w:rsidRPr="005519C7">
        <w:rPr>
          <w:rFonts w:hint="cs"/>
          <w:b/>
          <w:bCs/>
          <w:rtl/>
        </w:rPr>
        <w:tab/>
        <w:t>إعداد إحصاءات كافية مصنفة في فئات تشمل الجنس والعمر والعلاقة الأسرية بين الضحية والجاني وأنواع العقوبات المفروضة والتعويضات المقدمة للضحايا؛</w:t>
      </w:r>
    </w:p>
    <w:p w:rsidR="00F87F52" w:rsidRPr="005519C7" w:rsidRDefault="00F87F52" w:rsidP="005519C7">
      <w:pPr>
        <w:pStyle w:val="SingleTxtGA"/>
        <w:ind w:left="1928"/>
        <w:rPr>
          <w:rFonts w:hint="cs"/>
          <w:b/>
          <w:bCs/>
          <w:rtl/>
        </w:rPr>
      </w:pPr>
      <w:r w:rsidRPr="005519C7">
        <w:rPr>
          <w:rFonts w:hint="cs"/>
          <w:b/>
          <w:bCs/>
          <w:rtl/>
        </w:rPr>
        <w:tab/>
        <w:t>(ج)</w:t>
      </w:r>
      <w:r w:rsidRPr="005519C7">
        <w:rPr>
          <w:rFonts w:hint="cs"/>
          <w:b/>
          <w:bCs/>
          <w:rtl/>
        </w:rPr>
        <w:tab/>
        <w:t>توفير خدمات ملائمة وكافية للضحايا، بما في ذلك عدد كاف من دور الإيواء وبرامج إعادة التأهيل.</w:t>
      </w:r>
    </w:p>
    <w:p w:rsidR="00F87F52" w:rsidRDefault="00F87F52" w:rsidP="00E22FBB">
      <w:pPr>
        <w:pStyle w:val="SingleTxtGA"/>
        <w:rPr>
          <w:rFonts w:hint="cs"/>
          <w:rtl/>
        </w:rPr>
      </w:pPr>
      <w:r>
        <w:rPr>
          <w:rFonts w:hint="cs"/>
          <w:rtl/>
        </w:rPr>
        <w:t>9-</w:t>
      </w:r>
      <w:r>
        <w:rPr>
          <w:rFonts w:hint="cs"/>
          <w:rtl/>
        </w:rPr>
        <w:tab/>
      </w:r>
      <w:r w:rsidRPr="00295832">
        <w:rPr>
          <w:rFonts w:hint="cs"/>
          <w:rtl/>
        </w:rPr>
        <w:t>وبصرف النظر</w:t>
      </w:r>
      <w:r>
        <w:rPr>
          <w:rFonts w:hint="cs"/>
          <w:rtl/>
        </w:rPr>
        <w:t xml:space="preserve"> عن التوضيح الذي قدمه وفد الدولة الطرف، فإن اللجنة تكرر الإعراب عن قلقها إزاء عدم توافق المادة 17 من دستور الدولة الطرف توافقاً </w:t>
      </w:r>
      <w:r w:rsidR="00E22FBB">
        <w:rPr>
          <w:rFonts w:hint="cs"/>
          <w:rtl/>
        </w:rPr>
        <w:t>تاماً مع المادة 4 من العهد، إذ إ</w:t>
      </w:r>
      <w:r>
        <w:rPr>
          <w:rFonts w:hint="cs"/>
          <w:rtl/>
        </w:rPr>
        <w:t>ن الأسباب الدستورية التي تبرر عدم التقيد بأحكام العهد هي أوسع نطاقاً مما تقتضيه المادة 4، ولأن تدا</w:t>
      </w:r>
      <w:r w:rsidR="00623584">
        <w:rPr>
          <w:rFonts w:hint="cs"/>
          <w:rtl/>
        </w:rPr>
        <w:t>بير عدم التقيد لا تقتصر على ما ت</w:t>
      </w:r>
      <w:r>
        <w:rPr>
          <w:rFonts w:hint="cs"/>
          <w:rtl/>
        </w:rPr>
        <w:t xml:space="preserve">تطلبه </w:t>
      </w:r>
      <w:r w:rsidR="00623584">
        <w:rPr>
          <w:rFonts w:hint="cs"/>
          <w:rtl/>
        </w:rPr>
        <w:t xml:space="preserve">مقتضيات </w:t>
      </w:r>
      <w:r>
        <w:rPr>
          <w:rFonts w:hint="cs"/>
          <w:rtl/>
        </w:rPr>
        <w:t>الوضع، ولأن المادة 17 لا تتضمن بعض الحقوق غير القابلة للانتقاص بم</w:t>
      </w:r>
      <w:r w:rsidR="00D56E7B">
        <w:rPr>
          <w:rFonts w:hint="cs"/>
          <w:rtl/>
        </w:rPr>
        <w:t>وجب العهد. (المادة 4 من العهد)</w:t>
      </w:r>
    </w:p>
    <w:p w:rsidR="00F87F52" w:rsidRPr="00DB67B2" w:rsidRDefault="00F87F52" w:rsidP="00DB67B2">
      <w:pPr>
        <w:pStyle w:val="SingleTxtGA"/>
        <w:ind w:left="1928"/>
        <w:rPr>
          <w:rFonts w:hint="cs"/>
          <w:b/>
          <w:bCs/>
          <w:rtl/>
        </w:rPr>
      </w:pPr>
      <w:r w:rsidRPr="00DB67B2">
        <w:rPr>
          <w:rFonts w:hint="cs"/>
          <w:b/>
          <w:bCs/>
          <w:rtl/>
        </w:rPr>
        <w:t xml:space="preserve">ينبغي للدولة الطرف أن تضمن توافق أحكامها الدستورية التي تنظم حالات الطوارئ توافقاً تاماً مع مقتضيات المادة 4 من العهد. وتوجّه اللجنة اهتمام الدولة الطرف، في هذا </w:t>
      </w:r>
      <w:r w:rsidR="008C1353">
        <w:rPr>
          <w:rFonts w:hint="cs"/>
          <w:b/>
          <w:bCs/>
          <w:rtl/>
        </w:rPr>
        <w:t>الصدد، إلى تعليقها العام رقم 29</w:t>
      </w:r>
      <w:r w:rsidRPr="00DB67B2">
        <w:rPr>
          <w:rFonts w:hint="cs"/>
          <w:b/>
          <w:bCs/>
          <w:rtl/>
        </w:rPr>
        <w:t>(2001) بشأن عدم التقيد بأحكام العهد أثناء حالات الطوارئ.</w:t>
      </w:r>
    </w:p>
    <w:p w:rsidR="00F87F52" w:rsidRDefault="00F87F52" w:rsidP="000922C8">
      <w:pPr>
        <w:pStyle w:val="SingleTxtGA"/>
        <w:rPr>
          <w:rFonts w:hint="cs"/>
          <w:rtl/>
        </w:rPr>
      </w:pPr>
      <w:r>
        <w:rPr>
          <w:rFonts w:hint="cs"/>
          <w:rtl/>
        </w:rPr>
        <w:t>10-</w:t>
      </w:r>
      <w:r>
        <w:rPr>
          <w:rFonts w:hint="cs"/>
          <w:rtl/>
        </w:rPr>
        <w:tab/>
      </w:r>
      <w:r w:rsidRPr="00295832">
        <w:rPr>
          <w:rFonts w:hint="cs"/>
          <w:rtl/>
        </w:rPr>
        <w:t>وبصرف النظر</w:t>
      </w:r>
      <w:r>
        <w:rPr>
          <w:rFonts w:hint="cs"/>
          <w:rtl/>
        </w:rPr>
        <w:t xml:space="preserve"> عن الالتزام </w:t>
      </w:r>
      <w:r w:rsidRPr="00E91245">
        <w:rPr>
          <w:rFonts w:hint="cs"/>
          <w:rtl/>
        </w:rPr>
        <w:t>العلني</w:t>
      </w:r>
      <w:r>
        <w:rPr>
          <w:rFonts w:hint="cs"/>
          <w:rtl/>
        </w:rPr>
        <w:t xml:space="preserve"> الذي أبدته الدولة الطرف بالمضي في تناول جميع قضايا جرائم الحرب التي لم يُبتّ فيها بعد، </w:t>
      </w:r>
      <w:r w:rsidR="00CF6E40">
        <w:rPr>
          <w:rFonts w:hint="cs"/>
          <w:rtl/>
        </w:rPr>
        <w:t xml:space="preserve">تظل </w:t>
      </w:r>
      <w:r>
        <w:rPr>
          <w:rFonts w:hint="cs"/>
          <w:rtl/>
        </w:rPr>
        <w:t xml:space="preserve">اللجنة قلقة إزاء التقارير التي تفيد </w:t>
      </w:r>
      <w:r w:rsidRPr="00E91245">
        <w:rPr>
          <w:rFonts w:hint="cs"/>
          <w:rtl/>
        </w:rPr>
        <w:t xml:space="preserve">بأن العديد من قضايا جرائم الحرب المفترضة لا تزال تنتظر البتّ فيها، وأن اختيار القضايا موجه على نحو غير متناسب للأشخاص المنحدرين من </w:t>
      </w:r>
      <w:r w:rsidR="00056225">
        <w:rPr>
          <w:rFonts w:hint="cs"/>
          <w:rtl/>
        </w:rPr>
        <w:t>أصل صربي</w:t>
      </w:r>
      <w:r w:rsidRPr="00E91245">
        <w:rPr>
          <w:rFonts w:hint="cs"/>
          <w:rtl/>
        </w:rPr>
        <w:t xml:space="preserve">. وتأسف اللجنة لعدم توفير الدولة الطرف معلومات إحصائية عن </w:t>
      </w:r>
      <w:r w:rsidR="00F72D40">
        <w:rPr>
          <w:rFonts w:hint="cs"/>
          <w:rtl/>
        </w:rPr>
        <w:t xml:space="preserve">أعراق </w:t>
      </w:r>
      <w:r w:rsidRPr="00E91245">
        <w:rPr>
          <w:rFonts w:hint="cs"/>
          <w:rtl/>
        </w:rPr>
        <w:t>الجناة والضحايا في الاجراء</w:t>
      </w:r>
      <w:r w:rsidR="003A763A">
        <w:rPr>
          <w:rFonts w:hint="cs"/>
          <w:rtl/>
        </w:rPr>
        <w:t>ت الوطنية المتعلقة بجرائم الحرب</w:t>
      </w:r>
      <w:r w:rsidRPr="00E91245">
        <w:rPr>
          <w:rFonts w:hint="cs"/>
          <w:rtl/>
        </w:rPr>
        <w:t>. وتلاحظ</w:t>
      </w:r>
      <w:r>
        <w:rPr>
          <w:rFonts w:hint="cs"/>
          <w:rtl/>
        </w:rPr>
        <w:t xml:space="preserve"> اللجنة تدني عدد القضايا التي تنظر </w:t>
      </w:r>
      <w:r w:rsidR="00416A8D">
        <w:rPr>
          <w:rFonts w:hint="cs"/>
          <w:rtl/>
        </w:rPr>
        <w:t>فيها</w:t>
      </w:r>
      <w:r>
        <w:rPr>
          <w:rFonts w:hint="cs"/>
          <w:rtl/>
        </w:rPr>
        <w:t xml:space="preserve"> دوائر المحاكم المختصة بجرائم الحرب. كما تأسف اللجنة لعدم تقديم معلومات مفصلة عن القضايا التي طُبق فيها قانون العفو العام. وأخيراً، تلاحظ اللجنة بقلق أن الدولة الطرف لم تحدد بعد </w:t>
      </w:r>
      <w:r w:rsidR="00262DF4">
        <w:rPr>
          <w:rFonts w:hint="cs"/>
          <w:rtl/>
        </w:rPr>
        <w:t xml:space="preserve">أماكن </w:t>
      </w:r>
      <w:r>
        <w:rPr>
          <w:rFonts w:hint="cs"/>
          <w:rtl/>
        </w:rPr>
        <w:t xml:space="preserve">السجلات المتعلقة بالقصف العسكري الذي نفذته القوات الكرواتية أثناء عملية "العاصفة" في عام 1995، ولم </w:t>
      </w:r>
      <w:r w:rsidR="000922C8">
        <w:rPr>
          <w:rFonts w:hint="cs"/>
          <w:rtl/>
        </w:rPr>
        <w:t>تقم</w:t>
      </w:r>
      <w:r w:rsidR="00262DF4">
        <w:rPr>
          <w:rFonts w:hint="cs"/>
          <w:rtl/>
        </w:rPr>
        <w:t xml:space="preserve"> </w:t>
      </w:r>
      <w:r>
        <w:rPr>
          <w:rFonts w:hint="cs"/>
          <w:rtl/>
        </w:rPr>
        <w:t>بإحالة هذه السجلات إلى المحكمة الجنائية الدولية ليوغوسلافيا السابقة كي يتسنى للمحكمة المضي في تحقيقاتها بهذا الشأن</w:t>
      </w:r>
      <w:r w:rsidR="00D56E7B">
        <w:rPr>
          <w:rFonts w:hint="cs"/>
          <w:rtl/>
        </w:rPr>
        <w:t>. (المواد 2 و6 و7 و14 من العهد)</w:t>
      </w:r>
    </w:p>
    <w:p w:rsidR="00F87F52" w:rsidRPr="000D6F9C" w:rsidRDefault="00F87F52" w:rsidP="00FD6E9D">
      <w:pPr>
        <w:pStyle w:val="SingleTxtGA"/>
        <w:ind w:left="1928"/>
        <w:rPr>
          <w:rFonts w:hint="cs"/>
          <w:b/>
          <w:bCs/>
          <w:rtl/>
        </w:rPr>
      </w:pPr>
      <w:r w:rsidRPr="000D6F9C">
        <w:rPr>
          <w:rFonts w:hint="cs"/>
          <w:b/>
          <w:bCs/>
          <w:rtl/>
        </w:rPr>
        <w:t>ينبغي للدولة الطرف أن تتخذ الإجراءات التالية:</w:t>
      </w:r>
    </w:p>
    <w:p w:rsidR="00F87F52" w:rsidRPr="000D6F9C" w:rsidRDefault="00F87F52" w:rsidP="00FD6E9D">
      <w:pPr>
        <w:pStyle w:val="SingleTxtGA"/>
        <w:ind w:left="1928"/>
        <w:rPr>
          <w:rFonts w:hint="cs"/>
          <w:b/>
          <w:bCs/>
          <w:rtl/>
        </w:rPr>
      </w:pPr>
      <w:r w:rsidRPr="000D6F9C">
        <w:rPr>
          <w:rFonts w:hint="cs"/>
          <w:b/>
          <w:bCs/>
          <w:rtl/>
        </w:rPr>
        <w:tab/>
        <w:t>(أ)</w:t>
      </w:r>
      <w:r w:rsidRPr="000D6F9C">
        <w:rPr>
          <w:rFonts w:hint="cs"/>
          <w:b/>
          <w:bCs/>
          <w:rtl/>
        </w:rPr>
        <w:tab/>
        <w:t xml:space="preserve">تحديد العدد الإجمالي لجرائم الحرب المرتكبة ونطاقها على الفور، بغض النظر عن </w:t>
      </w:r>
      <w:r w:rsidR="00E77024" w:rsidRPr="000D6F9C">
        <w:rPr>
          <w:rFonts w:hint="cs"/>
          <w:b/>
          <w:bCs/>
          <w:rtl/>
        </w:rPr>
        <w:t>أعراق</w:t>
      </w:r>
      <w:r w:rsidRPr="000D6F9C">
        <w:rPr>
          <w:rFonts w:hint="cs"/>
          <w:b/>
          <w:bCs/>
          <w:rtl/>
        </w:rPr>
        <w:t xml:space="preserve"> الأشخاص </w:t>
      </w:r>
      <w:r w:rsidR="00E77024" w:rsidRPr="000D6F9C">
        <w:rPr>
          <w:rFonts w:hint="cs"/>
          <w:b/>
          <w:bCs/>
          <w:rtl/>
        </w:rPr>
        <w:t>الضالعين فيها</w:t>
      </w:r>
      <w:r w:rsidRPr="000D6F9C">
        <w:rPr>
          <w:rFonts w:hint="cs"/>
          <w:b/>
          <w:bCs/>
          <w:rtl/>
        </w:rPr>
        <w:t xml:space="preserve">، بغية </w:t>
      </w:r>
      <w:r w:rsidR="00E77024" w:rsidRPr="000D6F9C">
        <w:rPr>
          <w:rFonts w:hint="cs"/>
          <w:b/>
          <w:bCs/>
          <w:rtl/>
        </w:rPr>
        <w:t xml:space="preserve">ملاحقة </w:t>
      </w:r>
      <w:r w:rsidRPr="000D6F9C">
        <w:rPr>
          <w:rFonts w:hint="cs"/>
          <w:b/>
          <w:bCs/>
          <w:rtl/>
        </w:rPr>
        <w:t xml:space="preserve">القضايا المتبقية </w:t>
      </w:r>
      <w:r w:rsidR="00E77024" w:rsidRPr="000D6F9C">
        <w:rPr>
          <w:rFonts w:hint="cs"/>
          <w:b/>
          <w:bCs/>
          <w:rtl/>
        </w:rPr>
        <w:t xml:space="preserve">قضائياً </w:t>
      </w:r>
      <w:r w:rsidRPr="000D6F9C">
        <w:rPr>
          <w:rFonts w:hint="cs"/>
          <w:b/>
          <w:bCs/>
          <w:rtl/>
        </w:rPr>
        <w:t>على وجه السرعة؛</w:t>
      </w:r>
    </w:p>
    <w:p w:rsidR="00F87F52" w:rsidRPr="000D6F9C" w:rsidRDefault="00F87F52" w:rsidP="00FD6E9D">
      <w:pPr>
        <w:pStyle w:val="SingleTxtGA"/>
        <w:ind w:left="1928"/>
        <w:rPr>
          <w:rFonts w:hint="cs"/>
          <w:b/>
          <w:bCs/>
          <w:rtl/>
        </w:rPr>
      </w:pPr>
      <w:r w:rsidRPr="000D6F9C">
        <w:rPr>
          <w:rFonts w:hint="cs"/>
          <w:b/>
          <w:bCs/>
          <w:rtl/>
        </w:rPr>
        <w:tab/>
        <w:t>(ب)</w:t>
      </w:r>
      <w:r w:rsidRPr="000D6F9C">
        <w:rPr>
          <w:rFonts w:hint="cs"/>
          <w:b/>
          <w:bCs/>
          <w:rtl/>
        </w:rPr>
        <w:tab/>
        <w:t xml:space="preserve">اتخاذ تدابير فعالة لضمان محاكمة جميع مرتكبي جرائم الحرب على نحو خالٍ من التمييز وبمعزل عن </w:t>
      </w:r>
      <w:r w:rsidR="00E77024" w:rsidRPr="000D6F9C">
        <w:rPr>
          <w:rFonts w:hint="cs"/>
          <w:b/>
          <w:bCs/>
          <w:rtl/>
        </w:rPr>
        <w:t>عرق</w:t>
      </w:r>
      <w:r w:rsidRPr="000D6F9C">
        <w:rPr>
          <w:rFonts w:hint="cs"/>
          <w:b/>
          <w:bCs/>
          <w:rtl/>
        </w:rPr>
        <w:t xml:space="preserve"> الجاني، وجمع بيانات إحصائية عن الضحايا والمدّعى عليهم في محاكمات جرائم الحرب الماضية والحالية؛</w:t>
      </w:r>
    </w:p>
    <w:p w:rsidR="00F87F52" w:rsidRPr="000D6F9C" w:rsidRDefault="00F87F52" w:rsidP="00FD6E9D">
      <w:pPr>
        <w:pStyle w:val="SingleTxtGA"/>
        <w:ind w:left="1928"/>
        <w:rPr>
          <w:rFonts w:hint="cs"/>
          <w:b/>
          <w:bCs/>
          <w:rtl/>
        </w:rPr>
      </w:pPr>
      <w:r w:rsidRPr="000D6F9C">
        <w:rPr>
          <w:rFonts w:hint="cs"/>
          <w:b/>
          <w:bCs/>
          <w:rtl/>
        </w:rPr>
        <w:tab/>
        <w:t>(ج)</w:t>
      </w:r>
      <w:r w:rsidRPr="000D6F9C">
        <w:rPr>
          <w:rFonts w:hint="cs"/>
          <w:b/>
          <w:bCs/>
          <w:rtl/>
        </w:rPr>
        <w:tab/>
        <w:t>زيادة جهودها الرامية إلى ضمان اللجوء لأقصى حد ممكن إلى إمكانية إحالة القضايا إلى دوائر المحاكم المختصة بجرائم الحرب؛</w:t>
      </w:r>
    </w:p>
    <w:p w:rsidR="00F87F52" w:rsidRPr="000D6F9C" w:rsidRDefault="00F87F52" w:rsidP="00FD6E9D">
      <w:pPr>
        <w:pStyle w:val="SingleTxtGA"/>
        <w:ind w:left="1928"/>
        <w:rPr>
          <w:rFonts w:hint="cs"/>
          <w:b/>
          <w:bCs/>
          <w:rtl/>
        </w:rPr>
      </w:pPr>
      <w:r w:rsidRPr="000D6F9C">
        <w:rPr>
          <w:rFonts w:hint="cs"/>
          <w:b/>
          <w:bCs/>
          <w:rtl/>
        </w:rPr>
        <w:tab/>
        <w:t>(د)</w:t>
      </w:r>
      <w:r w:rsidRPr="000D6F9C">
        <w:rPr>
          <w:rFonts w:hint="cs"/>
          <w:b/>
          <w:bCs/>
          <w:rtl/>
        </w:rPr>
        <w:tab/>
        <w:t>ضمان عدم تطبيق قانون العفو العام في الحالات التي تنطوي على انتهاكات جسيمة لحقوق الإنسان أو على انتهاكات تبلغ حد الجرائم ضد الإنسانية أو جرائم الحرب؛</w:t>
      </w:r>
    </w:p>
    <w:p w:rsidR="00F87F52" w:rsidRPr="000D6F9C" w:rsidRDefault="00F87F52" w:rsidP="009D3071">
      <w:pPr>
        <w:pStyle w:val="SingleTxtGA"/>
        <w:ind w:left="1928"/>
        <w:rPr>
          <w:rFonts w:hint="cs"/>
          <w:b/>
          <w:bCs/>
          <w:rtl/>
        </w:rPr>
      </w:pPr>
      <w:r w:rsidRPr="000D6F9C">
        <w:rPr>
          <w:rFonts w:hint="cs"/>
          <w:b/>
          <w:bCs/>
          <w:rtl/>
        </w:rPr>
        <w:tab/>
        <w:t>(</w:t>
      </w:r>
      <w:r w:rsidR="004113EC" w:rsidRPr="000D6F9C">
        <w:rPr>
          <w:rFonts w:hint="cs"/>
          <w:b/>
          <w:bCs/>
          <w:rtl/>
        </w:rPr>
        <w:t>ﻫ</w:t>
      </w:r>
      <w:r w:rsidRPr="000D6F9C">
        <w:rPr>
          <w:rFonts w:hint="cs"/>
          <w:b/>
          <w:bCs/>
          <w:rtl/>
        </w:rPr>
        <w:t>)</w:t>
      </w:r>
      <w:r w:rsidRPr="000D6F9C">
        <w:rPr>
          <w:rFonts w:hint="cs"/>
          <w:b/>
          <w:bCs/>
          <w:rtl/>
        </w:rPr>
        <w:tab/>
        <w:t>استرجاع السجلات المتعلقة ب</w:t>
      </w:r>
      <w:r w:rsidR="006E7B34" w:rsidRPr="000D6F9C">
        <w:rPr>
          <w:rFonts w:hint="cs"/>
          <w:b/>
          <w:bCs/>
          <w:rtl/>
        </w:rPr>
        <w:t>ال</w:t>
      </w:r>
      <w:r w:rsidRPr="000D6F9C">
        <w:rPr>
          <w:rFonts w:hint="cs"/>
          <w:b/>
          <w:bCs/>
          <w:rtl/>
        </w:rPr>
        <w:t xml:space="preserve">عمليات </w:t>
      </w:r>
      <w:r w:rsidR="006E7B34" w:rsidRPr="000D6F9C">
        <w:rPr>
          <w:rFonts w:hint="cs"/>
          <w:b/>
          <w:bCs/>
          <w:rtl/>
        </w:rPr>
        <w:t xml:space="preserve">العسكرية </w:t>
      </w:r>
      <w:r w:rsidRPr="000D6F9C">
        <w:rPr>
          <w:rFonts w:hint="cs"/>
          <w:b/>
          <w:bCs/>
          <w:rtl/>
        </w:rPr>
        <w:t>الكرواتي</w:t>
      </w:r>
      <w:r w:rsidR="006E7B34" w:rsidRPr="000D6F9C">
        <w:rPr>
          <w:rFonts w:hint="cs"/>
          <w:b/>
          <w:bCs/>
          <w:rtl/>
        </w:rPr>
        <w:t>ة</w:t>
      </w:r>
      <w:r w:rsidRPr="000D6F9C">
        <w:rPr>
          <w:rFonts w:hint="cs"/>
          <w:b/>
          <w:bCs/>
          <w:rtl/>
        </w:rPr>
        <w:t xml:space="preserve"> التي </w:t>
      </w:r>
      <w:r w:rsidR="006E7B34" w:rsidRPr="000D6F9C">
        <w:rPr>
          <w:rFonts w:hint="cs"/>
          <w:b/>
          <w:bCs/>
          <w:rtl/>
        </w:rPr>
        <w:t xml:space="preserve">طلبتها </w:t>
      </w:r>
      <w:r w:rsidRPr="000D6F9C">
        <w:rPr>
          <w:rFonts w:hint="cs"/>
          <w:b/>
          <w:bCs/>
          <w:rtl/>
        </w:rPr>
        <w:t>المحكمة الجنائية الدولية ليوغوسلافيا السابقة، وإحالتها إلى المحكمة على وجه السرعة كي تستكمل إجراءاتها التحقيقية في هذا الصدد؛</w:t>
      </w:r>
    </w:p>
    <w:p w:rsidR="00F87F52" w:rsidRPr="000D6F9C" w:rsidRDefault="00F87F52" w:rsidP="008120D5">
      <w:pPr>
        <w:pStyle w:val="SingleTxtGA"/>
        <w:ind w:left="1928"/>
        <w:rPr>
          <w:rFonts w:hint="cs"/>
          <w:b/>
          <w:bCs/>
          <w:rtl/>
        </w:rPr>
      </w:pPr>
      <w:r w:rsidRPr="000D6F9C">
        <w:rPr>
          <w:rFonts w:hint="cs"/>
          <w:b/>
          <w:bCs/>
          <w:rtl/>
        </w:rPr>
        <w:tab/>
        <w:t>(و)</w:t>
      </w:r>
      <w:r w:rsidRPr="000D6F9C">
        <w:rPr>
          <w:rFonts w:hint="cs"/>
          <w:b/>
          <w:bCs/>
          <w:rtl/>
        </w:rPr>
        <w:tab/>
        <w:t>ضمان وقف تطبيق قانون التقادم على فترة النزاع كي يتسنى المضي في مقاضاة مرتكبي حالات التعذيب والقتل</w:t>
      </w:r>
      <w:r w:rsidR="008120D5">
        <w:rPr>
          <w:rFonts w:hint="cs"/>
          <w:b/>
          <w:bCs/>
          <w:rtl/>
        </w:rPr>
        <w:t xml:space="preserve"> الخطرة</w:t>
      </w:r>
      <w:r w:rsidRPr="000D6F9C">
        <w:rPr>
          <w:rFonts w:hint="cs"/>
          <w:b/>
          <w:bCs/>
          <w:rtl/>
        </w:rPr>
        <w:t>.</w:t>
      </w:r>
    </w:p>
    <w:p w:rsidR="00F87F52" w:rsidRDefault="00F87F52" w:rsidP="0059437F">
      <w:pPr>
        <w:pStyle w:val="SingleTxtGA"/>
        <w:rPr>
          <w:rFonts w:hint="cs"/>
          <w:rtl/>
        </w:rPr>
      </w:pPr>
      <w:r>
        <w:rPr>
          <w:rFonts w:hint="cs"/>
          <w:rtl/>
        </w:rPr>
        <w:t>11-</w:t>
      </w:r>
      <w:r>
        <w:rPr>
          <w:rFonts w:hint="cs"/>
          <w:rtl/>
        </w:rPr>
        <w:tab/>
        <w:t xml:space="preserve">ويساور اللجنة القلق إزاء محاكمات جرائم الحرب التي أجريت في غياب المتهمين، ملاحظةً معارضة النيابة العامة </w:t>
      </w:r>
      <w:r w:rsidR="0059437F">
        <w:rPr>
          <w:rFonts w:hint="cs"/>
          <w:rtl/>
        </w:rPr>
        <w:t xml:space="preserve">للدولة </w:t>
      </w:r>
      <w:r>
        <w:rPr>
          <w:rFonts w:hint="cs"/>
          <w:rtl/>
        </w:rPr>
        <w:t>إجراء هذه المحاكمات. (المادة 14 من العهد)</w:t>
      </w:r>
    </w:p>
    <w:p w:rsidR="00F87F52" w:rsidRPr="00665852" w:rsidRDefault="00F87F52" w:rsidP="00665852">
      <w:pPr>
        <w:pStyle w:val="SingleTxtGA"/>
        <w:ind w:left="1928"/>
        <w:rPr>
          <w:rFonts w:hint="cs"/>
          <w:b/>
          <w:bCs/>
          <w:rtl/>
        </w:rPr>
      </w:pPr>
      <w:r w:rsidRPr="00665852">
        <w:rPr>
          <w:rFonts w:hint="cs"/>
          <w:b/>
          <w:bCs/>
          <w:rtl/>
        </w:rPr>
        <w:t>ينبغي للدولة الطرف أن تضمن إتاحة سبل انتصاف فعالة للأشخاص الذين أدينوا غيابياً وتمكينهم من</w:t>
      </w:r>
      <w:r w:rsidR="006532F9" w:rsidRPr="00665852">
        <w:rPr>
          <w:rFonts w:hint="cs"/>
          <w:b/>
          <w:bCs/>
          <w:rtl/>
        </w:rPr>
        <w:t xml:space="preserve"> </w:t>
      </w:r>
      <w:r w:rsidRPr="00665852">
        <w:rPr>
          <w:rFonts w:hint="cs"/>
          <w:b/>
          <w:bCs/>
          <w:rtl/>
        </w:rPr>
        <w:t>إعادة فتح ملف القضية، وإجراء هذه المحاكمات كافة على نحو يتفق مع المادة 14 من العهد في ضوء</w:t>
      </w:r>
      <w:r w:rsidR="00FE47AE">
        <w:rPr>
          <w:rFonts w:hint="cs"/>
          <w:b/>
          <w:bCs/>
          <w:rtl/>
        </w:rPr>
        <w:t xml:space="preserve"> التعليق العام رقم 32</w:t>
      </w:r>
      <w:r w:rsidRPr="00665852">
        <w:rPr>
          <w:rFonts w:hint="cs"/>
          <w:b/>
          <w:bCs/>
          <w:rtl/>
        </w:rPr>
        <w:t xml:space="preserve">(2007) على المادة 14 المتعلقة بالحق في المساواة أمام المحاكم والهيئات القضائية والحق في </w:t>
      </w:r>
      <w:r w:rsidR="00D56E7B">
        <w:rPr>
          <w:rFonts w:hint="cs"/>
          <w:b/>
          <w:bCs/>
          <w:rtl/>
        </w:rPr>
        <w:t>محاكمة عادلة. (الفقرتان 31 و36)</w:t>
      </w:r>
    </w:p>
    <w:p w:rsidR="00F87F52" w:rsidRDefault="00F87F52" w:rsidP="005F74B5">
      <w:pPr>
        <w:pStyle w:val="SingleTxtGA"/>
        <w:rPr>
          <w:rFonts w:hint="cs"/>
          <w:rtl/>
        </w:rPr>
      </w:pPr>
      <w:r>
        <w:rPr>
          <w:rFonts w:hint="cs"/>
          <w:rtl/>
        </w:rPr>
        <w:t>12-</w:t>
      </w:r>
      <w:r>
        <w:rPr>
          <w:rFonts w:hint="cs"/>
          <w:rtl/>
        </w:rPr>
        <w:tab/>
        <w:t xml:space="preserve">وفي حين تلاحظ اللجنة تصريح الدولة الطرف بشأن التزامها بإلغاء استخدام الأسرّة </w:t>
      </w:r>
      <w:r w:rsidR="00FE5660">
        <w:rPr>
          <w:rFonts w:hint="cs"/>
          <w:rtl/>
        </w:rPr>
        <w:t xml:space="preserve">المغلقة لتقييد الحركة (أسرّة على شكل أقفاص أو شباك) </w:t>
      </w:r>
      <w:r>
        <w:rPr>
          <w:rFonts w:hint="cs"/>
          <w:rtl/>
        </w:rPr>
        <w:t>لتقييد حركة الأشخاص المصابين بأمراض عقلية، بمن فيهم الأطفال، في المؤسسات، فإنها تشعر بالقلق إزاء استمرار استخدام هذه الأسرّة حالياً. وتذكّر اللجنة بأن هذه الممارسة تشكل معاملة لا إنسانية ومهينة.</w:t>
      </w:r>
      <w:r w:rsidR="004526FC">
        <w:rPr>
          <w:rFonts w:hint="cs"/>
          <w:rtl/>
        </w:rPr>
        <w:t xml:space="preserve">   </w:t>
      </w:r>
      <w:r>
        <w:rPr>
          <w:rFonts w:hint="cs"/>
          <w:rtl/>
        </w:rPr>
        <w:t xml:space="preserve"> (المواد 7 و9 و10 من العهد)</w:t>
      </w:r>
    </w:p>
    <w:p w:rsidR="00F87F52" w:rsidRPr="00AD1476" w:rsidRDefault="00F87F52" w:rsidP="00AD1476">
      <w:pPr>
        <w:pStyle w:val="SingleTxtGA"/>
        <w:ind w:left="1928"/>
        <w:rPr>
          <w:rFonts w:hint="cs"/>
          <w:b/>
          <w:bCs/>
          <w:rtl/>
        </w:rPr>
      </w:pPr>
      <w:r w:rsidRPr="00AD1476">
        <w:rPr>
          <w:rFonts w:hint="cs"/>
          <w:b/>
          <w:bCs/>
          <w:rtl/>
        </w:rPr>
        <w:t xml:space="preserve">ينبغي للدولة الطرف أن تتخذ تدابير فورية لإبطال استخدام الأسرّة </w:t>
      </w:r>
      <w:r w:rsidR="00293565" w:rsidRPr="00AD1476">
        <w:rPr>
          <w:rFonts w:hint="cs"/>
          <w:b/>
          <w:bCs/>
          <w:rtl/>
        </w:rPr>
        <w:t>المغلقة</w:t>
      </w:r>
      <w:r w:rsidRPr="00AD1476">
        <w:rPr>
          <w:rFonts w:hint="cs"/>
          <w:b/>
          <w:bCs/>
          <w:rtl/>
        </w:rPr>
        <w:t xml:space="preserve"> المقيدة </w:t>
      </w:r>
      <w:r w:rsidR="00293565" w:rsidRPr="00AD1476">
        <w:rPr>
          <w:rFonts w:hint="cs"/>
          <w:b/>
          <w:bCs/>
          <w:rtl/>
        </w:rPr>
        <w:t xml:space="preserve">للحركة </w:t>
      </w:r>
      <w:r w:rsidRPr="00AD1476">
        <w:rPr>
          <w:rFonts w:hint="cs"/>
          <w:b/>
          <w:bCs/>
          <w:rtl/>
        </w:rPr>
        <w:t>في مؤسسات الطب النفسي والمؤسسات الأخرى المعنية. كما ينبغي للدولة الطرف أن تنشئ نظام تفتيش يراعي مبادئ الأمم المتحدة لحماية الأشخاص المصابين بمرض عقلي وتحسين العناية بالصحة العقلية.</w:t>
      </w:r>
    </w:p>
    <w:p w:rsidR="00F87F52" w:rsidRDefault="00F87F52" w:rsidP="009E1117">
      <w:pPr>
        <w:pStyle w:val="SingleTxtGA"/>
        <w:rPr>
          <w:rFonts w:hint="cs"/>
          <w:rtl/>
        </w:rPr>
      </w:pPr>
      <w:r>
        <w:rPr>
          <w:rFonts w:hint="cs"/>
          <w:rtl/>
        </w:rPr>
        <w:t>13-</w:t>
      </w:r>
      <w:r>
        <w:rPr>
          <w:rFonts w:hint="cs"/>
          <w:rtl/>
        </w:rPr>
        <w:tab/>
        <w:t>وتحيط اللجنة علماً بالتشريعات التي اعتمدتها الدولة الطرف لتحسين أوضاع الاحتجاز، بما في ذلك خطة عمل استراتيجية الإصلاح القضائي لعام 2008 وخطة العمل المعنية بتحسين نظام السجون لعام 2009. غير أن القلق يساور اللجنة إزاء استمرار تردي الأوضاع في مرافق الاحتجاز في الدولة الطرف، بما في ذلك مشاكل الاكتظاظ وعدم كفاية خدمات الرعاية الصحية المقدمة. (المادتان 7 و10 من العهد)</w:t>
      </w:r>
    </w:p>
    <w:p w:rsidR="00F87F52" w:rsidRPr="009E1117" w:rsidRDefault="00F87F52" w:rsidP="009E1117">
      <w:pPr>
        <w:pStyle w:val="SingleTxtGA"/>
        <w:ind w:left="1928"/>
        <w:rPr>
          <w:rFonts w:hint="cs"/>
          <w:b/>
          <w:bCs/>
          <w:rtl/>
        </w:rPr>
      </w:pPr>
      <w:r w:rsidRPr="009E1117">
        <w:rPr>
          <w:rFonts w:hint="cs"/>
          <w:b/>
          <w:bCs/>
          <w:rtl/>
        </w:rPr>
        <w:t>ينبغي للدولة الطرف أن تضاعف جهودها الرامية إلى تحسين أوضاع جميع الأشخاص المحرومين من حريتهم، توخياً لامتثال جميع متطلبات القواعد النموذجية الدنيا لمعاملة السجناء. وينبغي أن تعالج الدولة مشكلة الاكتظاظ على سبيل الأولوية بوسائل من بينها زيادة اللجوء إلى أشكال العقوبة البديلة، والحدّ من اللجوء إلى الاحتجاز رهن المحاكمة. وينبغي للدولة الطرف أن تقدم في تقريرها الدوري القادم إلى اللجنة بيانات إحصائية ومعلومات أخرى توضح التقدم المحرز على هذا الصعيد.</w:t>
      </w:r>
    </w:p>
    <w:p w:rsidR="00F87F52" w:rsidRDefault="00F87F52" w:rsidP="00B71948">
      <w:pPr>
        <w:pStyle w:val="SingleTxtGA"/>
        <w:rPr>
          <w:rFonts w:hint="cs"/>
          <w:rtl/>
        </w:rPr>
      </w:pPr>
      <w:r w:rsidRPr="00087F04">
        <w:rPr>
          <w:rFonts w:hint="cs"/>
          <w:rtl/>
        </w:rPr>
        <w:t>14-</w:t>
      </w:r>
      <w:r w:rsidRPr="00087F04">
        <w:rPr>
          <w:rFonts w:hint="cs"/>
          <w:rtl/>
        </w:rPr>
        <w:tab/>
      </w:r>
      <w:r>
        <w:rPr>
          <w:rFonts w:hint="cs"/>
          <w:rtl/>
        </w:rPr>
        <w:t>وبينما تلاحظ اللجنة انخفاض عدد المشردين داخلياً والجهود التي تبذلها الدولة الطرف من أجل التوصل إلى حل دائم لمحنتهم، فإن القلق يساورها لأن العديد من هؤلاء الأشخاص لا يزالون يعيشون في دور إيواء جماعية. (المادة 12)</w:t>
      </w:r>
    </w:p>
    <w:p w:rsidR="00F87F52" w:rsidRPr="00B71948" w:rsidRDefault="00093DB0" w:rsidP="00B71948">
      <w:pPr>
        <w:pStyle w:val="SingleTxtGA"/>
        <w:ind w:left="1928"/>
        <w:rPr>
          <w:rFonts w:hint="cs"/>
          <w:b/>
          <w:bCs/>
          <w:rtl/>
        </w:rPr>
      </w:pPr>
      <w:r>
        <w:rPr>
          <w:rFonts w:hint="cs"/>
          <w:b/>
          <w:bCs/>
          <w:rtl/>
        </w:rPr>
        <w:t>ينبغي للدولة الطرف أن تتوصل</w:t>
      </w:r>
      <w:r w:rsidR="00F87F52" w:rsidRPr="00B71948">
        <w:rPr>
          <w:rFonts w:hint="cs"/>
          <w:b/>
          <w:bCs/>
          <w:rtl/>
        </w:rPr>
        <w:t>، دون مزيدٍ من التأخير، إلى حلولٍ دائمة لصالح جميع الأفراد المشرَّدين داخلياً بالتشاور مع م</w:t>
      </w:r>
      <w:r w:rsidR="00B71948" w:rsidRPr="00B71948">
        <w:rPr>
          <w:rFonts w:hint="cs"/>
          <w:b/>
          <w:bCs/>
          <w:rtl/>
        </w:rPr>
        <w:t>ن</w:t>
      </w:r>
      <w:r w:rsidR="00F87F52" w:rsidRPr="00B71948">
        <w:rPr>
          <w:rFonts w:hint="cs"/>
          <w:b/>
          <w:bCs/>
          <w:rtl/>
        </w:rPr>
        <w:t xml:space="preserve"> تبقَّى من أفرادٍ مشرَّدين ووفقاً للمبادئ التوجيهية </w:t>
      </w:r>
      <w:r w:rsidR="00F87F52" w:rsidRPr="00B71948">
        <w:rPr>
          <w:b/>
          <w:bCs/>
          <w:rtl/>
        </w:rPr>
        <w:t>المتعلقة بالتشر</w:t>
      </w:r>
      <w:r w:rsidR="00F87F52" w:rsidRPr="00B71948">
        <w:rPr>
          <w:rFonts w:hint="cs"/>
          <w:b/>
          <w:bCs/>
          <w:rtl/>
        </w:rPr>
        <w:t>ُّ</w:t>
      </w:r>
      <w:r w:rsidR="00F87F52" w:rsidRPr="00B71948">
        <w:rPr>
          <w:b/>
          <w:bCs/>
          <w:rtl/>
        </w:rPr>
        <w:t>د الداخلي</w:t>
      </w:r>
      <w:r w:rsidR="00F87F52" w:rsidRPr="009D754D">
        <w:rPr>
          <w:rFonts w:hint="cs"/>
          <w:b/>
          <w:bCs/>
          <w:rtl/>
        </w:rPr>
        <w:t xml:space="preserve"> </w:t>
      </w:r>
      <w:r w:rsidR="00F87F52" w:rsidRPr="009D754D">
        <w:rPr>
          <w:b/>
          <w:bCs/>
        </w:rPr>
        <w:t>(E/CN.4/1998/53/Add.2)</w:t>
      </w:r>
      <w:r w:rsidR="00F87F52" w:rsidRPr="00B71948">
        <w:rPr>
          <w:rFonts w:hint="cs"/>
          <w:b/>
          <w:bCs/>
          <w:rtl/>
        </w:rPr>
        <w:t>.</w:t>
      </w:r>
    </w:p>
    <w:p w:rsidR="00F87F52" w:rsidRDefault="00F87F52" w:rsidP="00D65B03">
      <w:pPr>
        <w:pStyle w:val="SingleTxtGA"/>
        <w:rPr>
          <w:rFonts w:hint="cs"/>
          <w:rtl/>
        </w:rPr>
      </w:pPr>
      <w:r>
        <w:rPr>
          <w:rFonts w:hint="cs"/>
          <w:rtl/>
        </w:rPr>
        <w:t>15-</w:t>
      </w:r>
      <w:r>
        <w:rPr>
          <w:rFonts w:hint="cs"/>
          <w:rtl/>
        </w:rPr>
        <w:tab/>
        <w:t>وفي حين تلاحظ اللجنة التقدم الذي أحرزته الدولة الطرف لزيادة كفاءة النظام القضائي بوسائل من بينها اعتماد استراتيجية عام 2005 لإصلاح النظام القضائي، فإن القلق يساورها إزاء استمرار الحجم الكبير</w:t>
      </w:r>
      <w:r w:rsidR="006532F9">
        <w:rPr>
          <w:rFonts w:hint="cs"/>
          <w:rtl/>
        </w:rPr>
        <w:t xml:space="preserve"> </w:t>
      </w:r>
      <w:r>
        <w:rPr>
          <w:rFonts w:hint="cs"/>
          <w:rtl/>
        </w:rPr>
        <w:t xml:space="preserve">من </w:t>
      </w:r>
      <w:r w:rsidRPr="00E91245">
        <w:rPr>
          <w:rFonts w:hint="cs"/>
          <w:rtl/>
        </w:rPr>
        <w:t>القضايا المكدسة</w:t>
      </w:r>
      <w:r>
        <w:rPr>
          <w:rFonts w:hint="cs"/>
          <w:rtl/>
        </w:rPr>
        <w:t xml:space="preserve"> أمام المحاكم وتأخر إجراءاتها. </w:t>
      </w:r>
      <w:r w:rsidR="006D6103">
        <w:rPr>
          <w:rFonts w:hint="cs"/>
          <w:rtl/>
        </w:rPr>
        <w:t xml:space="preserve">   </w:t>
      </w:r>
      <w:r>
        <w:rPr>
          <w:rFonts w:hint="cs"/>
          <w:rtl/>
        </w:rPr>
        <w:t>(المادة 14 من العهد)</w:t>
      </w:r>
    </w:p>
    <w:p w:rsidR="00F87F52" w:rsidRPr="00B71948" w:rsidRDefault="00F87F52" w:rsidP="00B71948">
      <w:pPr>
        <w:pStyle w:val="SingleTxtGA"/>
        <w:ind w:left="1928"/>
        <w:rPr>
          <w:rFonts w:hint="cs"/>
          <w:b/>
          <w:bCs/>
          <w:rtl/>
        </w:rPr>
      </w:pPr>
      <w:r w:rsidRPr="00B71948">
        <w:rPr>
          <w:rFonts w:hint="cs"/>
          <w:b/>
          <w:bCs/>
          <w:rtl/>
        </w:rPr>
        <w:t>ينبغي للدولة الطرف أن تواصل تنفيذ وتعزيز تدابيرها الرامية إلى تقليل حجم القضايا المكدسة أمام المحاكم والحدّ من تأخر إجراءات المحاكم.</w:t>
      </w:r>
    </w:p>
    <w:p w:rsidR="00F87F52" w:rsidRDefault="00F87F52" w:rsidP="006D6103">
      <w:pPr>
        <w:pStyle w:val="SingleTxtGA"/>
        <w:rPr>
          <w:rFonts w:hint="cs"/>
          <w:rtl/>
        </w:rPr>
      </w:pPr>
      <w:r>
        <w:rPr>
          <w:rFonts w:hint="cs"/>
          <w:rtl/>
        </w:rPr>
        <w:t>16-</w:t>
      </w:r>
      <w:r>
        <w:rPr>
          <w:rFonts w:hint="cs"/>
          <w:rtl/>
        </w:rPr>
        <w:tab/>
        <w:t xml:space="preserve">وفي حين تقرّ اللجنة بالجهود التي تبذلها الدولة الطرف لضمان تكافؤ فرص الحصول على الجنسية، فإنها تعرب عن قلقها إزاء التقارير التي تفيد بأن بعض فئات </w:t>
      </w:r>
      <w:r w:rsidRPr="00E91245">
        <w:rPr>
          <w:rFonts w:hint="cs"/>
          <w:rtl/>
        </w:rPr>
        <w:t>الأقليات، كالروما والصرب</w:t>
      </w:r>
      <w:r>
        <w:rPr>
          <w:rFonts w:hint="cs"/>
          <w:rtl/>
        </w:rPr>
        <w:t>، لا تزال تعاني صعوبات في الحصول على الجنسية.</w:t>
      </w:r>
      <w:r w:rsidR="00D56E7B">
        <w:rPr>
          <w:rFonts w:hint="cs"/>
          <w:rtl/>
        </w:rPr>
        <w:t xml:space="preserve"> </w:t>
      </w:r>
      <w:r>
        <w:rPr>
          <w:rFonts w:hint="cs"/>
          <w:rtl/>
        </w:rPr>
        <w:t xml:space="preserve">(المواد 16 و26 و27 </w:t>
      </w:r>
      <w:r w:rsidR="006D6103">
        <w:rPr>
          <w:rFonts w:hint="cs"/>
          <w:rtl/>
        </w:rPr>
        <w:t xml:space="preserve">        </w:t>
      </w:r>
      <w:r>
        <w:rPr>
          <w:rFonts w:hint="cs"/>
          <w:rtl/>
        </w:rPr>
        <w:t>من العهد)</w:t>
      </w:r>
    </w:p>
    <w:p w:rsidR="00F87F52" w:rsidRPr="00B71948" w:rsidRDefault="00F87F52" w:rsidP="00E54A4F">
      <w:pPr>
        <w:pStyle w:val="SingleTxtGA"/>
        <w:ind w:left="1928"/>
        <w:rPr>
          <w:rFonts w:hint="cs"/>
          <w:b/>
          <w:bCs/>
          <w:rtl/>
        </w:rPr>
      </w:pPr>
      <w:r w:rsidRPr="00B71948">
        <w:rPr>
          <w:rFonts w:hint="cs"/>
          <w:b/>
          <w:bCs/>
          <w:rtl/>
        </w:rPr>
        <w:t>ينبغي للدولة الطرف أن تواصل تعزيز جهودها الرامية إلى تيسير تكافؤ فرص الحصول على الجنسية، ولا سيما لأفراد فئات الأقليات، وأن تضمن عدم تحيز الإجراءات الإدارية والأحكام التشر</w:t>
      </w:r>
      <w:r w:rsidR="00E94093">
        <w:rPr>
          <w:rFonts w:hint="cs"/>
          <w:b/>
          <w:bCs/>
          <w:rtl/>
        </w:rPr>
        <w:t>ي</w:t>
      </w:r>
      <w:r w:rsidRPr="00B71948">
        <w:rPr>
          <w:rFonts w:hint="cs"/>
          <w:b/>
          <w:bCs/>
          <w:rtl/>
        </w:rPr>
        <w:t xml:space="preserve">عية المتعلقة بالجنسية ضد الأشخاص الذين ينحدرون من أصل </w:t>
      </w:r>
      <w:r w:rsidR="00E54A4F">
        <w:rPr>
          <w:rFonts w:hint="cs"/>
          <w:b/>
          <w:bCs/>
          <w:rtl/>
        </w:rPr>
        <w:t>عرقي</w:t>
      </w:r>
      <w:r w:rsidRPr="00B71948">
        <w:rPr>
          <w:rFonts w:hint="cs"/>
          <w:b/>
          <w:bCs/>
          <w:rtl/>
        </w:rPr>
        <w:t xml:space="preserve"> غير كرواتي.</w:t>
      </w:r>
    </w:p>
    <w:p w:rsidR="00F87F52" w:rsidRDefault="00F87F52" w:rsidP="00E54A4F">
      <w:pPr>
        <w:pStyle w:val="SingleTxtGA"/>
        <w:rPr>
          <w:rFonts w:hint="cs"/>
          <w:rtl/>
        </w:rPr>
      </w:pPr>
      <w:r>
        <w:rPr>
          <w:rFonts w:hint="cs"/>
          <w:rtl/>
        </w:rPr>
        <w:t>17-</w:t>
      </w:r>
      <w:r>
        <w:rPr>
          <w:rFonts w:hint="cs"/>
          <w:rtl/>
        </w:rPr>
        <w:tab/>
        <w:t>وتعرب اللجنة عن قلقها إزاء التقارير التي تفيد بتقاعس الدولة الطرف عن إجراء تحقيقات وافية في حالات الترهيب والاعتداء على الصحافيين، وبأن التصور السائد عن استهداف الصحافيين بالاعتداءات بشكل خاص يؤدي إلى العزوف عن ممارسة حرية الصحافة. (المادتان 14 و19 من العهد)</w:t>
      </w:r>
    </w:p>
    <w:p w:rsidR="00F87F52" w:rsidRPr="00B71948" w:rsidRDefault="00F87F52" w:rsidP="00B71948">
      <w:pPr>
        <w:pStyle w:val="SingleTxtGA"/>
        <w:ind w:left="1928"/>
        <w:rPr>
          <w:rFonts w:hint="cs"/>
          <w:b/>
          <w:bCs/>
          <w:rtl/>
        </w:rPr>
      </w:pPr>
      <w:r w:rsidRPr="00B71948">
        <w:rPr>
          <w:rFonts w:hint="cs"/>
          <w:b/>
          <w:bCs/>
          <w:rtl/>
        </w:rPr>
        <w:t>ينبغي للدولة الطرف أن تعزز تدابيرها الرامية إلى منع ترهيب الصحافيين، وأن تباشر فوراً التحقيق في الاعتداءات التي يتعرض لها الصحافيون أو التهديدات التي يتلقونها ومحاكمة مرتكبيها ومعاقبتهم وتعويض الضحايا. كما ينبغي للدولة الطرف أن تدين علناً أفعال الترهيب والاعتداء هذه وأن تتخذ عموما</w:t>
      </w:r>
      <w:r w:rsidR="00314C7E">
        <w:rPr>
          <w:rFonts w:hint="cs"/>
          <w:b/>
          <w:bCs/>
          <w:rtl/>
        </w:rPr>
        <w:t>ً</w:t>
      </w:r>
      <w:r w:rsidRPr="00B71948">
        <w:rPr>
          <w:rFonts w:hint="cs"/>
          <w:b/>
          <w:bCs/>
          <w:rtl/>
        </w:rPr>
        <w:t xml:space="preserve"> إجراءات صارمة لضمان حرية الصحافة.</w:t>
      </w:r>
    </w:p>
    <w:p w:rsidR="00F87F52" w:rsidRDefault="00F87F52" w:rsidP="00E54A4F">
      <w:pPr>
        <w:pStyle w:val="SingleTxtGA"/>
        <w:rPr>
          <w:rFonts w:hint="cs"/>
          <w:rtl/>
        </w:rPr>
      </w:pPr>
      <w:r>
        <w:rPr>
          <w:rFonts w:hint="cs"/>
          <w:rtl/>
        </w:rPr>
        <w:t>1</w:t>
      </w:r>
      <w:r w:rsidR="00E54A4F">
        <w:rPr>
          <w:rFonts w:hint="cs"/>
          <w:rtl/>
        </w:rPr>
        <w:t>8</w:t>
      </w:r>
      <w:r>
        <w:rPr>
          <w:rFonts w:hint="cs"/>
          <w:rtl/>
        </w:rPr>
        <w:t>-</w:t>
      </w:r>
      <w:r>
        <w:rPr>
          <w:rFonts w:hint="cs"/>
          <w:rtl/>
        </w:rPr>
        <w:tab/>
        <w:t xml:space="preserve">وترحب اللجنة بالتقدم المحرز في ميدان مشاركة أفراد الأقليات </w:t>
      </w:r>
      <w:r w:rsidR="00E54A4F">
        <w:rPr>
          <w:rFonts w:hint="cs"/>
          <w:rtl/>
        </w:rPr>
        <w:t>العرقية</w:t>
      </w:r>
      <w:r>
        <w:rPr>
          <w:rFonts w:hint="cs"/>
          <w:rtl/>
        </w:rPr>
        <w:t xml:space="preserve"> في الحياة العامة، ولكنها تشعر بالقلق إزاء تدني تمثيل الأقليات على مستويات الحكم المحلية والإقليمية. (المواد 25 و26 و27 من العهد)</w:t>
      </w:r>
    </w:p>
    <w:p w:rsidR="00F87F52" w:rsidRPr="00B71948" w:rsidRDefault="00F87F52" w:rsidP="00B71948">
      <w:pPr>
        <w:pStyle w:val="SingleTxtGA"/>
        <w:ind w:left="1928"/>
        <w:rPr>
          <w:rFonts w:hint="cs"/>
          <w:b/>
          <w:bCs/>
          <w:rtl/>
        </w:rPr>
      </w:pPr>
      <w:r w:rsidRPr="00B71948">
        <w:rPr>
          <w:rFonts w:hint="cs"/>
          <w:b/>
          <w:bCs/>
          <w:rtl/>
        </w:rPr>
        <w:t>ينبغي للدولة الطرف أن تعزز جهودها الرامية إلى ضمان تمثيل سياسي كافٍ ومشاركة كافية للأقليات على جميع مستويات الحكم، ولا سيما أفراد الروما والأقلية الصربية.</w:t>
      </w:r>
    </w:p>
    <w:p w:rsidR="00F87F52" w:rsidRDefault="007438D3" w:rsidP="007438D3">
      <w:pPr>
        <w:pStyle w:val="SingleTxtGA"/>
        <w:rPr>
          <w:rFonts w:hint="cs"/>
          <w:rtl/>
        </w:rPr>
      </w:pPr>
      <w:r>
        <w:rPr>
          <w:rFonts w:hint="cs"/>
          <w:rtl/>
        </w:rPr>
        <w:t>19</w:t>
      </w:r>
      <w:r w:rsidR="00F87F52">
        <w:rPr>
          <w:rFonts w:hint="cs"/>
          <w:rtl/>
        </w:rPr>
        <w:t>-</w:t>
      </w:r>
      <w:r w:rsidR="00F87F52">
        <w:rPr>
          <w:rFonts w:hint="cs"/>
          <w:rtl/>
        </w:rPr>
        <w:tab/>
        <w:t>وبينما تشيد اللجنة بالدولة الطرف لما اتخذته من خطوات لتحسين وضع</w:t>
      </w:r>
      <w:r>
        <w:rPr>
          <w:rFonts w:hint="cs"/>
          <w:rtl/>
        </w:rPr>
        <w:t xml:space="preserve">      </w:t>
      </w:r>
      <w:r w:rsidR="00F87F52">
        <w:rPr>
          <w:rFonts w:hint="cs"/>
          <w:rtl/>
        </w:rPr>
        <w:t xml:space="preserve"> الروما،</w:t>
      </w:r>
      <w:r>
        <w:rPr>
          <w:rFonts w:hint="cs"/>
          <w:rtl/>
        </w:rPr>
        <w:t xml:space="preserve"> </w:t>
      </w:r>
      <w:r w:rsidR="00F87F52">
        <w:rPr>
          <w:rFonts w:hint="cs"/>
          <w:rtl/>
        </w:rPr>
        <w:t xml:space="preserve">بما في ذلك البرنامج الوطني للروما وخطة العمل الخاصة بعقد إدماج الروما </w:t>
      </w:r>
      <w:r>
        <w:rPr>
          <w:rFonts w:hint="cs"/>
          <w:rtl/>
        </w:rPr>
        <w:t xml:space="preserve">      </w:t>
      </w:r>
      <w:r w:rsidR="00F87F52">
        <w:rPr>
          <w:rFonts w:hint="cs"/>
          <w:rtl/>
        </w:rPr>
        <w:t>للفترة 2005-2015، فإن القلق يساورها إزاء التفرقة بحكم الواقع التي يعانيها تلاميذ الروما في بعض المدارس. (المادتان 26 و27 من العهد)</w:t>
      </w:r>
    </w:p>
    <w:p w:rsidR="00F87F52" w:rsidRPr="00B71948" w:rsidRDefault="00F87F52" w:rsidP="00B71948">
      <w:pPr>
        <w:pStyle w:val="SingleTxtGA"/>
        <w:ind w:left="1928"/>
        <w:rPr>
          <w:rFonts w:hint="cs"/>
          <w:b/>
          <w:bCs/>
          <w:rtl/>
        </w:rPr>
      </w:pPr>
      <w:r w:rsidRPr="00B71948">
        <w:rPr>
          <w:rFonts w:hint="cs"/>
          <w:b/>
          <w:bCs/>
          <w:rtl/>
        </w:rPr>
        <w:t xml:space="preserve">ينبغي للدولة الطرف أن تعزز جهودها الرامية إلى تنفيذ أحكامها التشريعية الهادفة إلى وضع حد للتفرقة بحكم الواقع التي يعانيها بعض أطفال الروما </w:t>
      </w:r>
      <w:r w:rsidR="00D56E7B">
        <w:rPr>
          <w:rFonts w:hint="cs"/>
          <w:b/>
          <w:bCs/>
          <w:rtl/>
        </w:rPr>
        <w:t xml:space="preserve">       </w:t>
      </w:r>
      <w:r w:rsidRPr="00B71948">
        <w:rPr>
          <w:rFonts w:hint="cs"/>
          <w:b/>
          <w:bCs/>
          <w:rtl/>
        </w:rPr>
        <w:t>في المدارس.</w:t>
      </w:r>
    </w:p>
    <w:p w:rsidR="00F87F52" w:rsidRDefault="00F87F52" w:rsidP="00C74742">
      <w:pPr>
        <w:pStyle w:val="SingleTxtGA"/>
        <w:rPr>
          <w:rFonts w:hint="cs"/>
          <w:rtl/>
        </w:rPr>
      </w:pPr>
      <w:r>
        <w:rPr>
          <w:rFonts w:hint="cs"/>
          <w:sz w:val="30"/>
          <w:rtl/>
        </w:rPr>
        <w:t>20-</w:t>
      </w:r>
      <w:r>
        <w:rPr>
          <w:rFonts w:hint="cs"/>
          <w:sz w:val="30"/>
          <w:rtl/>
        </w:rPr>
        <w:tab/>
      </w:r>
      <w:r w:rsidRPr="001B2207">
        <w:rPr>
          <w:rFonts w:hint="cs"/>
          <w:rtl/>
        </w:rPr>
        <w:t>وينبغي للدولة الطرف أن تعمم على نطاق واسع على عامة الجمهور</w:t>
      </w:r>
      <w:r>
        <w:rPr>
          <w:rFonts w:hint="cs"/>
          <w:rtl/>
        </w:rPr>
        <w:t>،</w:t>
      </w:r>
      <w:r w:rsidRPr="001B2207">
        <w:rPr>
          <w:rFonts w:hint="cs"/>
          <w:rtl/>
        </w:rPr>
        <w:t xml:space="preserve"> وكذلك على السلطات القضائية والتشريعية والإدارية وعلى المجتمع المدني والمنظمات غير الحكومية العاملة في البلد، نص التقرير الدوري </w:t>
      </w:r>
      <w:r>
        <w:rPr>
          <w:rFonts w:hint="cs"/>
          <w:rtl/>
        </w:rPr>
        <w:t>الثاني</w:t>
      </w:r>
      <w:r w:rsidRPr="001B2207">
        <w:rPr>
          <w:rFonts w:hint="cs"/>
          <w:rtl/>
        </w:rPr>
        <w:t xml:space="preserve"> والردود الخطية المقدمة على قائمة المسائل التي أعدتها اللجنة فضلاً عن هذه الملاحظات الختامية. ويجب أن تُوَزَّع نسخ عن تلك الوثائق على الجامعات والمكتبات </w:t>
      </w:r>
      <w:r>
        <w:rPr>
          <w:rFonts w:hint="cs"/>
          <w:rtl/>
        </w:rPr>
        <w:t>العامة والمكتبة</w:t>
      </w:r>
      <w:r w:rsidRPr="001B2207">
        <w:rPr>
          <w:rFonts w:hint="cs"/>
          <w:rtl/>
        </w:rPr>
        <w:t xml:space="preserve"> البرلمانية وكافة الجها</w:t>
      </w:r>
      <w:r>
        <w:rPr>
          <w:rFonts w:hint="cs"/>
          <w:rtl/>
        </w:rPr>
        <w:t xml:space="preserve">ت المعنية الأخرى. وتقترح اللجنة أيضاً </w:t>
      </w:r>
      <w:r w:rsidRPr="001B2207">
        <w:rPr>
          <w:rFonts w:hint="cs"/>
          <w:rtl/>
        </w:rPr>
        <w:t>أن يترجم كل من التقرير والملاحظات الختامية إلى اللغات الرسمية</w:t>
      </w:r>
      <w:r>
        <w:rPr>
          <w:rFonts w:hint="cs"/>
          <w:rtl/>
        </w:rPr>
        <w:t xml:space="preserve"> في الدولة الطرف</w:t>
      </w:r>
      <w:r w:rsidRPr="001B2207">
        <w:rPr>
          <w:rFonts w:hint="cs"/>
          <w:rtl/>
        </w:rPr>
        <w:t>.</w:t>
      </w:r>
    </w:p>
    <w:p w:rsidR="00F87F52" w:rsidRPr="001B2207" w:rsidRDefault="00F87F52" w:rsidP="00C74742">
      <w:pPr>
        <w:pStyle w:val="SingleTxtGA"/>
        <w:rPr>
          <w:rFonts w:hint="cs"/>
          <w:rtl/>
          <w:lang w:bidi="ar-EG"/>
        </w:rPr>
      </w:pPr>
      <w:r>
        <w:rPr>
          <w:rFonts w:hint="cs"/>
          <w:rtl/>
        </w:rPr>
        <w:t>21</w:t>
      </w:r>
      <w:r w:rsidRPr="001B2207">
        <w:rPr>
          <w:rFonts w:hint="cs"/>
          <w:rtl/>
        </w:rPr>
        <w:t>-</w:t>
      </w:r>
      <w:r w:rsidRPr="001B2207">
        <w:rPr>
          <w:rFonts w:hint="cs"/>
          <w:rtl/>
        </w:rPr>
        <w:tab/>
        <w:t>وعملاً با</w:t>
      </w:r>
      <w:r w:rsidRPr="001B2207">
        <w:rPr>
          <w:rFonts w:hint="cs"/>
          <w:rtl/>
          <w:lang w:bidi="ar-EG"/>
        </w:rPr>
        <w:t>لفقرة 5 من المادة 71 من نظام اللجنة الداخلي</w:t>
      </w:r>
      <w:r w:rsidRPr="001B2207">
        <w:rPr>
          <w:rFonts w:hint="cs"/>
          <w:rtl/>
        </w:rPr>
        <w:t xml:space="preserve"> ينبغي للدولة الطرف</w:t>
      </w:r>
      <w:r w:rsidRPr="001B2207">
        <w:rPr>
          <w:rFonts w:hint="cs"/>
          <w:rtl/>
          <w:lang w:bidi="ar-EG"/>
        </w:rPr>
        <w:t xml:space="preserve"> أن تقدم، في غضون سنة</w:t>
      </w:r>
      <w:r>
        <w:rPr>
          <w:rFonts w:hint="cs"/>
          <w:rtl/>
          <w:lang w:bidi="ar-EG"/>
        </w:rPr>
        <w:t xml:space="preserve"> واحدة</w:t>
      </w:r>
      <w:r w:rsidRPr="001B2207">
        <w:rPr>
          <w:rFonts w:hint="cs"/>
          <w:rtl/>
          <w:lang w:bidi="ar-EG"/>
        </w:rPr>
        <w:t xml:space="preserve">، معلومات عن مدى تنفيذها </w:t>
      </w:r>
      <w:r>
        <w:rPr>
          <w:rFonts w:hint="cs"/>
          <w:rtl/>
          <w:lang w:bidi="ar-EG"/>
        </w:rPr>
        <w:t>توصيات</w:t>
      </w:r>
      <w:r w:rsidRPr="001B2207">
        <w:rPr>
          <w:rFonts w:hint="cs"/>
          <w:rtl/>
          <w:lang w:bidi="ar-EG"/>
        </w:rPr>
        <w:t xml:space="preserve"> اللجنة</w:t>
      </w:r>
      <w:r>
        <w:rPr>
          <w:rFonts w:hint="cs"/>
          <w:rtl/>
          <w:lang w:bidi="ar-EG"/>
        </w:rPr>
        <w:t xml:space="preserve"> الواردة</w:t>
      </w:r>
      <w:r w:rsidRPr="001B2207">
        <w:rPr>
          <w:rFonts w:hint="cs"/>
          <w:rtl/>
          <w:lang w:bidi="ar-EG"/>
        </w:rPr>
        <w:t xml:space="preserve"> في الفقرات </w:t>
      </w:r>
      <w:r>
        <w:rPr>
          <w:rFonts w:hint="cs"/>
          <w:rtl/>
          <w:lang w:bidi="ar-EG"/>
        </w:rPr>
        <w:t>5 و10 و17.</w:t>
      </w:r>
    </w:p>
    <w:p w:rsidR="00F87F52" w:rsidRPr="00993DBA" w:rsidRDefault="00F87F52" w:rsidP="00C74742">
      <w:pPr>
        <w:pStyle w:val="SingleTxtGA"/>
        <w:rPr>
          <w:rFonts w:hint="cs"/>
          <w:rtl/>
          <w:lang w:bidi="ar-EG"/>
        </w:rPr>
      </w:pPr>
      <w:r w:rsidRPr="001B2207">
        <w:rPr>
          <w:rFonts w:hint="cs"/>
          <w:rtl/>
          <w:lang w:bidi="ar-EG"/>
        </w:rPr>
        <w:t>2</w:t>
      </w:r>
      <w:r>
        <w:rPr>
          <w:rFonts w:hint="cs"/>
          <w:rtl/>
          <w:lang w:bidi="ar-EG"/>
        </w:rPr>
        <w:t>2</w:t>
      </w:r>
      <w:r w:rsidRPr="001B2207">
        <w:rPr>
          <w:rFonts w:hint="cs"/>
          <w:rtl/>
          <w:lang w:bidi="ar-EG"/>
        </w:rPr>
        <w:t>-</w:t>
      </w:r>
      <w:r w:rsidRPr="001B2207">
        <w:rPr>
          <w:rFonts w:hint="cs"/>
          <w:rtl/>
          <w:lang w:bidi="ar-EG"/>
        </w:rPr>
        <w:tab/>
        <w:t>وتطلب اللجنة إلى الدولة الطرف أن تضمّن</w:t>
      </w:r>
      <w:r w:rsidR="006532F9">
        <w:rPr>
          <w:rFonts w:hint="cs"/>
          <w:rtl/>
          <w:lang w:bidi="ar-EG"/>
        </w:rPr>
        <w:t xml:space="preserve"> </w:t>
      </w:r>
      <w:r w:rsidRPr="001B2207">
        <w:rPr>
          <w:rFonts w:hint="cs"/>
          <w:rtl/>
          <w:lang w:bidi="ar-EG"/>
        </w:rPr>
        <w:t xml:space="preserve">تقريرها الدوري </w:t>
      </w:r>
      <w:r>
        <w:rPr>
          <w:rFonts w:hint="cs"/>
          <w:rtl/>
          <w:lang w:bidi="ar-EG"/>
        </w:rPr>
        <w:t>الثالث</w:t>
      </w:r>
      <w:r w:rsidRPr="001B2207">
        <w:rPr>
          <w:rFonts w:hint="cs"/>
          <w:rtl/>
          <w:lang w:bidi="ar-EG"/>
        </w:rPr>
        <w:t xml:space="preserve">، الذي يحين موعد تقديمه في </w:t>
      </w:r>
      <w:r>
        <w:rPr>
          <w:rFonts w:hint="cs"/>
          <w:rtl/>
          <w:lang w:bidi="ar-EG"/>
        </w:rPr>
        <w:t>30 تشرين الأول/أكتوبر</w:t>
      </w:r>
      <w:r w:rsidRPr="001B2207">
        <w:rPr>
          <w:rFonts w:hint="cs"/>
          <w:rtl/>
        </w:rPr>
        <w:t xml:space="preserve"> 2013،</w:t>
      </w:r>
      <w:r w:rsidRPr="001B2207">
        <w:rPr>
          <w:rFonts w:hint="cs"/>
          <w:rtl/>
          <w:lang w:bidi="ar-EG"/>
        </w:rPr>
        <w:t xml:space="preserve"> معلومات محددة ومستوفاة </w:t>
      </w:r>
      <w:r>
        <w:rPr>
          <w:rFonts w:hint="cs"/>
          <w:rtl/>
          <w:lang w:bidi="ar-EG"/>
        </w:rPr>
        <w:t>عن</w:t>
      </w:r>
      <w:r w:rsidRPr="001B2207">
        <w:rPr>
          <w:rFonts w:hint="cs"/>
          <w:rtl/>
          <w:lang w:bidi="ar-EG"/>
        </w:rPr>
        <w:t xml:space="preserve"> جميع توصياتها </w:t>
      </w:r>
      <w:r>
        <w:rPr>
          <w:rFonts w:hint="cs"/>
          <w:rtl/>
          <w:lang w:bidi="ar-EG"/>
        </w:rPr>
        <w:t>وعن تنفيذ</w:t>
      </w:r>
      <w:r w:rsidRPr="001B2207">
        <w:rPr>
          <w:rFonts w:hint="cs"/>
          <w:rtl/>
          <w:lang w:bidi="ar-EG"/>
        </w:rPr>
        <w:t xml:space="preserve"> العهد </w:t>
      </w:r>
      <w:r>
        <w:rPr>
          <w:rFonts w:hint="cs"/>
          <w:rtl/>
          <w:lang w:bidi="ar-EG"/>
        </w:rPr>
        <w:t>ككل</w:t>
      </w:r>
      <w:r w:rsidRPr="001B2207">
        <w:rPr>
          <w:rFonts w:hint="cs"/>
          <w:rtl/>
          <w:lang w:bidi="ar-EG"/>
        </w:rPr>
        <w:t xml:space="preserve">. كما تطلب اللجنة إلى </w:t>
      </w:r>
      <w:r w:rsidRPr="001B2207">
        <w:rPr>
          <w:rFonts w:hint="cs"/>
          <w:rtl/>
        </w:rPr>
        <w:t>الدولة الطرف</w:t>
      </w:r>
      <w:r w:rsidRPr="001B2207">
        <w:rPr>
          <w:rFonts w:hint="cs"/>
          <w:rtl/>
          <w:lang w:bidi="ar-EG"/>
        </w:rPr>
        <w:t xml:space="preserve"> أن تستشير منظمات المجتمع المدني والمنظمات غير الحكومية العاملة في البلد، لدى إعداد التقرير الدوري </w:t>
      </w:r>
      <w:r>
        <w:rPr>
          <w:rFonts w:hint="cs"/>
          <w:rtl/>
          <w:lang w:bidi="ar-EG"/>
        </w:rPr>
        <w:t>الثالث</w:t>
      </w:r>
      <w:r w:rsidRPr="001B2207">
        <w:rPr>
          <w:rFonts w:hint="cs"/>
          <w:rtl/>
          <w:lang w:bidi="ar-EG"/>
        </w:rPr>
        <w:t>.</w:t>
      </w:r>
    </w:p>
    <w:p w:rsidR="00F87F52" w:rsidRPr="00BC206C" w:rsidRDefault="00BC206C" w:rsidP="00BC206C">
      <w:pPr>
        <w:spacing w:before="120"/>
        <w:jc w:val="center"/>
        <w:rPr>
          <w:rFonts w:hint="cs"/>
          <w:u w:val="single"/>
          <w:rtl/>
          <w:lang w:bidi="ar-EG"/>
        </w:rPr>
      </w:pPr>
      <w:r>
        <w:rPr>
          <w:u w:val="single"/>
          <w:rtl/>
          <w:lang w:bidi="ar-EG"/>
        </w:rPr>
        <w:tab/>
      </w:r>
      <w:r>
        <w:rPr>
          <w:u w:val="single"/>
          <w:rtl/>
          <w:lang w:bidi="ar-EG"/>
        </w:rPr>
        <w:tab/>
      </w:r>
      <w:r>
        <w:rPr>
          <w:u w:val="single"/>
          <w:rtl/>
          <w:lang w:bidi="ar-EG"/>
        </w:rPr>
        <w:tab/>
      </w:r>
    </w:p>
    <w:sectPr w:rsidR="00F87F52" w:rsidRPr="00BC206C" w:rsidSect="0037485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6CC" w:rsidRPr="00B410DB" w:rsidRDefault="008546CC" w:rsidP="00B410DB">
      <w:pPr>
        <w:pStyle w:val="H4GA"/>
        <w:rPr>
          <w:rFonts w:hint="cs"/>
          <w:rtl/>
        </w:rPr>
      </w:pPr>
      <w:r>
        <w:rPr>
          <w:rFonts w:hint="cs"/>
          <w:rtl/>
        </w:rPr>
        <w:tab/>
        <w:t>الحواشي</w:t>
      </w:r>
    </w:p>
  </w:endnote>
  <w:endnote w:type="continuationSeparator" w:id="0">
    <w:p w:rsidR="008546CC" w:rsidRDefault="008546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B7C" w:rsidRPr="00AE1E29" w:rsidRDefault="003A2B7C" w:rsidP="003A2B7C">
    <w:pPr>
      <w:pStyle w:val="Footer"/>
      <w:tabs>
        <w:tab w:val="right" w:pos="9598"/>
      </w:tabs>
    </w:pPr>
    <w:r>
      <w:t>GE.09-46089</w:t>
    </w:r>
    <w:r>
      <w:tab/>
    </w:r>
    <w:r w:rsidRPr="00AE1E29">
      <w:rPr>
        <w:b/>
        <w:sz w:val="18"/>
      </w:rPr>
      <w:fldChar w:fldCharType="begin"/>
    </w:r>
    <w:r w:rsidRPr="00AE1E29">
      <w:rPr>
        <w:b/>
        <w:sz w:val="18"/>
      </w:rPr>
      <w:instrText xml:space="preserve"> PAGE  \* MERGEFORMAT </w:instrText>
    </w:r>
    <w:r w:rsidRPr="00AE1E29">
      <w:rPr>
        <w:b/>
        <w:sz w:val="18"/>
      </w:rPr>
      <w:fldChar w:fldCharType="separate"/>
    </w:r>
    <w:r w:rsidR="000F7C2F">
      <w:rPr>
        <w:b/>
        <w:noProof/>
        <w:sz w:val="18"/>
      </w:rPr>
      <w:t>8</w:t>
    </w:r>
    <w:r w:rsidRPr="00AE1E2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B7C" w:rsidRPr="00374858" w:rsidRDefault="003A2B7C" w:rsidP="00374858">
    <w:pPr>
      <w:pStyle w:val="Footer"/>
      <w:tabs>
        <w:tab w:val="right" w:pos="9598"/>
      </w:tabs>
    </w:pPr>
    <w:r w:rsidRPr="00AE1E29">
      <w:rPr>
        <w:b/>
        <w:sz w:val="18"/>
      </w:rPr>
      <w:fldChar w:fldCharType="begin"/>
    </w:r>
    <w:r w:rsidRPr="00AE1E29">
      <w:rPr>
        <w:b/>
        <w:sz w:val="18"/>
      </w:rPr>
      <w:instrText xml:space="preserve"> PAGE  \* MERGEFORMAT </w:instrText>
    </w:r>
    <w:r w:rsidRPr="00AE1E29">
      <w:rPr>
        <w:b/>
        <w:sz w:val="18"/>
      </w:rPr>
      <w:fldChar w:fldCharType="separate"/>
    </w:r>
    <w:r w:rsidR="000F7C2F">
      <w:rPr>
        <w:b/>
        <w:noProof/>
        <w:sz w:val="18"/>
      </w:rPr>
      <w:t>7</w:t>
    </w:r>
    <w:r w:rsidRPr="00AE1E29">
      <w:rPr>
        <w:b/>
        <w:sz w:val="18"/>
      </w:rPr>
      <w:fldChar w:fldCharType="end"/>
    </w:r>
    <w:r>
      <w:rPr>
        <w:b/>
        <w:sz w:val="18"/>
      </w:rPr>
      <w:tab/>
    </w:r>
    <w:r>
      <w:t>GE.09-460</w:t>
    </w:r>
    <w:r w:rsidR="00374858" w:rsidRPr="00374858">
      <w:t>78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B7C" w:rsidRDefault="003A2B7C" w:rsidP="00654968">
    <w:pPr>
      <w:pStyle w:val="Footer"/>
      <w:jc w:val="right"/>
    </w:pPr>
    <w:r>
      <w:rPr>
        <w:sz w:val="20"/>
      </w:rPr>
      <w:t>(A)   GE.09-4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374858">
      <w:rPr>
        <w:sz w:val="20"/>
      </w:rPr>
      <w:t>6078</w:t>
    </w:r>
    <w:r>
      <w:rPr>
        <w:sz w:val="20"/>
      </w:rPr>
      <w:t xml:space="preserve">    2</w:t>
    </w:r>
    <w:r w:rsidR="00654968">
      <w:rPr>
        <w:sz w:val="20"/>
      </w:rPr>
      <w:t>4</w:t>
    </w:r>
    <w:r>
      <w:rPr>
        <w:sz w:val="20"/>
      </w:rPr>
      <w:t>1109    2</w:t>
    </w:r>
    <w:r w:rsidR="00654968">
      <w:rPr>
        <w:sz w:val="20"/>
      </w:rPr>
      <w:t>5</w:t>
    </w:r>
    <w:r>
      <w:rPr>
        <w:sz w:val="20"/>
      </w:rPr>
      <w:t>1109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6CC" w:rsidRPr="003B6DEC" w:rsidRDefault="008546CC" w:rsidP="003B6DEC">
      <w:pPr>
        <w:pStyle w:val="Footer"/>
        <w:bidi/>
        <w:spacing w:after="80" w:line="200" w:lineRule="exact"/>
        <w:ind w:left="680"/>
        <w:rPr>
          <w:rFonts w:hint="cs"/>
          <w:rtl/>
        </w:rPr>
      </w:pPr>
      <w:r w:rsidRPr="00C10C26">
        <w:rPr>
          <w:rtl/>
        </w:rPr>
        <w:t>__________</w:t>
      </w:r>
    </w:p>
  </w:footnote>
  <w:footnote w:type="continuationSeparator" w:id="0">
    <w:p w:rsidR="008546CC" w:rsidRPr="003B6DEC" w:rsidRDefault="008546CC" w:rsidP="008F02EC">
      <w:pPr>
        <w:pStyle w:val="Footer"/>
        <w:bidi/>
        <w:spacing w:after="80" w:line="200" w:lineRule="exact"/>
        <w:ind w:left="680"/>
        <w:rPr>
          <w:rFonts w:hint="cs"/>
          <w:rtl/>
        </w:rPr>
      </w:pPr>
      <w:r w:rsidRPr="00C10C26">
        <w:rPr>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B7C" w:rsidRPr="00AE1E29" w:rsidRDefault="003A2B7C" w:rsidP="00374858">
    <w:pPr>
      <w:pStyle w:val="Header"/>
      <w:jc w:val="right"/>
    </w:pPr>
    <w:r w:rsidRPr="00AE1E29">
      <w:t>CCPR/C/</w:t>
    </w:r>
    <w:r w:rsidR="00374858">
      <w:t>HRV</w:t>
    </w:r>
    <w:r w:rsidRPr="00AE1E29">
      <w: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B7C" w:rsidRPr="00AE1E29" w:rsidRDefault="003A2B7C" w:rsidP="00374858">
    <w:pPr>
      <w:pStyle w:val="Header"/>
      <w:jc w:val="left"/>
    </w:pPr>
    <w:r w:rsidRPr="00AE1E29">
      <w:t>CCPR/C/</w:t>
    </w:r>
    <w:r w:rsidR="00374858">
      <w:t>HRV</w:t>
    </w:r>
    <w:r w:rsidRPr="00AE1E29">
      <w:t>/CO/2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B7C" w:rsidRDefault="003A2B7C" w:rsidP="003A2B7C">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0" type="#_x0000_t202" style="position:absolute;left:0;text-align:left;margin-left:188.1pt;margin-top:19.35pt;width:234.9pt;height:97.65pt;z-index:2" o:allowincell="f" filled="f" stroked="f">
          <v:textbox inset="0,0,0,0">
            <w:txbxContent>
              <w:p w:rsidR="003A2B7C" w:rsidRPr="008F6743" w:rsidRDefault="003A2B7C" w:rsidP="003A2B7C">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713A2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9E10B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391364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2FB20C09"/>
    <w:multiLevelType w:val="hybridMultilevel"/>
    <w:tmpl w:val="3000DBF4"/>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317F1E07"/>
    <w:multiLevelType w:val="hybridMultilevel"/>
    <w:tmpl w:val="C608CA14"/>
    <w:lvl w:ilvl="0" w:tplc="88A22876">
      <w:start w:val="1"/>
      <w:numFmt w:val="decimal"/>
      <w:lvlRestart w:val="0"/>
      <w:lvlText w:val="(%1)"/>
      <w:lvlJc w:val="left"/>
      <w:pPr>
        <w:tabs>
          <w:tab w:val="num" w:pos="2102"/>
        </w:tabs>
        <w:ind w:left="1382" w:right="1382" w:firstLine="0"/>
      </w:pPr>
    </w:lvl>
    <w:lvl w:ilvl="1" w:tplc="04010019" w:tentative="1">
      <w:start w:val="1"/>
      <w:numFmt w:val="lowerLetter"/>
      <w:lvlText w:val="%2."/>
      <w:lvlJc w:val="left"/>
      <w:pPr>
        <w:tabs>
          <w:tab w:val="num" w:pos="2822"/>
        </w:tabs>
        <w:ind w:left="2822" w:right="2822" w:hanging="360"/>
      </w:pPr>
    </w:lvl>
    <w:lvl w:ilvl="2" w:tplc="0401001B" w:tentative="1">
      <w:start w:val="1"/>
      <w:numFmt w:val="lowerRoman"/>
      <w:lvlText w:val="%3."/>
      <w:lvlJc w:val="right"/>
      <w:pPr>
        <w:tabs>
          <w:tab w:val="num" w:pos="3542"/>
        </w:tabs>
        <w:ind w:left="3542" w:right="3542" w:hanging="180"/>
      </w:pPr>
    </w:lvl>
    <w:lvl w:ilvl="3" w:tplc="0401000F" w:tentative="1">
      <w:start w:val="1"/>
      <w:numFmt w:val="decimal"/>
      <w:lvlText w:val="%4."/>
      <w:lvlJc w:val="left"/>
      <w:pPr>
        <w:tabs>
          <w:tab w:val="num" w:pos="4262"/>
        </w:tabs>
        <w:ind w:left="4262" w:right="4262" w:hanging="360"/>
      </w:pPr>
    </w:lvl>
    <w:lvl w:ilvl="4" w:tplc="04010019" w:tentative="1">
      <w:start w:val="1"/>
      <w:numFmt w:val="lowerLetter"/>
      <w:lvlText w:val="%5."/>
      <w:lvlJc w:val="left"/>
      <w:pPr>
        <w:tabs>
          <w:tab w:val="num" w:pos="4982"/>
        </w:tabs>
        <w:ind w:left="4982" w:right="4982" w:hanging="360"/>
      </w:pPr>
    </w:lvl>
    <w:lvl w:ilvl="5" w:tplc="0401001B" w:tentative="1">
      <w:start w:val="1"/>
      <w:numFmt w:val="lowerRoman"/>
      <w:lvlText w:val="%6."/>
      <w:lvlJc w:val="right"/>
      <w:pPr>
        <w:tabs>
          <w:tab w:val="num" w:pos="5702"/>
        </w:tabs>
        <w:ind w:left="5702" w:right="5702" w:hanging="180"/>
      </w:pPr>
    </w:lvl>
    <w:lvl w:ilvl="6" w:tplc="0401000F" w:tentative="1">
      <w:start w:val="1"/>
      <w:numFmt w:val="decimal"/>
      <w:lvlText w:val="%7."/>
      <w:lvlJc w:val="left"/>
      <w:pPr>
        <w:tabs>
          <w:tab w:val="num" w:pos="6422"/>
        </w:tabs>
        <w:ind w:left="6422" w:right="6422" w:hanging="360"/>
      </w:pPr>
    </w:lvl>
    <w:lvl w:ilvl="7" w:tplc="04010019" w:tentative="1">
      <w:start w:val="1"/>
      <w:numFmt w:val="lowerLetter"/>
      <w:lvlText w:val="%8."/>
      <w:lvlJc w:val="left"/>
      <w:pPr>
        <w:tabs>
          <w:tab w:val="num" w:pos="7142"/>
        </w:tabs>
        <w:ind w:left="7142" w:right="7142" w:hanging="360"/>
      </w:pPr>
    </w:lvl>
    <w:lvl w:ilvl="8" w:tplc="0401001B" w:tentative="1">
      <w:start w:val="1"/>
      <w:numFmt w:val="lowerRoman"/>
      <w:lvlText w:val="%9."/>
      <w:lvlJc w:val="right"/>
      <w:pPr>
        <w:tabs>
          <w:tab w:val="num" w:pos="7862"/>
        </w:tabs>
        <w:ind w:left="7862" w:right="7862" w:hanging="180"/>
      </w:p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39A61A2"/>
    <w:multiLevelType w:val="hybridMultilevel"/>
    <w:tmpl w:val="03286834"/>
    <w:lvl w:ilvl="0" w:tplc="1E22665A">
      <w:start w:val="1"/>
      <w:numFmt w:val="decimal"/>
      <w:lvlRestart w:val="0"/>
      <w:lvlText w:val="(%1)"/>
      <w:lvlJc w:val="right"/>
      <w:pPr>
        <w:tabs>
          <w:tab w:val="num" w:pos="1297"/>
        </w:tabs>
        <w:ind w:left="1297"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0"/>
        </w:tabs>
        <w:ind w:left="1490" w:hanging="360"/>
      </w:p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24">
    <w:nsid w:val="361F0B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6">
    <w:nsid w:val="521414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3BE55A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03F0F8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4FE2C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71D5B8B"/>
    <w:multiLevelType w:val="hybridMultilevel"/>
    <w:tmpl w:val="784C9192"/>
    <w:lvl w:ilvl="0" w:tplc="886ADE86">
      <w:start w:val="1"/>
      <w:numFmt w:val="arabicAlpha"/>
      <w:lvlText w:val="(%1)"/>
      <w:lvlJc w:val="left"/>
      <w:pPr>
        <w:tabs>
          <w:tab w:val="num" w:pos="1607"/>
        </w:tabs>
        <w:ind w:left="1607" w:hanging="36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3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1"/>
  </w:num>
  <w:num w:numId="2">
    <w:abstractNumId w:val="20"/>
  </w:num>
  <w:num w:numId="3">
    <w:abstractNumId w:val="21"/>
  </w:num>
  <w:num w:numId="4">
    <w:abstractNumId w:val="14"/>
  </w:num>
  <w:num w:numId="5">
    <w:abstractNumId w:val="10"/>
  </w:num>
  <w:num w:numId="6">
    <w:abstractNumId w:val="2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30"/>
  </w:num>
  <w:num w:numId="18">
    <w:abstractNumId w:val="15"/>
  </w:num>
  <w:num w:numId="19">
    <w:abstractNumId w:val="17"/>
  </w:num>
  <w:num w:numId="20">
    <w:abstractNumId w:val="31"/>
  </w:num>
  <w:num w:numId="21">
    <w:abstractNumId w:val="18"/>
  </w:num>
  <w:num w:numId="22">
    <w:abstractNumId w:val="16"/>
  </w:num>
  <w:num w:numId="23">
    <w:abstractNumId w:val="32"/>
  </w:num>
  <w:num w:numId="24">
    <w:abstractNumId w:val="28"/>
  </w:num>
  <w:num w:numId="25">
    <w:abstractNumId w:val="12"/>
  </w:num>
  <w:num w:numId="26">
    <w:abstractNumId w:val="13"/>
  </w:num>
  <w:num w:numId="27">
    <w:abstractNumId w:val="26"/>
  </w:num>
  <w:num w:numId="28">
    <w:abstractNumId w:val="29"/>
  </w:num>
  <w:num w:numId="29">
    <w:abstractNumId w:val="25"/>
  </w:num>
  <w:num w:numId="30">
    <w:abstractNumId w:val="24"/>
  </w:num>
  <w:num w:numId="31">
    <w:abstractNumId w:val="11"/>
  </w:num>
  <w:num w:numId="32">
    <w:abstractNumId w:val="27"/>
  </w:num>
  <w:num w:numId="33">
    <w:abstractNumId w:val="19"/>
  </w:num>
  <w:num w:numId="3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stylePaneFormatFilter w:val="3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ExpandShiftReturn/>
    <w:suppressBottomSpacing/>
    <w:suppressTopSpacing/>
    <w:suppressSpBfAfterPgBrk/>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74858"/>
    <w:rsid w:val="00006F09"/>
    <w:rsid w:val="00056225"/>
    <w:rsid w:val="00060AB1"/>
    <w:rsid w:val="00080201"/>
    <w:rsid w:val="0008216C"/>
    <w:rsid w:val="000855FC"/>
    <w:rsid w:val="000922C8"/>
    <w:rsid w:val="00093DB0"/>
    <w:rsid w:val="00096832"/>
    <w:rsid w:val="000A5B1C"/>
    <w:rsid w:val="000A7AEA"/>
    <w:rsid w:val="000B1C6C"/>
    <w:rsid w:val="000B222B"/>
    <w:rsid w:val="000C338C"/>
    <w:rsid w:val="000C670F"/>
    <w:rsid w:val="000D62BD"/>
    <w:rsid w:val="000D6F9C"/>
    <w:rsid w:val="000E04A0"/>
    <w:rsid w:val="000E143B"/>
    <w:rsid w:val="000F7C2F"/>
    <w:rsid w:val="00102F29"/>
    <w:rsid w:val="001248CA"/>
    <w:rsid w:val="00145449"/>
    <w:rsid w:val="001506CA"/>
    <w:rsid w:val="00152EA5"/>
    <w:rsid w:val="0015705F"/>
    <w:rsid w:val="00165234"/>
    <w:rsid w:val="00165F0F"/>
    <w:rsid w:val="001673E1"/>
    <w:rsid w:val="001A2D55"/>
    <w:rsid w:val="001A3725"/>
    <w:rsid w:val="001A6D20"/>
    <w:rsid w:val="001C3C65"/>
    <w:rsid w:val="001C5836"/>
    <w:rsid w:val="001C6B4A"/>
    <w:rsid w:val="001D67A3"/>
    <w:rsid w:val="001E2261"/>
    <w:rsid w:val="001E5FE0"/>
    <w:rsid w:val="0020090A"/>
    <w:rsid w:val="00205917"/>
    <w:rsid w:val="00207B5E"/>
    <w:rsid w:val="00217F51"/>
    <w:rsid w:val="002271C9"/>
    <w:rsid w:val="00236BD6"/>
    <w:rsid w:val="00262DF4"/>
    <w:rsid w:val="00290B39"/>
    <w:rsid w:val="00293565"/>
    <w:rsid w:val="002C457E"/>
    <w:rsid w:val="002D3E71"/>
    <w:rsid w:val="002F34CA"/>
    <w:rsid w:val="002F3FF7"/>
    <w:rsid w:val="00314C7E"/>
    <w:rsid w:val="00325A18"/>
    <w:rsid w:val="00330218"/>
    <w:rsid w:val="00330F7E"/>
    <w:rsid w:val="00335997"/>
    <w:rsid w:val="00357D80"/>
    <w:rsid w:val="00366D71"/>
    <w:rsid w:val="00373834"/>
    <w:rsid w:val="00374858"/>
    <w:rsid w:val="00384D18"/>
    <w:rsid w:val="00387B7E"/>
    <w:rsid w:val="00390D00"/>
    <w:rsid w:val="00395FE9"/>
    <w:rsid w:val="003A2B7C"/>
    <w:rsid w:val="003A4613"/>
    <w:rsid w:val="003A527B"/>
    <w:rsid w:val="003A763A"/>
    <w:rsid w:val="003B0A2C"/>
    <w:rsid w:val="003B3A4E"/>
    <w:rsid w:val="003B6DEC"/>
    <w:rsid w:val="003C536E"/>
    <w:rsid w:val="003C6449"/>
    <w:rsid w:val="004113EC"/>
    <w:rsid w:val="00416A8D"/>
    <w:rsid w:val="004250E3"/>
    <w:rsid w:val="0042745F"/>
    <w:rsid w:val="0043618A"/>
    <w:rsid w:val="00440427"/>
    <w:rsid w:val="00443C45"/>
    <w:rsid w:val="004507FF"/>
    <w:rsid w:val="0045138E"/>
    <w:rsid w:val="004526FC"/>
    <w:rsid w:val="00464A7C"/>
    <w:rsid w:val="0046689A"/>
    <w:rsid w:val="004934BB"/>
    <w:rsid w:val="00493C80"/>
    <w:rsid w:val="00493F4E"/>
    <w:rsid w:val="004A0ACB"/>
    <w:rsid w:val="004A10EF"/>
    <w:rsid w:val="004A4263"/>
    <w:rsid w:val="004B3EB7"/>
    <w:rsid w:val="004C3009"/>
    <w:rsid w:val="005058F6"/>
    <w:rsid w:val="00520694"/>
    <w:rsid w:val="0052786E"/>
    <w:rsid w:val="005519C7"/>
    <w:rsid w:val="0056392B"/>
    <w:rsid w:val="00566291"/>
    <w:rsid w:val="005762E7"/>
    <w:rsid w:val="0058612A"/>
    <w:rsid w:val="0059428A"/>
    <w:rsid w:val="0059437F"/>
    <w:rsid w:val="005A464A"/>
    <w:rsid w:val="005D64B3"/>
    <w:rsid w:val="005F146F"/>
    <w:rsid w:val="005F33FA"/>
    <w:rsid w:val="005F4D6D"/>
    <w:rsid w:val="005F74B5"/>
    <w:rsid w:val="00611073"/>
    <w:rsid w:val="00611E34"/>
    <w:rsid w:val="00621179"/>
    <w:rsid w:val="00623584"/>
    <w:rsid w:val="00634E48"/>
    <w:rsid w:val="0064122D"/>
    <w:rsid w:val="00650204"/>
    <w:rsid w:val="006532F9"/>
    <w:rsid w:val="00654968"/>
    <w:rsid w:val="00665852"/>
    <w:rsid w:val="00665CCC"/>
    <w:rsid w:val="006732F6"/>
    <w:rsid w:val="00682981"/>
    <w:rsid w:val="00697AA0"/>
    <w:rsid w:val="006A4425"/>
    <w:rsid w:val="006A63E9"/>
    <w:rsid w:val="006C347B"/>
    <w:rsid w:val="006D42CB"/>
    <w:rsid w:val="006D6103"/>
    <w:rsid w:val="006E0E6A"/>
    <w:rsid w:val="006E7B34"/>
    <w:rsid w:val="006F08A4"/>
    <w:rsid w:val="006F76B3"/>
    <w:rsid w:val="006F7ACE"/>
    <w:rsid w:val="007075CD"/>
    <w:rsid w:val="00721547"/>
    <w:rsid w:val="00726903"/>
    <w:rsid w:val="007438D3"/>
    <w:rsid w:val="00744EE3"/>
    <w:rsid w:val="007504EE"/>
    <w:rsid w:val="00763068"/>
    <w:rsid w:val="007631C3"/>
    <w:rsid w:val="00771756"/>
    <w:rsid w:val="00782E96"/>
    <w:rsid w:val="00792F31"/>
    <w:rsid w:val="007A2565"/>
    <w:rsid w:val="007A4FED"/>
    <w:rsid w:val="007C0CC3"/>
    <w:rsid w:val="007C1A20"/>
    <w:rsid w:val="007D08DF"/>
    <w:rsid w:val="007D1295"/>
    <w:rsid w:val="007D49FA"/>
    <w:rsid w:val="007D4F8D"/>
    <w:rsid w:val="007F2C14"/>
    <w:rsid w:val="007F66DD"/>
    <w:rsid w:val="00806EB4"/>
    <w:rsid w:val="008120D5"/>
    <w:rsid w:val="00813D62"/>
    <w:rsid w:val="008226F0"/>
    <w:rsid w:val="00823F0C"/>
    <w:rsid w:val="00825FC4"/>
    <w:rsid w:val="00830A32"/>
    <w:rsid w:val="00840FF1"/>
    <w:rsid w:val="008546CC"/>
    <w:rsid w:val="00874E08"/>
    <w:rsid w:val="008805AD"/>
    <w:rsid w:val="008A6FD8"/>
    <w:rsid w:val="008B0599"/>
    <w:rsid w:val="008B34D7"/>
    <w:rsid w:val="008B7594"/>
    <w:rsid w:val="008C1353"/>
    <w:rsid w:val="008D15B4"/>
    <w:rsid w:val="008E12F3"/>
    <w:rsid w:val="008E1773"/>
    <w:rsid w:val="008F02EC"/>
    <w:rsid w:val="008F75C6"/>
    <w:rsid w:val="009103D1"/>
    <w:rsid w:val="009117C1"/>
    <w:rsid w:val="00942B52"/>
    <w:rsid w:val="00945FF0"/>
    <w:rsid w:val="00957BBD"/>
    <w:rsid w:val="00982160"/>
    <w:rsid w:val="009854D6"/>
    <w:rsid w:val="009A64F1"/>
    <w:rsid w:val="009C5D21"/>
    <w:rsid w:val="009D3071"/>
    <w:rsid w:val="009E1117"/>
    <w:rsid w:val="009F2D98"/>
    <w:rsid w:val="009F7536"/>
    <w:rsid w:val="00A10477"/>
    <w:rsid w:val="00A133DB"/>
    <w:rsid w:val="00A1771D"/>
    <w:rsid w:val="00A255F9"/>
    <w:rsid w:val="00A307A6"/>
    <w:rsid w:val="00A341F9"/>
    <w:rsid w:val="00A47EB3"/>
    <w:rsid w:val="00A562C8"/>
    <w:rsid w:val="00A63DC0"/>
    <w:rsid w:val="00A72E18"/>
    <w:rsid w:val="00A9674B"/>
    <w:rsid w:val="00A97BA4"/>
    <w:rsid w:val="00AA6F54"/>
    <w:rsid w:val="00AA7E4C"/>
    <w:rsid w:val="00AB0308"/>
    <w:rsid w:val="00AB758C"/>
    <w:rsid w:val="00AC1317"/>
    <w:rsid w:val="00AD1476"/>
    <w:rsid w:val="00AD7E3B"/>
    <w:rsid w:val="00AE6397"/>
    <w:rsid w:val="00B03FFC"/>
    <w:rsid w:val="00B05077"/>
    <w:rsid w:val="00B12D75"/>
    <w:rsid w:val="00B25A1E"/>
    <w:rsid w:val="00B30C41"/>
    <w:rsid w:val="00B317B0"/>
    <w:rsid w:val="00B323D6"/>
    <w:rsid w:val="00B402C7"/>
    <w:rsid w:val="00B40747"/>
    <w:rsid w:val="00B410DB"/>
    <w:rsid w:val="00B43244"/>
    <w:rsid w:val="00B628BC"/>
    <w:rsid w:val="00B71948"/>
    <w:rsid w:val="00B74931"/>
    <w:rsid w:val="00B96AED"/>
    <w:rsid w:val="00BA012D"/>
    <w:rsid w:val="00BA61D6"/>
    <w:rsid w:val="00BC206C"/>
    <w:rsid w:val="00BC208F"/>
    <w:rsid w:val="00BC5C10"/>
    <w:rsid w:val="00BD1855"/>
    <w:rsid w:val="00BE2964"/>
    <w:rsid w:val="00BF20E5"/>
    <w:rsid w:val="00C04D95"/>
    <w:rsid w:val="00C05605"/>
    <w:rsid w:val="00C10B97"/>
    <w:rsid w:val="00C2511F"/>
    <w:rsid w:val="00C3607F"/>
    <w:rsid w:val="00C432AC"/>
    <w:rsid w:val="00C52353"/>
    <w:rsid w:val="00C604CE"/>
    <w:rsid w:val="00C611ED"/>
    <w:rsid w:val="00C6490A"/>
    <w:rsid w:val="00C74742"/>
    <w:rsid w:val="00C765F9"/>
    <w:rsid w:val="00C769B7"/>
    <w:rsid w:val="00CB6C29"/>
    <w:rsid w:val="00CC018B"/>
    <w:rsid w:val="00CD1D09"/>
    <w:rsid w:val="00CD4468"/>
    <w:rsid w:val="00CD531E"/>
    <w:rsid w:val="00CF6E40"/>
    <w:rsid w:val="00D04816"/>
    <w:rsid w:val="00D34900"/>
    <w:rsid w:val="00D42C51"/>
    <w:rsid w:val="00D5067D"/>
    <w:rsid w:val="00D56E7B"/>
    <w:rsid w:val="00D65B03"/>
    <w:rsid w:val="00D75326"/>
    <w:rsid w:val="00D77F80"/>
    <w:rsid w:val="00D8325F"/>
    <w:rsid w:val="00D97F0E"/>
    <w:rsid w:val="00DB67B2"/>
    <w:rsid w:val="00DB7AAB"/>
    <w:rsid w:val="00DC7B54"/>
    <w:rsid w:val="00DD1B1F"/>
    <w:rsid w:val="00DD2E28"/>
    <w:rsid w:val="00DE7590"/>
    <w:rsid w:val="00DF02D5"/>
    <w:rsid w:val="00DF50F7"/>
    <w:rsid w:val="00E22FBB"/>
    <w:rsid w:val="00E23528"/>
    <w:rsid w:val="00E24778"/>
    <w:rsid w:val="00E3583E"/>
    <w:rsid w:val="00E42A89"/>
    <w:rsid w:val="00E54A4F"/>
    <w:rsid w:val="00E562C0"/>
    <w:rsid w:val="00E647C2"/>
    <w:rsid w:val="00E660D6"/>
    <w:rsid w:val="00E77024"/>
    <w:rsid w:val="00E82235"/>
    <w:rsid w:val="00E90641"/>
    <w:rsid w:val="00E94093"/>
    <w:rsid w:val="00E94B6E"/>
    <w:rsid w:val="00EA458B"/>
    <w:rsid w:val="00EC1652"/>
    <w:rsid w:val="00ED5255"/>
    <w:rsid w:val="00ED532A"/>
    <w:rsid w:val="00ED631D"/>
    <w:rsid w:val="00EF3E19"/>
    <w:rsid w:val="00F111BA"/>
    <w:rsid w:val="00F279F4"/>
    <w:rsid w:val="00F37C79"/>
    <w:rsid w:val="00F4243A"/>
    <w:rsid w:val="00F42EC8"/>
    <w:rsid w:val="00F67A05"/>
    <w:rsid w:val="00F71DBB"/>
    <w:rsid w:val="00F72D40"/>
    <w:rsid w:val="00F8390A"/>
    <w:rsid w:val="00F87F52"/>
    <w:rsid w:val="00F9547F"/>
    <w:rsid w:val="00FC1736"/>
    <w:rsid w:val="00FC498F"/>
    <w:rsid w:val="00FD023F"/>
    <w:rsid w:val="00FD6E9D"/>
    <w:rsid w:val="00FE2BE0"/>
    <w:rsid w:val="00FE47AE"/>
    <w:rsid w:val="00FE5660"/>
    <w:rsid w:val="00FF2722"/>
    <w:rsid w:val="00FF55C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4858"/>
    <w:pPr>
      <w:bidi/>
      <w:spacing w:line="240" w:lineRule="atLeast"/>
      <w:jc w:val="lowKashida"/>
    </w:pPr>
    <w:rPr>
      <w:rFonts w:cs="Traditional Arabic"/>
      <w:szCs w:val="30"/>
    </w:rPr>
  </w:style>
  <w:style w:type="paragraph" w:styleId="Heading1">
    <w:name w:val="heading 1"/>
    <w:aliases w:val="Table_GA"/>
    <w:basedOn w:val="SingleTxtGA"/>
    <w:next w:val="Normal"/>
    <w:qFormat/>
    <w:rsid w:val="00792F31"/>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FC1736"/>
    <w:pPr>
      <w:keepNext/>
      <w:spacing w:before="240" w:after="60"/>
      <w:outlineLvl w:val="3"/>
    </w:pPr>
    <w:rPr>
      <w:rFonts w:cs="Times New Roman"/>
      <w:b/>
      <w:bCs/>
      <w:sz w:val="28"/>
      <w:szCs w:val="28"/>
    </w:rPr>
  </w:style>
  <w:style w:type="paragraph" w:styleId="Heading5">
    <w:name w:val="heading 5"/>
    <w:basedOn w:val="Normal"/>
    <w:next w:val="Normal"/>
    <w:qFormat/>
    <w:rsid w:val="00FC1736"/>
    <w:pPr>
      <w:spacing w:before="240" w:after="60"/>
      <w:outlineLvl w:val="4"/>
    </w:pPr>
    <w:rPr>
      <w:b/>
      <w:bCs/>
      <w:i/>
      <w:iCs/>
      <w:sz w:val="26"/>
      <w:szCs w:val="26"/>
    </w:rPr>
  </w:style>
  <w:style w:type="paragraph" w:styleId="Heading6">
    <w:name w:val="heading 6"/>
    <w:basedOn w:val="Normal"/>
    <w:next w:val="Normal"/>
    <w:qFormat/>
    <w:rsid w:val="00FC1736"/>
    <w:pPr>
      <w:spacing w:before="240" w:after="60"/>
      <w:outlineLvl w:val="5"/>
    </w:pPr>
    <w:rPr>
      <w:rFonts w:cs="Times New Roman"/>
      <w:b/>
      <w:bCs/>
      <w:sz w:val="22"/>
      <w:szCs w:val="22"/>
    </w:rPr>
  </w:style>
  <w:style w:type="paragraph" w:styleId="Heading7">
    <w:name w:val="heading 7"/>
    <w:basedOn w:val="Normal"/>
    <w:next w:val="Normal"/>
    <w:qFormat/>
    <w:rsid w:val="00FC1736"/>
    <w:pPr>
      <w:spacing w:before="240" w:after="60"/>
      <w:outlineLvl w:val="6"/>
    </w:pPr>
    <w:rPr>
      <w:rFonts w:cs="Times New Roman"/>
      <w:sz w:val="24"/>
      <w:szCs w:val="24"/>
    </w:rPr>
  </w:style>
  <w:style w:type="paragraph" w:styleId="Heading8">
    <w:name w:val="heading 8"/>
    <w:basedOn w:val="Normal"/>
    <w:next w:val="Normal"/>
    <w:qFormat/>
    <w:rsid w:val="00FC1736"/>
    <w:pPr>
      <w:spacing w:before="240" w:after="60"/>
      <w:outlineLvl w:val="7"/>
    </w:pPr>
    <w:rPr>
      <w:rFonts w:cs="Times New Roman"/>
      <w:i/>
      <w:iCs/>
      <w:sz w:val="24"/>
      <w:szCs w:val="24"/>
    </w:rPr>
  </w:style>
  <w:style w:type="paragraph" w:styleId="Heading9">
    <w:name w:val="heading 9"/>
    <w:basedOn w:val="Normal"/>
    <w:next w:val="Normal"/>
    <w:qFormat/>
    <w:rsid w:val="00FC1736"/>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A">
    <w:name w:val="_ H __M_GA"/>
    <w:basedOn w:val="Normal"/>
    <w:next w:val="Normal"/>
    <w:rsid w:val="007D08DF"/>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76306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76306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C769B7"/>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C769B7"/>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C769B7"/>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rsid w:val="000C338C"/>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3A527B"/>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F37C79"/>
    <w:pPr>
      <w:keepNext/>
      <w:keepLines/>
      <w:suppressAutoHyphens/>
      <w:bidi w:val="0"/>
      <w:spacing w:before="240" w:after="240" w:line="440" w:lineRule="exact"/>
      <w:ind w:left="1134" w:right="1134"/>
    </w:pPr>
    <w:rPr>
      <w:b/>
      <w:bCs/>
      <w:sz w:val="28"/>
      <w:szCs w:val="38"/>
    </w:rPr>
  </w:style>
  <w:style w:type="paragraph" w:customStyle="1" w:styleId="SingleTxtGA">
    <w:name w:val="_ Single Txt_GA"/>
    <w:basedOn w:val="Normal"/>
    <w:rsid w:val="006F08A4"/>
    <w:pPr>
      <w:tabs>
        <w:tab w:val="left" w:pos="1928"/>
        <w:tab w:val="left" w:pos="2608"/>
        <w:tab w:val="left" w:pos="3289"/>
        <w:tab w:val="left" w:pos="3969"/>
        <w:tab w:val="left" w:pos="4649"/>
        <w:tab w:val="left" w:pos="5330"/>
      </w:tabs>
      <w:spacing w:after="120" w:line="380" w:lineRule="exact"/>
      <w:ind w:left="1247" w:right="1247"/>
    </w:pPr>
  </w:style>
  <w:style w:type="paragraph" w:styleId="EndnoteText">
    <w:name w:val="endnote text"/>
    <w:aliases w:val="2_ GA"/>
    <w:basedOn w:val="Normal"/>
    <w:rsid w:val="009A64F1"/>
    <w:pPr>
      <w:tabs>
        <w:tab w:val="right" w:pos="1021"/>
      </w:tabs>
      <w:spacing w:after="120" w:line="300" w:lineRule="exact"/>
      <w:ind w:left="1247" w:right="1247" w:hanging="1247"/>
    </w:pPr>
    <w:rPr>
      <w:sz w:val="18"/>
      <w:szCs w:val="26"/>
    </w:rPr>
  </w:style>
  <w:style w:type="paragraph" w:customStyle="1" w:styleId="Bullet1GA">
    <w:name w:val="_Bullet 1_GA"/>
    <w:basedOn w:val="Normal"/>
    <w:rsid w:val="00CD4468"/>
    <w:pPr>
      <w:numPr>
        <w:numId w:val="25"/>
      </w:numPr>
      <w:tabs>
        <w:tab w:val="clear" w:pos="2495"/>
      </w:tabs>
      <w:suppressAutoHyphens/>
      <w:bidi w:val="0"/>
      <w:spacing w:after="120" w:line="380" w:lineRule="exact"/>
      <w:ind w:left="2041" w:right="1247" w:hanging="397"/>
    </w:pPr>
  </w:style>
  <w:style w:type="paragraph" w:customStyle="1" w:styleId="Bullet2GA">
    <w:name w:val="_Bullet 2_GA"/>
    <w:basedOn w:val="Normal"/>
    <w:rsid w:val="00CD4468"/>
    <w:pPr>
      <w:numPr>
        <w:numId w:val="29"/>
      </w:numPr>
      <w:tabs>
        <w:tab w:val="clear" w:pos="3215"/>
      </w:tabs>
      <w:suppressAutoHyphens/>
      <w:bidi w:val="0"/>
      <w:spacing w:after="120" w:line="380" w:lineRule="exact"/>
      <w:ind w:left="2438" w:right="1247" w:hanging="397"/>
    </w:pPr>
  </w:style>
  <w:style w:type="numbering" w:styleId="111111">
    <w:name w:val="Outline List 2"/>
    <w:basedOn w:val="NoList"/>
    <w:semiHidden/>
    <w:rsid w:val="00FC1736"/>
    <w:pPr>
      <w:numPr>
        <w:numId w:val="19"/>
      </w:numPr>
    </w:pPr>
  </w:style>
  <w:style w:type="paragraph" w:styleId="FootnoteText">
    <w:name w:val="footnote text"/>
    <w:basedOn w:val="Normal"/>
    <w:semiHidden/>
    <w:rsid w:val="0046689A"/>
    <w:rPr>
      <w:szCs w:val="20"/>
    </w:rPr>
  </w:style>
  <w:style w:type="paragraph" w:customStyle="1" w:styleId="footnoteText0">
    <w:name w:val="footnote Text"/>
    <w:aliases w:val="5_GA"/>
    <w:basedOn w:val="Normal"/>
    <w:rsid w:val="0056392B"/>
    <w:pPr>
      <w:tabs>
        <w:tab w:val="right" w:pos="1021"/>
      </w:tabs>
      <w:spacing w:after="120" w:line="300" w:lineRule="exact"/>
      <w:ind w:left="1247" w:right="1247" w:hanging="1247"/>
    </w:pPr>
    <w:rPr>
      <w:sz w:val="18"/>
      <w:szCs w:val="26"/>
    </w:rPr>
  </w:style>
  <w:style w:type="paragraph" w:customStyle="1" w:styleId="ParaNoGA">
    <w:name w:val="_ParaNo._GA"/>
    <w:basedOn w:val="SingleTxtGA"/>
    <w:rsid w:val="007075CD"/>
    <w:pPr>
      <w:numPr>
        <w:numId w:val="6"/>
      </w:numPr>
      <w:suppressAutoHyphens/>
      <w:bidi w:val="0"/>
    </w:pPr>
  </w:style>
  <w:style w:type="paragraph" w:customStyle="1" w:styleId="Roman1GA">
    <w:name w:val="_Roman 1_GA"/>
    <w:basedOn w:val="Bullet1GA"/>
    <w:rsid w:val="00CD4468"/>
    <w:pPr>
      <w:numPr>
        <w:numId w:val="22"/>
      </w:numPr>
      <w:tabs>
        <w:tab w:val="clear" w:pos="2310"/>
      </w:tabs>
      <w:ind w:left="2041" w:hanging="397"/>
    </w:pPr>
  </w:style>
  <w:style w:type="paragraph" w:customStyle="1" w:styleId="XLargeGA">
    <w:name w:val="__XLarge_GA"/>
    <w:basedOn w:val="Normal"/>
    <w:rsid w:val="000C338C"/>
    <w:pPr>
      <w:keepNext/>
      <w:keepLines/>
      <w:tabs>
        <w:tab w:val="right" w:leader="dot" w:pos="360"/>
      </w:tabs>
      <w:suppressAutoHyphens/>
      <w:spacing w:before="240" w:after="240" w:line="580" w:lineRule="exact"/>
      <w:ind w:left="1247" w:right="1247"/>
    </w:pPr>
    <w:rPr>
      <w:b/>
      <w:bCs/>
      <w:sz w:val="40"/>
      <w:szCs w:val="60"/>
    </w:rPr>
  </w:style>
  <w:style w:type="paragraph" w:customStyle="1" w:styleId="XXLargeGA">
    <w:name w:val="XXLarge_GA"/>
    <w:basedOn w:val="XLargeGA"/>
    <w:next w:val="Normal"/>
    <w:rsid w:val="00C52353"/>
    <w:pPr>
      <w:spacing w:line="820" w:lineRule="exact"/>
    </w:pPr>
    <w:rPr>
      <w:spacing w:val="-8"/>
      <w:w w:val="96"/>
      <w:sz w:val="57"/>
      <w:szCs w:val="86"/>
    </w:rPr>
  </w:style>
  <w:style w:type="paragraph" w:styleId="Footer">
    <w:name w:val="footer"/>
    <w:aliases w:val="3_GA"/>
    <w:basedOn w:val="Normal"/>
    <w:rsid w:val="0046689A"/>
    <w:pPr>
      <w:suppressAutoHyphens/>
      <w:bidi w:val="0"/>
      <w:spacing w:line="240" w:lineRule="auto"/>
    </w:pPr>
    <w:rPr>
      <w:sz w:val="16"/>
      <w:szCs w:val="22"/>
      <w:lang w:val="en-GB"/>
    </w:rPr>
  </w:style>
  <w:style w:type="paragraph" w:styleId="Header">
    <w:name w:val="header"/>
    <w:aliases w:val="6_GA"/>
    <w:basedOn w:val="Normal"/>
    <w:rsid w:val="007075CD"/>
    <w:pPr>
      <w:pBdr>
        <w:bottom w:val="single" w:sz="4" w:space="4" w:color="auto"/>
      </w:pBdr>
      <w:suppressAutoHyphens/>
      <w:bidi w:val="0"/>
    </w:pPr>
    <w:rPr>
      <w:b/>
      <w:bCs/>
      <w:sz w:val="18"/>
      <w:szCs w:val="26"/>
    </w:rPr>
  </w:style>
  <w:style w:type="character" w:styleId="PageNumber">
    <w:name w:val="page number"/>
    <w:aliases w:val="7_GA"/>
    <w:basedOn w:val="DefaultParagraphFont"/>
    <w:rsid w:val="001C3C65"/>
    <w:rPr>
      <w:rFonts w:ascii="Times New Roman" w:hAnsi="Times New Roman"/>
      <w:b/>
      <w:sz w:val="18"/>
    </w:rPr>
  </w:style>
  <w:style w:type="numbering" w:styleId="1ai">
    <w:name w:val="Outline List 1"/>
    <w:basedOn w:val="NoList"/>
    <w:semiHidden/>
    <w:rsid w:val="00FC1736"/>
    <w:pPr>
      <w:numPr>
        <w:numId w:val="20"/>
      </w:numPr>
    </w:pPr>
  </w:style>
  <w:style w:type="numbering" w:styleId="ArticleSection">
    <w:name w:val="Outline List 3"/>
    <w:basedOn w:val="NoList"/>
    <w:semiHidden/>
    <w:rsid w:val="00FC1736"/>
    <w:pPr>
      <w:numPr>
        <w:numId w:val="21"/>
      </w:numPr>
    </w:pPr>
  </w:style>
  <w:style w:type="paragraph" w:styleId="BlockText">
    <w:name w:val="Block Text"/>
    <w:basedOn w:val="Normal"/>
    <w:semiHidden/>
    <w:rsid w:val="00FC1736"/>
    <w:pPr>
      <w:spacing w:after="120"/>
      <w:ind w:left="1440" w:right="1440"/>
    </w:pPr>
  </w:style>
  <w:style w:type="paragraph" w:styleId="BodyText">
    <w:name w:val="Body Text"/>
    <w:basedOn w:val="Normal"/>
    <w:semiHidden/>
    <w:rsid w:val="00FC1736"/>
    <w:pPr>
      <w:spacing w:after="120"/>
    </w:pPr>
  </w:style>
  <w:style w:type="paragraph" w:styleId="BodyText2">
    <w:name w:val="Body Text 2"/>
    <w:basedOn w:val="Normal"/>
    <w:semiHidden/>
    <w:rsid w:val="00FC1736"/>
    <w:pPr>
      <w:spacing w:after="120" w:line="480" w:lineRule="auto"/>
    </w:pPr>
  </w:style>
  <w:style w:type="paragraph" w:styleId="BodyText3">
    <w:name w:val="Body Text 3"/>
    <w:basedOn w:val="Normal"/>
    <w:semiHidden/>
    <w:rsid w:val="00FC1736"/>
    <w:pPr>
      <w:spacing w:after="120"/>
    </w:pPr>
    <w:rPr>
      <w:sz w:val="16"/>
      <w:szCs w:val="16"/>
    </w:rPr>
  </w:style>
  <w:style w:type="paragraph" w:styleId="BodyTextFirstIndent">
    <w:name w:val="Body Text First Indent"/>
    <w:basedOn w:val="BodyText"/>
    <w:semiHidden/>
    <w:rsid w:val="00FC1736"/>
    <w:pPr>
      <w:ind w:firstLine="210"/>
    </w:pPr>
  </w:style>
  <w:style w:type="paragraph" w:styleId="BodyTextIndent">
    <w:name w:val="Body Text Indent"/>
    <w:basedOn w:val="Normal"/>
    <w:semiHidden/>
    <w:rsid w:val="00FC1736"/>
    <w:pPr>
      <w:spacing w:after="120"/>
      <w:ind w:left="360"/>
    </w:pPr>
  </w:style>
  <w:style w:type="paragraph" w:styleId="BodyTextFirstIndent2">
    <w:name w:val="Body Text First Indent 2"/>
    <w:basedOn w:val="BodyTextIndent"/>
    <w:semiHidden/>
    <w:rsid w:val="00FC1736"/>
    <w:pPr>
      <w:ind w:firstLine="210"/>
    </w:pPr>
  </w:style>
  <w:style w:type="paragraph" w:styleId="BodyTextIndent2">
    <w:name w:val="Body Text Indent 2"/>
    <w:basedOn w:val="Normal"/>
    <w:semiHidden/>
    <w:rsid w:val="00FC1736"/>
    <w:pPr>
      <w:spacing w:after="120" w:line="480" w:lineRule="auto"/>
      <w:ind w:left="360"/>
    </w:pPr>
  </w:style>
  <w:style w:type="paragraph" w:styleId="BodyTextIndent3">
    <w:name w:val="Body Text Indent 3"/>
    <w:basedOn w:val="Normal"/>
    <w:semiHidden/>
    <w:rsid w:val="00FC1736"/>
    <w:pPr>
      <w:spacing w:after="120"/>
      <w:ind w:left="360"/>
    </w:pPr>
    <w:rPr>
      <w:sz w:val="16"/>
      <w:szCs w:val="16"/>
    </w:rPr>
  </w:style>
  <w:style w:type="paragraph" w:styleId="Closing">
    <w:name w:val="Closing"/>
    <w:basedOn w:val="Normal"/>
    <w:semiHidden/>
    <w:rsid w:val="00FC1736"/>
    <w:pPr>
      <w:ind w:left="4320"/>
    </w:pPr>
  </w:style>
  <w:style w:type="paragraph" w:styleId="Date">
    <w:name w:val="Date"/>
    <w:basedOn w:val="Normal"/>
    <w:next w:val="Normal"/>
    <w:semiHidden/>
    <w:rsid w:val="00FC1736"/>
  </w:style>
  <w:style w:type="paragraph" w:styleId="E-mailSignature">
    <w:name w:val="E-mail Signature"/>
    <w:basedOn w:val="Normal"/>
    <w:semiHidden/>
    <w:rsid w:val="00FC1736"/>
  </w:style>
  <w:style w:type="character" w:styleId="Emphasis">
    <w:name w:val="Emphasis"/>
    <w:basedOn w:val="DefaultParagraphFont"/>
    <w:qFormat/>
    <w:rsid w:val="00FC1736"/>
    <w:rPr>
      <w:i/>
      <w:iCs/>
    </w:rPr>
  </w:style>
  <w:style w:type="paragraph" w:styleId="EnvelopeAddress">
    <w:name w:val="envelope address"/>
    <w:basedOn w:val="Normal"/>
    <w:semiHidden/>
    <w:rsid w:val="00FC1736"/>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FC1736"/>
    <w:rPr>
      <w:rFonts w:ascii="Arial" w:hAnsi="Arial" w:cs="Arial"/>
      <w:szCs w:val="20"/>
    </w:rPr>
  </w:style>
  <w:style w:type="character" w:styleId="FollowedHyperlink">
    <w:name w:val="FollowedHyperlink"/>
    <w:basedOn w:val="DefaultParagraphFont"/>
    <w:semiHidden/>
    <w:rsid w:val="00FC1736"/>
    <w:rPr>
      <w:color w:val="800080"/>
      <w:u w:val="single"/>
    </w:rPr>
  </w:style>
  <w:style w:type="character" w:styleId="FootnoteReference">
    <w:name w:val="footnote reference"/>
    <w:aliases w:val="4_GA"/>
    <w:basedOn w:val="DefaultParagraphFont"/>
    <w:rsid w:val="000C338C"/>
    <w:rPr>
      <w:rFonts w:ascii="Times New Roman" w:hAnsi="Times New Roman" w:cs="Traditional Arabic"/>
      <w:b/>
      <w:kern w:val="0"/>
      <w:sz w:val="18"/>
      <w:szCs w:val="28"/>
      <w:vertAlign w:val="superscript"/>
    </w:rPr>
  </w:style>
  <w:style w:type="character" w:styleId="HTMLAcronym">
    <w:name w:val="HTML Acronym"/>
    <w:basedOn w:val="DefaultParagraphFont"/>
    <w:semiHidden/>
    <w:rsid w:val="00FC1736"/>
  </w:style>
  <w:style w:type="paragraph" w:styleId="HTMLAddress">
    <w:name w:val="HTML Address"/>
    <w:basedOn w:val="Normal"/>
    <w:semiHidden/>
    <w:rsid w:val="00FC1736"/>
    <w:rPr>
      <w:i/>
      <w:iCs/>
    </w:rPr>
  </w:style>
  <w:style w:type="character" w:styleId="HTMLCite">
    <w:name w:val="HTML Cite"/>
    <w:basedOn w:val="DefaultParagraphFont"/>
    <w:semiHidden/>
    <w:rsid w:val="00FC1736"/>
    <w:rPr>
      <w:i/>
      <w:iCs/>
    </w:rPr>
  </w:style>
  <w:style w:type="character" w:styleId="HTMLCode">
    <w:name w:val="HTML Code"/>
    <w:basedOn w:val="DefaultParagraphFont"/>
    <w:semiHidden/>
    <w:rsid w:val="00FC1736"/>
    <w:rPr>
      <w:rFonts w:ascii="Courier New" w:hAnsi="Courier New" w:cs="Courier New"/>
      <w:sz w:val="20"/>
      <w:szCs w:val="20"/>
    </w:rPr>
  </w:style>
  <w:style w:type="character" w:styleId="HTMLDefinition">
    <w:name w:val="HTML Definition"/>
    <w:basedOn w:val="DefaultParagraphFont"/>
    <w:semiHidden/>
    <w:rsid w:val="00FC1736"/>
    <w:rPr>
      <w:i/>
      <w:iCs/>
    </w:rPr>
  </w:style>
  <w:style w:type="character" w:styleId="HTMLKeyboard">
    <w:name w:val="HTML Keyboard"/>
    <w:basedOn w:val="DefaultParagraphFont"/>
    <w:semiHidden/>
    <w:rsid w:val="00FC1736"/>
    <w:rPr>
      <w:rFonts w:ascii="Courier New" w:hAnsi="Courier New" w:cs="Courier New"/>
      <w:sz w:val="20"/>
      <w:szCs w:val="20"/>
    </w:rPr>
  </w:style>
  <w:style w:type="paragraph" w:styleId="HTMLPreformatted">
    <w:name w:val="HTML Preformatted"/>
    <w:basedOn w:val="Normal"/>
    <w:semiHidden/>
    <w:rsid w:val="00FC1736"/>
    <w:rPr>
      <w:rFonts w:ascii="Courier New" w:hAnsi="Courier New" w:cs="Courier New"/>
      <w:szCs w:val="20"/>
    </w:rPr>
  </w:style>
  <w:style w:type="character" w:styleId="HTMLSample">
    <w:name w:val="HTML Sample"/>
    <w:basedOn w:val="DefaultParagraphFont"/>
    <w:semiHidden/>
    <w:rsid w:val="00FC1736"/>
    <w:rPr>
      <w:rFonts w:ascii="Courier New" w:hAnsi="Courier New" w:cs="Courier New"/>
    </w:rPr>
  </w:style>
  <w:style w:type="character" w:styleId="HTMLTypewriter">
    <w:name w:val="HTML Typewriter"/>
    <w:basedOn w:val="DefaultParagraphFont"/>
    <w:semiHidden/>
    <w:rsid w:val="00FC1736"/>
    <w:rPr>
      <w:rFonts w:ascii="Courier New" w:hAnsi="Courier New" w:cs="Courier New"/>
      <w:sz w:val="20"/>
      <w:szCs w:val="20"/>
    </w:rPr>
  </w:style>
  <w:style w:type="character" w:styleId="HTMLVariable">
    <w:name w:val="HTML Variable"/>
    <w:basedOn w:val="DefaultParagraphFont"/>
    <w:semiHidden/>
    <w:rsid w:val="00FC1736"/>
    <w:rPr>
      <w:i/>
      <w:iCs/>
    </w:rPr>
  </w:style>
  <w:style w:type="character" w:styleId="Hyperlink">
    <w:name w:val="Hyperlink"/>
    <w:basedOn w:val="DefaultParagraphFont"/>
    <w:semiHidden/>
    <w:rsid w:val="00FC1736"/>
    <w:rPr>
      <w:color w:val="0000FF"/>
      <w:u w:val="single"/>
    </w:rPr>
  </w:style>
  <w:style w:type="character" w:styleId="LineNumber">
    <w:name w:val="line number"/>
    <w:basedOn w:val="DefaultParagraphFont"/>
    <w:semiHidden/>
    <w:rsid w:val="00FC1736"/>
  </w:style>
  <w:style w:type="paragraph" w:styleId="List">
    <w:name w:val="List"/>
    <w:basedOn w:val="Normal"/>
    <w:semiHidden/>
    <w:rsid w:val="00FC1736"/>
    <w:pPr>
      <w:ind w:left="360" w:hanging="360"/>
    </w:pPr>
  </w:style>
  <w:style w:type="paragraph" w:styleId="List2">
    <w:name w:val="List 2"/>
    <w:basedOn w:val="Normal"/>
    <w:semiHidden/>
    <w:rsid w:val="00FC1736"/>
    <w:pPr>
      <w:ind w:left="720" w:hanging="360"/>
    </w:pPr>
  </w:style>
  <w:style w:type="paragraph" w:styleId="List3">
    <w:name w:val="List 3"/>
    <w:basedOn w:val="Normal"/>
    <w:semiHidden/>
    <w:rsid w:val="00FC1736"/>
    <w:pPr>
      <w:ind w:left="1080" w:hanging="360"/>
    </w:pPr>
  </w:style>
  <w:style w:type="paragraph" w:styleId="List4">
    <w:name w:val="List 4"/>
    <w:basedOn w:val="Normal"/>
    <w:semiHidden/>
    <w:rsid w:val="00FC1736"/>
    <w:pPr>
      <w:ind w:left="1440" w:hanging="360"/>
    </w:pPr>
  </w:style>
  <w:style w:type="paragraph" w:styleId="List5">
    <w:name w:val="List 5"/>
    <w:basedOn w:val="Normal"/>
    <w:semiHidden/>
    <w:rsid w:val="00FC1736"/>
    <w:pPr>
      <w:ind w:left="1800" w:hanging="360"/>
    </w:pPr>
  </w:style>
  <w:style w:type="paragraph" w:styleId="ListBullet">
    <w:name w:val="List Bullet"/>
    <w:basedOn w:val="Normal"/>
    <w:semiHidden/>
    <w:rsid w:val="00FC1736"/>
    <w:pPr>
      <w:numPr>
        <w:numId w:val="7"/>
      </w:numPr>
    </w:pPr>
  </w:style>
  <w:style w:type="paragraph" w:styleId="ListBullet2">
    <w:name w:val="List Bullet 2"/>
    <w:basedOn w:val="Normal"/>
    <w:semiHidden/>
    <w:rsid w:val="00FC1736"/>
    <w:pPr>
      <w:numPr>
        <w:numId w:val="8"/>
      </w:numPr>
    </w:pPr>
  </w:style>
  <w:style w:type="paragraph" w:styleId="ListBullet3">
    <w:name w:val="List Bullet 3"/>
    <w:basedOn w:val="Normal"/>
    <w:semiHidden/>
    <w:rsid w:val="00FC1736"/>
    <w:pPr>
      <w:numPr>
        <w:numId w:val="9"/>
      </w:numPr>
    </w:pPr>
  </w:style>
  <w:style w:type="paragraph" w:styleId="ListBullet4">
    <w:name w:val="List Bullet 4"/>
    <w:basedOn w:val="Normal"/>
    <w:semiHidden/>
    <w:rsid w:val="00FC1736"/>
    <w:pPr>
      <w:numPr>
        <w:numId w:val="10"/>
      </w:numPr>
    </w:pPr>
  </w:style>
  <w:style w:type="paragraph" w:styleId="ListBullet5">
    <w:name w:val="List Bullet 5"/>
    <w:basedOn w:val="Normal"/>
    <w:semiHidden/>
    <w:rsid w:val="00FC1736"/>
    <w:pPr>
      <w:numPr>
        <w:numId w:val="11"/>
      </w:numPr>
    </w:pPr>
  </w:style>
  <w:style w:type="paragraph" w:styleId="ListContinue">
    <w:name w:val="List Continue"/>
    <w:basedOn w:val="Normal"/>
    <w:semiHidden/>
    <w:rsid w:val="00FC1736"/>
    <w:pPr>
      <w:spacing w:after="120"/>
      <w:ind w:left="360"/>
    </w:pPr>
  </w:style>
  <w:style w:type="paragraph" w:styleId="ListContinue2">
    <w:name w:val="List Continue 2"/>
    <w:basedOn w:val="Normal"/>
    <w:semiHidden/>
    <w:rsid w:val="00FC1736"/>
    <w:pPr>
      <w:spacing w:after="120"/>
      <w:ind w:left="720"/>
    </w:pPr>
  </w:style>
  <w:style w:type="paragraph" w:styleId="ListContinue3">
    <w:name w:val="List Continue 3"/>
    <w:basedOn w:val="Normal"/>
    <w:semiHidden/>
    <w:rsid w:val="00FC1736"/>
    <w:pPr>
      <w:spacing w:after="120"/>
      <w:ind w:left="1080"/>
    </w:pPr>
  </w:style>
  <w:style w:type="paragraph" w:styleId="ListContinue4">
    <w:name w:val="List Continue 4"/>
    <w:basedOn w:val="Normal"/>
    <w:semiHidden/>
    <w:rsid w:val="00FC1736"/>
    <w:pPr>
      <w:spacing w:after="120"/>
      <w:ind w:left="1440"/>
    </w:pPr>
  </w:style>
  <w:style w:type="paragraph" w:styleId="ListContinue5">
    <w:name w:val="List Continue 5"/>
    <w:basedOn w:val="Normal"/>
    <w:semiHidden/>
    <w:rsid w:val="00FC1736"/>
    <w:pPr>
      <w:spacing w:after="120"/>
      <w:ind w:left="1800"/>
    </w:pPr>
  </w:style>
  <w:style w:type="paragraph" w:styleId="ListNumber">
    <w:name w:val="List Number"/>
    <w:basedOn w:val="Normal"/>
    <w:semiHidden/>
    <w:rsid w:val="00FC1736"/>
    <w:pPr>
      <w:numPr>
        <w:numId w:val="12"/>
      </w:numPr>
    </w:pPr>
  </w:style>
  <w:style w:type="paragraph" w:styleId="ListNumber2">
    <w:name w:val="List Number 2"/>
    <w:basedOn w:val="Normal"/>
    <w:semiHidden/>
    <w:rsid w:val="00FC1736"/>
    <w:pPr>
      <w:numPr>
        <w:numId w:val="13"/>
      </w:numPr>
    </w:pPr>
  </w:style>
  <w:style w:type="paragraph" w:styleId="ListNumber3">
    <w:name w:val="List Number 3"/>
    <w:basedOn w:val="Normal"/>
    <w:semiHidden/>
    <w:rsid w:val="00FC1736"/>
    <w:pPr>
      <w:numPr>
        <w:numId w:val="14"/>
      </w:numPr>
    </w:pPr>
  </w:style>
  <w:style w:type="paragraph" w:styleId="ListNumber4">
    <w:name w:val="List Number 4"/>
    <w:basedOn w:val="Normal"/>
    <w:semiHidden/>
    <w:rsid w:val="00FC1736"/>
    <w:pPr>
      <w:numPr>
        <w:numId w:val="15"/>
      </w:numPr>
    </w:pPr>
  </w:style>
  <w:style w:type="paragraph" w:styleId="ListNumber5">
    <w:name w:val="List Number 5"/>
    <w:basedOn w:val="Normal"/>
    <w:semiHidden/>
    <w:rsid w:val="00FC1736"/>
    <w:pPr>
      <w:numPr>
        <w:numId w:val="16"/>
      </w:numPr>
    </w:pPr>
  </w:style>
  <w:style w:type="paragraph" w:styleId="MessageHeader">
    <w:name w:val="Message Header"/>
    <w:basedOn w:val="Normal"/>
    <w:semiHidden/>
    <w:rsid w:val="00FC1736"/>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FC1736"/>
    <w:rPr>
      <w:rFonts w:cs="Times New Roman"/>
      <w:sz w:val="24"/>
      <w:szCs w:val="24"/>
    </w:rPr>
  </w:style>
  <w:style w:type="paragraph" w:styleId="NormalIndent">
    <w:name w:val="Normal Indent"/>
    <w:basedOn w:val="Normal"/>
    <w:semiHidden/>
    <w:rsid w:val="00FC1736"/>
    <w:pPr>
      <w:ind w:left="680"/>
    </w:pPr>
  </w:style>
  <w:style w:type="paragraph" w:styleId="NoteHeading">
    <w:name w:val="Note Heading"/>
    <w:basedOn w:val="Normal"/>
    <w:next w:val="Normal"/>
    <w:semiHidden/>
    <w:rsid w:val="00FC1736"/>
  </w:style>
  <w:style w:type="paragraph" w:styleId="PlainText">
    <w:name w:val="Plain Text"/>
    <w:basedOn w:val="Normal"/>
    <w:semiHidden/>
    <w:rsid w:val="00FC1736"/>
    <w:rPr>
      <w:rFonts w:ascii="Courier New" w:hAnsi="Courier New" w:cs="Courier New"/>
      <w:szCs w:val="20"/>
    </w:rPr>
  </w:style>
  <w:style w:type="paragraph" w:styleId="Salutation">
    <w:name w:val="Salutation"/>
    <w:basedOn w:val="Normal"/>
    <w:next w:val="Normal"/>
    <w:semiHidden/>
    <w:rsid w:val="00FC1736"/>
  </w:style>
  <w:style w:type="paragraph" w:styleId="Signature">
    <w:name w:val="Signature"/>
    <w:basedOn w:val="Normal"/>
    <w:semiHidden/>
    <w:rsid w:val="00FC1736"/>
    <w:pPr>
      <w:ind w:left="4320"/>
    </w:pPr>
  </w:style>
  <w:style w:type="character" w:styleId="Strong">
    <w:name w:val="Strong"/>
    <w:basedOn w:val="DefaultParagraphFont"/>
    <w:qFormat/>
    <w:rsid w:val="00FC1736"/>
    <w:rPr>
      <w:b/>
      <w:bCs/>
    </w:rPr>
  </w:style>
  <w:style w:type="table" w:styleId="Table3Deffects1">
    <w:name w:val="Table 3D effects 1"/>
    <w:basedOn w:val="TableNormal"/>
    <w:semiHidden/>
    <w:rsid w:val="00FC1736"/>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C1736"/>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C1736"/>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C1736"/>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C1736"/>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C1736"/>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EndtnoteReference">
    <w:name w:val="Endtnote Reference"/>
    <w:aliases w:val="1_GA"/>
    <w:basedOn w:val="DefaultParagraphFont"/>
    <w:rsid w:val="00CD531E"/>
    <w:rPr>
      <w:rFonts w:ascii="Times New Roman" w:hAnsi="Times New Roman" w:cs="Traditional Arabic"/>
      <w:b/>
      <w:kern w:val="0"/>
      <w:sz w:val="18"/>
      <w:szCs w:val="28"/>
      <w:vertAlign w:val="superscript"/>
    </w:rPr>
  </w:style>
  <w:style w:type="paragraph" w:customStyle="1" w:styleId="Roman2GA">
    <w:name w:val="_Roman 2_GA"/>
    <w:basedOn w:val="Bullet2GA"/>
    <w:next w:val="Normal"/>
    <w:rsid w:val="00CD4468"/>
    <w:pPr>
      <w:numPr>
        <w:numId w:val="23"/>
      </w:numPr>
      <w:tabs>
        <w:tab w:val="clear" w:pos="2877"/>
      </w:tabs>
      <w:ind w:left="2665" w:hanging="397"/>
    </w:pPr>
  </w:style>
  <w:style w:type="character" w:styleId="EndnoteReference">
    <w:name w:val="endnote reference"/>
    <w:basedOn w:val="DefaultParagraphFont"/>
    <w:semiHidden/>
    <w:rsid w:val="00B410DB"/>
    <w:rPr>
      <w:vertAlign w:val="superscript"/>
    </w:rPr>
  </w:style>
  <w:style w:type="table" w:styleId="TableGrid">
    <w:name w:val="Table Grid"/>
    <w:basedOn w:val="TableNormal"/>
    <w:semiHidden/>
    <w:rsid w:val="00374858"/>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2342</Words>
  <Characters>12297</Characters>
  <Application>Microsoft Office Outlook</Application>
  <DocSecurity>4</DocSecurity>
  <Lines>161</Lines>
  <Paragraphs>62</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14577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MORCOS</dc:creator>
  <cp:keywords/>
  <dc:description/>
  <cp:lastModifiedBy>MORCOS</cp:lastModifiedBy>
  <cp:revision>2</cp:revision>
  <cp:lastPrinted>2009-11-25T07:50:00Z</cp:lastPrinted>
  <dcterms:created xsi:type="dcterms:W3CDTF">2009-11-25T10:06:00Z</dcterms:created>
  <dcterms:modified xsi:type="dcterms:W3CDTF">2009-11-25T10:06:00Z</dcterms:modified>
</cp:coreProperties>
</file>